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18" w:rsidRDefault="00DC7D18" w:rsidP="00DC7D18">
      <w:pPr>
        <w:keepNext/>
        <w:tabs>
          <w:tab w:val="left" w:pos="567"/>
        </w:tabs>
        <w:spacing w:before="480" w:after="240" w:line="240" w:lineRule="auto"/>
        <w:outlineLvl w:val="0"/>
        <w:rPr>
          <w:rFonts w:eastAsia="Times New Roman" w:cs="Arial"/>
          <w:b/>
          <w:color w:val="002469"/>
          <w:spacing w:val="20"/>
          <w:w w:val="90"/>
          <w:sz w:val="38"/>
          <w:szCs w:val="38"/>
          <w:lang w:val="en-GB" w:eastAsia="en-GB"/>
        </w:rPr>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111173195"/>
      <w:bookmarkStart w:id="10" w:name="_Toc112306482"/>
      <w:bookmarkStart w:id="11" w:name="_Toc114287559"/>
      <w:bookmarkStart w:id="12" w:name="_Toc115188196"/>
      <w:bookmarkStart w:id="13" w:name="_Toc118514380"/>
      <w:bookmarkStart w:id="14" w:name="_Toc110071692"/>
      <w:bookmarkStart w:id="15" w:name="_Toc110072564"/>
      <w:bookmarkStart w:id="16" w:name="_Toc138735614"/>
      <w:bookmarkStart w:id="17" w:name="_Toc139335927"/>
      <w:bookmarkStart w:id="18" w:name="_Toc362526401"/>
      <w:bookmarkEnd w:id="0"/>
      <w:r>
        <w:rPr>
          <w:rFonts w:eastAsia="Times New Roman" w:cs="Arial"/>
          <w:b/>
          <w:color w:val="002469"/>
          <w:spacing w:val="20"/>
          <w:w w:val="90"/>
          <w:sz w:val="38"/>
          <w:szCs w:val="38"/>
          <w:lang w:val="en-GB" w:eastAsia="en-GB"/>
        </w:rPr>
        <w:t>Regulatory Impact Statement</w:t>
      </w:r>
      <w:bookmarkEnd w:id="1"/>
      <w:bookmarkEnd w:id="2"/>
      <w:bookmarkEnd w:id="3"/>
      <w:bookmarkEnd w:id="4"/>
      <w:bookmarkEnd w:id="5"/>
      <w:bookmarkEnd w:id="6"/>
      <w:bookmarkEnd w:id="7"/>
      <w:bookmarkEnd w:id="8"/>
    </w:p>
    <w:p w:rsidR="00DC7D18" w:rsidRDefault="00DC7D18" w:rsidP="00DC7D18">
      <w:pPr>
        <w:keepNext/>
        <w:tabs>
          <w:tab w:val="left" w:pos="567"/>
        </w:tabs>
        <w:spacing w:before="240" w:after="180" w:line="240" w:lineRule="auto"/>
        <w:outlineLvl w:val="1"/>
        <w:rPr>
          <w:rFonts w:eastAsia="Times New Roman" w:cs="Times New Roman"/>
          <w:b/>
          <w:spacing w:val="20"/>
          <w:w w:val="90"/>
          <w:sz w:val="28"/>
          <w:szCs w:val="28"/>
          <w:lang w:val="en-GB" w:eastAsia="en-GB"/>
        </w:rPr>
      </w:pPr>
      <w:bookmarkStart w:id="19" w:name="_Toc363047101"/>
      <w:bookmarkStart w:id="20" w:name="_Toc362940593"/>
      <w:bookmarkStart w:id="21" w:name="_Toc362619029"/>
      <w:bookmarkStart w:id="22" w:name="_Toc362589329"/>
      <w:bookmarkStart w:id="23" w:name="_Toc362434943"/>
      <w:r>
        <w:rPr>
          <w:rFonts w:eastAsia="Times New Roman" w:cs="Times New Roman"/>
          <w:b/>
          <w:spacing w:val="20"/>
          <w:w w:val="90"/>
          <w:sz w:val="28"/>
          <w:szCs w:val="28"/>
          <w:lang w:val="en-GB" w:eastAsia="en-GB"/>
        </w:rPr>
        <w:t>Radiation Safety Regulations</w:t>
      </w:r>
    </w:p>
    <w:tbl>
      <w:tblPr>
        <w:tblStyle w:val="TableGrid"/>
        <w:tblW w:w="0" w:type="auto"/>
        <w:tblInd w:w="0" w:type="dxa"/>
        <w:tblLook w:val="04A0" w:firstRow="1" w:lastRow="0" w:firstColumn="1" w:lastColumn="0" w:noHBand="0" w:noVBand="1"/>
      </w:tblPr>
      <w:tblGrid>
        <w:gridCol w:w="9016"/>
      </w:tblGrid>
      <w:tr w:rsidR="00DC7D18" w:rsidTr="00DC7D18">
        <w:tc>
          <w:tcPr>
            <w:tcW w:w="9345" w:type="dxa"/>
            <w:tcBorders>
              <w:top w:val="single" w:sz="4" w:space="0" w:color="auto"/>
              <w:left w:val="single" w:sz="4" w:space="0" w:color="auto"/>
              <w:bottom w:val="single" w:sz="4" w:space="0" w:color="auto"/>
              <w:right w:val="single" w:sz="4" w:space="0" w:color="auto"/>
            </w:tcBorders>
          </w:tcPr>
          <w:bookmarkEnd w:id="19"/>
          <w:bookmarkEnd w:id="20"/>
          <w:bookmarkEnd w:id="21"/>
          <w:bookmarkEnd w:id="22"/>
          <w:bookmarkEnd w:id="23"/>
          <w:p w:rsidR="00DC7D18" w:rsidRDefault="00DC7D18">
            <w:pPr>
              <w:spacing w:after="240" w:line="280" w:lineRule="atLeast"/>
              <w:ind w:right="170"/>
              <w:rPr>
                <w:rFonts w:eastAsia="Times New Roman" w:cs="Arial"/>
                <w:b/>
                <w:color w:val="002060"/>
                <w:sz w:val="28"/>
                <w:szCs w:val="28"/>
                <w:lang w:val="en-GB" w:eastAsia="en-GB"/>
              </w:rPr>
            </w:pPr>
            <w:r>
              <w:rPr>
                <w:rFonts w:eastAsia="Times New Roman" w:cs="Times New Roman"/>
                <w:b/>
                <w:color w:val="002060"/>
                <w:sz w:val="28"/>
                <w:szCs w:val="28"/>
                <w:lang w:val="en-GB" w:eastAsia="en-GB"/>
              </w:rPr>
              <w:t>Agency Disclosure Statement</w:t>
            </w:r>
          </w:p>
          <w:p w:rsidR="00DC7D18" w:rsidRDefault="00DC7D18">
            <w:p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This Regulatory Impact Statement (RIS) has been prepared by the Ministry of Health. It analy</w:t>
            </w:r>
            <w:r w:rsidR="00065D6F">
              <w:rPr>
                <w:rFonts w:eastAsia="Times New Roman" w:cs="Arial"/>
                <w:sz w:val="22"/>
                <w:szCs w:val="20"/>
                <w:lang w:val="en-GB" w:eastAsia="en-GB"/>
              </w:rPr>
              <w:t>s</w:t>
            </w:r>
            <w:r>
              <w:rPr>
                <w:rFonts w:eastAsia="Times New Roman" w:cs="Arial"/>
                <w:sz w:val="22"/>
                <w:szCs w:val="20"/>
                <w:lang w:val="en-GB" w:eastAsia="en-GB"/>
              </w:rPr>
              <w:t xml:space="preserve">es options to establish the regime supporting the newly enacted Radiation Safety Act 2016 (the Act) by Regulations.  </w:t>
            </w:r>
          </w:p>
          <w:p w:rsidR="00DC7D18" w:rsidRDefault="00DC7D18">
            <w:p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The regulatory regime will apply to the relatively small number of people who deal with ionising radiation.  It will also apply alongside other relevant legislation, such as the Health and Safety at Work Act 2015 and the Resource Management Act 1991.</w:t>
            </w:r>
          </w:p>
          <w:p w:rsidR="00DC7D18" w:rsidRDefault="00DC7D18">
            <w:p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Regulations m</w:t>
            </w:r>
            <w:r w:rsidR="002767C8">
              <w:rPr>
                <w:rFonts w:eastAsia="Times New Roman" w:cs="Arial"/>
                <w:sz w:val="22"/>
                <w:szCs w:val="20"/>
                <w:lang w:val="en-GB" w:eastAsia="en-GB"/>
              </w:rPr>
              <w:t>ust be in force by 7 March 2017</w:t>
            </w:r>
            <w:r>
              <w:rPr>
                <w:rFonts w:eastAsia="Times New Roman" w:cs="Arial"/>
                <w:sz w:val="22"/>
                <w:szCs w:val="20"/>
                <w:lang w:val="en-GB" w:eastAsia="en-GB"/>
              </w:rPr>
              <w:t xml:space="preserve"> when the new Act comes into force.</w:t>
            </w:r>
          </w:p>
          <w:p w:rsidR="002767C8" w:rsidRDefault="002767C8">
            <w:p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The approach adopted in the proposed Regulations is both flexible</w:t>
            </w:r>
            <w:r w:rsidR="00F76279">
              <w:rPr>
                <w:rFonts w:eastAsia="Times New Roman" w:cs="Arial"/>
                <w:sz w:val="22"/>
                <w:szCs w:val="20"/>
                <w:lang w:val="en-GB" w:eastAsia="en-GB"/>
              </w:rPr>
              <w:t xml:space="preserve"> for the various ioni</w:t>
            </w:r>
            <w:r w:rsidR="006E619F">
              <w:rPr>
                <w:rFonts w:eastAsia="Times New Roman" w:cs="Arial"/>
                <w:sz w:val="22"/>
                <w:szCs w:val="20"/>
                <w:lang w:val="en-GB" w:eastAsia="en-GB"/>
              </w:rPr>
              <w:t>sing radiation sources and uses</w:t>
            </w:r>
            <w:r>
              <w:rPr>
                <w:rFonts w:eastAsia="Times New Roman" w:cs="Arial"/>
                <w:sz w:val="22"/>
                <w:szCs w:val="20"/>
                <w:lang w:val="en-GB" w:eastAsia="en-GB"/>
              </w:rPr>
              <w:t xml:space="preserve"> and proportionate to the presenting radiation safety risk.  The proposed Regulations do not:</w:t>
            </w:r>
          </w:p>
          <w:p w:rsidR="002767C8" w:rsidRDefault="002767C8" w:rsidP="002767C8">
            <w:pPr>
              <w:pStyle w:val="ListParagraph"/>
              <w:numPr>
                <w:ilvl w:val="0"/>
                <w:numId w:val="14"/>
              </w:num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 xml:space="preserve">impose unnecessary costs on licence and consent applicants and holders; </w:t>
            </w:r>
          </w:p>
          <w:p w:rsidR="002767C8" w:rsidRDefault="002767C8" w:rsidP="002767C8">
            <w:pPr>
              <w:pStyle w:val="ListParagraph"/>
              <w:numPr>
                <w:ilvl w:val="0"/>
                <w:numId w:val="14"/>
              </w:num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impose unnecessary administrative or compliance burdens; or</w:t>
            </w:r>
          </w:p>
          <w:p w:rsidR="002767C8" w:rsidRDefault="002767C8" w:rsidP="002767C8">
            <w:pPr>
              <w:pStyle w:val="ListParagraph"/>
              <w:numPr>
                <w:ilvl w:val="0"/>
                <w:numId w:val="14"/>
              </w:numPr>
              <w:spacing w:after="240" w:line="280" w:lineRule="atLeast"/>
              <w:ind w:right="170"/>
              <w:rPr>
                <w:rFonts w:eastAsia="Times New Roman" w:cs="Arial"/>
                <w:sz w:val="22"/>
                <w:szCs w:val="20"/>
                <w:lang w:val="en-GB" w:eastAsia="en-GB"/>
              </w:rPr>
            </w:pPr>
            <w:r>
              <w:rPr>
                <w:rFonts w:eastAsia="Times New Roman" w:cs="Arial"/>
                <w:sz w:val="22"/>
                <w:szCs w:val="20"/>
                <w:lang w:val="en-GB" w:eastAsia="en-GB"/>
              </w:rPr>
              <w:t>create uncertainty.</w:t>
            </w:r>
          </w:p>
          <w:p w:rsidR="00AE0AC4" w:rsidRDefault="002767C8"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The </w:t>
            </w:r>
            <w:r w:rsidR="00AE0AC4">
              <w:rPr>
                <w:rFonts w:eastAsia="Times New Roman" w:cs="Arial"/>
                <w:sz w:val="22"/>
                <w:szCs w:val="20"/>
                <w:lang w:val="en-GB" w:eastAsia="en-GB"/>
              </w:rPr>
              <w:t xml:space="preserve">proposed </w:t>
            </w:r>
            <w:r>
              <w:rPr>
                <w:rFonts w:eastAsia="Times New Roman" w:cs="Arial"/>
                <w:sz w:val="22"/>
                <w:szCs w:val="20"/>
                <w:lang w:val="en-GB" w:eastAsia="en-GB"/>
              </w:rPr>
              <w:t xml:space="preserve">authorisation fees </w:t>
            </w:r>
            <w:r w:rsidR="00AE0AC4">
              <w:rPr>
                <w:rFonts w:eastAsia="Times New Roman" w:cs="Arial"/>
                <w:sz w:val="22"/>
                <w:szCs w:val="20"/>
                <w:lang w:val="en-GB" w:eastAsia="en-GB"/>
              </w:rPr>
              <w:t xml:space="preserve">for licences and consents </w:t>
            </w:r>
            <w:r>
              <w:rPr>
                <w:rFonts w:eastAsia="Times New Roman" w:cs="Arial"/>
                <w:sz w:val="22"/>
                <w:szCs w:val="20"/>
                <w:lang w:val="en-GB" w:eastAsia="en-GB"/>
              </w:rPr>
              <w:t xml:space="preserve">are designed to </w:t>
            </w:r>
            <w:r w:rsidR="0039180B">
              <w:rPr>
                <w:rFonts w:eastAsia="Times New Roman" w:cs="Arial"/>
                <w:sz w:val="22"/>
                <w:szCs w:val="20"/>
                <w:lang w:val="en-GB" w:eastAsia="en-GB"/>
              </w:rPr>
              <w:t xml:space="preserve">reflect the </w:t>
            </w:r>
          </w:p>
          <w:p w:rsidR="00AE0AC4" w:rsidRDefault="0039180B"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following principles of equity, efficiency, justifiability, transparency and e</w:t>
            </w:r>
            <w:r w:rsidR="002767C8">
              <w:rPr>
                <w:rFonts w:eastAsia="Times New Roman" w:cs="Arial"/>
                <w:sz w:val="22"/>
                <w:szCs w:val="20"/>
                <w:lang w:val="en-GB" w:eastAsia="en-GB"/>
              </w:rPr>
              <w:t xml:space="preserve">ase of </w:t>
            </w:r>
          </w:p>
          <w:p w:rsidR="0039180B" w:rsidRDefault="002767C8"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administration, as required by s 92 of the Act.  </w:t>
            </w:r>
          </w:p>
          <w:p w:rsidR="0039180B" w:rsidRDefault="0039180B" w:rsidP="002767C8">
            <w:pPr>
              <w:spacing w:line="280" w:lineRule="atLeast"/>
              <w:ind w:left="720" w:right="170" w:hanging="720"/>
              <w:rPr>
                <w:rFonts w:eastAsia="Times New Roman" w:cs="Arial"/>
                <w:sz w:val="22"/>
                <w:szCs w:val="20"/>
                <w:lang w:val="en-GB" w:eastAsia="en-GB"/>
              </w:rPr>
            </w:pPr>
          </w:p>
          <w:p w:rsidR="00DB64C8" w:rsidRDefault="002767C8"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The</w:t>
            </w:r>
            <w:r w:rsidR="0039180B">
              <w:rPr>
                <w:rFonts w:eastAsia="Times New Roman" w:cs="Arial"/>
                <w:sz w:val="22"/>
                <w:szCs w:val="20"/>
                <w:lang w:val="en-GB" w:eastAsia="en-GB"/>
              </w:rPr>
              <w:t xml:space="preserve"> fees</w:t>
            </w:r>
            <w:r>
              <w:rPr>
                <w:rFonts w:eastAsia="Times New Roman" w:cs="Arial"/>
                <w:sz w:val="22"/>
                <w:szCs w:val="20"/>
                <w:lang w:val="en-GB" w:eastAsia="en-GB"/>
              </w:rPr>
              <w:t xml:space="preserve"> are proposed on a full cost recovery basis (in relation to</w:t>
            </w:r>
            <w:r w:rsidR="00DB64C8">
              <w:rPr>
                <w:rFonts w:eastAsia="Times New Roman" w:cs="Arial"/>
                <w:sz w:val="22"/>
                <w:szCs w:val="20"/>
                <w:lang w:val="en-GB" w:eastAsia="en-GB"/>
              </w:rPr>
              <w:t xml:space="preserve"> applications for</w:t>
            </w:r>
          </w:p>
          <w:p w:rsidR="00DB64C8" w:rsidRDefault="00AC4785"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licences, consents</w:t>
            </w:r>
            <w:r w:rsidR="002767C8">
              <w:rPr>
                <w:rFonts w:eastAsia="Times New Roman" w:cs="Arial"/>
                <w:sz w:val="22"/>
                <w:szCs w:val="20"/>
                <w:lang w:val="en-GB" w:eastAsia="en-GB"/>
              </w:rPr>
              <w:t xml:space="preserve"> and</w:t>
            </w:r>
            <w:r>
              <w:rPr>
                <w:rFonts w:eastAsia="Times New Roman" w:cs="Arial"/>
                <w:sz w:val="22"/>
                <w:szCs w:val="20"/>
                <w:lang w:val="en-GB" w:eastAsia="en-GB"/>
              </w:rPr>
              <w:t xml:space="preserve"> the</w:t>
            </w:r>
            <w:r w:rsidR="002767C8">
              <w:rPr>
                <w:rFonts w:eastAsia="Times New Roman" w:cs="Arial"/>
                <w:sz w:val="22"/>
                <w:szCs w:val="20"/>
                <w:lang w:val="en-GB" w:eastAsia="en-GB"/>
              </w:rPr>
              <w:t xml:space="preserve"> compliance verification</w:t>
            </w:r>
            <w:r>
              <w:rPr>
                <w:rFonts w:eastAsia="Times New Roman" w:cs="Arial"/>
                <w:sz w:val="22"/>
                <w:szCs w:val="20"/>
                <w:lang w:val="en-GB" w:eastAsia="en-GB"/>
              </w:rPr>
              <w:t xml:space="preserve"> component of sources licences</w:t>
            </w:r>
            <w:r w:rsidR="002767C8">
              <w:rPr>
                <w:rFonts w:eastAsia="Times New Roman" w:cs="Arial"/>
                <w:sz w:val="22"/>
                <w:szCs w:val="20"/>
                <w:lang w:val="en-GB" w:eastAsia="en-GB"/>
              </w:rPr>
              <w:t>)</w:t>
            </w:r>
            <w:r>
              <w:rPr>
                <w:rFonts w:eastAsia="Times New Roman" w:cs="Arial"/>
                <w:sz w:val="22"/>
                <w:szCs w:val="20"/>
                <w:lang w:val="en-GB" w:eastAsia="en-GB"/>
              </w:rPr>
              <w:t xml:space="preserve">.  </w:t>
            </w:r>
          </w:p>
          <w:p w:rsidR="00DB64C8" w:rsidRDefault="00AC4785"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This is on the basis that the costs of </w:t>
            </w:r>
            <w:r w:rsidR="002767C8" w:rsidRPr="002767C8">
              <w:rPr>
                <w:rFonts w:eastAsia="Times New Roman" w:cs="Arial"/>
                <w:sz w:val="22"/>
                <w:szCs w:val="20"/>
                <w:lang w:val="en-GB" w:eastAsia="en-GB"/>
              </w:rPr>
              <w:t>regulation will become</w:t>
            </w:r>
            <w:r w:rsidR="002767C8">
              <w:rPr>
                <w:rFonts w:eastAsia="Times New Roman" w:cs="Arial"/>
                <w:sz w:val="22"/>
                <w:szCs w:val="20"/>
                <w:lang w:val="en-GB" w:eastAsia="en-GB"/>
              </w:rPr>
              <w:t xml:space="preserve"> largely</w:t>
            </w:r>
            <w:r w:rsidR="00AE0AC4">
              <w:rPr>
                <w:rFonts w:eastAsia="Times New Roman" w:cs="Arial"/>
                <w:sz w:val="22"/>
                <w:szCs w:val="20"/>
                <w:lang w:val="en-GB" w:eastAsia="en-GB"/>
              </w:rPr>
              <w:t xml:space="preserve"> cost neutral for the </w:t>
            </w:r>
          </w:p>
          <w:p w:rsidR="00DB64C8" w:rsidRDefault="00AE0AC4"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Crown, although p</w:t>
            </w:r>
            <w:r w:rsidR="00DC7D18" w:rsidRPr="002767C8">
              <w:rPr>
                <w:rFonts w:eastAsia="Times New Roman" w:cs="Arial"/>
                <w:sz w:val="22"/>
                <w:szCs w:val="20"/>
                <w:lang w:val="en-GB" w:eastAsia="en-GB"/>
              </w:rPr>
              <w:t xml:space="preserve">olicy and enforcement will continue to be funded separately through </w:t>
            </w:r>
          </w:p>
          <w:p w:rsidR="00DB64C8" w:rsidRDefault="00DC7D18" w:rsidP="00AE0AC4">
            <w:pPr>
              <w:spacing w:line="280" w:lineRule="atLeast"/>
              <w:ind w:left="720" w:right="170" w:hanging="720"/>
              <w:rPr>
                <w:rFonts w:eastAsia="Times New Roman" w:cs="Arial"/>
                <w:sz w:val="22"/>
                <w:szCs w:val="20"/>
                <w:lang w:val="en-GB" w:eastAsia="en-GB"/>
              </w:rPr>
            </w:pPr>
            <w:r w:rsidRPr="002767C8">
              <w:rPr>
                <w:rFonts w:eastAsia="Times New Roman" w:cs="Arial"/>
                <w:sz w:val="22"/>
                <w:szCs w:val="20"/>
                <w:lang w:val="en-GB" w:eastAsia="en-GB"/>
              </w:rPr>
              <w:t xml:space="preserve">Vote Health.  </w:t>
            </w:r>
            <w:r w:rsidR="00AE0AC4">
              <w:rPr>
                <w:rFonts w:eastAsia="Times New Roman" w:cs="Arial"/>
                <w:sz w:val="22"/>
                <w:szCs w:val="20"/>
                <w:lang w:val="en-GB" w:eastAsia="en-GB"/>
              </w:rPr>
              <w:t xml:space="preserve">The total annual costings assume that costs are the same for both current </w:t>
            </w:r>
          </w:p>
          <w:p w:rsidR="00DB64C8" w:rsidRDefault="00AE0AC4" w:rsidP="00AE0AC4">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and expected future costs. This is taking account of the new source licences and fees on </w:t>
            </w:r>
          </w:p>
          <w:p w:rsidR="00DB64C8" w:rsidRDefault="00AE0AC4" w:rsidP="00AE0AC4">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the one hand, and the reduction in</w:t>
            </w:r>
            <w:r w:rsidR="006E619F">
              <w:rPr>
                <w:rFonts w:eastAsia="Times New Roman" w:cs="Arial"/>
                <w:sz w:val="22"/>
                <w:szCs w:val="20"/>
                <w:lang w:val="en-GB" w:eastAsia="en-GB"/>
              </w:rPr>
              <w:t xml:space="preserve"> use licences resulting from exceptions</w:t>
            </w:r>
            <w:r>
              <w:rPr>
                <w:rFonts w:eastAsia="Times New Roman" w:cs="Arial"/>
                <w:sz w:val="22"/>
                <w:szCs w:val="20"/>
                <w:lang w:val="en-GB" w:eastAsia="en-GB"/>
              </w:rPr>
              <w:t xml:space="preserve"> on the other.  </w:t>
            </w:r>
          </w:p>
          <w:p w:rsidR="00DB64C8" w:rsidRDefault="00AE0AC4" w:rsidP="00AE0AC4">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The fees and assumptions will be reviewed </w:t>
            </w:r>
            <w:r w:rsidR="00CC4A8F">
              <w:rPr>
                <w:rFonts w:eastAsia="Times New Roman" w:cs="Arial"/>
                <w:sz w:val="22"/>
                <w:szCs w:val="20"/>
                <w:lang w:val="en-GB" w:eastAsia="en-GB"/>
              </w:rPr>
              <w:t>before the end of the proposed</w:t>
            </w:r>
            <w:r>
              <w:rPr>
                <w:rFonts w:eastAsia="Times New Roman" w:cs="Arial"/>
                <w:sz w:val="22"/>
                <w:szCs w:val="20"/>
                <w:lang w:val="en-GB" w:eastAsia="en-GB"/>
              </w:rPr>
              <w:t xml:space="preserve"> six year </w:t>
            </w:r>
          </w:p>
          <w:p w:rsidR="00AE0AC4" w:rsidRDefault="00CC4A8F" w:rsidP="00AE0AC4">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‘interim’ </w:t>
            </w:r>
            <w:r w:rsidR="00AE0AC4">
              <w:rPr>
                <w:rFonts w:eastAsia="Times New Roman" w:cs="Arial"/>
                <w:sz w:val="22"/>
                <w:szCs w:val="20"/>
                <w:lang w:val="en-GB" w:eastAsia="en-GB"/>
              </w:rPr>
              <w:t>period.</w:t>
            </w:r>
          </w:p>
          <w:p w:rsidR="00AE0AC4" w:rsidRDefault="00AE0AC4" w:rsidP="002767C8">
            <w:pPr>
              <w:spacing w:line="280" w:lineRule="atLeast"/>
              <w:ind w:left="720" w:right="170" w:hanging="720"/>
              <w:rPr>
                <w:rFonts w:eastAsia="Times New Roman" w:cs="Arial"/>
                <w:sz w:val="22"/>
                <w:szCs w:val="20"/>
                <w:lang w:val="en-GB" w:eastAsia="en-GB"/>
              </w:rPr>
            </w:pPr>
          </w:p>
          <w:p w:rsidR="00DB64C8" w:rsidRDefault="006E619F"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The c</w:t>
            </w:r>
            <w:r w:rsidR="00AE0AC4">
              <w:rPr>
                <w:rFonts w:eastAsia="Times New Roman" w:cs="Arial"/>
                <w:sz w:val="22"/>
                <w:szCs w:val="20"/>
                <w:lang w:val="en-GB" w:eastAsia="en-GB"/>
              </w:rPr>
              <w:t xml:space="preserve">onsultation with stakeholders, informing the proposed Regulations on fees and </w:t>
            </w:r>
          </w:p>
          <w:p w:rsidR="00AE0AC4" w:rsidRDefault="00AE0AC4"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cost recovery, complies with the Act’s requirement that it be with stakeholders who are </w:t>
            </w:r>
          </w:p>
          <w:p w:rsidR="00DB64C8" w:rsidRDefault="00AE0AC4"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 xml:space="preserve">representative of the interests of those likely to be substantially affected by the exercise </w:t>
            </w:r>
          </w:p>
          <w:p w:rsidR="00AE0AC4" w:rsidRDefault="00AE0AC4" w:rsidP="002767C8">
            <w:pPr>
              <w:spacing w:line="280" w:lineRule="atLeast"/>
              <w:ind w:left="720" w:right="170" w:hanging="720"/>
              <w:rPr>
                <w:rFonts w:eastAsia="Times New Roman" w:cs="Arial"/>
                <w:sz w:val="22"/>
                <w:szCs w:val="20"/>
                <w:lang w:val="en-GB" w:eastAsia="en-GB"/>
              </w:rPr>
            </w:pPr>
            <w:r>
              <w:rPr>
                <w:rFonts w:eastAsia="Times New Roman" w:cs="Arial"/>
                <w:sz w:val="22"/>
                <w:szCs w:val="20"/>
                <w:lang w:val="en-GB" w:eastAsia="en-GB"/>
              </w:rPr>
              <w:t>of the powers before costs can be recovered.</w:t>
            </w:r>
          </w:p>
          <w:p w:rsidR="002767C8" w:rsidRDefault="002767C8" w:rsidP="002767C8">
            <w:pPr>
              <w:spacing w:line="280" w:lineRule="atLeast"/>
              <w:ind w:left="720" w:right="170" w:hanging="720"/>
              <w:rPr>
                <w:rFonts w:eastAsia="Times New Roman" w:cs="Arial"/>
                <w:sz w:val="22"/>
                <w:szCs w:val="20"/>
                <w:highlight w:val="yellow"/>
                <w:lang w:val="en-GB" w:eastAsia="en-GB"/>
              </w:rPr>
            </w:pPr>
          </w:p>
          <w:p w:rsidR="00DC7D18" w:rsidRDefault="00DC7D18">
            <w:pPr>
              <w:spacing w:after="180" w:line="280" w:lineRule="atLeast"/>
              <w:ind w:right="170"/>
              <w:jc w:val="both"/>
              <w:rPr>
                <w:rFonts w:eastAsia="Times New Roman" w:cs="Arial"/>
                <w:sz w:val="22"/>
                <w:szCs w:val="20"/>
              </w:rPr>
            </w:pPr>
            <w:r>
              <w:rPr>
                <w:rFonts w:eastAsia="Times New Roman" w:cs="Arial"/>
                <w:sz w:val="22"/>
                <w:szCs w:val="20"/>
              </w:rPr>
              <w:tab/>
            </w:r>
            <w:r>
              <w:rPr>
                <w:rFonts w:eastAsia="Times New Roman" w:cs="Arial"/>
                <w:sz w:val="22"/>
                <w:szCs w:val="20"/>
              </w:rPr>
              <w:tab/>
            </w:r>
            <w:r>
              <w:rPr>
                <w:rFonts w:eastAsia="Times New Roman" w:cs="Arial"/>
                <w:sz w:val="22"/>
                <w:szCs w:val="20"/>
              </w:rPr>
              <w:tab/>
            </w:r>
            <w:r>
              <w:rPr>
                <w:rFonts w:eastAsia="Times New Roman" w:cs="Arial"/>
                <w:sz w:val="22"/>
                <w:szCs w:val="20"/>
              </w:rPr>
              <w:tab/>
            </w:r>
            <w:r>
              <w:rPr>
                <w:rFonts w:eastAsia="Times New Roman" w:cs="Arial"/>
                <w:sz w:val="22"/>
                <w:szCs w:val="20"/>
              </w:rPr>
              <w:tab/>
            </w:r>
            <w:r>
              <w:rPr>
                <w:rFonts w:eastAsia="Times New Roman" w:cs="Arial"/>
                <w:sz w:val="22"/>
                <w:szCs w:val="20"/>
              </w:rPr>
              <w:tab/>
            </w:r>
          </w:p>
          <w:p w:rsidR="00DC7D18" w:rsidRDefault="00CC4A8F">
            <w:pPr>
              <w:spacing w:line="280" w:lineRule="atLeast"/>
              <w:ind w:right="170"/>
              <w:jc w:val="both"/>
              <w:rPr>
                <w:rFonts w:eastAsia="Times New Roman" w:cs="Arial"/>
                <w:sz w:val="22"/>
                <w:szCs w:val="20"/>
              </w:rPr>
            </w:pPr>
            <w:r>
              <w:rPr>
                <w:rFonts w:eastAsia="Times New Roman" w:cs="Arial"/>
                <w:sz w:val="22"/>
                <w:szCs w:val="20"/>
              </w:rPr>
              <w:t xml:space="preserve">Dr </w:t>
            </w:r>
            <w:r w:rsidR="00DC7D18">
              <w:rPr>
                <w:rFonts w:eastAsia="Times New Roman" w:cs="Arial"/>
                <w:sz w:val="22"/>
                <w:szCs w:val="20"/>
              </w:rPr>
              <w:t>Stewart Jessamine</w:t>
            </w:r>
            <w:r w:rsidR="00325405">
              <w:rPr>
                <w:rFonts w:eastAsia="Times New Roman" w:cs="Arial"/>
                <w:sz w:val="22"/>
                <w:szCs w:val="20"/>
              </w:rPr>
              <w:t xml:space="preserve">                                                                        1 August 2016</w:t>
            </w:r>
          </w:p>
          <w:p w:rsidR="00DC7D18" w:rsidRDefault="004B6A40">
            <w:pPr>
              <w:spacing w:line="280" w:lineRule="atLeast"/>
              <w:ind w:right="170"/>
              <w:jc w:val="both"/>
              <w:rPr>
                <w:rFonts w:eastAsia="Times New Roman" w:cs="Arial"/>
                <w:sz w:val="22"/>
                <w:szCs w:val="20"/>
              </w:rPr>
            </w:pPr>
            <w:r>
              <w:rPr>
                <w:rFonts w:eastAsia="Times New Roman" w:cs="Arial"/>
                <w:sz w:val="22"/>
                <w:szCs w:val="20"/>
              </w:rPr>
              <w:t xml:space="preserve">Director, </w:t>
            </w:r>
            <w:r w:rsidR="00DC7D18">
              <w:rPr>
                <w:rFonts w:eastAsia="Times New Roman" w:cs="Arial"/>
                <w:sz w:val="22"/>
                <w:szCs w:val="20"/>
              </w:rPr>
              <w:t>Protection, Regulation and Assurance Business Unit</w:t>
            </w:r>
          </w:p>
          <w:p w:rsidR="00DC7D18" w:rsidRDefault="00DC7D18">
            <w:pPr>
              <w:spacing w:line="280" w:lineRule="atLeast"/>
              <w:ind w:right="170"/>
              <w:jc w:val="both"/>
              <w:rPr>
                <w:rFonts w:eastAsia="Times New Roman" w:cs="Times New Roman"/>
                <w:sz w:val="22"/>
                <w:szCs w:val="20"/>
                <w:lang w:val="en-GB" w:eastAsia="en-GB"/>
              </w:rPr>
            </w:pPr>
            <w:r>
              <w:rPr>
                <w:rFonts w:eastAsia="Times New Roman" w:cs="Arial"/>
                <w:sz w:val="22"/>
                <w:szCs w:val="20"/>
              </w:rPr>
              <w:t>Ministry of Health</w:t>
            </w:r>
          </w:p>
        </w:tc>
      </w:tr>
    </w:tbl>
    <w:p w:rsidR="00DC7D18" w:rsidRDefault="00DC7D18" w:rsidP="00DC7D18">
      <w:pPr>
        <w:keepNext/>
        <w:tabs>
          <w:tab w:val="left" w:pos="567"/>
        </w:tabs>
        <w:spacing w:before="240" w:after="180" w:line="240" w:lineRule="auto"/>
        <w:outlineLvl w:val="1"/>
        <w:rPr>
          <w:rFonts w:eastAsia="Times New Roman" w:cs="Times New Roman"/>
          <w:b/>
          <w:color w:val="335087"/>
          <w:spacing w:val="20"/>
          <w:w w:val="90"/>
          <w:sz w:val="32"/>
          <w:szCs w:val="24"/>
          <w:lang w:val="en-GB" w:eastAsia="en-GB"/>
        </w:rPr>
      </w:pPr>
      <w:bookmarkStart w:id="24" w:name="_Toc363047102"/>
      <w:bookmarkStart w:id="25" w:name="_Toc362940594"/>
      <w:bookmarkStart w:id="26" w:name="_Toc362619030"/>
      <w:bookmarkStart w:id="27" w:name="_Toc362589330"/>
      <w:bookmarkStart w:id="28" w:name="_Toc362434944"/>
      <w:bookmarkStart w:id="29" w:name="_Toc362368103"/>
      <w:r>
        <w:rPr>
          <w:rFonts w:eastAsia="Times New Roman" w:cs="Times New Roman"/>
          <w:b/>
          <w:color w:val="335087"/>
          <w:spacing w:val="20"/>
          <w:w w:val="90"/>
          <w:sz w:val="32"/>
          <w:szCs w:val="24"/>
          <w:lang w:val="en-GB" w:eastAsia="en-GB"/>
        </w:rPr>
        <w:t>Executive summary</w:t>
      </w:r>
      <w:bookmarkEnd w:id="24"/>
      <w:bookmarkEnd w:id="25"/>
      <w:bookmarkEnd w:id="26"/>
      <w:bookmarkEnd w:id="27"/>
      <w:bookmarkEnd w:id="28"/>
      <w:bookmarkEnd w:id="29"/>
    </w:p>
    <w:p w:rsidR="006E619F" w:rsidRPr="000B6227" w:rsidRDefault="006E619F" w:rsidP="006E619F">
      <w:pPr>
        <w:keepNext/>
        <w:numPr>
          <w:ilvl w:val="0"/>
          <w:numId w:val="1"/>
        </w:numPr>
        <w:tabs>
          <w:tab w:val="left" w:pos="567"/>
        </w:tabs>
        <w:spacing w:before="240" w:after="180" w:line="240" w:lineRule="auto"/>
        <w:outlineLvl w:val="1"/>
        <w:rPr>
          <w:rFonts w:eastAsia="Times New Roman" w:cs="Arial"/>
          <w:spacing w:val="20"/>
          <w:w w:val="90"/>
          <w:sz w:val="22"/>
          <w:lang w:val="en-GB" w:eastAsia="en-GB"/>
        </w:rPr>
      </w:pPr>
      <w:bookmarkStart w:id="30" w:name="_Toc363047103"/>
      <w:bookmarkStart w:id="31" w:name="_Toc362940595"/>
      <w:bookmarkStart w:id="32" w:name="_Toc362619031"/>
      <w:bookmarkStart w:id="33" w:name="_Toc362589331"/>
      <w:bookmarkStart w:id="34" w:name="_Toc362434945"/>
      <w:bookmarkStart w:id="35" w:name="_Toc362368104"/>
      <w:r w:rsidRPr="006E619F">
        <w:rPr>
          <w:rFonts w:eastAsia="Times New Roman" w:cs="Arial"/>
          <w:sz w:val="22"/>
          <w:lang w:val="en-GB" w:eastAsia="en-GB"/>
        </w:rPr>
        <w:t>The Director for Radiation Safety (the Director) will be the Regulator responsible for implementing the Radiation Safety Regulations (the Regulations).  The Director must be an employee of the Ministry of Health.</w:t>
      </w:r>
    </w:p>
    <w:p w:rsidR="000B6227" w:rsidRPr="006E619F" w:rsidRDefault="000B6227" w:rsidP="006E619F">
      <w:pPr>
        <w:keepNext/>
        <w:numPr>
          <w:ilvl w:val="0"/>
          <w:numId w:val="1"/>
        </w:numPr>
        <w:tabs>
          <w:tab w:val="left" w:pos="567"/>
        </w:tabs>
        <w:spacing w:before="240" w:after="180" w:line="240" w:lineRule="auto"/>
        <w:outlineLvl w:val="1"/>
        <w:rPr>
          <w:rFonts w:eastAsia="Times New Roman" w:cs="Arial"/>
          <w:spacing w:val="20"/>
          <w:w w:val="90"/>
          <w:sz w:val="22"/>
          <w:lang w:val="en-GB" w:eastAsia="en-GB"/>
        </w:rPr>
      </w:pPr>
      <w:r>
        <w:rPr>
          <w:rFonts w:eastAsia="Times New Roman" w:cs="Arial"/>
          <w:sz w:val="22"/>
          <w:lang w:val="en-GB" w:eastAsia="en-GB"/>
        </w:rPr>
        <w:t xml:space="preserve">The issues and options analysed in the Regulatory Impact Statement traverse the degree of technical detail, rigor, certainty and flexibility, and proportionality necessary for the proposed Regulations.  This is as well as aiming to satisfy the statutory principles (in section 92 of the Act, in the context of cost recovery).  These are equity, efficiency, justifiability, transparency and ease of administration. </w:t>
      </w:r>
    </w:p>
    <w:p w:rsidR="006E619F" w:rsidRPr="006E619F" w:rsidRDefault="006E619F" w:rsidP="006E619F">
      <w:pPr>
        <w:pStyle w:val="ListParagraph"/>
        <w:numPr>
          <w:ilvl w:val="0"/>
          <w:numId w:val="1"/>
        </w:numPr>
        <w:spacing w:after="240" w:line="280" w:lineRule="atLeast"/>
        <w:rPr>
          <w:rFonts w:eastAsia="Times New Roman" w:cs="Arial"/>
          <w:sz w:val="22"/>
          <w:lang w:val="en-GB" w:eastAsia="en-GB"/>
        </w:rPr>
      </w:pPr>
      <w:r w:rsidRPr="006E619F">
        <w:rPr>
          <w:rFonts w:eastAsia="Times New Roman" w:cs="Arial"/>
          <w:sz w:val="22"/>
          <w:lang w:val="en-GB" w:eastAsia="en-GB"/>
        </w:rPr>
        <w:t>The Regulations would:</w:t>
      </w:r>
    </w:p>
    <w:p w:rsidR="00464AD3" w:rsidRPr="004B6A40" w:rsidRDefault="00336D89" w:rsidP="00464AD3">
      <w:pPr>
        <w:numPr>
          <w:ilvl w:val="0"/>
          <w:numId w:val="2"/>
        </w:numPr>
        <w:spacing w:after="240" w:line="280" w:lineRule="atLeast"/>
        <w:contextualSpacing/>
        <w:rPr>
          <w:rFonts w:eastAsia="Times New Roman" w:cs="Arial"/>
          <w:sz w:val="22"/>
          <w:lang w:val="en-GB" w:eastAsia="en-GB"/>
        </w:rPr>
      </w:pPr>
      <w:r w:rsidRPr="004B6A40">
        <w:rPr>
          <w:rFonts w:eastAsia="Times New Roman" w:cs="Arial"/>
          <w:sz w:val="22"/>
          <w:lang w:val="en-AU"/>
        </w:rPr>
        <w:t>prescribe</w:t>
      </w:r>
      <w:r w:rsidR="00DC7D18" w:rsidRPr="004B6A40">
        <w:rPr>
          <w:rFonts w:eastAsia="Times New Roman" w:cs="Arial"/>
          <w:sz w:val="22"/>
          <w:lang w:val="en-AU"/>
        </w:rPr>
        <w:t xml:space="preserve"> </w:t>
      </w:r>
      <w:r w:rsidR="00464AD3" w:rsidRPr="004B6A40">
        <w:rPr>
          <w:rFonts w:eastAsia="Times New Roman" w:cs="Arial"/>
          <w:sz w:val="22"/>
          <w:lang w:val="en-AU"/>
        </w:rPr>
        <w:t xml:space="preserve">the </w:t>
      </w:r>
      <w:r w:rsidR="00DC7D18" w:rsidRPr="004B6A40">
        <w:rPr>
          <w:rFonts w:eastAsia="Times New Roman" w:cs="Arial"/>
          <w:sz w:val="22"/>
          <w:lang w:val="en-AU"/>
        </w:rPr>
        <w:t xml:space="preserve">maximum </w:t>
      </w:r>
      <w:r w:rsidRPr="004B6A40">
        <w:rPr>
          <w:rFonts w:eastAsia="Times New Roman" w:cs="Arial"/>
          <w:sz w:val="22"/>
          <w:lang w:val="en-AU"/>
        </w:rPr>
        <w:t xml:space="preserve">duration of source licences and </w:t>
      </w:r>
      <w:r w:rsidR="00DC7D18" w:rsidRPr="004B6A40">
        <w:rPr>
          <w:rFonts w:eastAsia="Times New Roman" w:cs="Arial"/>
          <w:sz w:val="22"/>
          <w:lang w:val="en-AU"/>
        </w:rPr>
        <w:t xml:space="preserve">use </w:t>
      </w:r>
      <w:r w:rsidR="00464AD3" w:rsidRPr="004B6A40">
        <w:rPr>
          <w:rFonts w:eastAsia="Times New Roman" w:cs="Arial"/>
          <w:sz w:val="22"/>
          <w:lang w:val="en-AU"/>
        </w:rPr>
        <w:t xml:space="preserve">licences </w:t>
      </w:r>
      <w:r w:rsidRPr="004B6A40">
        <w:rPr>
          <w:rFonts w:eastAsia="Times New Roman" w:cs="Arial"/>
          <w:sz w:val="22"/>
          <w:lang w:val="en-AU"/>
        </w:rPr>
        <w:t xml:space="preserve">to be three years </w:t>
      </w:r>
      <w:r w:rsidR="00DC7D18" w:rsidRPr="004B6A40">
        <w:rPr>
          <w:rFonts w:eastAsia="Times New Roman" w:cs="Arial"/>
          <w:sz w:val="22"/>
          <w:lang w:val="en-AU"/>
        </w:rPr>
        <w:t>and consent</w:t>
      </w:r>
      <w:r w:rsidR="00464AD3" w:rsidRPr="004B6A40">
        <w:rPr>
          <w:rFonts w:eastAsia="Times New Roman" w:cs="Arial"/>
          <w:sz w:val="22"/>
          <w:lang w:val="en-AU"/>
        </w:rPr>
        <w:t>s</w:t>
      </w:r>
      <w:r w:rsidRPr="004B6A40">
        <w:rPr>
          <w:rFonts w:eastAsia="Times New Roman" w:cs="Arial"/>
          <w:sz w:val="22"/>
          <w:lang w:val="en-AU"/>
        </w:rPr>
        <w:t xml:space="preserve"> (to import/export radioactive material</w:t>
      </w:r>
      <w:r w:rsidR="00464AD3" w:rsidRPr="004B6A40">
        <w:rPr>
          <w:rFonts w:eastAsia="Times New Roman" w:cs="Arial"/>
          <w:sz w:val="22"/>
          <w:lang w:val="en-AU"/>
        </w:rPr>
        <w:t>)</w:t>
      </w:r>
      <w:r w:rsidRPr="004B6A40">
        <w:rPr>
          <w:rFonts w:eastAsia="Times New Roman" w:cs="Arial"/>
          <w:sz w:val="22"/>
          <w:lang w:val="en-AU"/>
        </w:rPr>
        <w:t xml:space="preserve"> to be one year</w:t>
      </w:r>
      <w:r w:rsidR="00DC7D18" w:rsidRPr="004B6A40">
        <w:rPr>
          <w:rFonts w:eastAsia="Times New Roman" w:cs="Arial"/>
          <w:sz w:val="22"/>
          <w:lang w:val="en-AU"/>
        </w:rPr>
        <w:t>;</w:t>
      </w:r>
      <w:r w:rsidR="00464AD3" w:rsidRPr="004B6A40">
        <w:rPr>
          <w:rFonts w:eastAsia="Times New Roman" w:cs="Arial"/>
          <w:sz w:val="22"/>
          <w:lang w:val="en-GB" w:eastAsia="en-GB"/>
        </w:rPr>
        <w:t xml:space="preserve"> </w:t>
      </w:r>
    </w:p>
    <w:p w:rsidR="00DC7D18" w:rsidRDefault="00DC7D18" w:rsidP="00336D89">
      <w:pPr>
        <w:spacing w:after="0" w:line="280" w:lineRule="atLeast"/>
        <w:contextualSpacing/>
        <w:rPr>
          <w:rFonts w:eastAsia="Times New Roman" w:cs="Arial"/>
          <w:sz w:val="22"/>
          <w:lang w:val="en-GB" w:eastAsia="en-GB"/>
        </w:rPr>
      </w:pPr>
    </w:p>
    <w:p w:rsidR="00DC7D18" w:rsidRDefault="00336D89" w:rsidP="00DC7D18">
      <w:pPr>
        <w:numPr>
          <w:ilvl w:val="0"/>
          <w:numId w:val="2"/>
        </w:numPr>
        <w:spacing w:after="0" w:line="280" w:lineRule="atLeast"/>
        <w:contextualSpacing/>
        <w:rPr>
          <w:rFonts w:eastAsia="Times New Roman" w:cs="Arial"/>
          <w:sz w:val="22"/>
          <w:lang w:val="en-GB" w:eastAsia="en-GB"/>
        </w:rPr>
      </w:pPr>
      <w:r>
        <w:rPr>
          <w:rFonts w:eastAsia="Times New Roman" w:cs="Arial"/>
          <w:sz w:val="22"/>
          <w:lang w:val="en-GB" w:eastAsia="en-GB"/>
        </w:rPr>
        <w:t xml:space="preserve">authorise </w:t>
      </w:r>
      <w:r w:rsidR="00BB0E47">
        <w:rPr>
          <w:rFonts w:eastAsia="Times New Roman" w:cs="Arial"/>
          <w:sz w:val="22"/>
          <w:lang w:val="en-GB" w:eastAsia="en-GB"/>
        </w:rPr>
        <w:t xml:space="preserve">some </w:t>
      </w:r>
      <w:r>
        <w:rPr>
          <w:rFonts w:eastAsia="Times New Roman" w:cs="Arial"/>
          <w:sz w:val="22"/>
          <w:lang w:val="en-GB" w:eastAsia="en-GB"/>
        </w:rPr>
        <w:t>groups to perform prescribed activities without the requirement to obtain a use licence (listed in Table 1)</w:t>
      </w:r>
      <w:r w:rsidR="00DC7D18">
        <w:rPr>
          <w:rFonts w:eastAsia="Times New Roman" w:cs="Arial"/>
          <w:sz w:val="22"/>
          <w:lang w:val="en-GB" w:eastAsia="en-GB"/>
        </w:rPr>
        <w:t>;</w:t>
      </w:r>
    </w:p>
    <w:p w:rsidR="00DC7D18" w:rsidRDefault="00DC7D18" w:rsidP="00DC7D18">
      <w:pPr>
        <w:spacing w:after="0" w:line="280" w:lineRule="atLeast"/>
        <w:ind w:left="720"/>
        <w:contextualSpacing/>
        <w:rPr>
          <w:rFonts w:eastAsia="Times New Roman" w:cs="Arial"/>
          <w:sz w:val="22"/>
          <w:lang w:val="en-GB" w:eastAsia="en-GB"/>
        </w:rPr>
      </w:pPr>
    </w:p>
    <w:p w:rsidR="00DC7D18" w:rsidRDefault="00DC7D18" w:rsidP="00DC7D18">
      <w:pPr>
        <w:numPr>
          <w:ilvl w:val="0"/>
          <w:numId w:val="2"/>
        </w:numPr>
        <w:spacing w:after="0" w:line="280" w:lineRule="atLeast"/>
        <w:contextualSpacing/>
        <w:rPr>
          <w:rFonts w:eastAsia="Times New Roman" w:cs="Times New Roman"/>
          <w:sz w:val="22"/>
          <w:lang w:val="en-GB" w:eastAsia="en-GB"/>
        </w:rPr>
      </w:pPr>
      <w:r>
        <w:rPr>
          <w:rFonts w:eastAsia="Times New Roman" w:cs="Times New Roman"/>
          <w:sz w:val="22"/>
          <w:lang w:val="en-GB" w:eastAsia="en-GB"/>
        </w:rPr>
        <w:t xml:space="preserve">provide </w:t>
      </w:r>
      <w:r w:rsidR="004B6A40">
        <w:rPr>
          <w:rFonts w:eastAsia="Times New Roman" w:cs="Times New Roman"/>
          <w:sz w:val="22"/>
          <w:lang w:val="en-GB" w:eastAsia="en-GB"/>
        </w:rPr>
        <w:t xml:space="preserve">an </w:t>
      </w:r>
      <w:r w:rsidR="00336D89">
        <w:rPr>
          <w:rFonts w:eastAsia="Times New Roman" w:cs="Times New Roman"/>
          <w:sz w:val="22"/>
          <w:lang w:val="en-GB" w:eastAsia="en-GB"/>
        </w:rPr>
        <w:t>exemption from</w:t>
      </w:r>
      <w:r>
        <w:rPr>
          <w:rFonts w:eastAsia="Times New Roman" w:cs="Times New Roman"/>
          <w:sz w:val="22"/>
          <w:lang w:val="en-GB" w:eastAsia="en-GB"/>
        </w:rPr>
        <w:t xml:space="preserve"> the registration and authorisation</w:t>
      </w:r>
      <w:r w:rsidR="00BB0E47">
        <w:rPr>
          <w:rStyle w:val="FootnoteReference"/>
          <w:rFonts w:eastAsia="Times New Roman" w:cs="Times New Roman"/>
          <w:sz w:val="22"/>
          <w:lang w:val="en-GB" w:eastAsia="en-GB"/>
        </w:rPr>
        <w:footnoteReference w:id="1"/>
      </w:r>
      <w:r>
        <w:rPr>
          <w:rFonts w:eastAsia="Times New Roman" w:cs="Times New Roman"/>
          <w:sz w:val="22"/>
          <w:lang w:val="en-GB" w:eastAsia="en-GB"/>
        </w:rPr>
        <w:t xml:space="preserve"> requirements for radiation sources </w:t>
      </w:r>
      <w:r w:rsidR="00336D89">
        <w:rPr>
          <w:rFonts w:eastAsia="Times New Roman" w:cs="Times New Roman"/>
          <w:sz w:val="22"/>
          <w:lang w:val="en-GB" w:eastAsia="en-GB"/>
        </w:rPr>
        <w:t xml:space="preserve">that temporarily enter New Zealand </w:t>
      </w:r>
      <w:r>
        <w:rPr>
          <w:rFonts w:eastAsia="Times New Roman" w:cs="Times New Roman"/>
          <w:sz w:val="22"/>
          <w:lang w:val="en-GB" w:eastAsia="en-GB"/>
        </w:rPr>
        <w:t xml:space="preserve">on </w:t>
      </w:r>
      <w:r w:rsidR="00336D89">
        <w:rPr>
          <w:rFonts w:eastAsia="Times New Roman" w:cs="Times New Roman"/>
          <w:sz w:val="22"/>
          <w:lang w:val="en-GB" w:eastAsia="en-GB"/>
        </w:rPr>
        <w:t>ships or aircraft</w:t>
      </w:r>
      <w:r>
        <w:rPr>
          <w:rFonts w:eastAsia="Times New Roman" w:cs="Times New Roman"/>
          <w:sz w:val="22"/>
          <w:lang w:val="en-GB" w:eastAsia="en-GB"/>
        </w:rPr>
        <w:t xml:space="preserve">;  </w:t>
      </w:r>
    </w:p>
    <w:p w:rsidR="00DC7D18" w:rsidRDefault="00DC7D18" w:rsidP="00DC7D18">
      <w:pPr>
        <w:spacing w:after="0" w:line="280" w:lineRule="atLeast"/>
        <w:ind w:left="720"/>
        <w:contextualSpacing/>
        <w:rPr>
          <w:rFonts w:eastAsia="Times New Roman" w:cs="Times New Roman"/>
          <w:sz w:val="22"/>
          <w:lang w:val="en-GB" w:eastAsia="en-GB"/>
        </w:rPr>
      </w:pPr>
    </w:p>
    <w:p w:rsidR="00DC7D18" w:rsidRDefault="00336D89" w:rsidP="00DC7D18">
      <w:pPr>
        <w:numPr>
          <w:ilvl w:val="0"/>
          <w:numId w:val="2"/>
        </w:numPr>
        <w:spacing w:after="0" w:line="280" w:lineRule="atLeast"/>
        <w:contextualSpacing/>
        <w:rPr>
          <w:rFonts w:eastAsia="Times New Roman" w:cs="Times New Roman"/>
          <w:sz w:val="22"/>
          <w:lang w:val="en-GB" w:eastAsia="en-GB"/>
        </w:rPr>
      </w:pPr>
      <w:r>
        <w:rPr>
          <w:rFonts w:eastAsia="Times New Roman" w:cs="Times New Roman"/>
          <w:sz w:val="22"/>
          <w:lang w:val="en-GB" w:eastAsia="en-GB"/>
        </w:rPr>
        <w:t xml:space="preserve">provide conditional </w:t>
      </w:r>
      <w:r w:rsidR="00DC7D18">
        <w:rPr>
          <w:rFonts w:eastAsia="Times New Roman" w:cs="Times New Roman"/>
          <w:sz w:val="22"/>
          <w:lang w:val="en-GB" w:eastAsia="en-GB"/>
        </w:rPr>
        <w:t>exempt</w:t>
      </w:r>
      <w:r>
        <w:rPr>
          <w:rFonts w:eastAsia="Times New Roman" w:cs="Times New Roman"/>
          <w:sz w:val="22"/>
          <w:lang w:val="en-GB" w:eastAsia="en-GB"/>
        </w:rPr>
        <w:t xml:space="preserve">ions </w:t>
      </w:r>
      <w:r w:rsidR="00DC7D18">
        <w:rPr>
          <w:rFonts w:eastAsia="Times New Roman" w:cs="Times New Roman"/>
          <w:sz w:val="22"/>
          <w:lang w:val="en-GB" w:eastAsia="en-GB"/>
        </w:rPr>
        <w:t xml:space="preserve">from the authorisation and registration requirements </w:t>
      </w:r>
      <w:r>
        <w:rPr>
          <w:rFonts w:eastAsia="Times New Roman" w:cs="Times New Roman"/>
          <w:sz w:val="22"/>
          <w:lang w:val="en-GB" w:eastAsia="en-GB"/>
        </w:rPr>
        <w:t>for low-exposure a</w:t>
      </w:r>
      <w:r w:rsidR="004B6A40">
        <w:rPr>
          <w:rFonts w:eastAsia="Times New Roman" w:cs="Times New Roman"/>
          <w:sz w:val="22"/>
          <w:lang w:val="en-GB" w:eastAsia="en-GB"/>
        </w:rPr>
        <w:t xml:space="preserve">nd low-probability scenarios, </w:t>
      </w:r>
      <w:r>
        <w:rPr>
          <w:rFonts w:eastAsia="Times New Roman" w:cs="Times New Roman"/>
          <w:sz w:val="22"/>
          <w:lang w:val="en-GB" w:eastAsia="en-GB"/>
        </w:rPr>
        <w:t>such as household smoke detectors (listed in Table 2)</w:t>
      </w:r>
      <w:r w:rsidR="00DC7D18">
        <w:rPr>
          <w:rFonts w:eastAsia="Times New Roman" w:cs="Times New Roman"/>
          <w:sz w:val="22"/>
          <w:lang w:val="en-GB" w:eastAsia="en-GB"/>
        </w:rPr>
        <w:t>;</w:t>
      </w:r>
    </w:p>
    <w:p w:rsidR="00DC7D18" w:rsidRDefault="00DC7D18" w:rsidP="00DC7D18">
      <w:pPr>
        <w:spacing w:after="0" w:line="280" w:lineRule="atLeast"/>
        <w:ind w:left="720"/>
        <w:contextualSpacing/>
        <w:rPr>
          <w:rFonts w:eastAsia="Times New Roman" w:cs="Times New Roman"/>
          <w:sz w:val="22"/>
          <w:lang w:val="en-GB" w:eastAsia="en-GB"/>
        </w:rPr>
      </w:pPr>
    </w:p>
    <w:p w:rsidR="00DC7D18" w:rsidRDefault="00DC7D18" w:rsidP="00DC7D18">
      <w:pPr>
        <w:numPr>
          <w:ilvl w:val="0"/>
          <w:numId w:val="2"/>
        </w:numPr>
        <w:spacing w:after="240" w:line="280" w:lineRule="atLeast"/>
        <w:contextualSpacing/>
        <w:rPr>
          <w:sz w:val="22"/>
          <w:lang w:val="en-GB" w:eastAsia="en-GB"/>
        </w:rPr>
      </w:pPr>
      <w:r>
        <w:rPr>
          <w:rFonts w:eastAsia="Times New Roman" w:cs="Times New Roman"/>
          <w:sz w:val="22"/>
          <w:lang w:val="en-GB" w:eastAsia="en-GB"/>
        </w:rPr>
        <w:t xml:space="preserve">specify </w:t>
      </w:r>
      <w:r w:rsidR="005D0FA8">
        <w:rPr>
          <w:rFonts w:eastAsia="Times New Roman" w:cs="Times New Roman"/>
          <w:sz w:val="22"/>
          <w:lang w:val="en-GB" w:eastAsia="en-GB"/>
        </w:rPr>
        <w:t>the form</w:t>
      </w:r>
      <w:r w:rsidR="004B6A40">
        <w:rPr>
          <w:rFonts w:eastAsia="Times New Roman" w:cs="Times New Roman"/>
          <w:sz w:val="22"/>
          <w:lang w:val="en-GB" w:eastAsia="en-GB"/>
        </w:rPr>
        <w:t xml:space="preserve"> of </w:t>
      </w:r>
      <w:r>
        <w:rPr>
          <w:rFonts w:eastAsia="Times New Roman" w:cs="Times New Roman"/>
          <w:sz w:val="22"/>
          <w:lang w:val="en-GB" w:eastAsia="en-GB"/>
        </w:rPr>
        <w:t xml:space="preserve">warrants appointing enforcement officers and the </w:t>
      </w:r>
      <w:r w:rsidR="004B6A40">
        <w:rPr>
          <w:rFonts w:eastAsia="Times New Roman" w:cs="Times New Roman"/>
          <w:sz w:val="22"/>
          <w:lang w:val="en-GB" w:eastAsia="en-GB"/>
        </w:rPr>
        <w:t xml:space="preserve">process </w:t>
      </w:r>
      <w:r>
        <w:rPr>
          <w:rFonts w:eastAsia="Times New Roman" w:cs="Times New Roman"/>
          <w:sz w:val="22"/>
          <w:lang w:val="en-GB" w:eastAsia="en-GB"/>
        </w:rPr>
        <w:t xml:space="preserve">for </w:t>
      </w:r>
      <w:r w:rsidR="005D0FA8">
        <w:rPr>
          <w:rFonts w:eastAsia="Times New Roman" w:cs="Times New Roman"/>
          <w:sz w:val="22"/>
          <w:lang w:val="en-GB" w:eastAsia="en-GB"/>
        </w:rPr>
        <w:t xml:space="preserve">serving compliance orders; </w:t>
      </w:r>
    </w:p>
    <w:p w:rsidR="000B3B47" w:rsidRPr="000B3B47" w:rsidRDefault="00DC7D18" w:rsidP="000B3B47">
      <w:pPr>
        <w:pStyle w:val="ListParagraph"/>
        <w:numPr>
          <w:ilvl w:val="0"/>
          <w:numId w:val="2"/>
        </w:numPr>
        <w:spacing w:after="240" w:line="280" w:lineRule="atLeast"/>
        <w:rPr>
          <w:sz w:val="22"/>
          <w:lang w:val="en-GB" w:eastAsia="en-GB"/>
        </w:rPr>
      </w:pPr>
      <w:r>
        <w:rPr>
          <w:rFonts w:eastAsia="Times New Roman" w:cs="Arial"/>
          <w:sz w:val="22"/>
          <w:lang w:val="en-GB" w:eastAsia="en-GB"/>
        </w:rPr>
        <w:t xml:space="preserve">authorise </w:t>
      </w:r>
      <w:r w:rsidR="005D0FA8">
        <w:rPr>
          <w:rFonts w:eastAsia="Times New Roman" w:cs="Arial"/>
          <w:sz w:val="22"/>
          <w:lang w:val="en-GB" w:eastAsia="en-GB"/>
        </w:rPr>
        <w:t xml:space="preserve">fees to </w:t>
      </w:r>
      <w:r>
        <w:rPr>
          <w:rFonts w:eastAsia="Times New Roman" w:cs="Arial"/>
          <w:sz w:val="22"/>
          <w:lang w:val="en-GB" w:eastAsia="en-GB"/>
        </w:rPr>
        <w:t>full</w:t>
      </w:r>
      <w:r w:rsidR="005D0FA8">
        <w:rPr>
          <w:rFonts w:eastAsia="Times New Roman" w:cs="Arial"/>
          <w:sz w:val="22"/>
          <w:lang w:val="en-GB" w:eastAsia="en-GB"/>
        </w:rPr>
        <w:t>y</w:t>
      </w:r>
      <w:r>
        <w:rPr>
          <w:rFonts w:eastAsia="Times New Roman" w:cs="Arial"/>
          <w:sz w:val="22"/>
          <w:lang w:val="en-GB" w:eastAsia="en-GB"/>
        </w:rPr>
        <w:t xml:space="preserve"> recover </w:t>
      </w:r>
      <w:r w:rsidR="005D0FA8">
        <w:rPr>
          <w:rFonts w:eastAsia="Times New Roman" w:cs="Arial"/>
          <w:sz w:val="22"/>
          <w:lang w:val="en-GB" w:eastAsia="en-GB"/>
        </w:rPr>
        <w:t xml:space="preserve">the cost of administering </w:t>
      </w:r>
      <w:r>
        <w:rPr>
          <w:rFonts w:eastAsia="Times New Roman" w:cs="Arial"/>
          <w:sz w:val="22"/>
          <w:lang w:val="en-GB" w:eastAsia="en-GB"/>
        </w:rPr>
        <w:t xml:space="preserve">authorisations and </w:t>
      </w:r>
      <w:r w:rsidR="005D0FA8">
        <w:rPr>
          <w:rFonts w:eastAsia="Times New Roman" w:cs="Arial"/>
          <w:sz w:val="22"/>
          <w:lang w:val="en-GB" w:eastAsia="en-GB"/>
        </w:rPr>
        <w:t>verify compliance with t</w:t>
      </w:r>
      <w:r w:rsidR="004B6A40">
        <w:rPr>
          <w:rFonts w:eastAsia="Times New Roman" w:cs="Arial"/>
          <w:sz w:val="22"/>
          <w:lang w:val="en-GB" w:eastAsia="en-GB"/>
        </w:rPr>
        <w:t>he radiation safety requirements;</w:t>
      </w:r>
    </w:p>
    <w:p w:rsidR="000B3B47" w:rsidRPr="000B3B47" w:rsidRDefault="000B3B47" w:rsidP="000B3B47">
      <w:pPr>
        <w:pStyle w:val="ListParagraph"/>
        <w:spacing w:after="240" w:line="280" w:lineRule="atLeast"/>
        <w:rPr>
          <w:sz w:val="22"/>
          <w:lang w:val="en-GB" w:eastAsia="en-GB"/>
        </w:rPr>
      </w:pPr>
    </w:p>
    <w:p w:rsidR="00DC7D18" w:rsidRPr="002D3C23" w:rsidRDefault="004B6A40" w:rsidP="002D3C23">
      <w:pPr>
        <w:pStyle w:val="ListParagraph"/>
        <w:numPr>
          <w:ilvl w:val="0"/>
          <w:numId w:val="2"/>
        </w:numPr>
        <w:spacing w:after="240" w:line="280" w:lineRule="atLeast"/>
        <w:rPr>
          <w:sz w:val="22"/>
          <w:lang w:val="en-GB" w:eastAsia="en-GB"/>
        </w:rPr>
      </w:pPr>
      <w:r w:rsidRPr="002D3C23">
        <w:rPr>
          <w:rFonts w:eastAsia="Times New Roman" w:cs="Arial"/>
          <w:sz w:val="22"/>
          <w:lang w:val="en-GB" w:eastAsia="en-GB"/>
        </w:rPr>
        <w:t xml:space="preserve">provide </w:t>
      </w:r>
      <w:r w:rsidR="00DC7D18" w:rsidRPr="002D3C23">
        <w:rPr>
          <w:rFonts w:eastAsia="Times New Roman" w:cs="Arial"/>
          <w:sz w:val="22"/>
          <w:lang w:val="en-GB" w:eastAsia="en-GB"/>
        </w:rPr>
        <w:t>that</w:t>
      </w:r>
      <w:r w:rsidRPr="002D3C23">
        <w:rPr>
          <w:rFonts w:eastAsia="Times New Roman" w:cs="Arial"/>
          <w:sz w:val="22"/>
          <w:lang w:val="en-GB" w:eastAsia="en-GB"/>
        </w:rPr>
        <w:t xml:space="preserve"> </w:t>
      </w:r>
      <w:r w:rsidR="00DC7D18" w:rsidRPr="002D3C23">
        <w:rPr>
          <w:rFonts w:eastAsia="Times New Roman" w:cs="Arial"/>
          <w:sz w:val="22"/>
          <w:lang w:val="en-GB" w:eastAsia="en-GB"/>
        </w:rPr>
        <w:t>a</w:t>
      </w:r>
      <w:r w:rsidR="00DC7D18" w:rsidRPr="002D3C23">
        <w:rPr>
          <w:sz w:val="22"/>
          <w:lang w:val="en-GB" w:eastAsia="en-GB"/>
        </w:rPr>
        <w:t xml:space="preserve"> </w:t>
      </w:r>
      <w:r w:rsidR="005D0FA8" w:rsidRPr="002D3C23">
        <w:rPr>
          <w:sz w:val="22"/>
          <w:lang w:val="en-GB" w:eastAsia="en-GB"/>
        </w:rPr>
        <w:t xml:space="preserve">13 percent </w:t>
      </w:r>
      <w:r w:rsidR="00DC7D18" w:rsidRPr="002D3C23">
        <w:rPr>
          <w:sz w:val="22"/>
          <w:lang w:val="en-GB" w:eastAsia="en-GB"/>
        </w:rPr>
        <w:t xml:space="preserve">partial exemption </w:t>
      </w:r>
      <w:r w:rsidR="005D0FA8" w:rsidRPr="002D3C23">
        <w:rPr>
          <w:sz w:val="22"/>
          <w:lang w:val="en-GB" w:eastAsia="en-GB"/>
        </w:rPr>
        <w:t xml:space="preserve">would be applied </w:t>
      </w:r>
      <w:r w:rsidR="00DC7D18" w:rsidRPr="002D3C23">
        <w:rPr>
          <w:sz w:val="22"/>
          <w:lang w:val="en-GB" w:eastAsia="en-GB"/>
        </w:rPr>
        <w:t>to source licence fee</w:t>
      </w:r>
      <w:r w:rsidR="005D0FA8" w:rsidRPr="002D3C23">
        <w:rPr>
          <w:sz w:val="22"/>
          <w:lang w:val="en-GB" w:eastAsia="en-GB"/>
        </w:rPr>
        <w:t>s for</w:t>
      </w:r>
      <w:r w:rsidR="002D3C23" w:rsidRPr="002D3C23">
        <w:rPr>
          <w:sz w:val="22"/>
          <w:lang w:val="en-GB" w:eastAsia="en-GB"/>
        </w:rPr>
        <w:t xml:space="preserve"> the first six years t</w:t>
      </w:r>
      <w:r w:rsidR="005D0FA8" w:rsidRPr="002D3C23">
        <w:rPr>
          <w:sz w:val="22"/>
          <w:lang w:val="en-GB" w:eastAsia="en-GB"/>
        </w:rPr>
        <w:t>o</w:t>
      </w:r>
      <w:r w:rsidR="002D3C23" w:rsidRPr="002D3C23">
        <w:rPr>
          <w:sz w:val="22"/>
          <w:lang w:val="en-GB" w:eastAsia="en-GB"/>
        </w:rPr>
        <w:t xml:space="preserve"> return a surplus from historical over collection to users</w:t>
      </w:r>
      <w:r w:rsidR="002D3C23">
        <w:rPr>
          <w:sz w:val="22"/>
          <w:lang w:val="en-GB" w:eastAsia="en-GB"/>
        </w:rPr>
        <w:t>.</w:t>
      </w:r>
    </w:p>
    <w:p w:rsidR="00DC7D18" w:rsidRDefault="00DC7D18" w:rsidP="005D0FA8">
      <w:pPr>
        <w:spacing w:after="240" w:line="280" w:lineRule="atLeast"/>
        <w:contextualSpacing/>
        <w:rPr>
          <w:rFonts w:eastAsia="Times New Roman" w:cs="Times New Roman"/>
          <w:sz w:val="22"/>
          <w:szCs w:val="20"/>
          <w:lang w:val="en-GB" w:eastAsia="en-GB"/>
        </w:rPr>
      </w:pPr>
      <w:r>
        <w:rPr>
          <w:rFonts w:eastAsia="Times New Roman" w:cs="Times New Roman"/>
          <w:b/>
          <w:color w:val="335087"/>
          <w:spacing w:val="20"/>
          <w:w w:val="90"/>
          <w:sz w:val="32"/>
          <w:szCs w:val="24"/>
          <w:lang w:val="en-GB" w:eastAsia="en-GB"/>
        </w:rPr>
        <w:t xml:space="preserve">Status quo </w:t>
      </w:r>
      <w:bookmarkEnd w:id="30"/>
      <w:bookmarkEnd w:id="31"/>
      <w:bookmarkEnd w:id="32"/>
      <w:bookmarkEnd w:id="33"/>
      <w:bookmarkEnd w:id="34"/>
      <w:bookmarkEnd w:id="35"/>
      <w:r>
        <w:rPr>
          <w:rFonts w:eastAsia="Times New Roman" w:cs="Times New Roman"/>
          <w:b/>
          <w:color w:val="335087"/>
          <w:spacing w:val="20"/>
          <w:w w:val="90"/>
          <w:sz w:val="32"/>
          <w:szCs w:val="24"/>
          <w:lang w:val="en-GB" w:eastAsia="en-GB"/>
        </w:rPr>
        <w:t>and problem definition</w:t>
      </w:r>
    </w:p>
    <w:p w:rsidR="005D0FA8" w:rsidRPr="005D0FA8" w:rsidRDefault="005D0FA8" w:rsidP="005D0FA8">
      <w:pPr>
        <w:spacing w:after="240" w:line="280" w:lineRule="atLeast"/>
        <w:contextualSpacing/>
        <w:rPr>
          <w:rFonts w:eastAsia="Times New Roman" w:cs="Times New Roman"/>
          <w:sz w:val="22"/>
          <w:szCs w:val="20"/>
          <w:lang w:val="en-GB" w:eastAsia="en-GB"/>
        </w:rPr>
      </w:pPr>
    </w:p>
    <w:p w:rsidR="00DC7D18" w:rsidRDefault="005D0FA8" w:rsidP="00DC7D18">
      <w:pPr>
        <w:rPr>
          <w:i/>
          <w:sz w:val="22"/>
          <w:lang w:val="en-GB" w:eastAsia="en-GB"/>
        </w:rPr>
      </w:pPr>
      <w:r>
        <w:rPr>
          <w:i/>
          <w:sz w:val="22"/>
          <w:lang w:val="en-GB" w:eastAsia="en-GB"/>
        </w:rPr>
        <w:t>L</w:t>
      </w:r>
      <w:r w:rsidR="00DC7D18">
        <w:rPr>
          <w:i/>
          <w:sz w:val="22"/>
          <w:lang w:val="en-GB" w:eastAsia="en-GB"/>
        </w:rPr>
        <w:t xml:space="preserve">egislative context </w:t>
      </w:r>
    </w:p>
    <w:p w:rsidR="005D0FA8" w:rsidRDefault="00DC7D18" w:rsidP="005D0FA8">
      <w:pPr>
        <w:pStyle w:val="ListParagraph"/>
        <w:numPr>
          <w:ilvl w:val="0"/>
          <w:numId w:val="1"/>
        </w:numPr>
        <w:spacing w:after="240" w:line="280" w:lineRule="atLeast"/>
        <w:rPr>
          <w:rFonts w:eastAsia="Times New Roman" w:cs="Times New Roman"/>
          <w:sz w:val="22"/>
          <w:szCs w:val="20"/>
          <w:lang w:val="en-GB" w:eastAsia="en-GB"/>
        </w:rPr>
      </w:pPr>
      <w:r w:rsidRPr="005D0FA8">
        <w:rPr>
          <w:rFonts w:eastAsia="Times New Roman" w:cs="Times New Roman"/>
          <w:sz w:val="22"/>
          <w:szCs w:val="20"/>
          <w:lang w:val="en-GB" w:eastAsia="en-GB"/>
        </w:rPr>
        <w:t xml:space="preserve">The </w:t>
      </w:r>
      <w:r w:rsidR="005C1C80">
        <w:rPr>
          <w:rFonts w:eastAsia="Times New Roman" w:cs="Times New Roman"/>
          <w:sz w:val="22"/>
          <w:szCs w:val="20"/>
          <w:lang w:val="en-GB" w:eastAsia="en-GB"/>
        </w:rPr>
        <w:t xml:space="preserve">new </w:t>
      </w:r>
      <w:r w:rsidR="00852185">
        <w:rPr>
          <w:rFonts w:eastAsia="Times New Roman" w:cs="Times New Roman"/>
          <w:sz w:val="22"/>
          <w:szCs w:val="20"/>
          <w:lang w:val="en-GB" w:eastAsia="en-GB"/>
        </w:rPr>
        <w:t xml:space="preserve">Radiation Safety Act 2016 (the Act) </w:t>
      </w:r>
      <w:r w:rsidR="005D0FA8" w:rsidRPr="005D0FA8">
        <w:rPr>
          <w:rFonts w:eastAsia="Times New Roman" w:cs="Times New Roman"/>
          <w:sz w:val="22"/>
          <w:szCs w:val="20"/>
          <w:lang w:val="en-GB" w:eastAsia="en-GB"/>
        </w:rPr>
        <w:t>will co</w:t>
      </w:r>
      <w:r w:rsidR="00852185">
        <w:rPr>
          <w:rFonts w:eastAsia="Times New Roman" w:cs="Times New Roman"/>
          <w:sz w:val="22"/>
          <w:szCs w:val="20"/>
          <w:lang w:val="en-GB" w:eastAsia="en-GB"/>
        </w:rPr>
        <w:t>me into force on 7 March 2017, and replaces the Radiation Protection Act 1965.</w:t>
      </w:r>
    </w:p>
    <w:p w:rsidR="005D0FA8" w:rsidRPr="005D0FA8" w:rsidRDefault="005D0FA8" w:rsidP="005D0FA8">
      <w:pPr>
        <w:pStyle w:val="ListParagraph"/>
        <w:spacing w:after="240" w:line="280" w:lineRule="atLeast"/>
        <w:ind w:left="360"/>
        <w:rPr>
          <w:rFonts w:eastAsia="Times New Roman" w:cs="Times New Roman"/>
          <w:sz w:val="22"/>
          <w:szCs w:val="20"/>
          <w:lang w:val="en-GB" w:eastAsia="en-GB"/>
        </w:rPr>
      </w:pPr>
    </w:p>
    <w:p w:rsidR="005D0FA8" w:rsidRDefault="005D0FA8" w:rsidP="005D0FA8">
      <w:pPr>
        <w:pStyle w:val="ListParagraph"/>
        <w:numPr>
          <w:ilvl w:val="0"/>
          <w:numId w:val="1"/>
        </w:numPr>
        <w:spacing w:after="240" w:line="280" w:lineRule="atLeast"/>
        <w:rPr>
          <w:rFonts w:eastAsia="Times New Roman" w:cs="Times New Roman"/>
          <w:sz w:val="22"/>
          <w:szCs w:val="20"/>
          <w:lang w:val="en-GB" w:eastAsia="en-GB"/>
        </w:rPr>
      </w:pPr>
      <w:r w:rsidRPr="005D0FA8">
        <w:rPr>
          <w:rFonts w:cs="Arial"/>
          <w:sz w:val="23"/>
          <w:szCs w:val="23"/>
        </w:rPr>
        <w:t xml:space="preserve">The Act establishes a framework to protect the health and safety of people and protect the environment from the harmful effects of ionising radiation while allowing for its safe and beneficial use.  </w:t>
      </w:r>
      <w:r w:rsidR="00BB0E47">
        <w:rPr>
          <w:rFonts w:cs="Arial"/>
          <w:sz w:val="23"/>
          <w:szCs w:val="23"/>
        </w:rPr>
        <w:t>It</w:t>
      </w:r>
      <w:r w:rsidRPr="005D0FA8">
        <w:rPr>
          <w:rFonts w:cs="Arial"/>
          <w:sz w:val="23"/>
          <w:szCs w:val="23"/>
        </w:rPr>
        <w:t xml:space="preserve"> also </w:t>
      </w:r>
      <w:r w:rsidR="00BB0E47">
        <w:rPr>
          <w:rFonts w:cs="Arial"/>
          <w:sz w:val="23"/>
          <w:szCs w:val="23"/>
        </w:rPr>
        <w:t xml:space="preserve">enables </w:t>
      </w:r>
      <w:r w:rsidRPr="005D0FA8">
        <w:rPr>
          <w:rFonts w:cs="Arial"/>
          <w:sz w:val="23"/>
          <w:szCs w:val="23"/>
        </w:rPr>
        <w:t>New Zealand to meet its international obligations on radiation security and nuclear non-proliferation.</w:t>
      </w:r>
      <w:r w:rsidRPr="005D0FA8">
        <w:rPr>
          <w:rFonts w:eastAsia="Times New Roman" w:cs="Times New Roman"/>
          <w:sz w:val="22"/>
          <w:szCs w:val="20"/>
          <w:lang w:val="en-GB" w:eastAsia="en-GB"/>
        </w:rPr>
        <w:t xml:space="preserve"> </w:t>
      </w:r>
    </w:p>
    <w:p w:rsidR="005D0FA8" w:rsidRPr="005D0FA8" w:rsidRDefault="005D0FA8" w:rsidP="005D0FA8">
      <w:pPr>
        <w:pStyle w:val="ListParagraph"/>
        <w:rPr>
          <w:rFonts w:eastAsia="Times New Roman" w:cs="Times New Roman"/>
          <w:sz w:val="22"/>
          <w:szCs w:val="20"/>
          <w:lang w:val="en-GB" w:eastAsia="en-GB"/>
        </w:rPr>
      </w:pPr>
    </w:p>
    <w:p w:rsidR="00DC7D18" w:rsidRDefault="00852185" w:rsidP="005D0FA8">
      <w:pPr>
        <w:pStyle w:val="ListParagraph"/>
        <w:numPr>
          <w:ilvl w:val="0"/>
          <w:numId w:val="1"/>
        </w:numPr>
        <w:spacing w:after="240" w:line="280" w:lineRule="atLeast"/>
        <w:rPr>
          <w:rFonts w:eastAsia="Times New Roman" w:cs="Times New Roman"/>
          <w:sz w:val="22"/>
          <w:szCs w:val="20"/>
          <w:lang w:val="en-GB" w:eastAsia="en-GB"/>
        </w:rPr>
      </w:pPr>
      <w:r>
        <w:rPr>
          <w:rFonts w:eastAsia="Times New Roman" w:cs="Times New Roman"/>
          <w:sz w:val="22"/>
          <w:szCs w:val="20"/>
          <w:lang w:val="en-GB" w:eastAsia="en-GB"/>
        </w:rPr>
        <w:t>Like the Radiation Protection Act, the new Act</w:t>
      </w:r>
      <w:r w:rsidR="00DC7D18" w:rsidRPr="005D0FA8">
        <w:rPr>
          <w:rFonts w:eastAsia="Times New Roman" w:cs="Times New Roman"/>
          <w:sz w:val="22"/>
          <w:szCs w:val="20"/>
          <w:lang w:val="en-GB" w:eastAsia="en-GB"/>
        </w:rPr>
        <w:t xml:space="preserve"> </w:t>
      </w:r>
      <w:r w:rsidR="005D0FA8">
        <w:rPr>
          <w:rFonts w:eastAsia="Times New Roman" w:cs="Times New Roman"/>
          <w:sz w:val="22"/>
          <w:szCs w:val="20"/>
          <w:lang w:val="en-GB" w:eastAsia="en-GB"/>
        </w:rPr>
        <w:t>continues</w:t>
      </w:r>
      <w:r w:rsidR="00DC7D18" w:rsidRPr="005D0FA8">
        <w:rPr>
          <w:rFonts w:eastAsia="Times New Roman" w:cs="Times New Roman"/>
          <w:sz w:val="22"/>
          <w:szCs w:val="20"/>
          <w:lang w:val="en-GB" w:eastAsia="en-GB"/>
        </w:rPr>
        <w:t xml:space="preserve"> to place safety responsibilities </w:t>
      </w:r>
      <w:r w:rsidR="005D0FA8">
        <w:rPr>
          <w:rFonts w:eastAsia="Times New Roman" w:cs="Times New Roman"/>
          <w:sz w:val="22"/>
          <w:szCs w:val="20"/>
          <w:lang w:val="en-GB" w:eastAsia="en-GB"/>
        </w:rPr>
        <w:t xml:space="preserve">and duties </w:t>
      </w:r>
      <w:r w:rsidR="00DC7D18" w:rsidRPr="005D0FA8">
        <w:rPr>
          <w:rFonts w:eastAsia="Times New Roman" w:cs="Times New Roman"/>
          <w:sz w:val="22"/>
          <w:szCs w:val="20"/>
          <w:lang w:val="en-GB" w:eastAsia="en-GB"/>
        </w:rPr>
        <w:t>on ind</w:t>
      </w:r>
      <w:r w:rsidR="00616101">
        <w:rPr>
          <w:rFonts w:eastAsia="Times New Roman" w:cs="Times New Roman"/>
          <w:sz w:val="22"/>
          <w:szCs w:val="20"/>
          <w:lang w:val="en-GB" w:eastAsia="en-GB"/>
        </w:rPr>
        <w:t>ividual users (approximately 4,5</w:t>
      </w:r>
      <w:r w:rsidR="005D0FA8">
        <w:rPr>
          <w:rFonts w:eastAsia="Times New Roman" w:cs="Times New Roman"/>
          <w:sz w:val="22"/>
          <w:szCs w:val="20"/>
          <w:lang w:val="en-GB" w:eastAsia="en-GB"/>
        </w:rPr>
        <w:t xml:space="preserve">00).  </w:t>
      </w:r>
      <w:r w:rsidR="00BC75F5">
        <w:rPr>
          <w:rFonts w:eastAsia="Times New Roman" w:cs="Times New Roman"/>
          <w:sz w:val="22"/>
          <w:szCs w:val="20"/>
          <w:lang w:val="en-GB" w:eastAsia="en-GB"/>
        </w:rPr>
        <w:t>I</w:t>
      </w:r>
      <w:r w:rsidR="00DC7D18" w:rsidRPr="005D0FA8">
        <w:rPr>
          <w:rFonts w:eastAsia="Times New Roman" w:cs="Times New Roman"/>
          <w:sz w:val="22"/>
          <w:szCs w:val="20"/>
          <w:lang w:val="en-GB" w:eastAsia="en-GB"/>
        </w:rPr>
        <w:t xml:space="preserve">t </w:t>
      </w:r>
      <w:r w:rsidR="00BC75F5">
        <w:rPr>
          <w:rFonts w:eastAsia="Times New Roman" w:cs="Times New Roman"/>
          <w:sz w:val="22"/>
          <w:szCs w:val="20"/>
          <w:lang w:val="en-GB" w:eastAsia="en-GB"/>
        </w:rPr>
        <w:t xml:space="preserve">additionally </w:t>
      </w:r>
      <w:r w:rsidR="005D0FA8">
        <w:rPr>
          <w:rFonts w:eastAsia="Times New Roman" w:cs="Times New Roman"/>
          <w:sz w:val="22"/>
          <w:szCs w:val="20"/>
          <w:lang w:val="en-GB" w:eastAsia="en-GB"/>
        </w:rPr>
        <w:t>creates responsibilities and duties for</w:t>
      </w:r>
      <w:r w:rsidR="00DC7D18" w:rsidRPr="005D0FA8">
        <w:rPr>
          <w:rFonts w:eastAsia="Times New Roman" w:cs="Times New Roman"/>
          <w:sz w:val="22"/>
          <w:szCs w:val="20"/>
          <w:lang w:val="en-GB" w:eastAsia="en-GB"/>
        </w:rPr>
        <w:t xml:space="preserve"> </w:t>
      </w:r>
      <w:r w:rsidR="005D0FA8">
        <w:rPr>
          <w:rFonts w:eastAsia="Times New Roman" w:cs="Times New Roman"/>
          <w:sz w:val="22"/>
          <w:szCs w:val="20"/>
          <w:lang w:val="en-GB" w:eastAsia="en-GB"/>
        </w:rPr>
        <w:t xml:space="preserve">the legal entities with control and management of radiation sources </w:t>
      </w:r>
      <w:r w:rsidR="00DC7D18" w:rsidRPr="005D0FA8">
        <w:rPr>
          <w:rFonts w:eastAsia="Times New Roman" w:cs="Times New Roman"/>
          <w:sz w:val="22"/>
          <w:szCs w:val="20"/>
          <w:lang w:val="en-GB" w:eastAsia="en-GB"/>
        </w:rPr>
        <w:t xml:space="preserve">(such as </w:t>
      </w:r>
      <w:r w:rsidR="006E619F">
        <w:rPr>
          <w:rFonts w:eastAsia="Times New Roman" w:cs="Times New Roman"/>
          <w:sz w:val="22"/>
          <w:szCs w:val="20"/>
          <w:lang w:val="en-GB" w:eastAsia="en-GB"/>
        </w:rPr>
        <w:t xml:space="preserve">District Health Boards, </w:t>
      </w:r>
      <w:r w:rsidR="00DC7D18" w:rsidRPr="005D0FA8">
        <w:rPr>
          <w:rFonts w:eastAsia="Times New Roman" w:cs="Times New Roman"/>
          <w:sz w:val="22"/>
          <w:szCs w:val="20"/>
          <w:lang w:val="en-GB" w:eastAsia="en-GB"/>
        </w:rPr>
        <w:t xml:space="preserve">companies </w:t>
      </w:r>
      <w:r w:rsidR="00BB0E47">
        <w:rPr>
          <w:rFonts w:eastAsia="Times New Roman" w:cs="Times New Roman"/>
          <w:sz w:val="22"/>
          <w:szCs w:val="20"/>
          <w:lang w:val="en-GB" w:eastAsia="en-GB"/>
        </w:rPr>
        <w:t xml:space="preserve">and </w:t>
      </w:r>
      <w:r w:rsidR="00DC7D18" w:rsidRPr="005D0FA8">
        <w:rPr>
          <w:rFonts w:eastAsia="Times New Roman" w:cs="Times New Roman"/>
          <w:sz w:val="22"/>
          <w:szCs w:val="20"/>
          <w:lang w:val="en-GB" w:eastAsia="en-GB"/>
        </w:rPr>
        <w:t>research institutes)</w:t>
      </w:r>
      <w:r w:rsidR="00616101">
        <w:rPr>
          <w:rFonts w:eastAsia="Times New Roman" w:cs="Times New Roman"/>
          <w:sz w:val="22"/>
          <w:szCs w:val="20"/>
          <w:lang w:val="en-GB" w:eastAsia="en-GB"/>
        </w:rPr>
        <w:t>.  T</w:t>
      </w:r>
      <w:r w:rsidR="005D0FA8">
        <w:rPr>
          <w:rFonts w:eastAsia="Times New Roman" w:cs="Times New Roman"/>
          <w:sz w:val="22"/>
          <w:szCs w:val="20"/>
          <w:lang w:val="en-GB" w:eastAsia="en-GB"/>
        </w:rPr>
        <w:t xml:space="preserve">hese entities </w:t>
      </w:r>
      <w:r w:rsidR="00DC7D18" w:rsidRPr="005D0FA8">
        <w:rPr>
          <w:rFonts w:eastAsia="Times New Roman" w:cs="Times New Roman"/>
          <w:sz w:val="22"/>
          <w:szCs w:val="20"/>
          <w:lang w:val="en-GB" w:eastAsia="en-GB"/>
        </w:rPr>
        <w:t xml:space="preserve">have </w:t>
      </w:r>
      <w:r w:rsidR="006E619F">
        <w:rPr>
          <w:rFonts w:eastAsia="Times New Roman" w:cs="Times New Roman"/>
          <w:sz w:val="22"/>
          <w:szCs w:val="20"/>
          <w:lang w:val="en-GB" w:eastAsia="en-GB"/>
        </w:rPr>
        <w:t xml:space="preserve">significant </w:t>
      </w:r>
      <w:r w:rsidR="005D0FA8">
        <w:rPr>
          <w:rFonts w:eastAsia="Times New Roman" w:cs="Times New Roman"/>
          <w:sz w:val="22"/>
          <w:szCs w:val="20"/>
          <w:lang w:val="en-GB" w:eastAsia="en-GB"/>
        </w:rPr>
        <w:t>ability to determine radiation safety and security outcomes</w:t>
      </w:r>
      <w:r w:rsidR="00DC7D18" w:rsidRPr="005D0FA8">
        <w:rPr>
          <w:rFonts w:eastAsia="Times New Roman" w:cs="Times New Roman"/>
          <w:sz w:val="22"/>
          <w:szCs w:val="20"/>
          <w:lang w:val="en-GB" w:eastAsia="en-GB"/>
        </w:rPr>
        <w:t xml:space="preserve">.  </w:t>
      </w:r>
    </w:p>
    <w:p w:rsidR="002767C8" w:rsidRPr="002767C8" w:rsidRDefault="002767C8" w:rsidP="002767C8">
      <w:pPr>
        <w:pStyle w:val="ListParagraph"/>
        <w:rPr>
          <w:rFonts w:eastAsia="Times New Roman" w:cs="Times New Roman"/>
          <w:sz w:val="22"/>
          <w:szCs w:val="20"/>
          <w:lang w:val="en-GB" w:eastAsia="en-GB"/>
        </w:rPr>
      </w:pPr>
    </w:p>
    <w:p w:rsidR="002767C8" w:rsidRPr="005D0FA8" w:rsidRDefault="002767C8" w:rsidP="005D0FA8">
      <w:pPr>
        <w:pStyle w:val="ListParagraph"/>
        <w:numPr>
          <w:ilvl w:val="0"/>
          <w:numId w:val="1"/>
        </w:numPr>
        <w:spacing w:after="240" w:line="280" w:lineRule="atLeast"/>
        <w:rPr>
          <w:rFonts w:eastAsia="Times New Roman" w:cs="Times New Roman"/>
          <w:sz w:val="22"/>
          <w:szCs w:val="20"/>
          <w:lang w:val="en-GB" w:eastAsia="en-GB"/>
        </w:rPr>
      </w:pPr>
      <w:r>
        <w:rPr>
          <w:rFonts w:eastAsia="Times New Roman" w:cs="Arial"/>
          <w:sz w:val="22"/>
          <w:szCs w:val="20"/>
          <w:lang w:val="en-GB" w:eastAsia="en-GB"/>
        </w:rPr>
        <w:t>Radiation safety requirements comprise the requirements of the</w:t>
      </w:r>
      <w:r w:rsidR="005C1C80">
        <w:rPr>
          <w:rFonts w:eastAsia="Times New Roman" w:cs="Arial"/>
          <w:sz w:val="22"/>
          <w:szCs w:val="20"/>
          <w:lang w:val="en-GB" w:eastAsia="en-GB"/>
        </w:rPr>
        <w:t xml:space="preserve"> legislation</w:t>
      </w:r>
      <w:r>
        <w:rPr>
          <w:rFonts w:eastAsia="Times New Roman" w:cs="Arial"/>
          <w:sz w:val="22"/>
          <w:szCs w:val="20"/>
          <w:lang w:val="en-GB" w:eastAsia="en-GB"/>
        </w:rPr>
        <w:t xml:space="preserve">, codes of practice, radiation safety plans, the conditions of authorisations which are required to deal with radiation sources, and the conditions of any exemptions or exceptions granted.  Codes of practice will be issued for each specific area of radiation practice to deal with technical and operational radiation safety requirements.  </w:t>
      </w:r>
      <w:r w:rsidR="00852185">
        <w:rPr>
          <w:rFonts w:eastAsia="Times New Roman" w:cs="Arial"/>
          <w:sz w:val="22"/>
          <w:szCs w:val="20"/>
          <w:lang w:val="en-GB" w:eastAsia="en-GB"/>
        </w:rPr>
        <w:t xml:space="preserve">They are not regulations, but are disallowable instruments.  </w:t>
      </w:r>
      <w:r>
        <w:rPr>
          <w:rFonts w:eastAsia="Times New Roman" w:cs="Arial"/>
          <w:sz w:val="22"/>
          <w:szCs w:val="20"/>
          <w:lang w:val="en-GB" w:eastAsia="en-GB"/>
        </w:rPr>
        <w:t xml:space="preserve">Consultation on their content </w:t>
      </w:r>
      <w:r w:rsidR="00BB0E47">
        <w:rPr>
          <w:rFonts w:eastAsia="Times New Roman" w:cs="Arial"/>
          <w:sz w:val="22"/>
          <w:szCs w:val="20"/>
          <w:lang w:val="en-GB" w:eastAsia="en-GB"/>
        </w:rPr>
        <w:t xml:space="preserve">should </w:t>
      </w:r>
      <w:r>
        <w:rPr>
          <w:rFonts w:eastAsia="Times New Roman" w:cs="Arial"/>
          <w:sz w:val="22"/>
          <w:szCs w:val="20"/>
          <w:lang w:val="en-GB" w:eastAsia="en-GB"/>
        </w:rPr>
        <w:t xml:space="preserve">start in the second half of 2016, and </w:t>
      </w:r>
      <w:r w:rsidR="00BB0E47">
        <w:rPr>
          <w:rFonts w:eastAsia="Times New Roman" w:cs="Arial"/>
          <w:sz w:val="22"/>
          <w:szCs w:val="20"/>
          <w:lang w:val="en-GB" w:eastAsia="en-GB"/>
        </w:rPr>
        <w:t>be completed</w:t>
      </w:r>
      <w:r>
        <w:rPr>
          <w:rFonts w:eastAsia="Times New Roman" w:cs="Arial"/>
          <w:sz w:val="22"/>
          <w:szCs w:val="20"/>
          <w:lang w:val="en-GB" w:eastAsia="en-GB"/>
        </w:rPr>
        <w:t xml:space="preserve"> by February 2017.  </w:t>
      </w:r>
    </w:p>
    <w:p w:rsidR="00DC7D18" w:rsidRDefault="005D0FA8" w:rsidP="00DC7D18">
      <w:pPr>
        <w:rPr>
          <w:i/>
          <w:sz w:val="22"/>
          <w:lang w:val="en-GB" w:eastAsia="en-GB"/>
        </w:rPr>
      </w:pPr>
      <w:r>
        <w:rPr>
          <w:i/>
          <w:sz w:val="22"/>
          <w:lang w:val="en-GB" w:eastAsia="en-GB"/>
        </w:rPr>
        <w:t>A</w:t>
      </w:r>
      <w:r w:rsidR="00DC7D18">
        <w:rPr>
          <w:i/>
          <w:sz w:val="22"/>
          <w:lang w:val="en-GB" w:eastAsia="en-GB"/>
        </w:rPr>
        <w:t>pproach to Regulations</w:t>
      </w:r>
    </w:p>
    <w:p w:rsidR="00852185" w:rsidRDefault="00852185" w:rsidP="002D3C23">
      <w:pPr>
        <w:pStyle w:val="ListParagraph"/>
        <w:numPr>
          <w:ilvl w:val="0"/>
          <w:numId w:val="1"/>
        </w:numPr>
        <w:rPr>
          <w:rFonts w:eastAsia="Times New Roman" w:cs="Times New Roman"/>
          <w:sz w:val="22"/>
          <w:lang w:val="en-GB" w:eastAsia="en-GB"/>
        </w:rPr>
      </w:pPr>
      <w:r>
        <w:rPr>
          <w:rFonts w:eastAsia="Times New Roman" w:cs="Times New Roman"/>
          <w:sz w:val="22"/>
          <w:lang w:val="en-GB" w:eastAsia="en-GB"/>
        </w:rPr>
        <w:t xml:space="preserve">The proposed Regulations discussed following were informed by extensive consultation with stakeholders summarised under </w:t>
      </w:r>
      <w:r w:rsidRPr="00852185">
        <w:rPr>
          <w:rFonts w:eastAsia="Times New Roman" w:cs="Times New Roman"/>
          <w:color w:val="1F497D" w:themeColor="text2"/>
          <w:sz w:val="22"/>
          <w:lang w:val="en-GB" w:eastAsia="en-GB"/>
        </w:rPr>
        <w:t xml:space="preserve">Consultation </w:t>
      </w:r>
      <w:r>
        <w:rPr>
          <w:rFonts w:eastAsia="Times New Roman" w:cs="Times New Roman"/>
          <w:sz w:val="22"/>
          <w:lang w:val="en-GB" w:eastAsia="en-GB"/>
        </w:rPr>
        <w:t>later in this document.</w:t>
      </w:r>
    </w:p>
    <w:p w:rsidR="00852185" w:rsidRDefault="00852185" w:rsidP="00852185">
      <w:pPr>
        <w:pStyle w:val="ListParagraph"/>
        <w:ind w:left="360"/>
        <w:rPr>
          <w:rFonts w:eastAsia="Times New Roman" w:cs="Times New Roman"/>
          <w:sz w:val="22"/>
          <w:lang w:val="en-GB" w:eastAsia="en-GB"/>
        </w:rPr>
      </w:pPr>
    </w:p>
    <w:p w:rsidR="002D3C23" w:rsidRPr="005D0FA8" w:rsidRDefault="002D3C23" w:rsidP="002D3C23">
      <w:pPr>
        <w:pStyle w:val="ListParagraph"/>
        <w:numPr>
          <w:ilvl w:val="0"/>
          <w:numId w:val="1"/>
        </w:numPr>
        <w:rPr>
          <w:rFonts w:eastAsia="Times New Roman" w:cs="Times New Roman"/>
          <w:sz w:val="22"/>
          <w:lang w:val="en-GB" w:eastAsia="en-GB"/>
        </w:rPr>
      </w:pPr>
      <w:r>
        <w:rPr>
          <w:rFonts w:eastAsia="Times New Roman" w:cs="Times New Roman"/>
          <w:sz w:val="22"/>
          <w:lang w:val="en-GB" w:eastAsia="en-GB"/>
        </w:rPr>
        <w:t>The Act applies to a very broad range of uses for radiation, such as industrial, medical and research related.  Radiation risk profiles vary widely within each of these categories and can change over time as new technologies develop.  Therefore, the proposed framework maximises flexibility.</w:t>
      </w:r>
    </w:p>
    <w:p w:rsidR="002D3C23" w:rsidRDefault="002D3C23" w:rsidP="002D3C23">
      <w:pPr>
        <w:pStyle w:val="ListParagraph"/>
        <w:ind w:left="360"/>
        <w:rPr>
          <w:rFonts w:eastAsia="Times New Roman" w:cs="Times New Roman"/>
          <w:sz w:val="22"/>
          <w:lang w:val="en-GB" w:eastAsia="en-GB"/>
        </w:rPr>
      </w:pPr>
    </w:p>
    <w:p w:rsidR="00BC75F5" w:rsidRDefault="00BB0E47" w:rsidP="005D0FA8">
      <w:pPr>
        <w:pStyle w:val="ListParagraph"/>
        <w:numPr>
          <w:ilvl w:val="0"/>
          <w:numId w:val="1"/>
        </w:numPr>
        <w:rPr>
          <w:rFonts w:eastAsia="Times New Roman" w:cs="Times New Roman"/>
          <w:sz w:val="22"/>
          <w:lang w:val="en-GB" w:eastAsia="en-GB"/>
        </w:rPr>
      </w:pPr>
      <w:r>
        <w:rPr>
          <w:rFonts w:eastAsia="Times New Roman" w:cs="Times New Roman"/>
          <w:sz w:val="22"/>
          <w:lang w:val="en-GB" w:eastAsia="en-GB"/>
        </w:rPr>
        <w:t xml:space="preserve">To ensure that the </w:t>
      </w:r>
      <w:r w:rsidR="00771BCD">
        <w:rPr>
          <w:rFonts w:eastAsia="Times New Roman" w:cs="Times New Roman"/>
          <w:sz w:val="22"/>
          <w:lang w:val="en-GB" w:eastAsia="en-GB"/>
        </w:rPr>
        <w:t xml:space="preserve">regulatory </w:t>
      </w:r>
      <w:r>
        <w:rPr>
          <w:rFonts w:eastAsia="Times New Roman" w:cs="Times New Roman"/>
          <w:sz w:val="22"/>
          <w:lang w:val="en-GB" w:eastAsia="en-GB"/>
        </w:rPr>
        <w:t>framework is as straightforward and workable as possible, th</w:t>
      </w:r>
      <w:r w:rsidR="005D0FA8">
        <w:rPr>
          <w:rFonts w:eastAsia="Times New Roman" w:cs="Times New Roman"/>
          <w:sz w:val="22"/>
          <w:lang w:val="en-GB" w:eastAsia="en-GB"/>
        </w:rPr>
        <w:t xml:space="preserve">e proposed Regulations do not include matters that can be addressed in codes of practice or radiation safety plans.  </w:t>
      </w:r>
    </w:p>
    <w:p w:rsidR="00BC75F5" w:rsidRDefault="00BC75F5" w:rsidP="00BC75F5">
      <w:pPr>
        <w:pStyle w:val="ListParagraph"/>
        <w:ind w:left="360"/>
        <w:rPr>
          <w:rFonts w:eastAsia="Times New Roman" w:cs="Times New Roman"/>
          <w:sz w:val="22"/>
          <w:lang w:val="en-GB" w:eastAsia="en-GB"/>
        </w:rPr>
      </w:pPr>
    </w:p>
    <w:p w:rsidR="00BC75F5" w:rsidRDefault="00CC4A8F" w:rsidP="005D0FA8">
      <w:pPr>
        <w:pStyle w:val="ListParagraph"/>
        <w:numPr>
          <w:ilvl w:val="0"/>
          <w:numId w:val="1"/>
        </w:numPr>
        <w:rPr>
          <w:rFonts w:eastAsia="Times New Roman" w:cs="Times New Roman"/>
          <w:sz w:val="22"/>
          <w:lang w:val="en-GB" w:eastAsia="en-GB"/>
        </w:rPr>
      </w:pPr>
      <w:r>
        <w:rPr>
          <w:rFonts w:eastAsia="Times New Roman" w:cs="Times New Roman"/>
          <w:sz w:val="22"/>
          <w:lang w:val="en-GB" w:eastAsia="en-GB"/>
        </w:rPr>
        <w:t>Technical</w:t>
      </w:r>
      <w:r w:rsidR="00DC7D18" w:rsidRPr="005D0FA8">
        <w:rPr>
          <w:rFonts w:eastAsia="Times New Roman" w:cs="Times New Roman"/>
          <w:sz w:val="22"/>
          <w:lang w:val="en-GB" w:eastAsia="en-GB"/>
        </w:rPr>
        <w:t xml:space="preserve"> </w:t>
      </w:r>
      <w:r w:rsidR="005D0FA8">
        <w:rPr>
          <w:rFonts w:eastAsia="Times New Roman" w:cs="Times New Roman"/>
          <w:sz w:val="22"/>
          <w:lang w:val="en-GB" w:eastAsia="en-GB"/>
        </w:rPr>
        <w:t xml:space="preserve">details, specific to </w:t>
      </w:r>
      <w:r w:rsidR="00D132BE">
        <w:rPr>
          <w:rFonts w:eastAsia="Times New Roman" w:cs="Times New Roman"/>
          <w:sz w:val="22"/>
          <w:lang w:val="en-GB" w:eastAsia="en-GB"/>
        </w:rPr>
        <w:t>each area of radiation practice</w:t>
      </w:r>
      <w:r>
        <w:rPr>
          <w:rFonts w:eastAsia="Times New Roman" w:cs="Times New Roman"/>
          <w:sz w:val="22"/>
          <w:lang w:val="en-GB" w:eastAsia="en-GB"/>
        </w:rPr>
        <w:t>,</w:t>
      </w:r>
      <w:r w:rsidR="005D0FA8">
        <w:rPr>
          <w:rFonts w:eastAsia="Times New Roman" w:cs="Times New Roman"/>
          <w:sz w:val="22"/>
          <w:lang w:val="en-GB" w:eastAsia="en-GB"/>
        </w:rPr>
        <w:t xml:space="preserve"> </w:t>
      </w:r>
      <w:r w:rsidR="00DC7D18" w:rsidRPr="005D0FA8">
        <w:rPr>
          <w:rFonts w:eastAsia="Times New Roman" w:cs="Times New Roman"/>
          <w:sz w:val="22"/>
          <w:lang w:val="en-GB" w:eastAsia="en-GB"/>
        </w:rPr>
        <w:t xml:space="preserve">will be </w:t>
      </w:r>
      <w:r w:rsidR="005D0FA8">
        <w:rPr>
          <w:rFonts w:eastAsia="Times New Roman" w:cs="Times New Roman"/>
          <w:sz w:val="22"/>
          <w:lang w:val="en-GB" w:eastAsia="en-GB"/>
        </w:rPr>
        <w:t xml:space="preserve">addressed </w:t>
      </w:r>
      <w:r w:rsidR="005C1C80">
        <w:rPr>
          <w:rFonts w:eastAsia="Times New Roman" w:cs="Times New Roman"/>
          <w:sz w:val="22"/>
          <w:lang w:val="en-GB" w:eastAsia="en-GB"/>
        </w:rPr>
        <w:t>in codes</w:t>
      </w:r>
      <w:r w:rsidR="00DC7D18" w:rsidRPr="005D0FA8">
        <w:rPr>
          <w:rFonts w:eastAsia="Times New Roman" w:cs="Times New Roman"/>
          <w:sz w:val="22"/>
          <w:lang w:val="en-GB" w:eastAsia="en-GB"/>
        </w:rPr>
        <w:t xml:space="preserve">.  </w:t>
      </w:r>
      <w:r w:rsidR="00BC75F5" w:rsidRPr="00616101">
        <w:rPr>
          <w:rFonts w:eastAsia="Times New Roman" w:cs="Times New Roman"/>
          <w:sz w:val="22"/>
          <w:lang w:val="en-GB" w:eastAsia="en-GB"/>
        </w:rPr>
        <w:t>Such matters include signage, labelling, transport, record-keeping, contents of radiation safety plans and emergency response procedures.</w:t>
      </w:r>
    </w:p>
    <w:p w:rsidR="00BC75F5" w:rsidRPr="00BC75F5" w:rsidRDefault="00BC75F5" w:rsidP="00BC75F5">
      <w:pPr>
        <w:pStyle w:val="ListParagraph"/>
        <w:rPr>
          <w:rFonts w:eastAsia="Times New Roman" w:cs="Times New Roman"/>
          <w:sz w:val="22"/>
          <w:lang w:val="en-GB" w:eastAsia="en-GB"/>
        </w:rPr>
      </w:pPr>
    </w:p>
    <w:p w:rsidR="00DC7D18" w:rsidRDefault="00DC7D18" w:rsidP="005D0FA8">
      <w:pPr>
        <w:pStyle w:val="ListParagraph"/>
        <w:numPr>
          <w:ilvl w:val="0"/>
          <w:numId w:val="1"/>
        </w:numPr>
        <w:rPr>
          <w:rFonts w:eastAsia="Times New Roman" w:cs="Times New Roman"/>
          <w:sz w:val="22"/>
          <w:lang w:val="en-GB" w:eastAsia="en-GB"/>
        </w:rPr>
      </w:pPr>
      <w:r w:rsidRPr="005D0FA8">
        <w:rPr>
          <w:rFonts w:eastAsia="Times New Roman" w:cs="Times New Roman"/>
          <w:sz w:val="22"/>
          <w:lang w:val="en-GB" w:eastAsia="en-GB"/>
        </w:rPr>
        <w:t xml:space="preserve">Radiation safety plans will be </w:t>
      </w:r>
      <w:r w:rsidR="000522C2">
        <w:rPr>
          <w:rFonts w:eastAsia="Times New Roman" w:cs="Times New Roman"/>
          <w:sz w:val="22"/>
          <w:lang w:val="en-GB" w:eastAsia="en-GB"/>
        </w:rPr>
        <w:t>attached to source licences and prepared at facility level</w:t>
      </w:r>
      <w:r w:rsidR="00CC4A8F">
        <w:rPr>
          <w:rFonts w:eastAsia="Times New Roman" w:cs="Times New Roman"/>
          <w:sz w:val="22"/>
          <w:lang w:val="en-GB" w:eastAsia="en-GB"/>
        </w:rPr>
        <w:t xml:space="preserve"> or by category of source</w:t>
      </w:r>
      <w:r w:rsidR="00BB0E47">
        <w:rPr>
          <w:rFonts w:eastAsia="Times New Roman" w:cs="Times New Roman"/>
          <w:sz w:val="22"/>
          <w:lang w:val="en-GB" w:eastAsia="en-GB"/>
        </w:rPr>
        <w:t>,</w:t>
      </w:r>
      <w:r w:rsidR="000522C2">
        <w:rPr>
          <w:rFonts w:eastAsia="Times New Roman" w:cs="Times New Roman"/>
          <w:sz w:val="22"/>
          <w:lang w:val="en-GB" w:eastAsia="en-GB"/>
        </w:rPr>
        <w:t xml:space="preserve"> setting</w:t>
      </w:r>
      <w:r w:rsidRPr="005D0FA8">
        <w:rPr>
          <w:rFonts w:eastAsia="Times New Roman" w:cs="Times New Roman"/>
          <w:sz w:val="22"/>
          <w:lang w:val="en-GB" w:eastAsia="en-GB"/>
        </w:rPr>
        <w:t xml:space="preserve"> out local rules and procedures to comply with the </w:t>
      </w:r>
      <w:r w:rsidR="005D0FA8">
        <w:rPr>
          <w:rFonts w:eastAsia="Times New Roman" w:cs="Times New Roman"/>
          <w:sz w:val="22"/>
          <w:lang w:val="en-GB" w:eastAsia="en-GB"/>
        </w:rPr>
        <w:t>Act</w:t>
      </w:r>
      <w:r w:rsidRPr="005D0FA8">
        <w:rPr>
          <w:rFonts w:eastAsia="Times New Roman" w:cs="Times New Roman"/>
          <w:sz w:val="22"/>
          <w:lang w:val="en-GB" w:eastAsia="en-GB"/>
        </w:rPr>
        <w:t xml:space="preserve">.  </w:t>
      </w:r>
    </w:p>
    <w:p w:rsidR="00BC75F5" w:rsidRPr="00BC75F5" w:rsidRDefault="00BC75F5" w:rsidP="00BC75F5">
      <w:pPr>
        <w:pStyle w:val="ListParagraph"/>
        <w:rPr>
          <w:rFonts w:eastAsia="Times New Roman" w:cs="Times New Roman"/>
          <w:sz w:val="22"/>
          <w:lang w:val="en-GB" w:eastAsia="en-GB"/>
        </w:rPr>
      </w:pPr>
    </w:p>
    <w:p w:rsidR="00DC7D18" w:rsidRPr="002A7BE5" w:rsidRDefault="002A7BE5" w:rsidP="002A7BE5">
      <w:pPr>
        <w:pStyle w:val="ListParagraph"/>
        <w:numPr>
          <w:ilvl w:val="0"/>
          <w:numId w:val="1"/>
        </w:numPr>
        <w:rPr>
          <w:rFonts w:eastAsia="Times New Roman" w:cs="Times New Roman"/>
          <w:sz w:val="22"/>
          <w:lang w:val="en-GB" w:eastAsia="en-GB"/>
        </w:rPr>
      </w:pPr>
      <w:r>
        <w:rPr>
          <w:rFonts w:eastAsia="Times New Roman" w:cs="Arial"/>
          <w:sz w:val="22"/>
          <w:lang w:val="en-GB" w:eastAsia="en-GB"/>
        </w:rPr>
        <w:t>The proposed Regulations do not include all the matters</w:t>
      </w:r>
      <w:r w:rsidR="00DC7D18" w:rsidRPr="002A7BE5">
        <w:rPr>
          <w:rFonts w:eastAsia="Times New Roman" w:cs="Arial"/>
          <w:sz w:val="22"/>
          <w:lang w:val="en-GB" w:eastAsia="en-GB"/>
        </w:rPr>
        <w:t xml:space="preserve"> </w:t>
      </w:r>
      <w:r w:rsidR="005C1C80">
        <w:rPr>
          <w:rFonts w:eastAsia="Times New Roman" w:cs="Arial"/>
          <w:sz w:val="22"/>
          <w:lang w:val="en-GB" w:eastAsia="en-GB"/>
        </w:rPr>
        <w:t xml:space="preserve">authorised under section </w:t>
      </w:r>
      <w:r w:rsidR="00DC7D18" w:rsidRPr="002A7BE5">
        <w:rPr>
          <w:rFonts w:eastAsia="Times New Roman" w:cs="Arial"/>
          <w:sz w:val="22"/>
          <w:lang w:val="en-GB" w:eastAsia="en-GB"/>
        </w:rPr>
        <w:t>91 to 93 of the Act</w:t>
      </w:r>
      <w:r w:rsidR="00852185">
        <w:rPr>
          <w:rFonts w:eastAsia="Times New Roman" w:cs="Arial"/>
          <w:sz w:val="22"/>
          <w:lang w:val="en-GB" w:eastAsia="en-GB"/>
        </w:rPr>
        <w:t xml:space="preserve"> (eg, labelling and signage)</w:t>
      </w:r>
      <w:r w:rsidR="00DC7D18" w:rsidRPr="002A7BE5">
        <w:rPr>
          <w:rFonts w:eastAsia="Times New Roman" w:cs="Arial"/>
          <w:sz w:val="22"/>
          <w:lang w:val="en-GB" w:eastAsia="en-GB"/>
        </w:rPr>
        <w:t xml:space="preserve">.  </w:t>
      </w:r>
      <w:r>
        <w:rPr>
          <w:rFonts w:eastAsia="Times New Roman" w:cs="Arial"/>
          <w:sz w:val="22"/>
          <w:lang w:val="en-GB" w:eastAsia="en-GB"/>
        </w:rPr>
        <w:t xml:space="preserve">Instead, </w:t>
      </w:r>
      <w:r w:rsidR="00616101">
        <w:rPr>
          <w:rFonts w:eastAsia="Times New Roman" w:cs="Arial"/>
          <w:sz w:val="22"/>
          <w:lang w:val="en-GB" w:eastAsia="en-GB"/>
        </w:rPr>
        <w:t>they</w:t>
      </w:r>
      <w:r>
        <w:rPr>
          <w:rFonts w:eastAsia="Times New Roman" w:cs="Arial"/>
          <w:sz w:val="22"/>
          <w:lang w:val="en-GB" w:eastAsia="en-GB"/>
        </w:rPr>
        <w:t xml:space="preserve"> include </w:t>
      </w:r>
      <w:r w:rsidR="002D3C23">
        <w:rPr>
          <w:rFonts w:eastAsia="Times New Roman" w:cs="Arial"/>
          <w:sz w:val="22"/>
          <w:lang w:val="en-GB" w:eastAsia="en-GB"/>
        </w:rPr>
        <w:t xml:space="preserve">only </w:t>
      </w:r>
      <w:r>
        <w:rPr>
          <w:rFonts w:eastAsia="Times New Roman" w:cs="Arial"/>
          <w:sz w:val="22"/>
          <w:lang w:val="en-GB" w:eastAsia="en-GB"/>
        </w:rPr>
        <w:t>th</w:t>
      </w:r>
      <w:r w:rsidR="00616101">
        <w:rPr>
          <w:rFonts w:eastAsia="Times New Roman" w:cs="Arial"/>
          <w:sz w:val="22"/>
          <w:lang w:val="en-GB" w:eastAsia="en-GB"/>
        </w:rPr>
        <w:t>ose</w:t>
      </w:r>
      <w:r>
        <w:rPr>
          <w:rFonts w:eastAsia="Times New Roman" w:cs="Arial"/>
          <w:sz w:val="22"/>
          <w:lang w:val="en-GB" w:eastAsia="en-GB"/>
        </w:rPr>
        <w:t xml:space="preserve"> provisions </w:t>
      </w:r>
      <w:r w:rsidR="00616101">
        <w:rPr>
          <w:rFonts w:eastAsia="Times New Roman" w:cs="Arial"/>
          <w:sz w:val="22"/>
          <w:lang w:val="en-GB" w:eastAsia="en-GB"/>
        </w:rPr>
        <w:t xml:space="preserve">necessary </w:t>
      </w:r>
      <w:r>
        <w:rPr>
          <w:rFonts w:eastAsia="Times New Roman" w:cs="Arial"/>
          <w:sz w:val="22"/>
          <w:lang w:val="en-GB" w:eastAsia="en-GB"/>
        </w:rPr>
        <w:t xml:space="preserve">for the </w:t>
      </w:r>
      <w:r w:rsidR="00DC7D18" w:rsidRPr="002A7BE5">
        <w:rPr>
          <w:rFonts w:eastAsia="Times New Roman" w:cs="Arial"/>
          <w:sz w:val="22"/>
          <w:lang w:val="en-GB" w:eastAsia="en-GB"/>
        </w:rPr>
        <w:t>Act</w:t>
      </w:r>
      <w:r w:rsidR="005C1C80">
        <w:rPr>
          <w:rFonts w:eastAsia="Times New Roman" w:cs="Arial"/>
          <w:sz w:val="22"/>
          <w:lang w:val="en-GB" w:eastAsia="en-GB"/>
        </w:rPr>
        <w:t>’s effective operation</w:t>
      </w:r>
      <w:r w:rsidR="005937F1">
        <w:rPr>
          <w:rFonts w:eastAsia="Times New Roman" w:cs="Arial"/>
          <w:sz w:val="22"/>
          <w:lang w:val="en-GB" w:eastAsia="en-GB"/>
        </w:rPr>
        <w:t>.  These provide</w:t>
      </w:r>
      <w:r w:rsidR="00DC7D18" w:rsidRPr="002A7BE5">
        <w:rPr>
          <w:rFonts w:eastAsia="Times New Roman" w:cs="Arial"/>
          <w:sz w:val="22"/>
          <w:lang w:val="en-GB" w:eastAsia="en-GB"/>
        </w:rPr>
        <w:t>:</w:t>
      </w:r>
      <w:r w:rsidRPr="002A7BE5">
        <w:rPr>
          <w:rFonts w:eastAsia="Times New Roman" w:cs="Times New Roman"/>
          <w:sz w:val="22"/>
          <w:lang w:val="en-GB" w:eastAsia="en-GB"/>
        </w:rPr>
        <w:t xml:space="preserve"> </w:t>
      </w:r>
    </w:p>
    <w:p w:rsidR="005C1C80" w:rsidRDefault="002A7BE5" w:rsidP="00A76BDE">
      <w:pPr>
        <w:numPr>
          <w:ilvl w:val="0"/>
          <w:numId w:val="5"/>
        </w:numPr>
        <w:spacing w:after="0" w:line="280" w:lineRule="atLeast"/>
        <w:ind w:left="1080"/>
        <w:contextualSpacing/>
        <w:rPr>
          <w:rFonts w:eastAsia="Times New Roman" w:cs="Arial"/>
          <w:sz w:val="22"/>
          <w:szCs w:val="20"/>
          <w:lang w:val="en-GB" w:eastAsia="en-GB"/>
        </w:rPr>
      </w:pPr>
      <w:r w:rsidRPr="005C1C80">
        <w:rPr>
          <w:rFonts w:eastAsia="Times New Roman" w:cs="Arial"/>
          <w:sz w:val="22"/>
          <w:szCs w:val="20"/>
          <w:lang w:val="en-GB" w:eastAsia="en-GB"/>
        </w:rPr>
        <w:t>maximum periods for authorisations</w:t>
      </w:r>
      <w:r w:rsidR="00964236" w:rsidRPr="005C1C80">
        <w:rPr>
          <w:rFonts w:eastAsia="Times New Roman" w:cs="Arial"/>
          <w:sz w:val="22"/>
          <w:szCs w:val="20"/>
          <w:lang w:val="en-GB" w:eastAsia="en-GB"/>
        </w:rPr>
        <w:t xml:space="preserve"> </w:t>
      </w:r>
    </w:p>
    <w:p w:rsidR="00DC7D18" w:rsidRPr="005C1C80" w:rsidRDefault="002A7BE5" w:rsidP="00A76BDE">
      <w:pPr>
        <w:numPr>
          <w:ilvl w:val="0"/>
          <w:numId w:val="5"/>
        </w:numPr>
        <w:spacing w:after="0" w:line="280" w:lineRule="atLeast"/>
        <w:ind w:left="1080"/>
        <w:contextualSpacing/>
        <w:rPr>
          <w:rFonts w:eastAsia="Times New Roman" w:cs="Arial"/>
          <w:sz w:val="22"/>
          <w:szCs w:val="20"/>
          <w:lang w:val="en-GB" w:eastAsia="en-GB"/>
        </w:rPr>
      </w:pPr>
      <w:r w:rsidRPr="005C1C80">
        <w:rPr>
          <w:rFonts w:eastAsia="Times New Roman" w:cs="Arial"/>
          <w:sz w:val="22"/>
          <w:szCs w:val="20"/>
          <w:lang w:val="en-GB" w:eastAsia="en-GB"/>
        </w:rPr>
        <w:t xml:space="preserve">authorised groups that can perform prescribed </w:t>
      </w:r>
      <w:r w:rsidR="00DC7D18" w:rsidRPr="005C1C80">
        <w:rPr>
          <w:rFonts w:eastAsia="Times New Roman" w:cs="Arial"/>
          <w:sz w:val="22"/>
          <w:szCs w:val="20"/>
          <w:lang w:val="en-GB" w:eastAsia="en-GB"/>
        </w:rPr>
        <w:t>activities without a use licence</w:t>
      </w:r>
      <w:r w:rsidR="00616101" w:rsidRPr="005C1C80">
        <w:rPr>
          <w:rFonts w:eastAsia="Times New Roman" w:cs="Arial"/>
          <w:sz w:val="22"/>
          <w:szCs w:val="20"/>
          <w:lang w:val="en-GB" w:eastAsia="en-GB"/>
        </w:rPr>
        <w:t>;</w:t>
      </w:r>
    </w:p>
    <w:p w:rsidR="00DC7D18" w:rsidRDefault="002A7BE5" w:rsidP="00DC7D18">
      <w:pPr>
        <w:numPr>
          <w:ilvl w:val="0"/>
          <w:numId w:val="5"/>
        </w:numPr>
        <w:spacing w:after="0" w:line="280" w:lineRule="atLeast"/>
        <w:ind w:left="1080"/>
        <w:contextualSpacing/>
        <w:rPr>
          <w:rFonts w:eastAsia="Times New Roman" w:cs="Arial"/>
          <w:sz w:val="22"/>
          <w:szCs w:val="20"/>
          <w:lang w:val="en-GB" w:eastAsia="en-GB"/>
        </w:rPr>
      </w:pPr>
      <w:r>
        <w:rPr>
          <w:rFonts w:eastAsia="Times New Roman" w:cs="Arial"/>
          <w:sz w:val="22"/>
          <w:szCs w:val="20"/>
          <w:lang w:val="en-GB" w:eastAsia="en-GB"/>
        </w:rPr>
        <w:t xml:space="preserve">conditional </w:t>
      </w:r>
      <w:r w:rsidR="00DC7D18">
        <w:rPr>
          <w:rFonts w:eastAsia="Times New Roman" w:cs="Arial"/>
          <w:sz w:val="22"/>
          <w:szCs w:val="20"/>
          <w:lang w:val="en-GB" w:eastAsia="en-GB"/>
        </w:rPr>
        <w:t xml:space="preserve">exemptions </w:t>
      </w:r>
      <w:r>
        <w:rPr>
          <w:rFonts w:eastAsia="Times New Roman" w:cs="Arial"/>
          <w:sz w:val="22"/>
          <w:szCs w:val="20"/>
          <w:lang w:val="en-GB" w:eastAsia="en-GB"/>
        </w:rPr>
        <w:t>for temporary</w:t>
      </w:r>
      <w:r w:rsidR="005937F1">
        <w:rPr>
          <w:rFonts w:eastAsia="Times New Roman" w:cs="Arial"/>
          <w:sz w:val="22"/>
          <w:szCs w:val="20"/>
          <w:lang w:val="en-GB" w:eastAsia="en-GB"/>
        </w:rPr>
        <w:t>, and</w:t>
      </w:r>
      <w:r>
        <w:rPr>
          <w:rFonts w:eastAsia="Times New Roman" w:cs="Arial"/>
          <w:sz w:val="22"/>
          <w:szCs w:val="20"/>
          <w:lang w:val="en-GB" w:eastAsia="en-GB"/>
        </w:rPr>
        <w:t xml:space="preserve"> low</w:t>
      </w:r>
      <w:r w:rsidR="00616101">
        <w:rPr>
          <w:rFonts w:eastAsia="Times New Roman" w:cs="Arial"/>
          <w:sz w:val="22"/>
          <w:szCs w:val="20"/>
          <w:lang w:val="en-GB" w:eastAsia="en-GB"/>
        </w:rPr>
        <w:t xml:space="preserve"> exposure and low </w:t>
      </w:r>
      <w:r>
        <w:rPr>
          <w:rFonts w:eastAsia="Times New Roman" w:cs="Arial"/>
          <w:sz w:val="22"/>
          <w:szCs w:val="20"/>
          <w:lang w:val="en-GB" w:eastAsia="en-GB"/>
        </w:rPr>
        <w:t>probability</w:t>
      </w:r>
      <w:r w:rsidR="005937F1">
        <w:rPr>
          <w:rFonts w:eastAsia="Times New Roman" w:cs="Arial"/>
          <w:sz w:val="22"/>
          <w:szCs w:val="20"/>
          <w:lang w:val="en-GB" w:eastAsia="en-GB"/>
        </w:rPr>
        <w:t>,</w:t>
      </w:r>
      <w:r>
        <w:rPr>
          <w:rFonts w:eastAsia="Times New Roman" w:cs="Arial"/>
          <w:sz w:val="22"/>
          <w:szCs w:val="20"/>
          <w:lang w:val="en-GB" w:eastAsia="en-GB"/>
        </w:rPr>
        <w:t xml:space="preserve"> situations</w:t>
      </w:r>
      <w:r w:rsidR="00616101">
        <w:rPr>
          <w:rFonts w:eastAsia="Times New Roman" w:cs="Arial"/>
          <w:sz w:val="22"/>
          <w:szCs w:val="20"/>
          <w:lang w:val="en-GB" w:eastAsia="en-GB"/>
        </w:rPr>
        <w:t>;</w:t>
      </w:r>
    </w:p>
    <w:p w:rsidR="00DC7D18" w:rsidRDefault="002A7BE5" w:rsidP="00DC7D18">
      <w:pPr>
        <w:numPr>
          <w:ilvl w:val="0"/>
          <w:numId w:val="5"/>
        </w:numPr>
        <w:spacing w:after="0" w:line="280" w:lineRule="atLeast"/>
        <w:ind w:left="1080"/>
        <w:contextualSpacing/>
        <w:rPr>
          <w:rFonts w:eastAsia="Times New Roman" w:cs="Arial"/>
          <w:sz w:val="22"/>
          <w:szCs w:val="20"/>
          <w:lang w:val="en-GB" w:eastAsia="en-GB"/>
        </w:rPr>
      </w:pPr>
      <w:r>
        <w:rPr>
          <w:rFonts w:eastAsia="Times New Roman" w:cs="Arial"/>
          <w:sz w:val="22"/>
          <w:szCs w:val="20"/>
          <w:lang w:val="en-GB" w:eastAsia="en-GB"/>
        </w:rPr>
        <w:t>c</w:t>
      </w:r>
      <w:r w:rsidR="00DC7D18">
        <w:rPr>
          <w:rFonts w:eastAsia="Times New Roman" w:cs="Arial"/>
          <w:sz w:val="22"/>
          <w:szCs w:val="20"/>
          <w:lang w:val="en-GB" w:eastAsia="en-GB"/>
        </w:rPr>
        <w:t>ost recovery</w:t>
      </w:r>
      <w:r>
        <w:rPr>
          <w:rFonts w:eastAsia="Times New Roman" w:cs="Arial"/>
          <w:sz w:val="22"/>
          <w:szCs w:val="20"/>
          <w:lang w:val="en-GB" w:eastAsia="en-GB"/>
        </w:rPr>
        <w:t xml:space="preserve"> and fees</w:t>
      </w:r>
      <w:r w:rsidR="00616101">
        <w:rPr>
          <w:rFonts w:eastAsia="Times New Roman" w:cs="Arial"/>
          <w:sz w:val="22"/>
          <w:szCs w:val="20"/>
          <w:lang w:val="en-GB" w:eastAsia="en-GB"/>
        </w:rPr>
        <w:t>;</w:t>
      </w:r>
      <w:r w:rsidR="00BC75F5">
        <w:rPr>
          <w:rFonts w:eastAsia="Times New Roman" w:cs="Arial"/>
          <w:sz w:val="22"/>
          <w:szCs w:val="20"/>
          <w:lang w:val="en-GB" w:eastAsia="en-GB"/>
        </w:rPr>
        <w:t xml:space="preserve"> and</w:t>
      </w:r>
    </w:p>
    <w:p w:rsidR="00964236" w:rsidRPr="00616101" w:rsidRDefault="00BC75F5" w:rsidP="00616101">
      <w:pPr>
        <w:numPr>
          <w:ilvl w:val="0"/>
          <w:numId w:val="5"/>
        </w:numPr>
        <w:spacing w:after="0" w:line="280" w:lineRule="atLeast"/>
        <w:ind w:left="1080"/>
        <w:contextualSpacing/>
        <w:rPr>
          <w:rFonts w:eastAsia="Times New Roman" w:cs="Arial"/>
          <w:sz w:val="22"/>
          <w:szCs w:val="20"/>
          <w:lang w:val="en-GB" w:eastAsia="en-GB"/>
        </w:rPr>
      </w:pPr>
      <w:r>
        <w:rPr>
          <w:rFonts w:eastAsia="Times New Roman" w:cs="Arial"/>
          <w:sz w:val="22"/>
          <w:szCs w:val="20"/>
          <w:lang w:val="en-GB" w:eastAsia="en-GB"/>
        </w:rPr>
        <w:t xml:space="preserve">the </w:t>
      </w:r>
      <w:r w:rsidR="00616101">
        <w:rPr>
          <w:rFonts w:eastAsia="Times New Roman" w:cs="Arial"/>
          <w:sz w:val="22"/>
          <w:szCs w:val="20"/>
          <w:lang w:val="en-GB" w:eastAsia="en-GB"/>
        </w:rPr>
        <w:t xml:space="preserve">form of </w:t>
      </w:r>
      <w:r w:rsidR="002A7BE5">
        <w:rPr>
          <w:rFonts w:eastAsia="Times New Roman" w:cs="Arial"/>
          <w:sz w:val="22"/>
          <w:szCs w:val="20"/>
          <w:lang w:val="en-GB" w:eastAsia="en-GB"/>
        </w:rPr>
        <w:t>warrants of appointment for enforcement officers</w:t>
      </w:r>
      <w:r w:rsidR="00616101">
        <w:rPr>
          <w:rFonts w:eastAsia="Times New Roman" w:cs="Arial"/>
          <w:sz w:val="22"/>
          <w:szCs w:val="20"/>
          <w:lang w:val="en-GB" w:eastAsia="en-GB"/>
        </w:rPr>
        <w:t xml:space="preserve"> and </w:t>
      </w:r>
      <w:r w:rsidR="00DC7D18" w:rsidRPr="00616101">
        <w:rPr>
          <w:rFonts w:eastAsia="Times New Roman" w:cs="Arial"/>
          <w:sz w:val="22"/>
          <w:szCs w:val="20"/>
          <w:lang w:val="en-GB" w:eastAsia="en-GB"/>
        </w:rPr>
        <w:t>process for serving compliance orders.</w:t>
      </w:r>
    </w:p>
    <w:p w:rsidR="000B6227" w:rsidRDefault="000B6227" w:rsidP="00964236">
      <w:pPr>
        <w:spacing w:after="0" w:line="280" w:lineRule="atLeast"/>
        <w:contextualSpacing/>
        <w:rPr>
          <w:rFonts w:eastAsia="Times New Roman" w:cs="Arial"/>
          <w:sz w:val="22"/>
          <w:szCs w:val="20"/>
          <w:lang w:val="en-GB" w:eastAsia="en-GB"/>
        </w:rPr>
      </w:pPr>
    </w:p>
    <w:p w:rsidR="00756D51" w:rsidRDefault="00756D51" w:rsidP="00964236">
      <w:pPr>
        <w:spacing w:after="0" w:line="280" w:lineRule="atLeast"/>
        <w:contextualSpacing/>
        <w:rPr>
          <w:rFonts w:eastAsia="Times New Roman" w:cs="Arial"/>
          <w:sz w:val="22"/>
          <w:szCs w:val="20"/>
          <w:lang w:val="en-GB" w:eastAsia="en-GB"/>
        </w:rPr>
      </w:pPr>
    </w:p>
    <w:p w:rsidR="00756D51" w:rsidRPr="00964236" w:rsidRDefault="00756D51" w:rsidP="00964236">
      <w:pPr>
        <w:spacing w:after="0" w:line="280" w:lineRule="atLeast"/>
        <w:contextualSpacing/>
        <w:rPr>
          <w:rFonts w:eastAsia="Times New Roman" w:cs="Arial"/>
          <w:sz w:val="22"/>
          <w:szCs w:val="20"/>
          <w:lang w:val="en-GB" w:eastAsia="en-GB"/>
        </w:rPr>
      </w:pPr>
    </w:p>
    <w:p w:rsidR="00DC7D18" w:rsidRDefault="00E742E2" w:rsidP="00DC7D18">
      <w:pPr>
        <w:spacing w:after="0" w:line="280" w:lineRule="exact"/>
        <w:ind w:left="284" w:hanging="284"/>
        <w:rPr>
          <w:rFonts w:eastAsia="Times New Roman" w:cs="Times New Roman"/>
          <w:i/>
          <w:sz w:val="22"/>
          <w:lang w:val="en-AU"/>
        </w:rPr>
      </w:pPr>
      <w:r>
        <w:rPr>
          <w:rFonts w:eastAsia="Times New Roman" w:cs="Times New Roman"/>
          <w:i/>
          <w:sz w:val="22"/>
          <w:lang w:val="en-AU"/>
        </w:rPr>
        <w:t xml:space="preserve">Proposed fees and cost recovery under </w:t>
      </w:r>
      <w:r w:rsidR="00DC7D18">
        <w:rPr>
          <w:rFonts w:eastAsia="Times New Roman" w:cs="Times New Roman"/>
          <w:i/>
          <w:sz w:val="22"/>
          <w:lang w:val="en-AU"/>
        </w:rPr>
        <w:t>the new Act</w:t>
      </w:r>
    </w:p>
    <w:p w:rsidR="00DC7D18" w:rsidRDefault="00DC7D18" w:rsidP="00DC7D18">
      <w:pPr>
        <w:spacing w:after="0" w:line="280" w:lineRule="exact"/>
        <w:rPr>
          <w:rFonts w:eastAsia="Times New Roman" w:cs="Times New Roman"/>
          <w:sz w:val="22"/>
          <w:lang w:val="en-AU"/>
        </w:rPr>
      </w:pPr>
    </w:p>
    <w:p w:rsidR="00DC7D18" w:rsidRDefault="00DC7D18"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 xml:space="preserve">Everyone with control and management of a radiation source must </w:t>
      </w:r>
      <w:r w:rsidR="00E742E2">
        <w:rPr>
          <w:rFonts w:eastAsia="Times New Roman" w:cs="Times New Roman"/>
          <w:sz w:val="22"/>
          <w:lang w:val="en-AU"/>
        </w:rPr>
        <w:t>obtain</w:t>
      </w:r>
      <w:r>
        <w:rPr>
          <w:rFonts w:eastAsia="Times New Roman" w:cs="Times New Roman"/>
          <w:sz w:val="22"/>
          <w:lang w:val="en-AU"/>
        </w:rPr>
        <w:t xml:space="preserve"> a source licence</w:t>
      </w:r>
      <w:r w:rsidR="005C1C80">
        <w:rPr>
          <w:rFonts w:eastAsia="Times New Roman" w:cs="Times New Roman"/>
          <w:sz w:val="22"/>
          <w:lang w:val="en-AU"/>
        </w:rPr>
        <w:t xml:space="preserve">, and those </w:t>
      </w:r>
      <w:r w:rsidR="00CC4A8F">
        <w:rPr>
          <w:rFonts w:eastAsia="Times New Roman" w:cs="Times New Roman"/>
          <w:sz w:val="22"/>
          <w:lang w:val="en-AU"/>
        </w:rPr>
        <w:t>who use</w:t>
      </w:r>
      <w:r>
        <w:rPr>
          <w:rFonts w:eastAsia="Times New Roman" w:cs="Times New Roman"/>
          <w:sz w:val="22"/>
          <w:lang w:val="en-AU"/>
        </w:rPr>
        <w:t xml:space="preserve"> </w:t>
      </w:r>
      <w:r w:rsidR="005C1C80">
        <w:rPr>
          <w:rFonts w:eastAsia="Times New Roman" w:cs="Times New Roman"/>
          <w:sz w:val="22"/>
          <w:lang w:val="en-AU"/>
        </w:rPr>
        <w:t xml:space="preserve">a </w:t>
      </w:r>
      <w:r w:rsidR="00CC4A8F">
        <w:rPr>
          <w:rFonts w:eastAsia="Times New Roman" w:cs="Times New Roman"/>
          <w:sz w:val="22"/>
          <w:lang w:val="en-AU"/>
        </w:rPr>
        <w:t xml:space="preserve">radiation </w:t>
      </w:r>
      <w:r w:rsidR="00EE29D7">
        <w:rPr>
          <w:rFonts w:eastAsia="Times New Roman" w:cs="Times New Roman"/>
          <w:sz w:val="22"/>
          <w:lang w:val="en-AU"/>
        </w:rPr>
        <w:t>source</w:t>
      </w:r>
      <w:r>
        <w:rPr>
          <w:rFonts w:eastAsia="Times New Roman" w:cs="Times New Roman"/>
          <w:sz w:val="22"/>
          <w:lang w:val="en-AU"/>
        </w:rPr>
        <w:t xml:space="preserve"> </w:t>
      </w:r>
      <w:r w:rsidR="00EE29D7">
        <w:rPr>
          <w:rFonts w:eastAsia="Times New Roman" w:cs="Times New Roman"/>
          <w:sz w:val="22"/>
          <w:lang w:val="en-AU"/>
        </w:rPr>
        <w:t>must obtain a use licence</w:t>
      </w:r>
      <w:r w:rsidR="000522C2">
        <w:rPr>
          <w:rFonts w:eastAsia="Times New Roman" w:cs="Times New Roman"/>
          <w:sz w:val="22"/>
          <w:lang w:val="en-AU"/>
        </w:rPr>
        <w:t>, with some statutorily prescribed exceptions</w:t>
      </w:r>
      <w:r w:rsidR="00E742E2">
        <w:rPr>
          <w:rFonts w:eastAsia="Times New Roman" w:cs="Times New Roman"/>
          <w:sz w:val="22"/>
          <w:lang w:val="en-AU"/>
        </w:rPr>
        <w:t xml:space="preserve">.  </w:t>
      </w:r>
      <w:r w:rsidR="00EE29D7">
        <w:rPr>
          <w:rFonts w:eastAsia="Times New Roman" w:cs="Times New Roman"/>
          <w:sz w:val="22"/>
          <w:lang w:val="en-AU"/>
        </w:rPr>
        <w:t>C</w:t>
      </w:r>
      <w:r>
        <w:rPr>
          <w:rFonts w:eastAsia="Times New Roman" w:cs="Times New Roman"/>
          <w:sz w:val="22"/>
          <w:lang w:val="en-AU"/>
        </w:rPr>
        <w:t xml:space="preserve">onsents will be required to import or export radioactive material.  Fees </w:t>
      </w:r>
      <w:r w:rsidR="005937F1">
        <w:rPr>
          <w:rFonts w:eastAsia="Times New Roman" w:cs="Times New Roman"/>
          <w:sz w:val="22"/>
          <w:lang w:val="en-AU"/>
        </w:rPr>
        <w:t>will</w:t>
      </w:r>
      <w:r w:rsidR="00D132BE">
        <w:rPr>
          <w:rFonts w:eastAsia="Times New Roman" w:cs="Times New Roman"/>
          <w:sz w:val="22"/>
          <w:lang w:val="en-AU"/>
        </w:rPr>
        <w:t xml:space="preserve"> be </w:t>
      </w:r>
      <w:r>
        <w:rPr>
          <w:rFonts w:eastAsia="Times New Roman" w:cs="Times New Roman"/>
          <w:sz w:val="22"/>
          <w:lang w:val="en-AU"/>
        </w:rPr>
        <w:t xml:space="preserve">payable for all three kinds of authorisation.  </w:t>
      </w:r>
    </w:p>
    <w:p w:rsidR="000522C2" w:rsidRDefault="000522C2" w:rsidP="000522C2">
      <w:pPr>
        <w:spacing w:after="0" w:line="280" w:lineRule="exact"/>
        <w:rPr>
          <w:rFonts w:eastAsia="Times New Roman" w:cs="Times New Roman"/>
          <w:sz w:val="22"/>
          <w:lang w:val="en-AU"/>
        </w:rPr>
      </w:pPr>
    </w:p>
    <w:p w:rsidR="00DC7D18" w:rsidRPr="000522C2" w:rsidRDefault="000522C2" w:rsidP="000522C2">
      <w:pPr>
        <w:pStyle w:val="ListParagraph"/>
        <w:numPr>
          <w:ilvl w:val="0"/>
          <w:numId w:val="1"/>
        </w:numPr>
        <w:spacing w:after="0" w:line="280" w:lineRule="exact"/>
        <w:rPr>
          <w:rFonts w:eastAsia="Times New Roman" w:cs="Times New Roman"/>
          <w:sz w:val="22"/>
          <w:lang w:val="en-AU"/>
        </w:rPr>
      </w:pPr>
      <w:r w:rsidRPr="000522C2">
        <w:rPr>
          <w:rFonts w:eastAsia="Times New Roman" w:cs="Times New Roman"/>
          <w:sz w:val="22"/>
          <w:lang w:val="en-AU"/>
        </w:rPr>
        <w:t>Costs cannot be recovered unless there has been appropriate consultation with people or organisations which the Minister considers representative of the interests of those likely to be substantially affected by the exercise of the power.  Those consulted must have been given sufficient time and information to make an informed contribution.</w:t>
      </w:r>
    </w:p>
    <w:p w:rsidR="00DC7D18" w:rsidRDefault="00DC7D18" w:rsidP="00DC7D18">
      <w:pPr>
        <w:spacing w:after="0"/>
        <w:rPr>
          <w:sz w:val="22"/>
          <w:lang w:val="en-GB" w:eastAsia="en-GB"/>
        </w:rPr>
      </w:pPr>
    </w:p>
    <w:p w:rsidR="00DC7D18" w:rsidRDefault="00DC7D18" w:rsidP="00616101">
      <w:pPr>
        <w:numPr>
          <w:ilvl w:val="0"/>
          <w:numId w:val="1"/>
        </w:numPr>
        <w:spacing w:after="24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Regulations can permit full cost recovery of both the direct and indirect costs</w:t>
      </w:r>
      <w:r w:rsidR="00EE29D7">
        <w:rPr>
          <w:rFonts w:eastAsia="Times New Roman" w:cs="Times New Roman"/>
          <w:sz w:val="22"/>
          <w:szCs w:val="20"/>
          <w:lang w:val="en-GB" w:eastAsia="en-GB"/>
        </w:rPr>
        <w:t>.  T</w:t>
      </w:r>
      <w:r>
        <w:rPr>
          <w:rFonts w:eastAsia="Times New Roman" w:cs="Times New Roman"/>
          <w:sz w:val="22"/>
          <w:szCs w:val="20"/>
          <w:lang w:val="en-GB" w:eastAsia="en-GB"/>
        </w:rPr>
        <w:t>he Act also confirms that c</w:t>
      </w:r>
      <w:r w:rsidR="00EE29D7">
        <w:rPr>
          <w:rFonts w:eastAsia="Times New Roman" w:cs="Times New Roman"/>
          <w:sz w:val="22"/>
          <w:szCs w:val="20"/>
          <w:lang w:val="en-GB" w:eastAsia="en-GB"/>
        </w:rPr>
        <w:t xml:space="preserve">ompliance verification </w:t>
      </w:r>
      <w:r w:rsidR="005C1C80">
        <w:rPr>
          <w:rFonts w:eastAsia="Times New Roman" w:cs="Times New Roman"/>
          <w:sz w:val="22"/>
          <w:szCs w:val="20"/>
          <w:lang w:val="en-GB" w:eastAsia="en-GB"/>
        </w:rPr>
        <w:t xml:space="preserve">costs </w:t>
      </w:r>
      <w:r w:rsidR="00EE29D7">
        <w:rPr>
          <w:rFonts w:eastAsia="Times New Roman" w:cs="Times New Roman"/>
          <w:sz w:val="22"/>
          <w:szCs w:val="20"/>
          <w:lang w:val="en-GB" w:eastAsia="en-GB"/>
        </w:rPr>
        <w:t xml:space="preserve">can </w:t>
      </w:r>
      <w:r>
        <w:rPr>
          <w:rFonts w:eastAsia="Times New Roman" w:cs="Times New Roman"/>
          <w:sz w:val="22"/>
          <w:szCs w:val="20"/>
          <w:lang w:val="en-GB" w:eastAsia="en-GB"/>
        </w:rPr>
        <w:t>be recovered.</w:t>
      </w:r>
    </w:p>
    <w:p w:rsidR="00DC7D18" w:rsidRDefault="00DC7D18" w:rsidP="00DC7D18">
      <w:pPr>
        <w:spacing w:after="0"/>
        <w:rPr>
          <w:i/>
          <w:sz w:val="22"/>
        </w:rPr>
      </w:pPr>
    </w:p>
    <w:p w:rsidR="00DC7D18" w:rsidRDefault="00DC7D18" w:rsidP="00DC7D18">
      <w:pPr>
        <w:spacing w:after="0"/>
        <w:rPr>
          <w:i/>
          <w:sz w:val="22"/>
        </w:rPr>
      </w:pPr>
      <w:r>
        <w:rPr>
          <w:i/>
          <w:sz w:val="22"/>
        </w:rPr>
        <w:t xml:space="preserve">Issues </w:t>
      </w:r>
      <w:r w:rsidR="00964236">
        <w:rPr>
          <w:i/>
          <w:sz w:val="22"/>
        </w:rPr>
        <w:t>affecting</w:t>
      </w:r>
      <w:r>
        <w:rPr>
          <w:i/>
          <w:sz w:val="22"/>
        </w:rPr>
        <w:t xml:space="preserve"> the Regulations</w:t>
      </w:r>
    </w:p>
    <w:p w:rsidR="00DC7D18" w:rsidRDefault="00DC7D18" w:rsidP="00DC7D18">
      <w:pPr>
        <w:spacing w:after="0"/>
        <w:rPr>
          <w:sz w:val="22"/>
        </w:rPr>
      </w:pPr>
    </w:p>
    <w:p w:rsidR="00DC7D18" w:rsidRDefault="00F47913"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T</w:t>
      </w:r>
      <w:r w:rsidR="00E742E2">
        <w:rPr>
          <w:rFonts w:eastAsia="Times New Roman" w:cs="Times New Roman"/>
          <w:sz w:val="22"/>
          <w:szCs w:val="20"/>
          <w:lang w:val="en-GB" w:eastAsia="en-GB"/>
        </w:rPr>
        <w:t>wo significant</w:t>
      </w:r>
      <w:r w:rsidR="00DC7D18">
        <w:rPr>
          <w:rFonts w:eastAsia="Times New Roman" w:cs="Times New Roman"/>
          <w:sz w:val="22"/>
          <w:szCs w:val="20"/>
          <w:lang w:val="en-GB" w:eastAsia="en-GB"/>
        </w:rPr>
        <w:t xml:space="preserve"> is</w:t>
      </w:r>
      <w:r w:rsidR="00E742E2">
        <w:rPr>
          <w:rFonts w:eastAsia="Times New Roman" w:cs="Times New Roman"/>
          <w:sz w:val="22"/>
          <w:szCs w:val="20"/>
          <w:lang w:val="en-GB" w:eastAsia="en-GB"/>
        </w:rPr>
        <w:t xml:space="preserve">sues arising from </w:t>
      </w:r>
      <w:r w:rsidR="00DC7D18">
        <w:rPr>
          <w:rFonts w:eastAsia="Times New Roman" w:cs="Times New Roman"/>
          <w:sz w:val="22"/>
          <w:szCs w:val="20"/>
          <w:lang w:val="en-GB" w:eastAsia="en-GB"/>
        </w:rPr>
        <w:t xml:space="preserve">consultation on the proposed Regulations </w:t>
      </w:r>
      <w:r w:rsidR="006E75B2">
        <w:rPr>
          <w:rFonts w:eastAsia="Times New Roman" w:cs="Times New Roman"/>
          <w:sz w:val="22"/>
          <w:szCs w:val="20"/>
          <w:lang w:val="en-GB" w:eastAsia="en-GB"/>
        </w:rPr>
        <w:t>were</w:t>
      </w:r>
      <w:r w:rsidR="00DC7D18">
        <w:rPr>
          <w:rFonts w:eastAsia="Times New Roman" w:cs="Times New Roman"/>
          <w:sz w:val="22"/>
          <w:szCs w:val="20"/>
          <w:lang w:val="en-GB" w:eastAsia="en-GB"/>
        </w:rPr>
        <w:t>:</w:t>
      </w:r>
    </w:p>
    <w:p w:rsidR="00DC7D18" w:rsidRDefault="00DC7D18" w:rsidP="00DC7D18">
      <w:pPr>
        <w:spacing w:after="0" w:line="280" w:lineRule="atLeast"/>
        <w:ind w:left="-360"/>
        <w:contextualSpacing/>
        <w:rPr>
          <w:rFonts w:eastAsia="Times New Roman" w:cs="Times New Roman"/>
          <w:sz w:val="22"/>
          <w:lang w:val="en-GB" w:eastAsia="en-GB"/>
        </w:rPr>
      </w:pPr>
    </w:p>
    <w:p w:rsidR="002E4CE1" w:rsidRDefault="00DC7D18" w:rsidP="002E4CE1">
      <w:pPr>
        <w:numPr>
          <w:ilvl w:val="0"/>
          <w:numId w:val="6"/>
        </w:numPr>
        <w:spacing w:after="0" w:line="280" w:lineRule="atLeast"/>
        <w:ind w:left="1080"/>
        <w:contextualSpacing/>
        <w:rPr>
          <w:rFonts w:eastAsia="Times New Roman" w:cs="Times New Roman"/>
          <w:sz w:val="22"/>
          <w:lang w:val="en-GB" w:eastAsia="en-GB"/>
        </w:rPr>
      </w:pPr>
      <w:r>
        <w:rPr>
          <w:rFonts w:eastAsia="Times New Roman" w:cs="Times New Roman"/>
          <w:sz w:val="22"/>
          <w:lang w:val="en-GB" w:eastAsia="en-GB"/>
        </w:rPr>
        <w:t xml:space="preserve">the </w:t>
      </w:r>
      <w:r w:rsidR="00E742E2">
        <w:rPr>
          <w:rFonts w:eastAsia="Times New Roman" w:cs="Times New Roman"/>
          <w:sz w:val="22"/>
          <w:lang w:val="en-GB" w:eastAsia="en-GB"/>
        </w:rPr>
        <w:t xml:space="preserve">nature and </w:t>
      </w:r>
      <w:r>
        <w:rPr>
          <w:rFonts w:eastAsia="Times New Roman" w:cs="Times New Roman"/>
          <w:sz w:val="22"/>
          <w:lang w:val="en-GB" w:eastAsia="en-GB"/>
        </w:rPr>
        <w:t xml:space="preserve">extent </w:t>
      </w:r>
      <w:r w:rsidR="00E742E2">
        <w:rPr>
          <w:rFonts w:eastAsia="Times New Roman" w:cs="Times New Roman"/>
          <w:sz w:val="22"/>
          <w:lang w:val="en-GB" w:eastAsia="en-GB"/>
        </w:rPr>
        <w:t xml:space="preserve">of Regulations authorising the use </w:t>
      </w:r>
      <w:r w:rsidR="00852185">
        <w:rPr>
          <w:rFonts w:eastAsia="Times New Roman" w:cs="Times New Roman"/>
          <w:sz w:val="22"/>
          <w:lang w:val="en-GB" w:eastAsia="en-GB"/>
        </w:rPr>
        <w:t xml:space="preserve">of </w:t>
      </w:r>
      <w:r w:rsidR="00E742E2">
        <w:rPr>
          <w:rFonts w:eastAsia="Times New Roman" w:cs="Times New Roman"/>
          <w:sz w:val="22"/>
          <w:lang w:val="en-GB" w:eastAsia="en-GB"/>
        </w:rPr>
        <w:t xml:space="preserve">radiation sources without </w:t>
      </w:r>
      <w:r w:rsidR="00216B39">
        <w:rPr>
          <w:rFonts w:eastAsia="Times New Roman" w:cs="Times New Roman"/>
          <w:sz w:val="22"/>
          <w:lang w:val="en-GB" w:eastAsia="en-GB"/>
        </w:rPr>
        <w:t>having a use licence</w:t>
      </w:r>
      <w:r w:rsidR="007A464B">
        <w:rPr>
          <w:rFonts w:eastAsia="Times New Roman" w:cs="Times New Roman"/>
          <w:sz w:val="22"/>
          <w:lang w:val="en-GB" w:eastAsia="en-GB"/>
        </w:rPr>
        <w:t>, thus avoiding application and fee paying requirements</w:t>
      </w:r>
      <w:r w:rsidR="00216B39">
        <w:rPr>
          <w:rFonts w:eastAsia="Times New Roman" w:cs="Times New Roman"/>
          <w:sz w:val="22"/>
          <w:lang w:val="en-GB" w:eastAsia="en-GB"/>
        </w:rPr>
        <w:t>; and</w:t>
      </w:r>
    </w:p>
    <w:p w:rsidR="002E4CE1" w:rsidRDefault="002E4CE1" w:rsidP="002E4CE1">
      <w:pPr>
        <w:spacing w:after="0" w:line="280" w:lineRule="atLeast"/>
        <w:ind w:left="1080"/>
        <w:contextualSpacing/>
        <w:rPr>
          <w:rFonts w:eastAsia="Times New Roman" w:cs="Times New Roman"/>
          <w:sz w:val="22"/>
          <w:lang w:val="en-GB" w:eastAsia="en-GB"/>
        </w:rPr>
      </w:pPr>
    </w:p>
    <w:p w:rsidR="002E4CE1" w:rsidRDefault="00E742E2" w:rsidP="002E4CE1">
      <w:pPr>
        <w:numPr>
          <w:ilvl w:val="0"/>
          <w:numId w:val="6"/>
        </w:numPr>
        <w:spacing w:after="0" w:line="280" w:lineRule="atLeast"/>
        <w:ind w:left="1080"/>
        <w:contextualSpacing/>
        <w:rPr>
          <w:rFonts w:eastAsia="Times New Roman" w:cs="Times New Roman"/>
          <w:sz w:val="22"/>
          <w:lang w:val="en-GB" w:eastAsia="en-GB"/>
        </w:rPr>
      </w:pPr>
      <w:r w:rsidRPr="002E4CE1">
        <w:rPr>
          <w:rFonts w:eastAsia="Times New Roman" w:cs="Times New Roman"/>
          <w:sz w:val="22"/>
          <w:lang w:val="en-GB" w:eastAsia="en-GB"/>
        </w:rPr>
        <w:t>fees payable for authorisations – including whether the Regulations should provide for full or partial cost recovery</w:t>
      </w:r>
      <w:bookmarkStart w:id="36" w:name="_Toc363047104"/>
      <w:bookmarkStart w:id="37" w:name="_Toc362940596"/>
      <w:bookmarkStart w:id="38" w:name="_Toc362619032"/>
      <w:bookmarkStart w:id="39" w:name="_Toc362589332"/>
      <w:bookmarkStart w:id="40" w:name="_Toc362434946"/>
      <w:bookmarkStart w:id="41" w:name="_Toc362368105"/>
      <w:bookmarkStart w:id="42" w:name="_Toc244916996"/>
      <w:bookmarkStart w:id="43" w:name="_Toc244912539"/>
      <w:bookmarkStart w:id="44" w:name="_Toc244857274"/>
      <w:bookmarkStart w:id="45" w:name="_Toc244587040"/>
      <w:bookmarkStart w:id="46" w:name="_Toc244580364"/>
      <w:r w:rsidR="002E4CE1" w:rsidRPr="002E4CE1">
        <w:rPr>
          <w:rFonts w:eastAsia="Times New Roman" w:cs="Times New Roman"/>
          <w:sz w:val="22"/>
          <w:lang w:val="en-GB" w:eastAsia="en-GB"/>
        </w:rPr>
        <w:t>.</w:t>
      </w:r>
    </w:p>
    <w:p w:rsidR="007A464B" w:rsidRDefault="007A464B" w:rsidP="007A464B">
      <w:pPr>
        <w:spacing w:after="0" w:line="280" w:lineRule="atLeast"/>
        <w:contextualSpacing/>
        <w:rPr>
          <w:rFonts w:eastAsia="Times New Roman" w:cs="Times New Roman"/>
          <w:sz w:val="22"/>
          <w:lang w:val="en-GB" w:eastAsia="en-GB"/>
        </w:rPr>
      </w:pPr>
    </w:p>
    <w:p w:rsidR="007A464B" w:rsidRDefault="007A464B" w:rsidP="007A464B">
      <w:pPr>
        <w:pStyle w:val="ListParagraph"/>
        <w:numPr>
          <w:ilvl w:val="0"/>
          <w:numId w:val="1"/>
        </w:numPr>
        <w:spacing w:after="0" w:line="280" w:lineRule="atLeast"/>
        <w:rPr>
          <w:rFonts w:eastAsia="Times New Roman" w:cs="Times New Roman"/>
          <w:sz w:val="22"/>
          <w:lang w:val="en-GB" w:eastAsia="en-GB"/>
        </w:rPr>
      </w:pPr>
      <w:r>
        <w:rPr>
          <w:rFonts w:eastAsia="Times New Roman" w:cs="Times New Roman"/>
          <w:sz w:val="22"/>
          <w:lang w:val="en-GB" w:eastAsia="en-GB"/>
        </w:rPr>
        <w:t xml:space="preserve"> Ancillary issues discussed under </w:t>
      </w:r>
      <w:r w:rsidRPr="007A464B">
        <w:rPr>
          <w:rFonts w:eastAsia="Times New Roman" w:cs="Times New Roman"/>
          <w:color w:val="1F497D" w:themeColor="text2"/>
          <w:sz w:val="22"/>
          <w:lang w:val="en-GB" w:eastAsia="en-GB"/>
        </w:rPr>
        <w:t xml:space="preserve">Options and impact analysis </w:t>
      </w:r>
      <w:r>
        <w:rPr>
          <w:rFonts w:eastAsia="Times New Roman" w:cs="Times New Roman"/>
          <w:sz w:val="22"/>
          <w:lang w:val="en-GB" w:eastAsia="en-GB"/>
        </w:rPr>
        <w:t>are:</w:t>
      </w:r>
    </w:p>
    <w:p w:rsidR="007A464B" w:rsidRDefault="007A464B" w:rsidP="007A464B">
      <w:pPr>
        <w:spacing w:after="0" w:line="280" w:lineRule="atLeast"/>
        <w:rPr>
          <w:rFonts w:eastAsia="Times New Roman" w:cs="Times New Roman"/>
          <w:sz w:val="22"/>
          <w:lang w:val="en-GB" w:eastAsia="en-GB"/>
        </w:rPr>
      </w:pP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Should there be maximum durations for authorisations in the Regulations?</w:t>
      </w: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If yes, what should the maximum durations be?</w:t>
      </w: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What if any groups should be permitted to perform prescribed activities without a use licence?</w:t>
      </w: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Is an exemption from obtaining consents (etc) for temporary arrivals by ship or aircraft where that vessel has a radiation source on board appropriate?</w:t>
      </w: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How should the surplus funds due to historical over recovery of fees be treated?</w:t>
      </w:r>
    </w:p>
    <w:p w:rsid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Is full or partial cost recovery by way of fees preferred?</w:t>
      </w:r>
    </w:p>
    <w:p w:rsidR="007A464B" w:rsidRPr="007A464B" w:rsidRDefault="007A464B" w:rsidP="007A464B">
      <w:pPr>
        <w:pStyle w:val="ListParagraph"/>
        <w:numPr>
          <w:ilvl w:val="0"/>
          <w:numId w:val="15"/>
        </w:numPr>
        <w:spacing w:after="0" w:line="280" w:lineRule="atLeast"/>
        <w:rPr>
          <w:rFonts w:eastAsia="Times New Roman" w:cs="Times New Roman"/>
          <w:sz w:val="22"/>
          <w:lang w:val="en-GB" w:eastAsia="en-GB"/>
        </w:rPr>
      </w:pPr>
      <w:r>
        <w:rPr>
          <w:rFonts w:eastAsia="Times New Roman" w:cs="Times New Roman"/>
          <w:sz w:val="22"/>
          <w:lang w:val="en-GB" w:eastAsia="en-GB"/>
        </w:rPr>
        <w:t>What exemptions from registration and authorisation should be provided for low-exposure and low-probability situations?</w:t>
      </w:r>
    </w:p>
    <w:p w:rsidR="00DC7D18" w:rsidRPr="002E4CE1" w:rsidRDefault="00DC7D18" w:rsidP="002E4CE1">
      <w:pPr>
        <w:keepNext/>
        <w:spacing w:before="240" w:after="180" w:line="240" w:lineRule="auto"/>
        <w:contextualSpacing/>
        <w:outlineLvl w:val="1"/>
        <w:rPr>
          <w:rFonts w:eastAsia="Times New Roman" w:cs="Times New Roman"/>
          <w:b/>
          <w:color w:val="335087"/>
          <w:spacing w:val="20"/>
          <w:w w:val="90"/>
          <w:sz w:val="32"/>
          <w:szCs w:val="24"/>
          <w:lang w:val="en-GB" w:eastAsia="en-GB"/>
        </w:rPr>
      </w:pPr>
      <w:r w:rsidRPr="002E4CE1">
        <w:rPr>
          <w:rFonts w:eastAsia="Times New Roman" w:cs="Times New Roman"/>
          <w:b/>
          <w:color w:val="335087"/>
          <w:spacing w:val="20"/>
          <w:w w:val="90"/>
          <w:sz w:val="32"/>
          <w:szCs w:val="24"/>
          <w:lang w:val="en-GB" w:eastAsia="en-GB"/>
        </w:rPr>
        <w:t>Objectives</w:t>
      </w:r>
      <w:bookmarkEnd w:id="36"/>
      <w:bookmarkEnd w:id="37"/>
      <w:bookmarkEnd w:id="38"/>
      <w:bookmarkEnd w:id="39"/>
      <w:bookmarkEnd w:id="40"/>
      <w:bookmarkEnd w:id="41"/>
      <w:bookmarkEnd w:id="42"/>
      <w:bookmarkEnd w:id="43"/>
      <w:bookmarkEnd w:id="44"/>
      <w:bookmarkEnd w:id="45"/>
      <w:bookmarkEnd w:id="46"/>
    </w:p>
    <w:p w:rsidR="002E4CE1" w:rsidRDefault="002E4CE1" w:rsidP="002E4CE1">
      <w:pPr>
        <w:spacing w:after="240" w:line="280" w:lineRule="atLeast"/>
        <w:ind w:left="360"/>
        <w:contextualSpacing/>
        <w:rPr>
          <w:rFonts w:eastAsia="Times New Roman" w:cs="Times New Roman"/>
          <w:sz w:val="22"/>
          <w:szCs w:val="20"/>
          <w:lang w:val="en-GB" w:eastAsia="en-GB"/>
        </w:rPr>
      </w:pPr>
    </w:p>
    <w:p w:rsidR="00756D51" w:rsidRDefault="00971284" w:rsidP="00616101">
      <w:pPr>
        <w:numPr>
          <w:ilvl w:val="0"/>
          <w:numId w:val="1"/>
        </w:numPr>
        <w:spacing w:after="24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T</w:t>
      </w:r>
      <w:r w:rsidR="00DC7D18">
        <w:rPr>
          <w:rFonts w:eastAsia="Times New Roman" w:cs="Times New Roman"/>
          <w:sz w:val="22"/>
          <w:szCs w:val="20"/>
          <w:lang w:val="en-GB" w:eastAsia="en-GB"/>
        </w:rPr>
        <w:t>he objective</w:t>
      </w:r>
      <w:r w:rsidR="00756D51">
        <w:rPr>
          <w:rFonts w:eastAsia="Times New Roman" w:cs="Times New Roman"/>
          <w:sz w:val="22"/>
          <w:szCs w:val="20"/>
          <w:lang w:val="en-GB" w:eastAsia="en-GB"/>
        </w:rPr>
        <w:t>s</w:t>
      </w:r>
      <w:r w:rsidR="00DC7D18">
        <w:rPr>
          <w:rFonts w:eastAsia="Times New Roman" w:cs="Times New Roman"/>
          <w:sz w:val="22"/>
          <w:szCs w:val="20"/>
          <w:lang w:val="en-GB" w:eastAsia="en-GB"/>
        </w:rPr>
        <w:t xml:space="preserve"> </w:t>
      </w:r>
      <w:r>
        <w:rPr>
          <w:rFonts w:eastAsia="Times New Roman" w:cs="Times New Roman"/>
          <w:sz w:val="22"/>
          <w:szCs w:val="20"/>
          <w:lang w:val="en-GB" w:eastAsia="en-GB"/>
        </w:rPr>
        <w:t>of the proposed Regulations</w:t>
      </w:r>
      <w:r w:rsidR="00EC11FD">
        <w:rPr>
          <w:rFonts w:eastAsia="Times New Roman" w:cs="Times New Roman"/>
          <w:sz w:val="22"/>
          <w:szCs w:val="20"/>
          <w:lang w:val="en-GB" w:eastAsia="en-GB"/>
        </w:rPr>
        <w:t xml:space="preserve"> </w:t>
      </w:r>
      <w:r w:rsidR="00756D51">
        <w:rPr>
          <w:rFonts w:eastAsia="Times New Roman" w:cs="Times New Roman"/>
          <w:sz w:val="22"/>
          <w:szCs w:val="20"/>
          <w:lang w:val="en-GB" w:eastAsia="en-GB"/>
        </w:rPr>
        <w:t>are:</w:t>
      </w:r>
    </w:p>
    <w:p w:rsidR="00756D51" w:rsidRDefault="00756D51" w:rsidP="00756D51">
      <w:pPr>
        <w:pStyle w:val="ListParagraph"/>
        <w:numPr>
          <w:ilvl w:val="0"/>
          <w:numId w:val="16"/>
        </w:numPr>
        <w:spacing w:after="240" w:line="280" w:lineRule="atLeast"/>
        <w:rPr>
          <w:rFonts w:eastAsia="Times New Roman" w:cs="Times New Roman"/>
          <w:sz w:val="22"/>
          <w:szCs w:val="20"/>
          <w:lang w:val="en-GB" w:eastAsia="en-GB"/>
        </w:rPr>
      </w:pPr>
      <w:r>
        <w:rPr>
          <w:rFonts w:eastAsia="Times New Roman" w:cs="Times New Roman"/>
          <w:sz w:val="22"/>
          <w:szCs w:val="20"/>
          <w:lang w:val="en-GB" w:eastAsia="en-GB"/>
        </w:rPr>
        <w:t>to prescribe operational necessities required to support the Act; and</w:t>
      </w:r>
    </w:p>
    <w:p w:rsidR="00756D51" w:rsidRDefault="00756D51" w:rsidP="00756D51">
      <w:pPr>
        <w:pStyle w:val="ListParagraph"/>
        <w:spacing w:after="240" w:line="280" w:lineRule="atLeast"/>
        <w:ind w:left="1080"/>
        <w:rPr>
          <w:rFonts w:eastAsia="Times New Roman" w:cs="Times New Roman"/>
          <w:sz w:val="22"/>
          <w:szCs w:val="20"/>
          <w:lang w:val="en-GB" w:eastAsia="en-GB"/>
        </w:rPr>
      </w:pPr>
    </w:p>
    <w:p w:rsidR="00DC7D18" w:rsidRPr="00756D51" w:rsidRDefault="00756D51" w:rsidP="00756D51">
      <w:pPr>
        <w:pStyle w:val="ListParagraph"/>
        <w:numPr>
          <w:ilvl w:val="0"/>
          <w:numId w:val="16"/>
        </w:numPr>
        <w:spacing w:after="240" w:line="280" w:lineRule="atLeast"/>
        <w:rPr>
          <w:rFonts w:eastAsia="Times New Roman" w:cs="Times New Roman"/>
          <w:sz w:val="22"/>
          <w:szCs w:val="20"/>
          <w:lang w:val="en-GB" w:eastAsia="en-GB"/>
        </w:rPr>
      </w:pPr>
      <w:r>
        <w:rPr>
          <w:rFonts w:eastAsia="Times New Roman" w:cs="Times New Roman"/>
          <w:sz w:val="22"/>
          <w:szCs w:val="20"/>
          <w:lang w:val="en-GB" w:eastAsia="en-GB"/>
        </w:rPr>
        <w:t>t</w:t>
      </w:r>
      <w:r w:rsidR="00EC11FD" w:rsidRPr="00756D51">
        <w:rPr>
          <w:rFonts w:eastAsia="Times New Roman" w:cs="Times New Roman"/>
          <w:sz w:val="22"/>
          <w:szCs w:val="20"/>
          <w:lang w:val="en-GB" w:eastAsia="en-GB"/>
        </w:rPr>
        <w:t xml:space="preserve">o regulate the use of radiation sources in an appropriate way.  </w:t>
      </w:r>
      <w:r>
        <w:rPr>
          <w:rFonts w:eastAsia="Times New Roman" w:cs="Times New Roman"/>
          <w:sz w:val="22"/>
          <w:szCs w:val="20"/>
          <w:lang w:val="en-GB" w:eastAsia="en-GB"/>
        </w:rPr>
        <w:t>To that end, w</w:t>
      </w:r>
      <w:r w:rsidR="00EC11FD" w:rsidRPr="00756D51">
        <w:rPr>
          <w:rFonts w:eastAsia="Times New Roman" w:cs="Times New Roman"/>
          <w:sz w:val="22"/>
          <w:szCs w:val="20"/>
          <w:lang w:val="en-GB" w:eastAsia="en-GB"/>
        </w:rPr>
        <w:t>e seek</w:t>
      </w:r>
      <w:r w:rsidR="00DC7D18" w:rsidRPr="00756D51">
        <w:rPr>
          <w:rFonts w:eastAsia="Times New Roman" w:cs="Times New Roman"/>
          <w:sz w:val="22"/>
          <w:szCs w:val="20"/>
          <w:lang w:val="en-GB" w:eastAsia="en-GB"/>
        </w:rPr>
        <w:t>:</w:t>
      </w:r>
      <w:r w:rsidR="00971284" w:rsidRPr="00756D51">
        <w:rPr>
          <w:rFonts w:eastAsia="Times New Roman" w:cs="Times New Roman"/>
          <w:sz w:val="22"/>
          <w:szCs w:val="20"/>
          <w:lang w:val="en-GB" w:eastAsia="en-GB"/>
        </w:rPr>
        <w:t xml:space="preserve">  </w:t>
      </w:r>
    </w:p>
    <w:p w:rsidR="00DC7D18" w:rsidRDefault="00DC7D18" w:rsidP="00DC7D18">
      <w:pPr>
        <w:spacing w:after="240" w:line="280" w:lineRule="atLeast"/>
        <w:ind w:left="360"/>
        <w:contextualSpacing/>
        <w:rPr>
          <w:rFonts w:eastAsia="Times New Roman" w:cs="Times New Roman"/>
          <w:sz w:val="22"/>
          <w:szCs w:val="20"/>
          <w:lang w:val="en-GB" w:eastAsia="en-GB"/>
        </w:rPr>
      </w:pPr>
    </w:p>
    <w:p w:rsidR="0039180B" w:rsidRDefault="0039180B" w:rsidP="0039180B">
      <w:pPr>
        <w:numPr>
          <w:ilvl w:val="0"/>
          <w:numId w:val="7"/>
        </w:numPr>
        <w:spacing w:after="240" w:line="280" w:lineRule="atLeast"/>
        <w:ind w:left="1080"/>
        <w:contextualSpacing/>
        <w:rPr>
          <w:rFonts w:eastAsia="Times New Roman" w:cs="Times New Roman"/>
          <w:sz w:val="22"/>
          <w:szCs w:val="20"/>
          <w:lang w:val="en-GB" w:eastAsia="en-GB"/>
        </w:rPr>
      </w:pPr>
      <w:r>
        <w:rPr>
          <w:rFonts w:eastAsia="Times New Roman" w:cs="Times New Roman"/>
          <w:sz w:val="22"/>
          <w:szCs w:val="20"/>
          <w:lang w:val="en-GB" w:eastAsia="en-GB"/>
        </w:rPr>
        <w:t>proportionality - applying a graded approach so that the full range of risks and varying uses of ionising radiation will be appropriately managed;</w:t>
      </w:r>
    </w:p>
    <w:p w:rsidR="0039180B" w:rsidRDefault="0039180B" w:rsidP="0039180B">
      <w:pPr>
        <w:spacing w:after="240" w:line="280" w:lineRule="atLeast"/>
        <w:ind w:left="1080"/>
        <w:contextualSpacing/>
        <w:rPr>
          <w:rFonts w:eastAsia="Times New Roman" w:cs="Times New Roman"/>
          <w:sz w:val="22"/>
          <w:szCs w:val="20"/>
          <w:lang w:val="en-GB" w:eastAsia="en-GB"/>
        </w:rPr>
      </w:pPr>
    </w:p>
    <w:p w:rsidR="00216B39" w:rsidRDefault="009D56C9" w:rsidP="002767C8">
      <w:pPr>
        <w:numPr>
          <w:ilvl w:val="0"/>
          <w:numId w:val="7"/>
        </w:numPr>
        <w:spacing w:after="240" w:line="280" w:lineRule="atLeast"/>
        <w:ind w:left="1080"/>
        <w:contextualSpacing/>
        <w:rPr>
          <w:rFonts w:eastAsia="Times New Roman" w:cs="Times New Roman"/>
          <w:sz w:val="22"/>
          <w:szCs w:val="20"/>
          <w:lang w:val="en-GB" w:eastAsia="en-GB"/>
        </w:rPr>
      </w:pPr>
      <w:r>
        <w:rPr>
          <w:rFonts w:eastAsia="Times New Roman" w:cs="Times New Roman"/>
          <w:sz w:val="22"/>
          <w:szCs w:val="20"/>
          <w:lang w:val="en-GB" w:eastAsia="en-GB"/>
        </w:rPr>
        <w:t>simplicity</w:t>
      </w:r>
      <w:r w:rsidR="0039180B">
        <w:rPr>
          <w:rFonts w:eastAsia="Times New Roman" w:cs="Times New Roman"/>
          <w:sz w:val="22"/>
          <w:szCs w:val="20"/>
          <w:lang w:val="en-GB" w:eastAsia="en-GB"/>
        </w:rPr>
        <w:t xml:space="preserve"> </w:t>
      </w:r>
      <w:r>
        <w:rPr>
          <w:rFonts w:eastAsia="Times New Roman" w:cs="Times New Roman"/>
          <w:sz w:val="22"/>
          <w:szCs w:val="20"/>
          <w:lang w:val="en-GB" w:eastAsia="en-GB"/>
        </w:rPr>
        <w:t xml:space="preserve"> – creating a straightforward, usable framework avoiding unnecessary administrative or compliance burden;</w:t>
      </w:r>
    </w:p>
    <w:p w:rsidR="002767C8" w:rsidRDefault="002767C8" w:rsidP="002767C8">
      <w:pPr>
        <w:spacing w:after="240" w:line="280" w:lineRule="atLeast"/>
        <w:ind w:left="1080"/>
        <w:contextualSpacing/>
        <w:rPr>
          <w:rFonts w:eastAsia="Times New Roman" w:cs="Times New Roman"/>
          <w:sz w:val="22"/>
          <w:szCs w:val="20"/>
          <w:lang w:val="en-GB" w:eastAsia="en-GB"/>
        </w:rPr>
      </w:pPr>
    </w:p>
    <w:p w:rsidR="003F0787" w:rsidRDefault="009D56C9" w:rsidP="003F0787">
      <w:pPr>
        <w:numPr>
          <w:ilvl w:val="0"/>
          <w:numId w:val="7"/>
        </w:numPr>
        <w:spacing w:after="240" w:line="280" w:lineRule="atLeast"/>
        <w:ind w:left="1080"/>
        <w:contextualSpacing/>
        <w:rPr>
          <w:rFonts w:eastAsia="Times New Roman" w:cs="Times New Roman"/>
          <w:sz w:val="22"/>
          <w:szCs w:val="20"/>
          <w:lang w:val="en-GB" w:eastAsia="en-GB"/>
        </w:rPr>
      </w:pPr>
      <w:r>
        <w:rPr>
          <w:rFonts w:eastAsia="Times New Roman" w:cs="Times New Roman"/>
          <w:sz w:val="22"/>
          <w:szCs w:val="20"/>
          <w:lang w:val="en-GB" w:eastAsia="en-GB"/>
        </w:rPr>
        <w:t>c</w:t>
      </w:r>
      <w:r w:rsidR="00DC7D18" w:rsidRPr="00A90CFC">
        <w:rPr>
          <w:rFonts w:eastAsia="Times New Roman" w:cs="Times New Roman"/>
          <w:sz w:val="22"/>
          <w:szCs w:val="20"/>
          <w:lang w:val="en-GB" w:eastAsia="en-GB"/>
        </w:rPr>
        <w:t xml:space="preserve">ertainty in cases where this is necessary </w:t>
      </w:r>
      <w:r>
        <w:rPr>
          <w:rFonts w:eastAsia="Times New Roman" w:cs="Times New Roman"/>
          <w:sz w:val="22"/>
          <w:szCs w:val="20"/>
          <w:lang w:val="en-GB" w:eastAsia="en-GB"/>
        </w:rPr>
        <w:t xml:space="preserve"> - such as by</w:t>
      </w:r>
      <w:r w:rsidR="00DC7D18" w:rsidRPr="00A90CFC">
        <w:rPr>
          <w:rFonts w:eastAsia="Times New Roman" w:cs="Times New Roman"/>
          <w:sz w:val="22"/>
          <w:szCs w:val="20"/>
          <w:lang w:val="en-GB" w:eastAsia="en-GB"/>
        </w:rPr>
        <w:t xml:space="preserve"> specifying requirements to be included in warrants of appointment and for the se</w:t>
      </w:r>
      <w:r>
        <w:rPr>
          <w:rFonts w:eastAsia="Times New Roman" w:cs="Times New Roman"/>
          <w:sz w:val="22"/>
          <w:szCs w:val="20"/>
          <w:lang w:val="en-GB" w:eastAsia="en-GB"/>
        </w:rPr>
        <w:t>rvice of compliance orders; and</w:t>
      </w:r>
    </w:p>
    <w:p w:rsidR="003F0787" w:rsidRDefault="003F0787" w:rsidP="003F0787">
      <w:pPr>
        <w:spacing w:after="240" w:line="280" w:lineRule="atLeast"/>
        <w:ind w:left="1080"/>
        <w:contextualSpacing/>
        <w:rPr>
          <w:rFonts w:eastAsia="Times New Roman" w:cs="Times New Roman"/>
          <w:sz w:val="22"/>
          <w:szCs w:val="20"/>
          <w:lang w:val="en-GB" w:eastAsia="en-GB"/>
        </w:rPr>
      </w:pPr>
    </w:p>
    <w:p w:rsidR="00A90CFC" w:rsidRDefault="009D56C9" w:rsidP="003F0787">
      <w:pPr>
        <w:numPr>
          <w:ilvl w:val="0"/>
          <w:numId w:val="7"/>
        </w:numPr>
        <w:spacing w:after="240" w:line="280" w:lineRule="atLeast"/>
        <w:ind w:left="1080"/>
        <w:contextualSpacing/>
        <w:rPr>
          <w:rFonts w:eastAsia="Times New Roman" w:cs="Times New Roman"/>
          <w:sz w:val="22"/>
          <w:szCs w:val="20"/>
          <w:lang w:val="en-GB" w:eastAsia="en-GB"/>
        </w:rPr>
      </w:pPr>
      <w:r w:rsidRPr="003F0787">
        <w:rPr>
          <w:rFonts w:eastAsia="Times New Roman" w:cs="Times New Roman"/>
          <w:sz w:val="22"/>
          <w:szCs w:val="20"/>
          <w:lang w:val="en-GB" w:eastAsia="en-GB"/>
        </w:rPr>
        <w:t xml:space="preserve">full cost recovery arising from </w:t>
      </w:r>
      <w:r w:rsidR="00D132BE" w:rsidRPr="003F0787">
        <w:rPr>
          <w:rFonts w:eastAsia="Times New Roman" w:cs="Times New Roman"/>
          <w:sz w:val="22"/>
          <w:szCs w:val="20"/>
          <w:lang w:val="en-GB" w:eastAsia="en-GB"/>
        </w:rPr>
        <w:t xml:space="preserve">administering authorisations </w:t>
      </w:r>
      <w:r w:rsidR="005937F1" w:rsidRPr="003F0787">
        <w:rPr>
          <w:rFonts w:eastAsia="Times New Roman" w:cs="Times New Roman"/>
          <w:sz w:val="22"/>
          <w:szCs w:val="20"/>
          <w:lang w:val="en-GB" w:eastAsia="en-GB"/>
        </w:rPr>
        <w:t>and verifying compliance</w:t>
      </w:r>
      <w:r w:rsidR="00F47913" w:rsidRPr="003F0787">
        <w:rPr>
          <w:rFonts w:eastAsia="Times New Roman" w:cs="Times New Roman"/>
          <w:sz w:val="22"/>
          <w:szCs w:val="20"/>
          <w:lang w:val="en-GB" w:eastAsia="en-GB"/>
        </w:rPr>
        <w:t>,</w:t>
      </w:r>
      <w:r w:rsidR="005937F1" w:rsidRPr="003F0787">
        <w:rPr>
          <w:rFonts w:eastAsia="Times New Roman" w:cs="Times New Roman"/>
          <w:sz w:val="22"/>
          <w:szCs w:val="20"/>
          <w:lang w:val="en-GB" w:eastAsia="en-GB"/>
        </w:rPr>
        <w:t xml:space="preserve"> </w:t>
      </w:r>
      <w:r w:rsidR="00DC7D18" w:rsidRPr="003F0787">
        <w:rPr>
          <w:rFonts w:eastAsia="Times New Roman" w:cs="Times New Roman"/>
          <w:sz w:val="22"/>
          <w:szCs w:val="20"/>
          <w:lang w:val="en-GB" w:eastAsia="en-GB"/>
        </w:rPr>
        <w:t>while</w:t>
      </w:r>
      <w:r w:rsidR="00D132BE" w:rsidRPr="003F0787">
        <w:rPr>
          <w:rFonts w:eastAsia="Times New Roman" w:cs="Times New Roman"/>
          <w:sz w:val="22"/>
          <w:szCs w:val="20"/>
          <w:lang w:val="en-GB" w:eastAsia="en-GB"/>
        </w:rPr>
        <w:t xml:space="preserve"> ensuring fees recovered reflect the</w:t>
      </w:r>
      <w:r w:rsidR="0039180B" w:rsidRPr="003F0787">
        <w:rPr>
          <w:rFonts w:eastAsia="Times New Roman" w:cs="Times New Roman"/>
          <w:sz w:val="22"/>
          <w:szCs w:val="20"/>
          <w:lang w:val="en-GB" w:eastAsia="en-GB"/>
        </w:rPr>
        <w:t xml:space="preserve"> statutory principles of equity, efficiency,</w:t>
      </w:r>
      <w:r w:rsidR="00236651" w:rsidRPr="003F0787">
        <w:rPr>
          <w:rFonts w:eastAsia="Times New Roman" w:cs="Times New Roman"/>
          <w:sz w:val="22"/>
          <w:szCs w:val="20"/>
          <w:lang w:val="en-GB" w:eastAsia="en-GB"/>
        </w:rPr>
        <w:t xml:space="preserve"> </w:t>
      </w:r>
      <w:r w:rsidR="0039180B" w:rsidRPr="003F0787">
        <w:rPr>
          <w:rFonts w:eastAsia="Times New Roman" w:cs="Times New Roman"/>
          <w:sz w:val="22"/>
          <w:szCs w:val="20"/>
          <w:lang w:val="en-GB" w:eastAsia="en-GB"/>
        </w:rPr>
        <w:t>justifiability</w:t>
      </w:r>
      <w:r w:rsidR="00236651" w:rsidRPr="003F0787">
        <w:rPr>
          <w:rFonts w:eastAsia="Times New Roman" w:cs="Times New Roman"/>
          <w:sz w:val="22"/>
          <w:szCs w:val="20"/>
          <w:lang w:val="en-GB" w:eastAsia="en-GB"/>
        </w:rPr>
        <w:t xml:space="preserve">, </w:t>
      </w:r>
      <w:r w:rsidR="0039180B" w:rsidRPr="003F0787">
        <w:rPr>
          <w:rFonts w:eastAsia="Times New Roman" w:cs="Times New Roman"/>
          <w:sz w:val="22"/>
          <w:szCs w:val="20"/>
          <w:lang w:val="en-GB" w:eastAsia="en-GB"/>
        </w:rPr>
        <w:t xml:space="preserve">transparency, and </w:t>
      </w:r>
      <w:r w:rsidR="00236651" w:rsidRPr="003F0787">
        <w:rPr>
          <w:rFonts w:eastAsia="Times New Roman" w:cs="Times New Roman"/>
          <w:sz w:val="22"/>
          <w:szCs w:val="20"/>
          <w:lang w:val="en-GB" w:eastAsia="en-GB"/>
        </w:rPr>
        <w:t>ease of administration.</w:t>
      </w:r>
    </w:p>
    <w:p w:rsidR="00BA11B0" w:rsidRDefault="00BA11B0" w:rsidP="00BA11B0">
      <w:pPr>
        <w:rPr>
          <w:rFonts w:eastAsia="Times New Roman" w:cs="Times New Roman"/>
          <w:sz w:val="22"/>
          <w:szCs w:val="20"/>
          <w:lang w:val="en-GB" w:eastAsia="en-GB"/>
        </w:rPr>
      </w:pPr>
    </w:p>
    <w:p w:rsidR="00756D51" w:rsidRPr="00BA11B0" w:rsidRDefault="00BA11B0" w:rsidP="002F3961">
      <w:pPr>
        <w:pStyle w:val="ListParagraph"/>
        <w:numPr>
          <w:ilvl w:val="0"/>
          <w:numId w:val="1"/>
        </w:numPr>
        <w:spacing w:after="240" w:line="280" w:lineRule="atLeast"/>
        <w:rPr>
          <w:rFonts w:eastAsia="Times New Roman" w:cs="Times New Roman"/>
          <w:sz w:val="22"/>
          <w:szCs w:val="20"/>
          <w:lang w:val="en-GB" w:eastAsia="en-GB"/>
        </w:rPr>
      </w:pPr>
      <w:r w:rsidRPr="00BA11B0">
        <w:rPr>
          <w:rFonts w:eastAsia="Times New Roman" w:cs="Times New Roman"/>
          <w:sz w:val="22"/>
          <w:szCs w:val="20"/>
          <w:lang w:val="en-GB" w:eastAsia="en-GB"/>
        </w:rPr>
        <w:t xml:space="preserve">There are timing constraints </w:t>
      </w:r>
      <w:r>
        <w:rPr>
          <w:rFonts w:eastAsia="Times New Roman" w:cs="Times New Roman"/>
          <w:sz w:val="22"/>
          <w:szCs w:val="20"/>
          <w:lang w:val="en-GB" w:eastAsia="en-GB"/>
        </w:rPr>
        <w:t xml:space="preserve">relating to </w:t>
      </w:r>
      <w:r w:rsidRPr="00BA11B0">
        <w:rPr>
          <w:rFonts w:eastAsia="Times New Roman" w:cs="Times New Roman"/>
          <w:sz w:val="22"/>
          <w:szCs w:val="20"/>
          <w:lang w:val="en-GB" w:eastAsia="en-GB"/>
        </w:rPr>
        <w:t xml:space="preserve">when the Regulations must be in force.  They </w:t>
      </w:r>
      <w:r w:rsidR="005A434D">
        <w:rPr>
          <w:rFonts w:eastAsia="Times New Roman" w:cs="Times New Roman"/>
          <w:sz w:val="22"/>
          <w:szCs w:val="20"/>
          <w:lang w:val="en-GB" w:eastAsia="en-GB"/>
        </w:rPr>
        <w:t xml:space="preserve">  </w:t>
      </w:r>
      <w:r w:rsidRPr="00BA11B0">
        <w:rPr>
          <w:rFonts w:eastAsia="Times New Roman" w:cs="Times New Roman"/>
          <w:sz w:val="22"/>
          <w:szCs w:val="20"/>
          <w:lang w:val="en-GB" w:eastAsia="en-GB"/>
        </w:rPr>
        <w:t>must be in force in time for the Act’s commencement on 7 March 2017.</w:t>
      </w:r>
    </w:p>
    <w:p w:rsidR="00DC7D18" w:rsidRDefault="00DC7D18" w:rsidP="003F0787">
      <w:pPr>
        <w:keepNext/>
        <w:tabs>
          <w:tab w:val="left" w:pos="567"/>
        </w:tabs>
        <w:spacing w:after="0" w:line="240" w:lineRule="auto"/>
        <w:ind w:left="57"/>
        <w:outlineLvl w:val="1"/>
        <w:rPr>
          <w:rFonts w:eastAsia="Times New Roman" w:cs="Times New Roman"/>
          <w:b/>
          <w:color w:val="335087"/>
          <w:spacing w:val="20"/>
          <w:w w:val="90"/>
          <w:sz w:val="32"/>
          <w:szCs w:val="24"/>
          <w:lang w:val="en-GB" w:eastAsia="en-GB"/>
        </w:rPr>
      </w:pPr>
      <w:bookmarkStart w:id="47" w:name="_Toc363047105"/>
      <w:bookmarkStart w:id="48" w:name="_Toc362940597"/>
      <w:bookmarkStart w:id="49" w:name="_Toc362619033"/>
      <w:bookmarkStart w:id="50" w:name="_Toc362589333"/>
      <w:bookmarkStart w:id="51" w:name="_Toc362434947"/>
      <w:bookmarkStart w:id="52" w:name="_Toc362368106"/>
      <w:bookmarkStart w:id="53" w:name="_Toc244916997"/>
      <w:bookmarkStart w:id="54" w:name="_Toc244912540"/>
      <w:bookmarkStart w:id="55" w:name="_Toc244857275"/>
      <w:bookmarkStart w:id="56" w:name="_Toc244587041"/>
      <w:bookmarkStart w:id="57" w:name="_Toc244580365"/>
      <w:r>
        <w:rPr>
          <w:rFonts w:eastAsia="Times New Roman" w:cs="Times New Roman"/>
          <w:b/>
          <w:color w:val="335087"/>
          <w:spacing w:val="20"/>
          <w:w w:val="90"/>
          <w:sz w:val="32"/>
          <w:szCs w:val="24"/>
          <w:lang w:val="en-GB" w:eastAsia="en-GB"/>
        </w:rPr>
        <w:t>Options and impact analysis</w:t>
      </w:r>
      <w:bookmarkEnd w:id="47"/>
      <w:bookmarkEnd w:id="48"/>
      <w:bookmarkEnd w:id="49"/>
      <w:bookmarkEnd w:id="50"/>
      <w:bookmarkEnd w:id="51"/>
      <w:bookmarkEnd w:id="52"/>
      <w:bookmarkEnd w:id="53"/>
      <w:bookmarkEnd w:id="54"/>
      <w:bookmarkEnd w:id="55"/>
      <w:bookmarkEnd w:id="56"/>
      <w:bookmarkEnd w:id="57"/>
    </w:p>
    <w:p w:rsidR="002E4CE1" w:rsidRDefault="002E4CE1" w:rsidP="003F0787">
      <w:pPr>
        <w:keepNext/>
        <w:tabs>
          <w:tab w:val="left" w:pos="567"/>
        </w:tabs>
        <w:spacing w:after="0" w:line="240" w:lineRule="auto"/>
        <w:ind w:left="57"/>
        <w:outlineLvl w:val="1"/>
        <w:rPr>
          <w:rFonts w:eastAsia="Times New Roman" w:cs="Times New Roman"/>
          <w:b/>
          <w:color w:val="335087"/>
          <w:spacing w:val="20"/>
          <w:w w:val="90"/>
          <w:sz w:val="32"/>
          <w:szCs w:val="24"/>
          <w:lang w:val="en-GB" w:eastAsia="en-GB"/>
        </w:rPr>
      </w:pPr>
    </w:p>
    <w:p w:rsidR="00DC7D18" w:rsidRDefault="00DC7D18" w:rsidP="00DC7D18">
      <w:pPr>
        <w:spacing w:after="0" w:line="280" w:lineRule="exact"/>
        <w:rPr>
          <w:rFonts w:eastAsia="Times New Roman" w:cs="Times New Roman"/>
          <w:i/>
          <w:sz w:val="22"/>
          <w:lang w:val="en-AU"/>
        </w:rPr>
      </w:pPr>
      <w:r>
        <w:rPr>
          <w:rFonts w:eastAsia="Times New Roman" w:cs="Times New Roman"/>
          <w:i/>
          <w:sz w:val="22"/>
          <w:lang w:val="en-AU"/>
        </w:rPr>
        <w:t>Should there be a maximum duration for authorisations in Regulations?</w:t>
      </w:r>
    </w:p>
    <w:p w:rsidR="00DC7D18" w:rsidRDefault="00DC7D18" w:rsidP="00DC7D18">
      <w:pPr>
        <w:spacing w:after="0" w:line="280" w:lineRule="exact"/>
        <w:rPr>
          <w:rFonts w:eastAsia="Times New Roman" w:cs="Times New Roman"/>
          <w:sz w:val="22"/>
          <w:lang w:val="en-AU"/>
        </w:rPr>
      </w:pPr>
    </w:p>
    <w:p w:rsidR="00DC7D18" w:rsidRDefault="00A90CFC"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Section 91(1)(l) of the Act</w:t>
      </w:r>
      <w:r w:rsidR="00DC7D18">
        <w:rPr>
          <w:rFonts w:eastAsia="Times New Roman" w:cs="Times New Roman"/>
          <w:sz w:val="22"/>
          <w:lang w:val="en-AU"/>
        </w:rPr>
        <w:t xml:space="preserve"> </w:t>
      </w:r>
      <w:r w:rsidR="0039180B">
        <w:rPr>
          <w:rFonts w:eastAsia="Times New Roman" w:cs="Times New Roman"/>
          <w:sz w:val="22"/>
          <w:lang w:val="en-AU"/>
        </w:rPr>
        <w:t xml:space="preserve">enables maximum </w:t>
      </w:r>
      <w:r w:rsidR="00DC7D18">
        <w:rPr>
          <w:rFonts w:eastAsia="Times New Roman" w:cs="Times New Roman"/>
          <w:sz w:val="22"/>
          <w:lang w:val="en-AU"/>
        </w:rPr>
        <w:t xml:space="preserve">periods </w:t>
      </w:r>
      <w:r w:rsidR="0039180B">
        <w:rPr>
          <w:rFonts w:eastAsia="Times New Roman" w:cs="Times New Roman"/>
          <w:sz w:val="22"/>
          <w:lang w:val="en-AU"/>
        </w:rPr>
        <w:t xml:space="preserve">for which authorisations may be granted </w:t>
      </w:r>
      <w:r>
        <w:rPr>
          <w:rFonts w:eastAsia="Times New Roman" w:cs="Times New Roman"/>
          <w:sz w:val="22"/>
          <w:lang w:val="en-AU"/>
        </w:rPr>
        <w:t>to be prescribed</w:t>
      </w:r>
      <w:r w:rsidR="0039180B">
        <w:rPr>
          <w:rFonts w:eastAsia="Times New Roman" w:cs="Times New Roman"/>
          <w:sz w:val="22"/>
          <w:lang w:val="en-AU"/>
        </w:rPr>
        <w:t xml:space="preserve"> by Regulations</w:t>
      </w:r>
      <w:r>
        <w:rPr>
          <w:rFonts w:eastAsia="Times New Roman" w:cs="Times New Roman"/>
          <w:sz w:val="22"/>
          <w:lang w:val="en-AU"/>
        </w:rPr>
        <w:t>.  D</w:t>
      </w:r>
      <w:r w:rsidR="00DC7D18">
        <w:rPr>
          <w:rFonts w:eastAsia="Times New Roman" w:cs="Times New Roman"/>
          <w:sz w:val="22"/>
          <w:lang w:val="en-AU"/>
        </w:rPr>
        <w:t xml:space="preserve">ifferent periods may be prescribed for different </w:t>
      </w:r>
      <w:r>
        <w:rPr>
          <w:rFonts w:eastAsia="Times New Roman" w:cs="Times New Roman"/>
          <w:sz w:val="22"/>
          <w:lang w:val="en-AU"/>
        </w:rPr>
        <w:t>radiation sources</w:t>
      </w:r>
      <w:r w:rsidR="00DC7D18">
        <w:rPr>
          <w:rFonts w:eastAsia="Times New Roman" w:cs="Times New Roman"/>
          <w:sz w:val="22"/>
          <w:lang w:val="en-AU"/>
        </w:rPr>
        <w:t xml:space="preserve"> and purposes.</w:t>
      </w:r>
      <w:r>
        <w:rPr>
          <w:rFonts w:eastAsia="Times New Roman" w:cs="Times New Roman"/>
          <w:sz w:val="22"/>
          <w:lang w:val="en-AU"/>
        </w:rPr>
        <w:t xml:space="preserve">  </w:t>
      </w:r>
    </w:p>
    <w:p w:rsidR="00DC7D18" w:rsidRDefault="00DC7D18" w:rsidP="00DC7D18">
      <w:pPr>
        <w:spacing w:after="0" w:line="280" w:lineRule="exact"/>
        <w:rPr>
          <w:rFonts w:eastAsia="Times New Roman" w:cs="Times New Roman"/>
          <w:sz w:val="22"/>
          <w:u w:val="single"/>
          <w:lang w:val="en-AU"/>
        </w:rPr>
      </w:pPr>
    </w:p>
    <w:p w:rsidR="00DC7D18" w:rsidRDefault="00DC7D18" w:rsidP="00DC7D18">
      <w:pPr>
        <w:spacing w:after="0" w:line="280" w:lineRule="exact"/>
        <w:rPr>
          <w:rFonts w:eastAsia="Times New Roman" w:cs="Times New Roman"/>
          <w:sz w:val="22"/>
          <w:u w:val="single"/>
          <w:lang w:val="en-AU"/>
        </w:rPr>
      </w:pPr>
      <w:r>
        <w:rPr>
          <w:rFonts w:eastAsia="Times New Roman" w:cs="Times New Roman"/>
          <w:sz w:val="22"/>
          <w:u w:val="single"/>
          <w:lang w:val="en-AU"/>
        </w:rPr>
        <w:t xml:space="preserve">Option one </w:t>
      </w:r>
    </w:p>
    <w:p w:rsidR="00DC7D18" w:rsidRDefault="00DC7D18" w:rsidP="00DC7D18">
      <w:pPr>
        <w:spacing w:after="0" w:line="280" w:lineRule="exact"/>
        <w:rPr>
          <w:rFonts w:eastAsia="Times New Roman" w:cs="Times New Roman"/>
          <w:sz w:val="22"/>
          <w:lang w:val="en-AU"/>
        </w:rPr>
      </w:pPr>
    </w:p>
    <w:p w:rsidR="0039180B" w:rsidRDefault="00A90CFC" w:rsidP="00204858">
      <w:pPr>
        <w:numPr>
          <w:ilvl w:val="0"/>
          <w:numId w:val="1"/>
        </w:numPr>
        <w:spacing w:after="0" w:line="280" w:lineRule="exact"/>
        <w:rPr>
          <w:rFonts w:eastAsia="Times New Roman" w:cs="Times New Roman"/>
          <w:sz w:val="22"/>
          <w:lang w:val="en-AU"/>
        </w:rPr>
      </w:pPr>
      <w:r w:rsidRPr="00F47913">
        <w:rPr>
          <w:rFonts w:eastAsia="Times New Roman" w:cs="Times New Roman"/>
          <w:sz w:val="22"/>
          <w:lang w:val="en-AU"/>
        </w:rPr>
        <w:t>Prescribe</w:t>
      </w:r>
      <w:r w:rsidR="00DC7D18" w:rsidRPr="00F47913">
        <w:rPr>
          <w:rFonts w:eastAsia="Times New Roman" w:cs="Times New Roman"/>
          <w:sz w:val="22"/>
          <w:lang w:val="en-AU"/>
        </w:rPr>
        <w:t xml:space="preserve"> maximum durations for the vario</w:t>
      </w:r>
      <w:r w:rsidR="00F47913">
        <w:rPr>
          <w:rFonts w:eastAsia="Times New Roman" w:cs="Times New Roman"/>
          <w:sz w:val="22"/>
          <w:lang w:val="en-AU"/>
        </w:rPr>
        <w:t>us kinds of authorisations.</w:t>
      </w:r>
    </w:p>
    <w:p w:rsidR="00F47913" w:rsidRPr="00F47913" w:rsidRDefault="00F47913" w:rsidP="00F47913">
      <w:pPr>
        <w:spacing w:after="0" w:line="280" w:lineRule="exact"/>
        <w:ind w:left="360"/>
        <w:rPr>
          <w:rFonts w:eastAsia="Times New Roman" w:cs="Times New Roman"/>
          <w:sz w:val="22"/>
          <w:lang w:val="en-AU"/>
        </w:rPr>
      </w:pPr>
    </w:p>
    <w:p w:rsidR="0043586F" w:rsidRDefault="0039180B"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A</w:t>
      </w:r>
      <w:r w:rsidR="00DC7D18">
        <w:rPr>
          <w:rFonts w:eastAsia="Times New Roman" w:cs="Times New Roman"/>
          <w:sz w:val="22"/>
          <w:lang w:val="en-AU"/>
        </w:rPr>
        <w:t>dvantage</w:t>
      </w:r>
      <w:r>
        <w:rPr>
          <w:rFonts w:eastAsia="Times New Roman" w:cs="Times New Roman"/>
          <w:sz w:val="22"/>
          <w:lang w:val="en-AU"/>
        </w:rPr>
        <w:t>s are</w:t>
      </w:r>
      <w:r w:rsidR="00DC7D18">
        <w:rPr>
          <w:rFonts w:eastAsia="Times New Roman" w:cs="Times New Roman"/>
          <w:sz w:val="22"/>
          <w:lang w:val="en-AU"/>
        </w:rPr>
        <w:t xml:space="preserve"> that applicants </w:t>
      </w:r>
      <w:r w:rsidR="0043586F">
        <w:rPr>
          <w:rFonts w:eastAsia="Times New Roman" w:cs="Times New Roman"/>
          <w:sz w:val="22"/>
          <w:lang w:val="en-AU"/>
        </w:rPr>
        <w:t xml:space="preserve">will </w:t>
      </w:r>
      <w:r w:rsidR="00DC7D18">
        <w:rPr>
          <w:rFonts w:eastAsia="Times New Roman" w:cs="Times New Roman"/>
          <w:sz w:val="22"/>
          <w:lang w:val="en-AU"/>
        </w:rPr>
        <w:t xml:space="preserve">know in advance what </w:t>
      </w:r>
      <w:r w:rsidR="0043586F">
        <w:rPr>
          <w:rFonts w:eastAsia="Times New Roman" w:cs="Times New Roman"/>
          <w:sz w:val="22"/>
          <w:lang w:val="en-AU"/>
        </w:rPr>
        <w:t>is required of them</w:t>
      </w:r>
      <w:r w:rsidR="00D132BE">
        <w:rPr>
          <w:rFonts w:eastAsia="Times New Roman" w:cs="Times New Roman"/>
          <w:sz w:val="22"/>
          <w:lang w:val="en-AU"/>
        </w:rPr>
        <w:t xml:space="preserve"> and</w:t>
      </w:r>
      <w:r w:rsidR="0043586F">
        <w:rPr>
          <w:rFonts w:eastAsia="Times New Roman" w:cs="Times New Roman"/>
          <w:sz w:val="22"/>
          <w:lang w:val="en-AU"/>
        </w:rPr>
        <w:t xml:space="preserve"> </w:t>
      </w:r>
      <w:r w:rsidR="00DC7D18">
        <w:rPr>
          <w:rFonts w:eastAsia="Times New Roman" w:cs="Times New Roman"/>
          <w:sz w:val="22"/>
          <w:lang w:val="en-AU"/>
        </w:rPr>
        <w:t xml:space="preserve">the possibility of open-ended authorisations </w:t>
      </w:r>
      <w:r w:rsidR="00D132BE">
        <w:rPr>
          <w:rFonts w:eastAsia="Times New Roman" w:cs="Times New Roman"/>
          <w:sz w:val="22"/>
          <w:lang w:val="en-AU"/>
        </w:rPr>
        <w:t>is avoided.  A</w:t>
      </w:r>
      <w:r w:rsidR="0043586F">
        <w:rPr>
          <w:rFonts w:eastAsia="Times New Roman" w:cs="Times New Roman"/>
          <w:sz w:val="22"/>
          <w:lang w:val="en-AU"/>
        </w:rPr>
        <w:t xml:space="preserve">pplicants </w:t>
      </w:r>
      <w:r w:rsidR="00D132BE">
        <w:rPr>
          <w:rFonts w:eastAsia="Times New Roman" w:cs="Times New Roman"/>
          <w:sz w:val="22"/>
          <w:lang w:val="en-AU"/>
        </w:rPr>
        <w:t xml:space="preserve">will be </w:t>
      </w:r>
      <w:r w:rsidR="0043586F">
        <w:rPr>
          <w:rFonts w:eastAsia="Times New Roman" w:cs="Times New Roman"/>
          <w:sz w:val="22"/>
          <w:lang w:val="en-AU"/>
        </w:rPr>
        <w:t>required to</w:t>
      </w:r>
      <w:r>
        <w:rPr>
          <w:rFonts w:eastAsia="Times New Roman" w:cs="Times New Roman"/>
          <w:sz w:val="22"/>
          <w:lang w:val="en-AU"/>
        </w:rPr>
        <w:t xml:space="preserve"> review their </w:t>
      </w:r>
      <w:r w:rsidR="00D132BE">
        <w:rPr>
          <w:rFonts w:eastAsia="Times New Roman" w:cs="Times New Roman"/>
          <w:sz w:val="22"/>
          <w:lang w:val="en-AU"/>
        </w:rPr>
        <w:t xml:space="preserve">own </w:t>
      </w:r>
      <w:r>
        <w:rPr>
          <w:rFonts w:eastAsia="Times New Roman" w:cs="Times New Roman"/>
          <w:sz w:val="22"/>
          <w:lang w:val="en-AU"/>
        </w:rPr>
        <w:t>arrangements, checking with the Office of Radiation Safety</w:t>
      </w:r>
      <w:r w:rsidR="000B6227">
        <w:rPr>
          <w:rFonts w:eastAsia="Times New Roman" w:cs="Times New Roman"/>
          <w:sz w:val="22"/>
          <w:lang w:val="en-AU"/>
        </w:rPr>
        <w:t xml:space="preserve"> in tandem with making applications for licences and consents</w:t>
      </w:r>
      <w:r w:rsidR="00D132BE">
        <w:rPr>
          <w:rFonts w:eastAsia="Times New Roman" w:cs="Times New Roman"/>
          <w:sz w:val="22"/>
          <w:lang w:val="en-AU"/>
        </w:rPr>
        <w:t>, which will hel</w:t>
      </w:r>
      <w:r w:rsidR="005937F1">
        <w:rPr>
          <w:rFonts w:eastAsia="Times New Roman" w:cs="Times New Roman"/>
          <w:sz w:val="22"/>
          <w:lang w:val="en-AU"/>
        </w:rPr>
        <w:t>p in meeting radiation safety requirement</w:t>
      </w:r>
      <w:r w:rsidR="00F47913">
        <w:rPr>
          <w:rFonts w:eastAsia="Times New Roman" w:cs="Times New Roman"/>
          <w:sz w:val="22"/>
          <w:lang w:val="en-AU"/>
        </w:rPr>
        <w:t>s.</w:t>
      </w:r>
    </w:p>
    <w:p w:rsidR="0043586F" w:rsidRDefault="0043586F" w:rsidP="0043586F">
      <w:pPr>
        <w:spacing w:after="0" w:line="280" w:lineRule="exact"/>
        <w:rPr>
          <w:rFonts w:eastAsia="Times New Roman" w:cs="Times New Roman"/>
          <w:sz w:val="22"/>
          <w:lang w:val="en-AU"/>
        </w:rPr>
      </w:pPr>
    </w:p>
    <w:p w:rsidR="00DC7D18" w:rsidRDefault="00663F93"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 xml:space="preserve">This </w:t>
      </w:r>
      <w:r w:rsidR="00D132BE">
        <w:rPr>
          <w:rFonts w:eastAsia="Times New Roman" w:cs="Times New Roman"/>
          <w:sz w:val="22"/>
          <w:lang w:val="en-AU"/>
        </w:rPr>
        <w:t xml:space="preserve">option </w:t>
      </w:r>
      <w:r>
        <w:rPr>
          <w:rFonts w:eastAsia="Times New Roman" w:cs="Times New Roman"/>
          <w:sz w:val="22"/>
          <w:lang w:val="en-AU"/>
        </w:rPr>
        <w:t xml:space="preserve">may be </w:t>
      </w:r>
      <w:r w:rsidR="00D132BE">
        <w:rPr>
          <w:rFonts w:eastAsia="Times New Roman" w:cs="Times New Roman"/>
          <w:sz w:val="22"/>
          <w:lang w:val="en-AU"/>
        </w:rPr>
        <w:t>less flexible than option two</w:t>
      </w:r>
      <w:r w:rsidR="0043586F">
        <w:rPr>
          <w:rFonts w:eastAsia="Times New Roman" w:cs="Times New Roman"/>
          <w:sz w:val="22"/>
          <w:lang w:val="en-AU"/>
        </w:rPr>
        <w:t>.  However, the Director has discretion to apply a shorter authorisatio</w:t>
      </w:r>
      <w:r w:rsidR="005937F1">
        <w:rPr>
          <w:rFonts w:eastAsia="Times New Roman" w:cs="Times New Roman"/>
          <w:sz w:val="22"/>
          <w:lang w:val="en-AU"/>
        </w:rPr>
        <w:t>n period if this is warranted;</w:t>
      </w:r>
      <w:r w:rsidR="00D132BE">
        <w:rPr>
          <w:rFonts w:eastAsia="Times New Roman" w:cs="Times New Roman"/>
          <w:sz w:val="22"/>
          <w:lang w:val="en-AU"/>
        </w:rPr>
        <w:t xml:space="preserve"> so option one has in-built flexibility.</w:t>
      </w:r>
    </w:p>
    <w:p w:rsidR="0043586F" w:rsidRPr="0043586F" w:rsidRDefault="0043586F" w:rsidP="0043586F">
      <w:pPr>
        <w:spacing w:after="0" w:line="280" w:lineRule="exact"/>
        <w:rPr>
          <w:rFonts w:eastAsia="Times New Roman" w:cs="Times New Roman"/>
          <w:sz w:val="22"/>
          <w:lang w:val="en-AU"/>
        </w:rPr>
      </w:pPr>
    </w:p>
    <w:p w:rsidR="00DC7D18" w:rsidRDefault="00DC7D18" w:rsidP="00DC7D18">
      <w:pPr>
        <w:spacing w:after="0" w:line="280" w:lineRule="exact"/>
        <w:rPr>
          <w:rFonts w:eastAsia="Times New Roman" w:cs="Times New Roman"/>
          <w:sz w:val="22"/>
          <w:u w:val="single"/>
          <w:lang w:val="en-AU"/>
        </w:rPr>
      </w:pPr>
      <w:r>
        <w:rPr>
          <w:rFonts w:eastAsia="Times New Roman" w:cs="Times New Roman"/>
          <w:sz w:val="22"/>
          <w:u w:val="single"/>
          <w:lang w:val="en-AU"/>
        </w:rPr>
        <w:t>Option two</w:t>
      </w:r>
    </w:p>
    <w:p w:rsidR="00DC7D18" w:rsidRDefault="00DC7D18" w:rsidP="00DC7D18">
      <w:pPr>
        <w:spacing w:after="0" w:line="280" w:lineRule="exact"/>
        <w:rPr>
          <w:rFonts w:eastAsia="Times New Roman" w:cs="Times New Roman"/>
          <w:sz w:val="22"/>
          <w:lang w:val="en-AU"/>
        </w:rPr>
      </w:pPr>
    </w:p>
    <w:p w:rsidR="00DC7D18" w:rsidRDefault="00DC7D18"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Specify no time limits and these would be set administratively</w:t>
      </w:r>
      <w:r w:rsidR="0043586F">
        <w:rPr>
          <w:rFonts w:eastAsia="Times New Roman" w:cs="Times New Roman"/>
          <w:sz w:val="22"/>
          <w:lang w:val="en-AU"/>
        </w:rPr>
        <w:t>, on a case-by-case basis,</w:t>
      </w:r>
      <w:r>
        <w:rPr>
          <w:rFonts w:eastAsia="Times New Roman" w:cs="Times New Roman"/>
          <w:sz w:val="22"/>
          <w:lang w:val="en-AU"/>
        </w:rPr>
        <w:t xml:space="preserve"> by the Director </w:t>
      </w:r>
      <w:r w:rsidR="0043586F">
        <w:rPr>
          <w:rFonts w:eastAsia="Times New Roman" w:cs="Times New Roman"/>
          <w:sz w:val="22"/>
          <w:lang w:val="en-AU"/>
        </w:rPr>
        <w:t>when the authorisation is granted</w:t>
      </w:r>
      <w:r>
        <w:rPr>
          <w:rFonts w:eastAsia="Times New Roman" w:cs="Times New Roman"/>
          <w:sz w:val="22"/>
          <w:lang w:val="en-AU"/>
        </w:rPr>
        <w:t>.</w:t>
      </w:r>
    </w:p>
    <w:p w:rsidR="00DC7D18" w:rsidRDefault="00DC7D18" w:rsidP="00DC7D18">
      <w:pPr>
        <w:spacing w:after="0" w:line="280" w:lineRule="exact"/>
        <w:rPr>
          <w:rFonts w:eastAsia="Times New Roman" w:cs="Times New Roman"/>
          <w:sz w:val="22"/>
          <w:lang w:val="en-AU"/>
        </w:rPr>
      </w:pPr>
    </w:p>
    <w:p w:rsidR="00DC7D18" w:rsidRDefault="00DC7D18"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An advantage is maximum flexibility enabling tailoring to the range of applications and renewals, and the degrees of risk they present.</w:t>
      </w:r>
    </w:p>
    <w:p w:rsidR="00DC7D18" w:rsidRDefault="00DC7D18" w:rsidP="00DC7D18">
      <w:pPr>
        <w:spacing w:after="0" w:line="280" w:lineRule="exact"/>
        <w:rPr>
          <w:rFonts w:eastAsia="Times New Roman" w:cs="Times New Roman"/>
          <w:sz w:val="22"/>
          <w:lang w:val="en-AU"/>
        </w:rPr>
      </w:pPr>
      <w:r>
        <w:rPr>
          <w:rFonts w:eastAsia="Times New Roman" w:cs="Times New Roman"/>
          <w:sz w:val="22"/>
          <w:lang w:val="en-AU"/>
        </w:rPr>
        <w:t xml:space="preserve">   </w:t>
      </w:r>
    </w:p>
    <w:p w:rsidR="00DC7D18" w:rsidRDefault="00DC7D18" w:rsidP="00616101">
      <w:pPr>
        <w:numPr>
          <w:ilvl w:val="0"/>
          <w:numId w:val="1"/>
        </w:numPr>
        <w:spacing w:after="0" w:line="280" w:lineRule="exact"/>
        <w:rPr>
          <w:rFonts w:eastAsia="Times New Roman" w:cs="Times New Roman"/>
          <w:sz w:val="22"/>
          <w:lang w:val="en-AU"/>
        </w:rPr>
      </w:pPr>
      <w:r>
        <w:rPr>
          <w:rFonts w:eastAsia="Times New Roman" w:cs="Times New Roman"/>
          <w:sz w:val="22"/>
          <w:lang w:val="en-AU"/>
        </w:rPr>
        <w:t xml:space="preserve">Disadvantages are that the time limits </w:t>
      </w:r>
      <w:r w:rsidR="0043586F">
        <w:rPr>
          <w:rFonts w:eastAsia="Times New Roman" w:cs="Times New Roman"/>
          <w:sz w:val="22"/>
          <w:lang w:val="en-AU"/>
        </w:rPr>
        <w:t>could be arbitrarily set</w:t>
      </w:r>
      <w:r>
        <w:rPr>
          <w:rFonts w:eastAsia="Times New Roman" w:cs="Times New Roman"/>
          <w:sz w:val="22"/>
          <w:lang w:val="en-AU"/>
        </w:rPr>
        <w:t xml:space="preserve">, or perceived to be </w:t>
      </w:r>
      <w:r w:rsidR="0043586F">
        <w:rPr>
          <w:rFonts w:eastAsia="Times New Roman" w:cs="Times New Roman"/>
          <w:sz w:val="22"/>
          <w:lang w:val="en-AU"/>
        </w:rPr>
        <w:t xml:space="preserve">arbitrarily </w:t>
      </w:r>
      <w:r>
        <w:rPr>
          <w:rFonts w:eastAsia="Times New Roman" w:cs="Times New Roman"/>
          <w:sz w:val="22"/>
          <w:lang w:val="en-AU"/>
        </w:rPr>
        <w:t>set</w:t>
      </w:r>
      <w:r w:rsidR="0043586F">
        <w:rPr>
          <w:rFonts w:eastAsia="Times New Roman" w:cs="Times New Roman"/>
          <w:sz w:val="22"/>
          <w:lang w:val="en-AU"/>
        </w:rPr>
        <w:t>,</w:t>
      </w:r>
      <w:r>
        <w:rPr>
          <w:rFonts w:eastAsia="Times New Roman" w:cs="Times New Roman"/>
          <w:sz w:val="22"/>
          <w:lang w:val="en-AU"/>
        </w:rPr>
        <w:t xml:space="preserve"> and applicants would not know in advance what is expected of them.</w:t>
      </w:r>
      <w:r w:rsidR="0043586F">
        <w:rPr>
          <w:rFonts w:eastAsia="Times New Roman" w:cs="Times New Roman"/>
          <w:sz w:val="22"/>
          <w:lang w:val="en-AU"/>
        </w:rPr>
        <w:t xml:space="preserve">  </w:t>
      </w:r>
    </w:p>
    <w:p w:rsidR="00756D51" w:rsidRDefault="00756D51" w:rsidP="00DC7D18">
      <w:pPr>
        <w:spacing w:after="0" w:line="280" w:lineRule="exact"/>
        <w:rPr>
          <w:rFonts w:eastAsia="Times New Roman" w:cs="Times New Roman"/>
          <w:sz w:val="22"/>
          <w:u w:val="single"/>
          <w:lang w:val="en-AU"/>
        </w:rPr>
      </w:pPr>
    </w:p>
    <w:p w:rsidR="00DC7D18" w:rsidRDefault="008A5AA4" w:rsidP="00DC7D18">
      <w:pPr>
        <w:spacing w:after="0" w:line="280" w:lineRule="exact"/>
        <w:rPr>
          <w:rFonts w:eastAsia="Times New Roman" w:cs="Times New Roman"/>
          <w:sz w:val="22"/>
          <w:u w:val="single"/>
          <w:lang w:val="en-AU"/>
        </w:rPr>
      </w:pPr>
      <w:r>
        <w:rPr>
          <w:rFonts w:eastAsia="Times New Roman" w:cs="Times New Roman"/>
          <w:sz w:val="22"/>
          <w:u w:val="single"/>
          <w:lang w:val="en-AU"/>
        </w:rPr>
        <w:t>Analysis of</w:t>
      </w:r>
      <w:r w:rsidR="00DC7D18">
        <w:rPr>
          <w:rFonts w:eastAsia="Times New Roman" w:cs="Times New Roman"/>
          <w:sz w:val="22"/>
          <w:u w:val="single"/>
          <w:lang w:val="en-AU"/>
        </w:rPr>
        <w:t xml:space="preserve"> option</w:t>
      </w:r>
      <w:r>
        <w:rPr>
          <w:rFonts w:eastAsia="Times New Roman" w:cs="Times New Roman"/>
          <w:sz w:val="22"/>
          <w:u w:val="single"/>
          <w:lang w:val="en-AU"/>
        </w:rPr>
        <w:t>s</w:t>
      </w:r>
    </w:p>
    <w:p w:rsidR="003F27A0" w:rsidRDefault="003F27A0" w:rsidP="003F27A0">
      <w:pPr>
        <w:spacing w:after="0" w:line="280" w:lineRule="exact"/>
        <w:rPr>
          <w:rFonts w:eastAsia="Times New Roman" w:cs="Times New Roman"/>
          <w:sz w:val="22"/>
          <w:lang w:val="en-AU"/>
        </w:rPr>
      </w:pPr>
    </w:p>
    <w:tbl>
      <w:tblPr>
        <w:tblStyle w:val="TableGrid"/>
        <w:tblW w:w="0" w:type="auto"/>
        <w:tblInd w:w="108" w:type="dxa"/>
        <w:tblLook w:val="04A0" w:firstRow="1" w:lastRow="0" w:firstColumn="1" w:lastColumn="0" w:noHBand="0" w:noVBand="1"/>
      </w:tblPr>
      <w:tblGrid>
        <w:gridCol w:w="5694"/>
        <w:gridCol w:w="1607"/>
        <w:gridCol w:w="1607"/>
      </w:tblGrid>
      <w:tr w:rsidR="003F27A0" w:rsidRPr="008A5AA4" w:rsidTr="00FD79CC">
        <w:tc>
          <w:tcPr>
            <w:tcW w:w="5812" w:type="dxa"/>
          </w:tcPr>
          <w:p w:rsidR="003F27A0" w:rsidRPr="008A5AA4" w:rsidRDefault="003F27A0" w:rsidP="00FD79CC">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1630" w:type="dxa"/>
          </w:tcPr>
          <w:p w:rsidR="003F27A0" w:rsidRPr="008A5AA4" w:rsidRDefault="003F27A0" w:rsidP="00FD79CC">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1630" w:type="dxa"/>
          </w:tcPr>
          <w:p w:rsidR="003F27A0" w:rsidRPr="008A5AA4" w:rsidRDefault="003F27A0" w:rsidP="00FD79CC">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r>
      <w:tr w:rsidR="003F27A0" w:rsidTr="00FD79CC">
        <w:tc>
          <w:tcPr>
            <w:tcW w:w="5812" w:type="dxa"/>
          </w:tcPr>
          <w:p w:rsidR="003F27A0" w:rsidRPr="008A5AA4" w:rsidRDefault="00236651" w:rsidP="0039180B">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003F27A0" w:rsidRPr="008A5AA4">
              <w:rPr>
                <w:rFonts w:eastAsia="Times New Roman" w:cs="Times New Roman"/>
                <w:sz w:val="16"/>
                <w:szCs w:val="16"/>
                <w:lang w:val="en-GB" w:eastAsia="en-GB"/>
              </w:rPr>
              <w:t xml:space="preserve"> </w:t>
            </w:r>
          </w:p>
        </w:tc>
        <w:tc>
          <w:tcPr>
            <w:tcW w:w="1630" w:type="dxa"/>
          </w:tcPr>
          <w:p w:rsidR="003F27A0" w:rsidRDefault="00B8230D" w:rsidP="00FD79CC">
            <w:pPr>
              <w:spacing w:line="280" w:lineRule="exact"/>
              <w:rPr>
                <w:rFonts w:eastAsia="Times New Roman" w:cs="Times New Roman"/>
                <w:sz w:val="22"/>
                <w:lang w:val="en-AU"/>
              </w:rPr>
            </w:pPr>
            <w:r>
              <w:rPr>
                <w:rFonts w:eastAsia="Times New Roman" w:cs="Arial"/>
                <w:sz w:val="22"/>
                <w:lang w:val="en-AU"/>
              </w:rPr>
              <w:t>√</w:t>
            </w:r>
          </w:p>
        </w:tc>
        <w:tc>
          <w:tcPr>
            <w:tcW w:w="1630" w:type="dxa"/>
          </w:tcPr>
          <w:p w:rsidR="003F27A0" w:rsidRDefault="00B8230D" w:rsidP="00FD79CC">
            <w:pPr>
              <w:spacing w:line="280" w:lineRule="exact"/>
              <w:rPr>
                <w:rFonts w:eastAsia="Times New Roman" w:cs="Times New Roman"/>
                <w:sz w:val="22"/>
                <w:lang w:val="en-AU"/>
              </w:rPr>
            </w:pPr>
            <w:r>
              <w:rPr>
                <w:rFonts w:eastAsia="Times New Roman" w:cs="Arial"/>
                <w:sz w:val="22"/>
                <w:lang w:val="en-AU"/>
              </w:rPr>
              <w:t>√</w:t>
            </w:r>
          </w:p>
        </w:tc>
      </w:tr>
      <w:tr w:rsidR="003F27A0" w:rsidTr="00364504">
        <w:trPr>
          <w:trHeight w:val="262"/>
        </w:trPr>
        <w:tc>
          <w:tcPr>
            <w:tcW w:w="5812" w:type="dxa"/>
          </w:tcPr>
          <w:p w:rsidR="003F27A0" w:rsidRPr="008A5AA4" w:rsidRDefault="0039180B" w:rsidP="00FD79CC">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1630" w:type="dxa"/>
          </w:tcPr>
          <w:p w:rsidR="003F27A0" w:rsidRDefault="00B8230D" w:rsidP="00FD79CC">
            <w:pPr>
              <w:spacing w:line="280" w:lineRule="exact"/>
              <w:rPr>
                <w:rFonts w:eastAsia="Times New Roman" w:cs="Times New Roman"/>
                <w:sz w:val="22"/>
                <w:lang w:val="en-AU"/>
              </w:rPr>
            </w:pPr>
            <w:r>
              <w:rPr>
                <w:rFonts w:eastAsia="Times New Roman" w:cs="Arial"/>
                <w:sz w:val="22"/>
                <w:lang w:val="en-AU"/>
              </w:rPr>
              <w:t>√√</w:t>
            </w:r>
          </w:p>
        </w:tc>
        <w:tc>
          <w:tcPr>
            <w:tcW w:w="1630" w:type="dxa"/>
          </w:tcPr>
          <w:p w:rsidR="003F27A0" w:rsidRDefault="00B8230D" w:rsidP="00FD79CC">
            <w:pPr>
              <w:spacing w:line="280" w:lineRule="exact"/>
              <w:rPr>
                <w:rFonts w:eastAsia="Times New Roman" w:cs="Times New Roman"/>
                <w:sz w:val="22"/>
                <w:lang w:val="en-AU"/>
              </w:rPr>
            </w:pPr>
            <w:r>
              <w:rPr>
                <w:rFonts w:eastAsia="Times New Roman" w:cs="Arial"/>
                <w:sz w:val="22"/>
                <w:lang w:val="en-AU"/>
              </w:rPr>
              <w:t>√</w:t>
            </w:r>
          </w:p>
        </w:tc>
      </w:tr>
      <w:tr w:rsidR="003F27A0" w:rsidTr="00364504">
        <w:trPr>
          <w:trHeight w:val="265"/>
        </w:trPr>
        <w:tc>
          <w:tcPr>
            <w:tcW w:w="5812" w:type="dxa"/>
          </w:tcPr>
          <w:p w:rsidR="003F27A0" w:rsidRPr="008A5AA4" w:rsidRDefault="0039180B" w:rsidP="0039180B">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003F27A0"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1630" w:type="dxa"/>
          </w:tcPr>
          <w:p w:rsidR="003F27A0" w:rsidRDefault="00B8230D" w:rsidP="00FD79CC">
            <w:pPr>
              <w:spacing w:line="280" w:lineRule="exact"/>
              <w:rPr>
                <w:rFonts w:eastAsia="Times New Roman" w:cs="Times New Roman"/>
                <w:sz w:val="22"/>
                <w:lang w:val="en-AU"/>
              </w:rPr>
            </w:pPr>
            <w:r>
              <w:rPr>
                <w:rFonts w:eastAsia="Times New Roman" w:cs="Arial"/>
                <w:sz w:val="22"/>
                <w:lang w:val="en-AU"/>
              </w:rPr>
              <w:t>√√</w:t>
            </w:r>
          </w:p>
        </w:tc>
        <w:tc>
          <w:tcPr>
            <w:tcW w:w="1630" w:type="dxa"/>
          </w:tcPr>
          <w:p w:rsidR="003F27A0" w:rsidRDefault="003F27A0" w:rsidP="00FD79CC">
            <w:pPr>
              <w:spacing w:line="280" w:lineRule="exact"/>
              <w:rPr>
                <w:rFonts w:eastAsia="Times New Roman" w:cs="Times New Roman"/>
                <w:sz w:val="22"/>
                <w:lang w:val="en-AU"/>
              </w:rPr>
            </w:pPr>
          </w:p>
        </w:tc>
      </w:tr>
      <w:tr w:rsidR="003F27A0" w:rsidTr="00FD79CC">
        <w:tc>
          <w:tcPr>
            <w:tcW w:w="5812" w:type="dxa"/>
          </w:tcPr>
          <w:p w:rsidR="003F27A0" w:rsidRPr="008A5AA4" w:rsidRDefault="0039180B" w:rsidP="00FD79CC">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1630" w:type="dxa"/>
          </w:tcPr>
          <w:p w:rsidR="003F27A0" w:rsidRPr="00364504" w:rsidRDefault="003F27A0" w:rsidP="00FD79CC">
            <w:pPr>
              <w:spacing w:line="280" w:lineRule="exact"/>
              <w:rPr>
                <w:rFonts w:eastAsia="Times New Roman" w:cs="Times New Roman"/>
                <w:sz w:val="16"/>
                <w:szCs w:val="16"/>
                <w:lang w:val="en-AU"/>
              </w:rPr>
            </w:pPr>
            <w:r w:rsidRPr="00364504">
              <w:rPr>
                <w:rFonts w:eastAsia="Times New Roman" w:cs="Times New Roman"/>
                <w:sz w:val="16"/>
                <w:szCs w:val="16"/>
                <w:lang w:val="en-AU"/>
              </w:rPr>
              <w:t>N/A</w:t>
            </w:r>
          </w:p>
        </w:tc>
        <w:tc>
          <w:tcPr>
            <w:tcW w:w="1630" w:type="dxa"/>
          </w:tcPr>
          <w:p w:rsidR="003F27A0" w:rsidRPr="00364504" w:rsidRDefault="003F27A0" w:rsidP="00FD79CC">
            <w:pPr>
              <w:spacing w:line="280" w:lineRule="exact"/>
              <w:rPr>
                <w:rFonts w:eastAsia="Times New Roman" w:cs="Times New Roman"/>
                <w:sz w:val="16"/>
                <w:szCs w:val="16"/>
                <w:lang w:val="en-AU"/>
              </w:rPr>
            </w:pPr>
            <w:r w:rsidRPr="00364504">
              <w:rPr>
                <w:rFonts w:eastAsia="Times New Roman" w:cs="Times New Roman"/>
                <w:sz w:val="16"/>
                <w:szCs w:val="16"/>
                <w:lang w:val="en-AU"/>
              </w:rPr>
              <w:t>N/A</w:t>
            </w:r>
          </w:p>
        </w:tc>
      </w:tr>
    </w:tbl>
    <w:p w:rsidR="003F27A0" w:rsidRDefault="007A464B" w:rsidP="00DC7D18">
      <w:pPr>
        <w:spacing w:after="0" w:line="280" w:lineRule="exact"/>
        <w:rPr>
          <w:rFonts w:eastAsia="Times New Roman" w:cs="Times New Roman"/>
          <w:sz w:val="22"/>
          <w:lang w:val="en-AU"/>
        </w:rPr>
      </w:pPr>
      <w:r>
        <w:rPr>
          <w:rFonts w:eastAsia="Times New Roman" w:cs="Times New Roman"/>
          <w:sz w:val="22"/>
          <w:lang w:val="en-AU"/>
        </w:rPr>
        <w:t>Key = ticks indicate criteri</w:t>
      </w:r>
      <w:r w:rsidR="000B6227">
        <w:rPr>
          <w:rFonts w:eastAsia="Times New Roman" w:cs="Times New Roman"/>
          <w:sz w:val="22"/>
          <w:lang w:val="en-AU"/>
        </w:rPr>
        <w:t>a met; blank</w:t>
      </w:r>
      <w:r>
        <w:rPr>
          <w:rFonts w:eastAsia="Times New Roman" w:cs="Times New Roman"/>
          <w:sz w:val="22"/>
          <w:lang w:val="en-AU"/>
        </w:rPr>
        <w:t xml:space="preserve"> space</w:t>
      </w:r>
      <w:r w:rsidR="000B6227">
        <w:rPr>
          <w:rFonts w:eastAsia="Times New Roman" w:cs="Times New Roman"/>
          <w:sz w:val="22"/>
          <w:lang w:val="en-AU"/>
        </w:rPr>
        <w:t>s</w:t>
      </w:r>
      <w:r>
        <w:rPr>
          <w:rFonts w:eastAsia="Times New Roman" w:cs="Times New Roman"/>
          <w:sz w:val="22"/>
          <w:lang w:val="en-AU"/>
        </w:rPr>
        <w:t xml:space="preserve"> indicates they are not met</w:t>
      </w:r>
    </w:p>
    <w:p w:rsidR="007A464B" w:rsidRDefault="007A464B" w:rsidP="00DC7D18">
      <w:pPr>
        <w:spacing w:after="0" w:line="280" w:lineRule="exact"/>
        <w:rPr>
          <w:rFonts w:eastAsia="Times New Roman" w:cs="Times New Roman"/>
          <w:sz w:val="22"/>
          <w:lang w:val="en-AU"/>
        </w:rPr>
      </w:pPr>
    </w:p>
    <w:p w:rsidR="00DC7D18" w:rsidRPr="00F76279" w:rsidRDefault="00DC7D18" w:rsidP="00517A40">
      <w:pPr>
        <w:numPr>
          <w:ilvl w:val="0"/>
          <w:numId w:val="1"/>
        </w:numPr>
        <w:spacing w:after="0" w:line="280" w:lineRule="exact"/>
        <w:rPr>
          <w:rFonts w:eastAsia="Times New Roman" w:cs="Times New Roman"/>
          <w:sz w:val="22"/>
          <w:szCs w:val="20"/>
          <w:lang w:val="en-GB" w:eastAsia="en-GB"/>
        </w:rPr>
      </w:pPr>
      <w:r w:rsidRPr="00F76279">
        <w:rPr>
          <w:rFonts w:eastAsia="Times New Roman" w:cs="Times New Roman"/>
          <w:sz w:val="22"/>
          <w:lang w:val="en-AU"/>
        </w:rPr>
        <w:t>Th</w:t>
      </w:r>
      <w:r w:rsidR="008A5AA4" w:rsidRPr="00F76279">
        <w:rPr>
          <w:rFonts w:eastAsia="Times New Roman" w:cs="Times New Roman"/>
          <w:sz w:val="22"/>
          <w:lang w:val="en-AU"/>
        </w:rPr>
        <w:t>e Ministry prefers option o</w:t>
      </w:r>
      <w:r w:rsidR="0043586F" w:rsidRPr="00F76279">
        <w:rPr>
          <w:rFonts w:eastAsia="Times New Roman" w:cs="Times New Roman"/>
          <w:sz w:val="22"/>
          <w:lang w:val="en-AU"/>
        </w:rPr>
        <w:t>ne</w:t>
      </w:r>
      <w:r w:rsidR="00F76279" w:rsidRPr="00F76279">
        <w:rPr>
          <w:rFonts w:eastAsia="Times New Roman" w:cs="Times New Roman"/>
          <w:sz w:val="22"/>
          <w:lang w:val="en-AU"/>
        </w:rPr>
        <w:t xml:space="preserve"> because </w:t>
      </w:r>
      <w:r w:rsidR="00F76279">
        <w:rPr>
          <w:rFonts w:eastAsia="Times New Roman" w:cs="Times New Roman"/>
          <w:sz w:val="22"/>
          <w:lang w:val="en-AU"/>
        </w:rPr>
        <w:t>it is simpler and more certain.</w:t>
      </w:r>
    </w:p>
    <w:p w:rsidR="003F27A0" w:rsidRDefault="003F27A0" w:rsidP="00DC7D18">
      <w:pPr>
        <w:spacing w:after="0" w:line="280" w:lineRule="exact"/>
        <w:ind w:left="360"/>
        <w:rPr>
          <w:rFonts w:eastAsia="Times New Roman" w:cs="Times New Roman"/>
          <w:sz w:val="22"/>
          <w:szCs w:val="20"/>
          <w:lang w:val="en-GB" w:eastAsia="en-GB"/>
        </w:rPr>
      </w:pPr>
    </w:p>
    <w:p w:rsidR="00DC7D18" w:rsidRDefault="00663F93" w:rsidP="00DC7D18">
      <w:pPr>
        <w:spacing w:after="0" w:line="280" w:lineRule="exact"/>
        <w:rPr>
          <w:rFonts w:eastAsia="Times New Roman" w:cs="Times New Roman"/>
          <w:i/>
          <w:sz w:val="22"/>
          <w:szCs w:val="20"/>
          <w:lang w:val="en-GB" w:eastAsia="en-GB"/>
        </w:rPr>
      </w:pPr>
      <w:r>
        <w:rPr>
          <w:rFonts w:eastAsia="Times New Roman" w:cs="Times New Roman"/>
          <w:i/>
          <w:sz w:val="22"/>
          <w:szCs w:val="20"/>
          <w:lang w:val="en-GB" w:eastAsia="en-GB"/>
        </w:rPr>
        <w:t>M</w:t>
      </w:r>
      <w:r w:rsidR="00DC7D18">
        <w:rPr>
          <w:rFonts w:eastAsia="Times New Roman" w:cs="Times New Roman"/>
          <w:i/>
          <w:sz w:val="22"/>
          <w:szCs w:val="20"/>
          <w:lang w:val="en-GB" w:eastAsia="en-GB"/>
        </w:rPr>
        <w:t>aximum duration of authorisation</w:t>
      </w:r>
      <w:r>
        <w:rPr>
          <w:rFonts w:eastAsia="Times New Roman" w:cs="Times New Roman"/>
          <w:i/>
          <w:sz w:val="22"/>
          <w:szCs w:val="20"/>
          <w:lang w:val="en-GB" w:eastAsia="en-GB"/>
        </w:rPr>
        <w:t>s</w:t>
      </w:r>
    </w:p>
    <w:p w:rsidR="00DC7D18" w:rsidRDefault="00DC7D18" w:rsidP="00DC7D18">
      <w:pPr>
        <w:spacing w:after="0" w:line="280" w:lineRule="exact"/>
        <w:rPr>
          <w:rFonts w:eastAsia="Times New Roman" w:cs="Times New Roman"/>
          <w:sz w:val="22"/>
          <w:szCs w:val="20"/>
          <w:lang w:val="en-GB" w:eastAsia="en-GB"/>
        </w:rPr>
      </w:pPr>
    </w:p>
    <w:p w:rsidR="00DC7D18" w:rsidRDefault="00DC7D18" w:rsidP="00616101">
      <w:pPr>
        <w:numPr>
          <w:ilvl w:val="0"/>
          <w:numId w:val="1"/>
        </w:numPr>
        <w:spacing w:after="0" w:line="280" w:lineRule="exact"/>
        <w:rPr>
          <w:rFonts w:eastAsia="Times New Roman" w:cs="Times New Roman"/>
          <w:sz w:val="22"/>
          <w:szCs w:val="20"/>
          <w:lang w:val="en-GB" w:eastAsia="en-GB"/>
        </w:rPr>
      </w:pPr>
      <w:r>
        <w:rPr>
          <w:rFonts w:eastAsia="Times New Roman" w:cs="Times New Roman"/>
          <w:sz w:val="22"/>
          <w:szCs w:val="20"/>
          <w:lang w:val="en-GB" w:eastAsia="en-GB"/>
        </w:rPr>
        <w:t xml:space="preserve">Under the </w:t>
      </w:r>
      <w:r w:rsidR="0043586F">
        <w:rPr>
          <w:rFonts w:eastAsia="Times New Roman" w:cs="Times New Roman"/>
          <w:sz w:val="22"/>
          <w:szCs w:val="20"/>
          <w:lang w:val="en-GB" w:eastAsia="en-GB"/>
        </w:rPr>
        <w:t xml:space="preserve">outgoing </w:t>
      </w:r>
      <w:r>
        <w:rPr>
          <w:rFonts w:eastAsia="Times New Roman" w:cs="Times New Roman"/>
          <w:sz w:val="22"/>
          <w:szCs w:val="20"/>
          <w:lang w:val="en-GB" w:eastAsia="en-GB"/>
        </w:rPr>
        <w:t xml:space="preserve">Act use licences </w:t>
      </w:r>
      <w:r w:rsidR="00364504">
        <w:rPr>
          <w:rFonts w:eastAsia="Times New Roman" w:cs="Times New Roman"/>
          <w:sz w:val="22"/>
          <w:szCs w:val="20"/>
          <w:lang w:val="en-GB" w:eastAsia="en-GB"/>
        </w:rPr>
        <w:t xml:space="preserve">continue in force for one year (renewable).  This is </w:t>
      </w:r>
      <w:r>
        <w:rPr>
          <w:rFonts w:eastAsia="Times New Roman" w:cs="Times New Roman"/>
          <w:sz w:val="22"/>
          <w:szCs w:val="20"/>
          <w:lang w:val="en-GB" w:eastAsia="en-GB"/>
        </w:rPr>
        <w:t>unless a shorter period is specified in the licence</w:t>
      </w:r>
      <w:r w:rsidR="00364504">
        <w:rPr>
          <w:rFonts w:eastAsia="Times New Roman" w:cs="Times New Roman"/>
          <w:sz w:val="22"/>
          <w:szCs w:val="20"/>
          <w:lang w:val="en-GB" w:eastAsia="en-GB"/>
        </w:rPr>
        <w:t>.</w:t>
      </w:r>
      <w:r>
        <w:rPr>
          <w:rFonts w:eastAsia="Times New Roman" w:cs="Times New Roman"/>
          <w:sz w:val="22"/>
          <w:szCs w:val="20"/>
          <w:lang w:val="en-GB" w:eastAsia="en-GB"/>
        </w:rPr>
        <w:t xml:space="preserve">  There are no source licences </w:t>
      </w:r>
      <w:r w:rsidR="00364504">
        <w:rPr>
          <w:rFonts w:eastAsia="Times New Roman" w:cs="Times New Roman"/>
          <w:sz w:val="22"/>
          <w:szCs w:val="20"/>
          <w:lang w:val="en-GB" w:eastAsia="en-GB"/>
        </w:rPr>
        <w:t xml:space="preserve">mentioned </w:t>
      </w:r>
      <w:r>
        <w:rPr>
          <w:rFonts w:eastAsia="Times New Roman" w:cs="Times New Roman"/>
          <w:sz w:val="22"/>
          <w:szCs w:val="20"/>
          <w:lang w:val="en-GB" w:eastAsia="en-GB"/>
        </w:rPr>
        <w:t xml:space="preserve">in </w:t>
      </w:r>
      <w:r w:rsidR="0043586F">
        <w:rPr>
          <w:rFonts w:eastAsia="Times New Roman" w:cs="Times New Roman"/>
          <w:sz w:val="22"/>
          <w:szCs w:val="20"/>
          <w:lang w:val="en-GB" w:eastAsia="en-GB"/>
        </w:rPr>
        <w:t>this</w:t>
      </w:r>
      <w:r>
        <w:rPr>
          <w:rFonts w:eastAsia="Times New Roman" w:cs="Times New Roman"/>
          <w:sz w:val="22"/>
          <w:szCs w:val="20"/>
          <w:lang w:val="en-GB" w:eastAsia="en-GB"/>
        </w:rPr>
        <w:t xml:space="preserve"> Act.  Consents are not legislatively time limited. </w:t>
      </w:r>
      <w:r w:rsidR="0043586F">
        <w:rPr>
          <w:rFonts w:eastAsia="Times New Roman" w:cs="Times New Roman"/>
          <w:sz w:val="22"/>
          <w:szCs w:val="20"/>
          <w:lang w:val="en-GB" w:eastAsia="en-GB"/>
        </w:rPr>
        <w:t xml:space="preserve"> </w:t>
      </w:r>
      <w:r>
        <w:rPr>
          <w:rFonts w:eastAsia="Times New Roman" w:cs="Times New Roman"/>
          <w:sz w:val="22"/>
          <w:szCs w:val="20"/>
          <w:lang w:val="en-GB" w:eastAsia="en-GB"/>
        </w:rPr>
        <w:t xml:space="preserve">Current practice is to specify a date on the face of the consent of up to one year.  </w:t>
      </w:r>
    </w:p>
    <w:p w:rsidR="00DC7D18" w:rsidRDefault="00DC7D18" w:rsidP="00DC7D18">
      <w:pPr>
        <w:spacing w:after="0" w:line="280" w:lineRule="exact"/>
        <w:rPr>
          <w:rFonts w:eastAsia="Times New Roman" w:cs="Times New Roman"/>
          <w:sz w:val="22"/>
          <w:szCs w:val="20"/>
          <w:lang w:val="en-GB" w:eastAsia="en-GB"/>
        </w:rPr>
      </w:pPr>
    </w:p>
    <w:p w:rsidR="00DC7D18" w:rsidRDefault="00DC7D18" w:rsidP="00DC7D18">
      <w:pPr>
        <w:spacing w:after="0"/>
        <w:rPr>
          <w:sz w:val="22"/>
          <w:u w:val="single"/>
          <w:lang w:val="en-GB" w:eastAsia="en-GB"/>
        </w:rPr>
      </w:pPr>
      <w:r>
        <w:rPr>
          <w:sz w:val="22"/>
          <w:u w:val="single"/>
          <w:lang w:val="en-GB" w:eastAsia="en-GB"/>
        </w:rPr>
        <w:t>Option one</w:t>
      </w:r>
    </w:p>
    <w:p w:rsidR="00DC7D18" w:rsidRDefault="00DC7D18" w:rsidP="00DC7D18">
      <w:pPr>
        <w:spacing w:after="0"/>
        <w:rPr>
          <w:sz w:val="22"/>
          <w:lang w:val="en-GB" w:eastAsia="en-GB"/>
        </w:rPr>
      </w:pPr>
    </w:p>
    <w:p w:rsidR="00DC7D18" w:rsidRDefault="00DC7D18"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 xml:space="preserve">Specify a maximum duration of one year for </w:t>
      </w:r>
      <w:r w:rsidR="0043586F">
        <w:rPr>
          <w:rFonts w:eastAsia="Times New Roman" w:cs="Times New Roman"/>
          <w:sz w:val="22"/>
          <w:szCs w:val="20"/>
          <w:lang w:val="en-GB" w:eastAsia="en-GB"/>
        </w:rPr>
        <w:t>authorisations</w:t>
      </w:r>
      <w:r>
        <w:rPr>
          <w:rFonts w:eastAsia="Times New Roman" w:cs="Times New Roman"/>
          <w:sz w:val="22"/>
          <w:szCs w:val="20"/>
          <w:lang w:val="en-GB" w:eastAsia="en-GB"/>
        </w:rPr>
        <w:t>.</w:t>
      </w:r>
    </w:p>
    <w:p w:rsidR="00DC7D18" w:rsidRDefault="00DC7D18" w:rsidP="00DC7D18">
      <w:pPr>
        <w:spacing w:after="0" w:line="280" w:lineRule="atLeast"/>
        <w:ind w:left="360"/>
        <w:contextualSpacing/>
        <w:rPr>
          <w:rFonts w:eastAsia="Times New Roman" w:cs="Times New Roman"/>
          <w:sz w:val="22"/>
          <w:szCs w:val="20"/>
          <w:lang w:val="en-GB" w:eastAsia="en-GB"/>
        </w:rPr>
      </w:pPr>
    </w:p>
    <w:p w:rsidR="003F27A0" w:rsidRDefault="0043586F"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T</w:t>
      </w:r>
      <w:r w:rsidR="00DC7D18">
        <w:rPr>
          <w:rFonts w:eastAsia="Times New Roman" w:cs="Times New Roman"/>
          <w:sz w:val="22"/>
          <w:szCs w:val="20"/>
          <w:lang w:val="en-GB" w:eastAsia="en-GB"/>
        </w:rPr>
        <w:t xml:space="preserve">he current maximum </w:t>
      </w:r>
      <w:r>
        <w:rPr>
          <w:rFonts w:eastAsia="Times New Roman" w:cs="Times New Roman"/>
          <w:sz w:val="22"/>
          <w:szCs w:val="20"/>
          <w:lang w:val="en-GB" w:eastAsia="en-GB"/>
        </w:rPr>
        <w:t xml:space="preserve">for </w:t>
      </w:r>
      <w:r w:rsidR="00F76279">
        <w:rPr>
          <w:rFonts w:eastAsia="Times New Roman" w:cs="Times New Roman"/>
          <w:sz w:val="22"/>
          <w:szCs w:val="20"/>
          <w:lang w:val="en-GB" w:eastAsia="en-GB"/>
        </w:rPr>
        <w:t>use licences</w:t>
      </w:r>
      <w:r w:rsidR="00364504">
        <w:rPr>
          <w:rFonts w:eastAsia="Times New Roman" w:cs="Times New Roman"/>
          <w:sz w:val="22"/>
          <w:szCs w:val="20"/>
          <w:lang w:val="en-GB" w:eastAsia="en-GB"/>
        </w:rPr>
        <w:t xml:space="preserve"> </w:t>
      </w:r>
      <w:r w:rsidR="00D132BE">
        <w:rPr>
          <w:rFonts w:eastAsia="Times New Roman" w:cs="Times New Roman"/>
          <w:sz w:val="22"/>
          <w:szCs w:val="20"/>
          <w:lang w:val="en-GB" w:eastAsia="en-GB"/>
        </w:rPr>
        <w:t xml:space="preserve">of </w:t>
      </w:r>
      <w:r w:rsidR="00F76279">
        <w:rPr>
          <w:rFonts w:eastAsia="Times New Roman" w:cs="Times New Roman"/>
          <w:sz w:val="22"/>
          <w:szCs w:val="20"/>
          <w:lang w:val="en-GB" w:eastAsia="en-GB"/>
        </w:rPr>
        <w:t xml:space="preserve">one </w:t>
      </w:r>
      <w:r w:rsidR="00D132BE">
        <w:rPr>
          <w:rFonts w:eastAsia="Times New Roman" w:cs="Times New Roman"/>
          <w:sz w:val="22"/>
          <w:szCs w:val="20"/>
          <w:lang w:val="en-GB" w:eastAsia="en-GB"/>
        </w:rPr>
        <w:t xml:space="preserve">year is not necessarily </w:t>
      </w:r>
      <w:r w:rsidR="00F76279">
        <w:rPr>
          <w:rFonts w:eastAsia="Times New Roman" w:cs="Times New Roman"/>
          <w:sz w:val="22"/>
          <w:szCs w:val="20"/>
          <w:lang w:val="en-GB" w:eastAsia="en-GB"/>
        </w:rPr>
        <w:t xml:space="preserve">the best </w:t>
      </w:r>
      <w:r w:rsidR="00D132BE">
        <w:rPr>
          <w:rFonts w:eastAsia="Times New Roman" w:cs="Times New Roman"/>
          <w:sz w:val="22"/>
          <w:szCs w:val="20"/>
          <w:lang w:val="en-GB" w:eastAsia="en-GB"/>
        </w:rPr>
        <w:t xml:space="preserve">means of ensuring </w:t>
      </w:r>
      <w:r w:rsidR="00F76279">
        <w:rPr>
          <w:rFonts w:eastAsia="Times New Roman" w:cs="Times New Roman"/>
          <w:sz w:val="22"/>
          <w:szCs w:val="20"/>
          <w:lang w:val="en-GB" w:eastAsia="en-GB"/>
        </w:rPr>
        <w:t xml:space="preserve">compliance with </w:t>
      </w:r>
      <w:r>
        <w:rPr>
          <w:rFonts w:eastAsia="Times New Roman" w:cs="Times New Roman"/>
          <w:sz w:val="22"/>
          <w:szCs w:val="20"/>
          <w:lang w:val="en-GB" w:eastAsia="en-GB"/>
        </w:rPr>
        <w:t>radiation safety</w:t>
      </w:r>
      <w:r w:rsidR="00F76279">
        <w:rPr>
          <w:rFonts w:eastAsia="Times New Roman" w:cs="Times New Roman"/>
          <w:sz w:val="22"/>
          <w:szCs w:val="20"/>
          <w:lang w:val="en-GB" w:eastAsia="en-GB"/>
        </w:rPr>
        <w:t xml:space="preserve"> requirements</w:t>
      </w:r>
      <w:r>
        <w:rPr>
          <w:rFonts w:eastAsia="Times New Roman" w:cs="Times New Roman"/>
          <w:sz w:val="22"/>
          <w:szCs w:val="20"/>
          <w:lang w:val="en-GB" w:eastAsia="en-GB"/>
        </w:rPr>
        <w:t>.  T</w:t>
      </w:r>
      <w:r w:rsidR="00DC7D18">
        <w:rPr>
          <w:rFonts w:eastAsia="Times New Roman" w:cs="Times New Roman"/>
          <w:sz w:val="22"/>
          <w:szCs w:val="20"/>
          <w:lang w:val="en-GB" w:eastAsia="en-GB"/>
        </w:rPr>
        <w:t xml:space="preserve">he new Act </w:t>
      </w:r>
      <w:r>
        <w:rPr>
          <w:rFonts w:eastAsia="Times New Roman" w:cs="Times New Roman"/>
          <w:sz w:val="22"/>
          <w:szCs w:val="20"/>
          <w:lang w:val="en-GB" w:eastAsia="en-GB"/>
        </w:rPr>
        <w:t>provides</w:t>
      </w:r>
      <w:r w:rsidR="00DC7D18">
        <w:rPr>
          <w:rFonts w:eastAsia="Times New Roman" w:cs="Times New Roman"/>
          <w:sz w:val="22"/>
          <w:szCs w:val="20"/>
          <w:lang w:val="en-GB" w:eastAsia="en-GB"/>
        </w:rPr>
        <w:t xml:space="preserve"> </w:t>
      </w:r>
      <w:r>
        <w:rPr>
          <w:rFonts w:eastAsia="Times New Roman" w:cs="Times New Roman"/>
          <w:sz w:val="22"/>
          <w:szCs w:val="20"/>
          <w:lang w:val="en-GB" w:eastAsia="en-GB"/>
        </w:rPr>
        <w:t xml:space="preserve">a number of </w:t>
      </w:r>
      <w:r w:rsidR="00F76279">
        <w:rPr>
          <w:rFonts w:eastAsia="Times New Roman" w:cs="Times New Roman"/>
          <w:sz w:val="22"/>
          <w:szCs w:val="20"/>
          <w:lang w:val="en-GB" w:eastAsia="en-GB"/>
        </w:rPr>
        <w:t xml:space="preserve">other </w:t>
      </w:r>
      <w:r w:rsidR="00236651">
        <w:rPr>
          <w:rFonts w:eastAsia="Times New Roman" w:cs="Times New Roman"/>
          <w:sz w:val="22"/>
          <w:szCs w:val="20"/>
          <w:lang w:val="en-GB" w:eastAsia="en-GB"/>
        </w:rPr>
        <w:t>proportionate</w:t>
      </w:r>
      <w:r>
        <w:rPr>
          <w:rFonts w:eastAsia="Times New Roman" w:cs="Times New Roman"/>
          <w:sz w:val="22"/>
          <w:szCs w:val="20"/>
          <w:lang w:val="en-GB" w:eastAsia="en-GB"/>
        </w:rPr>
        <w:t xml:space="preserve"> mechanisms to achieve compliance (</w:t>
      </w:r>
      <w:r w:rsidR="00F76279">
        <w:rPr>
          <w:rFonts w:eastAsia="Times New Roman" w:cs="Times New Roman"/>
          <w:sz w:val="22"/>
          <w:szCs w:val="20"/>
          <w:lang w:val="en-GB" w:eastAsia="en-GB"/>
        </w:rPr>
        <w:t>eg, information requiring powers</w:t>
      </w:r>
      <w:r>
        <w:rPr>
          <w:rFonts w:eastAsia="Times New Roman" w:cs="Times New Roman"/>
          <w:sz w:val="22"/>
          <w:szCs w:val="20"/>
          <w:lang w:val="en-GB" w:eastAsia="en-GB"/>
        </w:rPr>
        <w:t>, suspension, variation or cancellation of authorisations, compliance order</w:t>
      </w:r>
      <w:r w:rsidR="00F76279">
        <w:rPr>
          <w:rFonts w:eastAsia="Times New Roman" w:cs="Times New Roman"/>
          <w:sz w:val="22"/>
          <w:szCs w:val="20"/>
          <w:lang w:val="en-GB" w:eastAsia="en-GB"/>
        </w:rPr>
        <w:t>s, powers of seizure, prosecution of offences), should this prove necessary</w:t>
      </w:r>
      <w:r>
        <w:rPr>
          <w:rFonts w:eastAsia="Times New Roman" w:cs="Times New Roman"/>
          <w:sz w:val="22"/>
          <w:szCs w:val="20"/>
          <w:lang w:val="en-GB" w:eastAsia="en-GB"/>
        </w:rPr>
        <w:t xml:space="preserve">.  </w:t>
      </w:r>
    </w:p>
    <w:p w:rsidR="003F27A0" w:rsidRDefault="003F27A0" w:rsidP="003F27A0">
      <w:pPr>
        <w:pStyle w:val="ListParagraph"/>
        <w:spacing w:after="0"/>
        <w:rPr>
          <w:rFonts w:eastAsia="Times New Roman" w:cs="Times New Roman"/>
          <w:sz w:val="22"/>
          <w:szCs w:val="20"/>
          <w:lang w:val="en-GB" w:eastAsia="en-GB"/>
        </w:rPr>
      </w:pPr>
    </w:p>
    <w:p w:rsidR="003F27A0" w:rsidRDefault="00F76279"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 xml:space="preserve">Consents </w:t>
      </w:r>
      <w:r w:rsidR="003F27A0">
        <w:rPr>
          <w:rFonts w:eastAsia="Times New Roman" w:cs="Times New Roman"/>
          <w:sz w:val="22"/>
          <w:szCs w:val="20"/>
          <w:lang w:val="en-GB" w:eastAsia="en-GB"/>
        </w:rPr>
        <w:t xml:space="preserve">for importing and exporting radioactive material </w:t>
      </w:r>
      <w:r>
        <w:rPr>
          <w:rFonts w:eastAsia="Times New Roman" w:cs="Times New Roman"/>
          <w:sz w:val="22"/>
          <w:szCs w:val="20"/>
          <w:lang w:val="en-GB" w:eastAsia="en-GB"/>
        </w:rPr>
        <w:t xml:space="preserve">are different from source and use licences in that they </w:t>
      </w:r>
      <w:r w:rsidR="003F27A0">
        <w:rPr>
          <w:rFonts w:eastAsia="Times New Roman" w:cs="Times New Roman"/>
          <w:sz w:val="22"/>
          <w:szCs w:val="20"/>
          <w:lang w:val="en-GB" w:eastAsia="en-GB"/>
        </w:rPr>
        <w:t xml:space="preserve">usually apply to one-off events.  In addition to the safety requirements, there are international obligations to meet on the movement of some of this material.  Therefore, a maximum period of one year for consents is appropriate to achieve the </w:t>
      </w:r>
      <w:r w:rsidR="00364504">
        <w:rPr>
          <w:rFonts w:eastAsia="Times New Roman" w:cs="Times New Roman"/>
          <w:sz w:val="22"/>
          <w:szCs w:val="20"/>
          <w:lang w:val="en-GB" w:eastAsia="en-GB"/>
        </w:rPr>
        <w:t xml:space="preserve">Act’s </w:t>
      </w:r>
      <w:r w:rsidR="003F27A0">
        <w:rPr>
          <w:rFonts w:eastAsia="Times New Roman" w:cs="Times New Roman"/>
          <w:sz w:val="22"/>
          <w:szCs w:val="20"/>
          <w:lang w:val="en-GB" w:eastAsia="en-GB"/>
        </w:rPr>
        <w:t>purposes.</w:t>
      </w:r>
    </w:p>
    <w:p w:rsidR="003F0787" w:rsidRDefault="003F0787" w:rsidP="00DC7D18">
      <w:pPr>
        <w:spacing w:after="0"/>
        <w:rPr>
          <w:sz w:val="22"/>
          <w:lang w:val="en-GB" w:eastAsia="en-GB"/>
        </w:rPr>
      </w:pPr>
    </w:p>
    <w:p w:rsidR="00DC7D18" w:rsidRDefault="00DC7D18" w:rsidP="00DC7D18">
      <w:pPr>
        <w:spacing w:after="0"/>
        <w:rPr>
          <w:sz w:val="22"/>
          <w:u w:val="single"/>
          <w:lang w:val="en-GB" w:eastAsia="en-GB"/>
        </w:rPr>
      </w:pPr>
      <w:r>
        <w:rPr>
          <w:sz w:val="22"/>
          <w:u w:val="single"/>
          <w:lang w:val="en-GB" w:eastAsia="en-GB"/>
        </w:rPr>
        <w:t>Option two</w:t>
      </w:r>
    </w:p>
    <w:p w:rsidR="00DC7D18" w:rsidRDefault="00DC7D18" w:rsidP="00DC7D18">
      <w:pPr>
        <w:spacing w:after="0"/>
        <w:rPr>
          <w:sz w:val="22"/>
          <w:lang w:val="en-GB" w:eastAsia="en-GB"/>
        </w:rPr>
      </w:pPr>
    </w:p>
    <w:p w:rsidR="00DC7D18" w:rsidRDefault="00DC7D18"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 xml:space="preserve">Specify a three year maximum duration for </w:t>
      </w:r>
      <w:r w:rsidR="0043586F">
        <w:rPr>
          <w:rFonts w:eastAsia="Times New Roman" w:cs="Times New Roman"/>
          <w:sz w:val="22"/>
          <w:szCs w:val="20"/>
          <w:lang w:val="en-GB" w:eastAsia="en-GB"/>
        </w:rPr>
        <w:t>authorisations</w:t>
      </w:r>
      <w:r>
        <w:rPr>
          <w:rFonts w:eastAsia="Times New Roman" w:cs="Times New Roman"/>
          <w:sz w:val="22"/>
          <w:szCs w:val="20"/>
          <w:lang w:val="en-GB" w:eastAsia="en-GB"/>
        </w:rPr>
        <w:t>.</w:t>
      </w:r>
    </w:p>
    <w:p w:rsidR="00DC7D18" w:rsidRDefault="00DC7D18" w:rsidP="00DC7D18">
      <w:pPr>
        <w:spacing w:after="0" w:line="280" w:lineRule="atLeast"/>
        <w:ind w:left="360"/>
        <w:contextualSpacing/>
        <w:rPr>
          <w:rFonts w:eastAsia="Times New Roman" w:cs="Times New Roman"/>
          <w:sz w:val="22"/>
          <w:szCs w:val="20"/>
          <w:lang w:val="en-GB" w:eastAsia="en-GB"/>
        </w:rPr>
      </w:pPr>
    </w:p>
    <w:p w:rsidR="0043586F" w:rsidRDefault="0043586F"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 xml:space="preserve">Given the total range of mechanisms available to achieve compliance, a period of three years </w:t>
      </w:r>
      <w:r w:rsidR="00D132BE">
        <w:rPr>
          <w:rFonts w:eastAsia="Times New Roman" w:cs="Times New Roman"/>
          <w:sz w:val="22"/>
          <w:szCs w:val="20"/>
          <w:lang w:val="en-GB" w:eastAsia="en-GB"/>
        </w:rPr>
        <w:t xml:space="preserve">seems </w:t>
      </w:r>
      <w:r>
        <w:rPr>
          <w:rFonts w:eastAsia="Times New Roman" w:cs="Times New Roman"/>
          <w:sz w:val="22"/>
          <w:szCs w:val="20"/>
          <w:lang w:val="en-GB" w:eastAsia="en-GB"/>
        </w:rPr>
        <w:t xml:space="preserve">unlikely </w:t>
      </w:r>
      <w:r w:rsidR="00F76279">
        <w:rPr>
          <w:rFonts w:eastAsia="Times New Roman" w:cs="Times New Roman"/>
          <w:sz w:val="22"/>
          <w:szCs w:val="20"/>
          <w:lang w:val="en-GB" w:eastAsia="en-GB"/>
        </w:rPr>
        <w:t xml:space="preserve">to </w:t>
      </w:r>
      <w:r w:rsidR="00364504">
        <w:rPr>
          <w:rFonts w:eastAsia="Times New Roman" w:cs="Times New Roman"/>
          <w:sz w:val="22"/>
          <w:szCs w:val="20"/>
          <w:lang w:val="en-GB" w:eastAsia="en-GB"/>
        </w:rPr>
        <w:t xml:space="preserve">unduly </w:t>
      </w:r>
      <w:r w:rsidR="00F76279">
        <w:rPr>
          <w:rFonts w:eastAsia="Times New Roman" w:cs="Times New Roman"/>
          <w:sz w:val="22"/>
          <w:szCs w:val="20"/>
          <w:lang w:val="en-GB" w:eastAsia="en-GB"/>
        </w:rPr>
        <w:t>compromise radiation safety</w:t>
      </w:r>
      <w:r w:rsidR="00364504">
        <w:rPr>
          <w:rFonts w:eastAsia="Times New Roman" w:cs="Times New Roman"/>
          <w:sz w:val="22"/>
          <w:szCs w:val="20"/>
          <w:lang w:val="en-GB" w:eastAsia="en-GB"/>
        </w:rPr>
        <w:t>,</w:t>
      </w:r>
      <w:r w:rsidR="00F76279">
        <w:rPr>
          <w:rFonts w:eastAsia="Times New Roman" w:cs="Times New Roman"/>
          <w:sz w:val="22"/>
          <w:szCs w:val="20"/>
          <w:lang w:val="en-GB" w:eastAsia="en-GB"/>
        </w:rPr>
        <w:t xml:space="preserve"> bearing in mind the </w:t>
      </w:r>
      <w:r>
        <w:rPr>
          <w:rFonts w:eastAsia="Times New Roman" w:cs="Times New Roman"/>
          <w:sz w:val="22"/>
          <w:szCs w:val="20"/>
          <w:lang w:val="en-GB" w:eastAsia="en-GB"/>
        </w:rPr>
        <w:t>Director</w:t>
      </w:r>
      <w:r w:rsidR="00F76279">
        <w:rPr>
          <w:rFonts w:eastAsia="Times New Roman" w:cs="Times New Roman"/>
          <w:sz w:val="22"/>
          <w:szCs w:val="20"/>
          <w:lang w:val="en-GB" w:eastAsia="en-GB"/>
        </w:rPr>
        <w:t>’s</w:t>
      </w:r>
      <w:r>
        <w:rPr>
          <w:rFonts w:eastAsia="Times New Roman" w:cs="Times New Roman"/>
          <w:sz w:val="22"/>
          <w:szCs w:val="20"/>
          <w:lang w:val="en-GB" w:eastAsia="en-GB"/>
        </w:rPr>
        <w:t xml:space="preserve"> discretion to grant a licence for a shorter period of time.  </w:t>
      </w:r>
    </w:p>
    <w:p w:rsidR="00DC7D18" w:rsidRDefault="00DC7D18" w:rsidP="0043586F">
      <w:pPr>
        <w:spacing w:after="0" w:line="280" w:lineRule="atLeast"/>
        <w:contextualSpacing/>
        <w:rPr>
          <w:sz w:val="22"/>
          <w:lang w:val="en-GB" w:eastAsia="en-GB"/>
        </w:rPr>
      </w:pPr>
    </w:p>
    <w:p w:rsidR="0043586F" w:rsidRPr="0043586F" w:rsidRDefault="00F76279" w:rsidP="00616101">
      <w:pPr>
        <w:numPr>
          <w:ilvl w:val="0"/>
          <w:numId w:val="1"/>
        </w:numPr>
        <w:spacing w:after="0" w:line="280" w:lineRule="atLeast"/>
        <w:contextualSpacing/>
        <w:rPr>
          <w:sz w:val="22"/>
          <w:lang w:val="en-GB" w:eastAsia="en-GB"/>
        </w:rPr>
      </w:pPr>
      <w:r>
        <w:rPr>
          <w:rFonts w:eastAsia="Times New Roman" w:cs="Times New Roman"/>
          <w:sz w:val="22"/>
          <w:szCs w:val="20"/>
          <w:lang w:val="en-GB" w:eastAsia="en-GB"/>
        </w:rPr>
        <w:t>Again, these considerations do n</w:t>
      </w:r>
      <w:r w:rsidR="0043586F">
        <w:rPr>
          <w:rFonts w:eastAsia="Times New Roman" w:cs="Times New Roman"/>
          <w:sz w:val="22"/>
          <w:szCs w:val="20"/>
          <w:lang w:val="en-GB" w:eastAsia="en-GB"/>
        </w:rPr>
        <w:t xml:space="preserve">ot apply to </w:t>
      </w:r>
      <w:r w:rsidR="003F27A0">
        <w:rPr>
          <w:rFonts w:eastAsia="Times New Roman" w:cs="Times New Roman"/>
          <w:sz w:val="22"/>
          <w:szCs w:val="20"/>
          <w:lang w:val="en-GB" w:eastAsia="en-GB"/>
        </w:rPr>
        <w:t xml:space="preserve">consents </w:t>
      </w:r>
      <w:r>
        <w:rPr>
          <w:rFonts w:eastAsia="Times New Roman" w:cs="Times New Roman"/>
          <w:sz w:val="22"/>
          <w:szCs w:val="20"/>
          <w:lang w:val="en-GB" w:eastAsia="en-GB"/>
        </w:rPr>
        <w:t xml:space="preserve">for </w:t>
      </w:r>
      <w:r w:rsidR="0043586F">
        <w:rPr>
          <w:rFonts w:eastAsia="Times New Roman" w:cs="Times New Roman"/>
          <w:sz w:val="22"/>
          <w:szCs w:val="20"/>
          <w:lang w:val="en-GB" w:eastAsia="en-GB"/>
        </w:rPr>
        <w:t xml:space="preserve">importing and exporting radioactive material.  </w:t>
      </w:r>
      <w:r w:rsidR="003F27A0">
        <w:rPr>
          <w:rFonts w:eastAsia="Times New Roman" w:cs="Times New Roman"/>
          <w:sz w:val="22"/>
          <w:szCs w:val="20"/>
          <w:lang w:val="en-GB" w:eastAsia="en-GB"/>
        </w:rPr>
        <w:t>A</w:t>
      </w:r>
      <w:r w:rsidR="00DC7D18">
        <w:rPr>
          <w:rFonts w:eastAsia="Times New Roman" w:cs="Times New Roman"/>
          <w:sz w:val="22"/>
          <w:szCs w:val="20"/>
          <w:lang w:val="en-GB" w:eastAsia="en-GB"/>
        </w:rPr>
        <w:t xml:space="preserve"> maximum period of one year for consents </w:t>
      </w:r>
      <w:r w:rsidR="0043586F">
        <w:rPr>
          <w:rFonts w:eastAsia="Times New Roman" w:cs="Times New Roman"/>
          <w:sz w:val="22"/>
          <w:szCs w:val="20"/>
          <w:lang w:val="en-GB" w:eastAsia="en-GB"/>
        </w:rPr>
        <w:t xml:space="preserve">is appropriate to achieve the </w:t>
      </w:r>
      <w:r w:rsidR="00364504">
        <w:rPr>
          <w:rFonts w:eastAsia="Times New Roman" w:cs="Times New Roman"/>
          <w:sz w:val="22"/>
          <w:szCs w:val="20"/>
          <w:lang w:val="en-GB" w:eastAsia="en-GB"/>
        </w:rPr>
        <w:t xml:space="preserve">Act’s </w:t>
      </w:r>
      <w:r w:rsidR="0043586F">
        <w:rPr>
          <w:rFonts w:eastAsia="Times New Roman" w:cs="Times New Roman"/>
          <w:sz w:val="22"/>
          <w:szCs w:val="20"/>
          <w:lang w:val="en-GB" w:eastAsia="en-GB"/>
        </w:rPr>
        <w:t xml:space="preserve">purposes.  </w:t>
      </w:r>
    </w:p>
    <w:p w:rsidR="00D132BE" w:rsidRDefault="00D132BE" w:rsidP="00DC7D18">
      <w:pPr>
        <w:spacing w:after="0" w:line="280" w:lineRule="atLeast"/>
        <w:contextualSpacing/>
        <w:rPr>
          <w:rFonts w:eastAsia="Times New Roman" w:cs="Times New Roman"/>
          <w:sz w:val="22"/>
          <w:szCs w:val="20"/>
          <w:lang w:val="en-GB" w:eastAsia="en-GB"/>
        </w:rPr>
      </w:pPr>
    </w:p>
    <w:p w:rsidR="00DC7D18" w:rsidRDefault="00DC7D18" w:rsidP="00DC7D18">
      <w:pPr>
        <w:spacing w:after="0" w:line="280" w:lineRule="atLeast"/>
        <w:contextualSpacing/>
        <w:rPr>
          <w:sz w:val="22"/>
          <w:lang w:val="en-GB" w:eastAsia="en-GB"/>
        </w:rPr>
      </w:pPr>
      <w:r>
        <w:rPr>
          <w:sz w:val="22"/>
          <w:u w:val="single"/>
          <w:lang w:val="en-GB" w:eastAsia="en-GB"/>
        </w:rPr>
        <w:t>Option three</w:t>
      </w:r>
    </w:p>
    <w:p w:rsidR="00DC7D18" w:rsidRDefault="00DC7D18" w:rsidP="00DC7D18">
      <w:pPr>
        <w:spacing w:after="0"/>
        <w:rPr>
          <w:sz w:val="22"/>
          <w:lang w:val="en-GB" w:eastAsia="en-GB"/>
        </w:rPr>
      </w:pPr>
    </w:p>
    <w:p w:rsidR="0043586F" w:rsidRDefault="0043586F" w:rsidP="00616101">
      <w:pPr>
        <w:numPr>
          <w:ilvl w:val="0"/>
          <w:numId w:val="1"/>
        </w:numPr>
        <w:spacing w:after="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Specify a five year maximum duration for authorisations.</w:t>
      </w:r>
    </w:p>
    <w:p w:rsidR="0043586F" w:rsidRDefault="0043586F" w:rsidP="0043586F">
      <w:pPr>
        <w:spacing w:after="0" w:line="280" w:lineRule="atLeast"/>
        <w:contextualSpacing/>
        <w:rPr>
          <w:rFonts w:eastAsia="Times New Roman" w:cs="Times New Roman"/>
          <w:sz w:val="22"/>
          <w:szCs w:val="20"/>
          <w:lang w:val="en-GB" w:eastAsia="en-GB"/>
        </w:rPr>
      </w:pPr>
    </w:p>
    <w:p w:rsidR="00DC7D18" w:rsidRDefault="0043586F" w:rsidP="00616101">
      <w:pPr>
        <w:numPr>
          <w:ilvl w:val="0"/>
          <w:numId w:val="1"/>
        </w:numPr>
        <w:spacing w:after="0" w:line="280" w:lineRule="atLeast"/>
        <w:contextualSpacing/>
        <w:rPr>
          <w:rFonts w:eastAsia="Times New Roman" w:cs="Times New Roman"/>
          <w:sz w:val="22"/>
          <w:lang w:val="en-GB" w:eastAsia="en-GB"/>
        </w:rPr>
      </w:pPr>
      <w:r>
        <w:rPr>
          <w:rFonts w:eastAsia="Times New Roman" w:cs="Times New Roman"/>
          <w:sz w:val="22"/>
          <w:lang w:val="en-GB" w:eastAsia="en-GB"/>
        </w:rPr>
        <w:t xml:space="preserve">Five years between licence renewals </w:t>
      </w:r>
      <w:r w:rsidR="00CC4A8F">
        <w:rPr>
          <w:rFonts w:eastAsia="Times New Roman" w:cs="Times New Roman"/>
          <w:sz w:val="22"/>
          <w:lang w:val="en-GB" w:eastAsia="en-GB"/>
        </w:rPr>
        <w:t>would arguably be</w:t>
      </w:r>
      <w:r>
        <w:rPr>
          <w:rFonts w:eastAsia="Times New Roman" w:cs="Times New Roman"/>
          <w:sz w:val="22"/>
          <w:lang w:val="en-GB" w:eastAsia="en-GB"/>
        </w:rPr>
        <w:t xml:space="preserve"> too long for applicants t</w:t>
      </w:r>
      <w:r w:rsidR="00F76279">
        <w:rPr>
          <w:rFonts w:eastAsia="Times New Roman" w:cs="Times New Roman"/>
          <w:sz w:val="22"/>
          <w:lang w:val="en-GB" w:eastAsia="en-GB"/>
        </w:rPr>
        <w:t>o be reviewing their procedures, and could compromise radiation safety unduly unless the Director frequently checks compliance.</w:t>
      </w:r>
      <w:r>
        <w:rPr>
          <w:rFonts w:eastAsia="Times New Roman" w:cs="Times New Roman"/>
          <w:sz w:val="22"/>
          <w:lang w:val="en-GB" w:eastAsia="en-GB"/>
        </w:rPr>
        <w:t xml:space="preserve">  In this environment, the Director is likely to set </w:t>
      </w:r>
      <w:r w:rsidR="00DC7D18">
        <w:rPr>
          <w:rFonts w:eastAsia="Times New Roman" w:cs="Times New Roman"/>
          <w:sz w:val="22"/>
          <w:lang w:val="en-GB" w:eastAsia="en-GB"/>
        </w:rPr>
        <w:t xml:space="preserve">different </w:t>
      </w:r>
      <w:r>
        <w:rPr>
          <w:rFonts w:eastAsia="Times New Roman" w:cs="Times New Roman"/>
          <w:sz w:val="22"/>
          <w:lang w:val="en-GB" w:eastAsia="en-GB"/>
        </w:rPr>
        <w:t>(lower than maximum) periods</w:t>
      </w:r>
      <w:r w:rsidR="00DC7D18">
        <w:rPr>
          <w:rFonts w:eastAsia="Times New Roman" w:cs="Times New Roman"/>
          <w:sz w:val="22"/>
          <w:lang w:val="en-GB" w:eastAsia="en-GB"/>
        </w:rPr>
        <w:t xml:space="preserve"> for </w:t>
      </w:r>
      <w:r>
        <w:rPr>
          <w:rFonts w:eastAsia="Times New Roman" w:cs="Times New Roman"/>
          <w:sz w:val="22"/>
          <w:lang w:val="en-GB" w:eastAsia="en-GB"/>
        </w:rPr>
        <w:t xml:space="preserve">a number of situations and this option is likely to be </w:t>
      </w:r>
      <w:r w:rsidR="00D132BE">
        <w:rPr>
          <w:rFonts w:eastAsia="Times New Roman" w:cs="Times New Roman"/>
          <w:sz w:val="22"/>
          <w:lang w:val="en-GB" w:eastAsia="en-GB"/>
        </w:rPr>
        <w:t xml:space="preserve">similar </w:t>
      </w:r>
      <w:r>
        <w:rPr>
          <w:rFonts w:eastAsia="Times New Roman" w:cs="Times New Roman"/>
          <w:sz w:val="22"/>
          <w:lang w:val="en-GB" w:eastAsia="en-GB"/>
        </w:rPr>
        <w:t xml:space="preserve">to setting licence durations on a case-by-case basis.  </w:t>
      </w:r>
    </w:p>
    <w:p w:rsidR="00DC7D18" w:rsidRDefault="00DC7D18" w:rsidP="00DC7D18">
      <w:pPr>
        <w:spacing w:after="0" w:line="280" w:lineRule="atLeast"/>
        <w:contextualSpacing/>
        <w:rPr>
          <w:rFonts w:eastAsia="Times New Roman" w:cs="Times New Roman"/>
          <w:sz w:val="22"/>
          <w:lang w:val="en-GB" w:eastAsia="en-GB"/>
        </w:rPr>
      </w:pPr>
    </w:p>
    <w:p w:rsidR="00DC7D18" w:rsidRDefault="00DC7D18" w:rsidP="00616101">
      <w:pPr>
        <w:pStyle w:val="ListParagraph"/>
        <w:numPr>
          <w:ilvl w:val="0"/>
          <w:numId w:val="1"/>
        </w:numPr>
        <w:rPr>
          <w:u w:val="single"/>
          <w:lang w:val="en-GB" w:eastAsia="en-GB"/>
        </w:rPr>
      </w:pPr>
      <w:r>
        <w:rPr>
          <w:rFonts w:eastAsia="Times New Roman" w:cs="Times New Roman"/>
          <w:sz w:val="22"/>
          <w:lang w:val="en-GB" w:eastAsia="en-GB"/>
        </w:rPr>
        <w:t xml:space="preserve">This </w:t>
      </w:r>
      <w:r w:rsidR="0043586F">
        <w:rPr>
          <w:rFonts w:eastAsia="Times New Roman" w:cs="Times New Roman"/>
          <w:sz w:val="22"/>
          <w:lang w:val="en-GB" w:eastAsia="en-GB"/>
        </w:rPr>
        <w:t xml:space="preserve">option </w:t>
      </w:r>
      <w:r w:rsidR="00F76279">
        <w:rPr>
          <w:rFonts w:eastAsia="Times New Roman" w:cs="Times New Roman"/>
          <w:sz w:val="22"/>
          <w:lang w:val="en-GB" w:eastAsia="en-GB"/>
        </w:rPr>
        <w:t>c</w:t>
      </w:r>
      <w:r>
        <w:rPr>
          <w:rFonts w:eastAsia="Times New Roman" w:cs="Times New Roman"/>
          <w:sz w:val="22"/>
          <w:lang w:val="en-GB" w:eastAsia="en-GB"/>
        </w:rPr>
        <w:t>ould</w:t>
      </w:r>
      <w:r w:rsidR="00F76279">
        <w:rPr>
          <w:rFonts w:eastAsia="Times New Roman" w:cs="Times New Roman"/>
          <w:sz w:val="22"/>
          <w:lang w:val="en-GB" w:eastAsia="en-GB"/>
        </w:rPr>
        <w:t xml:space="preserve"> have the perverse effect of adding to </w:t>
      </w:r>
      <w:r w:rsidR="0043586F">
        <w:rPr>
          <w:rFonts w:eastAsia="Times New Roman" w:cs="Times New Roman"/>
          <w:sz w:val="22"/>
          <w:lang w:val="en-GB" w:eastAsia="en-GB"/>
        </w:rPr>
        <w:t xml:space="preserve">regulator cost and could be </w:t>
      </w:r>
      <w:r w:rsidR="00663F93">
        <w:rPr>
          <w:rFonts w:eastAsia="Times New Roman" w:cs="Times New Roman"/>
          <w:sz w:val="22"/>
          <w:lang w:val="en-GB" w:eastAsia="en-GB"/>
        </w:rPr>
        <w:t xml:space="preserve">  </w:t>
      </w:r>
      <w:r w:rsidR="0043586F">
        <w:rPr>
          <w:rFonts w:eastAsia="Times New Roman" w:cs="Times New Roman"/>
          <w:sz w:val="22"/>
          <w:lang w:val="en-GB" w:eastAsia="en-GB"/>
        </w:rPr>
        <w:t xml:space="preserve">perceived as adding inconsistency to the system.  </w:t>
      </w:r>
    </w:p>
    <w:p w:rsidR="00DC7D18" w:rsidRDefault="003F27A0" w:rsidP="00DC7D18">
      <w:pPr>
        <w:spacing w:after="0" w:line="280" w:lineRule="atLeast"/>
        <w:contextualSpacing/>
        <w:rPr>
          <w:rFonts w:eastAsia="Times New Roman" w:cs="Times New Roman"/>
          <w:sz w:val="22"/>
          <w:szCs w:val="20"/>
          <w:u w:val="single"/>
          <w:lang w:val="en-GB" w:eastAsia="en-GB"/>
        </w:rPr>
      </w:pPr>
      <w:r>
        <w:rPr>
          <w:rFonts w:eastAsia="Times New Roman" w:cs="Times New Roman"/>
          <w:sz w:val="22"/>
          <w:szCs w:val="20"/>
          <w:u w:val="single"/>
          <w:lang w:val="en-GB" w:eastAsia="en-GB"/>
        </w:rPr>
        <w:t>Analysis of</w:t>
      </w:r>
      <w:r w:rsidR="00DC7D18">
        <w:rPr>
          <w:rFonts w:eastAsia="Times New Roman" w:cs="Times New Roman"/>
          <w:sz w:val="22"/>
          <w:szCs w:val="20"/>
          <w:u w:val="single"/>
          <w:lang w:val="en-GB" w:eastAsia="en-GB"/>
        </w:rPr>
        <w:t xml:space="preserve"> option</w:t>
      </w:r>
      <w:r>
        <w:rPr>
          <w:rFonts w:eastAsia="Times New Roman" w:cs="Times New Roman"/>
          <w:sz w:val="22"/>
          <w:szCs w:val="20"/>
          <w:u w:val="single"/>
          <w:lang w:val="en-GB" w:eastAsia="en-GB"/>
        </w:rPr>
        <w:t>s</w:t>
      </w:r>
    </w:p>
    <w:p w:rsidR="008A5AA4" w:rsidRDefault="008A5AA4" w:rsidP="008A5AA4">
      <w:pPr>
        <w:spacing w:after="0" w:line="280" w:lineRule="exact"/>
        <w:rPr>
          <w:rFonts w:eastAsia="Times New Roman" w:cs="Times New Roman"/>
          <w:sz w:val="22"/>
          <w:lang w:val="en-AU"/>
        </w:rPr>
      </w:pPr>
    </w:p>
    <w:tbl>
      <w:tblPr>
        <w:tblStyle w:val="TableGrid"/>
        <w:tblW w:w="0" w:type="auto"/>
        <w:tblInd w:w="108" w:type="dxa"/>
        <w:tblLook w:val="04A0" w:firstRow="1" w:lastRow="0" w:firstColumn="1" w:lastColumn="0" w:noHBand="0" w:noVBand="1"/>
      </w:tblPr>
      <w:tblGrid>
        <w:gridCol w:w="5812"/>
        <w:gridCol w:w="851"/>
        <w:gridCol w:w="850"/>
        <w:gridCol w:w="850"/>
      </w:tblGrid>
      <w:tr w:rsidR="00F76279" w:rsidRPr="008A5AA4" w:rsidTr="009956B7">
        <w:tc>
          <w:tcPr>
            <w:tcW w:w="5812" w:type="dxa"/>
          </w:tcPr>
          <w:p w:rsidR="00F76279" w:rsidRPr="008A5AA4" w:rsidRDefault="00F76279"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851" w:type="dxa"/>
          </w:tcPr>
          <w:p w:rsidR="00F76279" w:rsidRPr="008A5AA4" w:rsidRDefault="00F76279" w:rsidP="00364504">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850" w:type="dxa"/>
          </w:tcPr>
          <w:p w:rsidR="00F76279" w:rsidRPr="008A5AA4" w:rsidRDefault="00F76279"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c>
          <w:tcPr>
            <w:tcW w:w="850" w:type="dxa"/>
          </w:tcPr>
          <w:p w:rsidR="00F76279" w:rsidRDefault="00F76279" w:rsidP="00204197">
            <w:pPr>
              <w:spacing w:line="280" w:lineRule="exact"/>
              <w:jc w:val="center"/>
              <w:rPr>
                <w:rFonts w:eastAsia="Times New Roman" w:cs="Times New Roman"/>
                <w:b/>
                <w:sz w:val="16"/>
                <w:szCs w:val="16"/>
                <w:lang w:val="en-AU"/>
              </w:rPr>
            </w:pPr>
            <w:r>
              <w:rPr>
                <w:rFonts w:eastAsia="Times New Roman" w:cs="Times New Roman"/>
                <w:b/>
                <w:sz w:val="16"/>
                <w:szCs w:val="16"/>
                <w:lang w:val="en-AU"/>
              </w:rPr>
              <w:t>Option</w:t>
            </w:r>
          </w:p>
          <w:p w:rsidR="00F76279" w:rsidRPr="008A5AA4" w:rsidRDefault="00F76279" w:rsidP="00204197">
            <w:pPr>
              <w:spacing w:line="280" w:lineRule="exact"/>
              <w:jc w:val="center"/>
              <w:rPr>
                <w:rFonts w:eastAsia="Times New Roman" w:cs="Times New Roman"/>
                <w:b/>
                <w:sz w:val="16"/>
                <w:szCs w:val="16"/>
                <w:lang w:val="en-AU"/>
              </w:rPr>
            </w:pPr>
            <w:r>
              <w:rPr>
                <w:rFonts w:eastAsia="Times New Roman" w:cs="Times New Roman"/>
                <w:b/>
                <w:sz w:val="16"/>
                <w:szCs w:val="16"/>
                <w:lang w:val="en-AU"/>
              </w:rPr>
              <w:t>3</w:t>
            </w:r>
          </w:p>
        </w:tc>
      </w:tr>
      <w:tr w:rsidR="00F76279" w:rsidTr="009956B7">
        <w:tc>
          <w:tcPr>
            <w:tcW w:w="5812" w:type="dxa"/>
          </w:tcPr>
          <w:p w:rsidR="00F76279" w:rsidRPr="008A5AA4" w:rsidRDefault="00F76279"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Pr="008A5AA4">
              <w:rPr>
                <w:rFonts w:eastAsia="Times New Roman" w:cs="Times New Roman"/>
                <w:sz w:val="16"/>
                <w:szCs w:val="16"/>
                <w:lang w:val="en-GB" w:eastAsia="en-GB"/>
              </w:rPr>
              <w:t xml:space="preserve"> </w:t>
            </w:r>
          </w:p>
        </w:tc>
        <w:tc>
          <w:tcPr>
            <w:tcW w:w="851" w:type="dxa"/>
          </w:tcPr>
          <w:p w:rsidR="00F76279" w:rsidRDefault="00F76279" w:rsidP="00204197">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204197">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204197">
            <w:pPr>
              <w:spacing w:line="280" w:lineRule="exact"/>
              <w:rPr>
                <w:rFonts w:eastAsia="Times New Roman" w:cs="Arial"/>
                <w:sz w:val="22"/>
                <w:lang w:val="en-AU"/>
              </w:rPr>
            </w:pPr>
            <w:r>
              <w:rPr>
                <w:rFonts w:eastAsia="Times New Roman" w:cs="Arial"/>
                <w:sz w:val="22"/>
                <w:lang w:val="en-AU"/>
              </w:rPr>
              <w:t>√</w:t>
            </w:r>
          </w:p>
        </w:tc>
      </w:tr>
      <w:tr w:rsidR="00F76279" w:rsidTr="009956B7">
        <w:tc>
          <w:tcPr>
            <w:tcW w:w="5812" w:type="dxa"/>
          </w:tcPr>
          <w:p w:rsidR="00F76279" w:rsidRPr="008A5AA4" w:rsidRDefault="00F76279" w:rsidP="00204197">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851" w:type="dxa"/>
          </w:tcPr>
          <w:p w:rsidR="00F76279" w:rsidRDefault="00F76279" w:rsidP="00204197">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204197">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204197">
            <w:pPr>
              <w:spacing w:line="280" w:lineRule="exact"/>
              <w:rPr>
                <w:rFonts w:eastAsia="Times New Roman" w:cs="Arial"/>
                <w:sz w:val="22"/>
                <w:lang w:val="en-AU"/>
              </w:rPr>
            </w:pPr>
            <w:r>
              <w:rPr>
                <w:rFonts w:eastAsia="Times New Roman" w:cs="Arial"/>
                <w:sz w:val="22"/>
                <w:lang w:val="en-AU"/>
              </w:rPr>
              <w:t>√</w:t>
            </w:r>
          </w:p>
        </w:tc>
      </w:tr>
      <w:tr w:rsidR="00F76279" w:rsidTr="009956B7">
        <w:tc>
          <w:tcPr>
            <w:tcW w:w="5812" w:type="dxa"/>
          </w:tcPr>
          <w:p w:rsidR="00F76279" w:rsidRPr="008A5AA4" w:rsidRDefault="00F76279"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851" w:type="dxa"/>
          </w:tcPr>
          <w:p w:rsidR="00F76279" w:rsidRDefault="00F76279" w:rsidP="00204197">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F76279">
            <w:pPr>
              <w:spacing w:line="280" w:lineRule="exact"/>
              <w:rPr>
                <w:rFonts w:eastAsia="Times New Roman" w:cs="Times New Roman"/>
                <w:sz w:val="22"/>
                <w:lang w:val="en-AU"/>
              </w:rPr>
            </w:pPr>
            <w:r>
              <w:rPr>
                <w:rFonts w:eastAsia="Times New Roman" w:cs="Arial"/>
                <w:sz w:val="22"/>
                <w:lang w:val="en-AU"/>
              </w:rPr>
              <w:t>√</w:t>
            </w:r>
          </w:p>
        </w:tc>
        <w:tc>
          <w:tcPr>
            <w:tcW w:w="850" w:type="dxa"/>
          </w:tcPr>
          <w:p w:rsidR="00F76279" w:rsidRDefault="00F76279" w:rsidP="00204197">
            <w:pPr>
              <w:spacing w:line="280" w:lineRule="exact"/>
              <w:rPr>
                <w:rFonts w:eastAsia="Times New Roman" w:cs="Times New Roman"/>
                <w:sz w:val="22"/>
                <w:lang w:val="en-AU"/>
              </w:rPr>
            </w:pPr>
          </w:p>
        </w:tc>
      </w:tr>
      <w:tr w:rsidR="00F76279" w:rsidTr="009956B7">
        <w:tc>
          <w:tcPr>
            <w:tcW w:w="5812" w:type="dxa"/>
          </w:tcPr>
          <w:p w:rsidR="00F76279" w:rsidRPr="008A5AA4" w:rsidRDefault="00F76279" w:rsidP="00204197">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851" w:type="dxa"/>
          </w:tcPr>
          <w:p w:rsidR="00F76279" w:rsidRPr="00364504" w:rsidRDefault="00F76279" w:rsidP="00204197">
            <w:pPr>
              <w:spacing w:line="280" w:lineRule="exact"/>
              <w:rPr>
                <w:rFonts w:eastAsia="Times New Roman" w:cs="Times New Roman"/>
                <w:sz w:val="16"/>
                <w:szCs w:val="16"/>
                <w:lang w:val="en-AU"/>
              </w:rPr>
            </w:pPr>
            <w:r w:rsidRPr="00364504">
              <w:rPr>
                <w:rFonts w:eastAsia="Times New Roman" w:cs="Times New Roman"/>
                <w:sz w:val="16"/>
                <w:szCs w:val="16"/>
                <w:lang w:val="en-AU"/>
              </w:rPr>
              <w:t>N/A</w:t>
            </w:r>
          </w:p>
        </w:tc>
        <w:tc>
          <w:tcPr>
            <w:tcW w:w="850" w:type="dxa"/>
          </w:tcPr>
          <w:p w:rsidR="00F76279" w:rsidRPr="00364504" w:rsidRDefault="00F76279" w:rsidP="00204197">
            <w:pPr>
              <w:spacing w:line="280" w:lineRule="exact"/>
              <w:rPr>
                <w:rFonts w:eastAsia="Times New Roman" w:cs="Times New Roman"/>
                <w:sz w:val="16"/>
                <w:szCs w:val="16"/>
                <w:lang w:val="en-AU"/>
              </w:rPr>
            </w:pPr>
            <w:r w:rsidRPr="00364504">
              <w:rPr>
                <w:rFonts w:eastAsia="Times New Roman" w:cs="Times New Roman"/>
                <w:sz w:val="16"/>
                <w:szCs w:val="16"/>
                <w:lang w:val="en-AU"/>
              </w:rPr>
              <w:t>N/A</w:t>
            </w:r>
          </w:p>
        </w:tc>
        <w:tc>
          <w:tcPr>
            <w:tcW w:w="850" w:type="dxa"/>
          </w:tcPr>
          <w:p w:rsidR="00F76279" w:rsidRPr="00364504" w:rsidRDefault="00F76279" w:rsidP="00204197">
            <w:pPr>
              <w:spacing w:line="280" w:lineRule="exact"/>
              <w:rPr>
                <w:rFonts w:eastAsia="Times New Roman" w:cs="Times New Roman"/>
                <w:sz w:val="16"/>
                <w:szCs w:val="16"/>
                <w:lang w:val="en-AU"/>
              </w:rPr>
            </w:pPr>
          </w:p>
        </w:tc>
      </w:tr>
    </w:tbl>
    <w:p w:rsidR="007A464B" w:rsidRDefault="007A464B" w:rsidP="007A464B">
      <w:pPr>
        <w:spacing w:after="0" w:line="280" w:lineRule="exact"/>
        <w:rPr>
          <w:rFonts w:eastAsia="Times New Roman" w:cs="Times New Roman"/>
          <w:sz w:val="22"/>
          <w:lang w:val="en-AU"/>
        </w:rPr>
      </w:pPr>
      <w:r>
        <w:rPr>
          <w:rFonts w:eastAsia="Times New Roman" w:cs="Times New Roman"/>
          <w:sz w:val="22"/>
          <w:lang w:val="en-AU"/>
        </w:rPr>
        <w:t>Key = ticks indicate criteria met; blank space</w:t>
      </w:r>
      <w:r w:rsidR="000B6227">
        <w:rPr>
          <w:rFonts w:eastAsia="Times New Roman" w:cs="Times New Roman"/>
          <w:sz w:val="22"/>
          <w:lang w:val="en-AU"/>
        </w:rPr>
        <w:t>s</w:t>
      </w:r>
      <w:r>
        <w:rPr>
          <w:rFonts w:eastAsia="Times New Roman" w:cs="Times New Roman"/>
          <w:sz w:val="22"/>
          <w:lang w:val="en-AU"/>
        </w:rPr>
        <w:t xml:space="preserve"> indicates they are not met</w:t>
      </w:r>
    </w:p>
    <w:p w:rsidR="008A5AA4" w:rsidRPr="008A5AA4" w:rsidRDefault="008A5AA4" w:rsidP="008A5AA4">
      <w:pPr>
        <w:spacing w:after="0"/>
        <w:rPr>
          <w:sz w:val="22"/>
          <w:lang w:val="en-GB" w:eastAsia="en-GB"/>
        </w:rPr>
      </w:pPr>
    </w:p>
    <w:p w:rsidR="00BA5959" w:rsidRDefault="003F27A0" w:rsidP="00C35965">
      <w:pPr>
        <w:pStyle w:val="ListParagraph"/>
        <w:numPr>
          <w:ilvl w:val="0"/>
          <w:numId w:val="1"/>
        </w:numPr>
        <w:spacing w:after="0"/>
        <w:rPr>
          <w:sz w:val="22"/>
          <w:lang w:val="en-GB" w:eastAsia="en-GB"/>
        </w:rPr>
      </w:pPr>
      <w:r w:rsidRPr="00F76279">
        <w:rPr>
          <w:sz w:val="22"/>
          <w:lang w:val="en-GB" w:eastAsia="en-GB"/>
        </w:rPr>
        <w:t xml:space="preserve">The Ministry prefers option two </w:t>
      </w:r>
      <w:r w:rsidR="00F76279">
        <w:rPr>
          <w:sz w:val="22"/>
          <w:lang w:val="en-GB" w:eastAsia="en-GB"/>
        </w:rPr>
        <w:t>because it is more proportionate, simpler and more certain.</w:t>
      </w:r>
    </w:p>
    <w:p w:rsidR="00F76279" w:rsidRPr="0043586F" w:rsidRDefault="00F76279" w:rsidP="00F76279">
      <w:pPr>
        <w:pStyle w:val="ListParagraph"/>
        <w:spacing w:after="0"/>
        <w:ind w:left="360"/>
        <w:rPr>
          <w:sz w:val="22"/>
          <w:lang w:val="en-GB" w:eastAsia="en-GB"/>
        </w:rPr>
      </w:pPr>
    </w:p>
    <w:p w:rsidR="00DC7D18" w:rsidRDefault="003D6439" w:rsidP="00DC7D18">
      <w:pPr>
        <w:spacing w:after="0"/>
        <w:rPr>
          <w:i/>
          <w:sz w:val="22"/>
          <w:lang w:val="en-GB" w:eastAsia="en-GB"/>
        </w:rPr>
      </w:pPr>
      <w:r>
        <w:rPr>
          <w:i/>
          <w:sz w:val="22"/>
          <w:lang w:val="en-GB" w:eastAsia="en-GB"/>
        </w:rPr>
        <w:t xml:space="preserve">Groups that can perform prescribed activities without a </w:t>
      </w:r>
      <w:r w:rsidR="00DC7D18">
        <w:rPr>
          <w:i/>
          <w:sz w:val="22"/>
          <w:lang w:val="en-GB" w:eastAsia="en-GB"/>
        </w:rPr>
        <w:t>use licence</w:t>
      </w:r>
    </w:p>
    <w:p w:rsidR="00DC7D18" w:rsidRDefault="00DC7D18" w:rsidP="00DC7D18">
      <w:pPr>
        <w:spacing w:after="0"/>
        <w:rPr>
          <w:i/>
          <w:sz w:val="22"/>
          <w:lang w:val="en-GB" w:eastAsia="en-GB"/>
        </w:rPr>
      </w:pPr>
    </w:p>
    <w:p w:rsidR="00DC7D18" w:rsidRDefault="003D6439" w:rsidP="00616101">
      <w:pPr>
        <w:numPr>
          <w:ilvl w:val="0"/>
          <w:numId w:val="1"/>
        </w:numPr>
        <w:spacing w:after="24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 xml:space="preserve">The </w:t>
      </w:r>
      <w:r w:rsidR="00DC7D18">
        <w:rPr>
          <w:rFonts w:eastAsia="Times New Roman" w:cs="Times New Roman"/>
          <w:sz w:val="22"/>
          <w:szCs w:val="20"/>
          <w:lang w:val="en-GB" w:eastAsia="en-GB"/>
        </w:rPr>
        <w:t>Act requires users of radiation sou</w:t>
      </w:r>
      <w:r w:rsidR="008A5AA4">
        <w:rPr>
          <w:rFonts w:eastAsia="Times New Roman" w:cs="Times New Roman"/>
          <w:sz w:val="22"/>
          <w:szCs w:val="20"/>
          <w:lang w:val="en-GB" w:eastAsia="en-GB"/>
        </w:rPr>
        <w:t xml:space="preserve">rces to obtain a use licence.  </w:t>
      </w:r>
      <w:r>
        <w:rPr>
          <w:rFonts w:eastAsia="Times New Roman" w:cs="Times New Roman"/>
          <w:sz w:val="22"/>
          <w:szCs w:val="20"/>
          <w:lang w:val="en-GB" w:eastAsia="en-GB"/>
        </w:rPr>
        <w:t>However,</w:t>
      </w:r>
      <w:r w:rsidR="00DC7D18">
        <w:rPr>
          <w:rFonts w:eastAsia="Times New Roman" w:cs="Times New Roman"/>
          <w:sz w:val="22"/>
          <w:szCs w:val="20"/>
          <w:lang w:val="en-GB" w:eastAsia="en-GB"/>
        </w:rPr>
        <w:t xml:space="preserve"> </w:t>
      </w:r>
      <w:r>
        <w:rPr>
          <w:rFonts w:eastAsia="Times New Roman" w:cs="Times New Roman"/>
          <w:sz w:val="22"/>
          <w:szCs w:val="20"/>
          <w:lang w:val="en-GB" w:eastAsia="en-GB"/>
        </w:rPr>
        <w:t>whe</w:t>
      </w:r>
      <w:r w:rsidR="00D8128F">
        <w:rPr>
          <w:rFonts w:eastAsia="Times New Roman" w:cs="Times New Roman"/>
          <w:sz w:val="22"/>
          <w:szCs w:val="20"/>
          <w:lang w:val="en-GB" w:eastAsia="en-GB"/>
        </w:rPr>
        <w:t>n</w:t>
      </w:r>
      <w:r>
        <w:rPr>
          <w:rFonts w:eastAsia="Times New Roman" w:cs="Times New Roman"/>
          <w:sz w:val="22"/>
          <w:szCs w:val="20"/>
          <w:lang w:val="en-GB" w:eastAsia="en-GB"/>
        </w:rPr>
        <w:t xml:space="preserve"> the required radiation safety knowledge and experience can be demonstrated by another means, Regulations can authorise groups to perform prescribed</w:t>
      </w:r>
      <w:r w:rsidR="00DC7D18">
        <w:rPr>
          <w:rFonts w:eastAsia="Times New Roman" w:cs="Times New Roman"/>
          <w:sz w:val="22"/>
          <w:szCs w:val="20"/>
          <w:lang w:val="en-GB" w:eastAsia="en-GB"/>
        </w:rPr>
        <w:t xml:space="preserve"> </w:t>
      </w:r>
      <w:r>
        <w:rPr>
          <w:rFonts w:eastAsia="Times New Roman" w:cs="Times New Roman"/>
          <w:sz w:val="22"/>
          <w:szCs w:val="20"/>
          <w:lang w:val="en-GB" w:eastAsia="en-GB"/>
        </w:rPr>
        <w:t xml:space="preserve">activities </w:t>
      </w:r>
      <w:r w:rsidR="00DC7D18">
        <w:rPr>
          <w:rFonts w:eastAsia="Times New Roman" w:cs="Times New Roman"/>
          <w:sz w:val="22"/>
          <w:szCs w:val="20"/>
          <w:lang w:val="en-GB" w:eastAsia="en-GB"/>
        </w:rPr>
        <w:t xml:space="preserve">without a use licence.  </w:t>
      </w:r>
      <w:r>
        <w:rPr>
          <w:rFonts w:eastAsia="Times New Roman" w:cs="Times New Roman"/>
          <w:sz w:val="22"/>
          <w:szCs w:val="20"/>
          <w:lang w:val="en-GB" w:eastAsia="en-GB"/>
        </w:rPr>
        <w:t>These activities</w:t>
      </w:r>
      <w:r w:rsidR="00DC7D18">
        <w:rPr>
          <w:rFonts w:eastAsia="Times New Roman" w:cs="Times New Roman"/>
          <w:sz w:val="22"/>
          <w:szCs w:val="20"/>
          <w:lang w:val="en-GB" w:eastAsia="en-GB"/>
        </w:rPr>
        <w:t xml:space="preserve"> will still be subject to the fundamental safety and security requirements of the Act and any applicable codes of practice.  </w:t>
      </w:r>
    </w:p>
    <w:p w:rsidR="003F0787" w:rsidRDefault="003F0787" w:rsidP="003F0787">
      <w:pPr>
        <w:spacing w:after="240" w:line="280" w:lineRule="atLeast"/>
        <w:ind w:left="360"/>
        <w:contextualSpacing/>
        <w:rPr>
          <w:rFonts w:eastAsia="Times New Roman" w:cs="Times New Roman"/>
          <w:sz w:val="22"/>
          <w:szCs w:val="20"/>
          <w:lang w:val="en-GB" w:eastAsia="en-GB"/>
        </w:rPr>
      </w:pPr>
    </w:p>
    <w:p w:rsidR="00DC7D18" w:rsidRDefault="00DC7D18" w:rsidP="00DC7D18">
      <w:pPr>
        <w:spacing w:after="240" w:line="280" w:lineRule="atLeast"/>
        <w:contextualSpacing/>
        <w:rPr>
          <w:rFonts w:eastAsia="Times New Roman" w:cs="Times New Roman"/>
          <w:sz w:val="22"/>
          <w:szCs w:val="20"/>
          <w:lang w:val="en-GB" w:eastAsia="en-GB"/>
        </w:rPr>
      </w:pPr>
      <w:r>
        <w:rPr>
          <w:sz w:val="22"/>
          <w:u w:val="single"/>
          <w:lang w:val="en-GB" w:eastAsia="en-GB"/>
        </w:rPr>
        <w:t>Option one</w:t>
      </w:r>
    </w:p>
    <w:p w:rsidR="00DC7D18" w:rsidRDefault="00DC7D18" w:rsidP="00DC7D18">
      <w:pPr>
        <w:spacing w:after="0" w:line="280" w:lineRule="atLeast"/>
        <w:ind w:left="360"/>
        <w:contextualSpacing/>
        <w:rPr>
          <w:sz w:val="22"/>
          <w:u w:val="single"/>
          <w:lang w:val="en-GB" w:eastAsia="en-GB"/>
        </w:rPr>
      </w:pPr>
    </w:p>
    <w:p w:rsidR="00DC7D18" w:rsidRPr="003D6439" w:rsidRDefault="003D6439" w:rsidP="00616101">
      <w:pPr>
        <w:pStyle w:val="ListParagraph"/>
        <w:numPr>
          <w:ilvl w:val="0"/>
          <w:numId w:val="1"/>
        </w:numPr>
        <w:spacing w:after="0" w:line="280" w:lineRule="atLeast"/>
        <w:rPr>
          <w:sz w:val="22"/>
          <w:u w:val="single"/>
          <w:lang w:val="en-GB" w:eastAsia="en-GB"/>
        </w:rPr>
      </w:pPr>
      <w:r>
        <w:rPr>
          <w:rFonts w:eastAsia="Times New Roman" w:cs="Times New Roman"/>
          <w:sz w:val="22"/>
          <w:szCs w:val="20"/>
          <w:lang w:val="en-GB" w:eastAsia="en-GB"/>
        </w:rPr>
        <w:t xml:space="preserve">No Regulations </w:t>
      </w:r>
      <w:r w:rsidR="00F76279">
        <w:rPr>
          <w:rFonts w:eastAsia="Times New Roman" w:cs="Times New Roman"/>
          <w:sz w:val="22"/>
          <w:szCs w:val="20"/>
          <w:lang w:val="en-GB" w:eastAsia="en-GB"/>
        </w:rPr>
        <w:t>are made excluding groups from obtaining a use licence</w:t>
      </w:r>
      <w:r>
        <w:rPr>
          <w:rFonts w:eastAsia="Times New Roman" w:cs="Times New Roman"/>
          <w:sz w:val="22"/>
          <w:szCs w:val="20"/>
          <w:lang w:val="en-GB" w:eastAsia="en-GB"/>
        </w:rPr>
        <w:t xml:space="preserve">.  </w:t>
      </w:r>
      <w:r w:rsidR="00DC7D18" w:rsidRPr="003D6439">
        <w:rPr>
          <w:rFonts w:eastAsia="Times New Roman" w:cs="Times New Roman"/>
          <w:sz w:val="22"/>
          <w:szCs w:val="20"/>
          <w:lang w:val="en-GB" w:eastAsia="en-GB"/>
        </w:rPr>
        <w:t xml:space="preserve">This option is equitable in the sense that </w:t>
      </w:r>
      <w:r>
        <w:rPr>
          <w:rFonts w:eastAsia="Times New Roman" w:cs="Times New Roman"/>
          <w:sz w:val="22"/>
          <w:szCs w:val="20"/>
          <w:lang w:val="en-GB" w:eastAsia="en-GB"/>
        </w:rPr>
        <w:t>all users are</w:t>
      </w:r>
      <w:r w:rsidR="005561A0">
        <w:rPr>
          <w:rFonts w:eastAsia="Times New Roman" w:cs="Times New Roman"/>
          <w:sz w:val="22"/>
          <w:szCs w:val="20"/>
          <w:lang w:val="en-GB" w:eastAsia="en-GB"/>
        </w:rPr>
        <w:t xml:space="preserve"> at least initially</w:t>
      </w:r>
      <w:r>
        <w:rPr>
          <w:rFonts w:eastAsia="Times New Roman" w:cs="Times New Roman"/>
          <w:sz w:val="22"/>
          <w:szCs w:val="20"/>
          <w:lang w:val="en-GB" w:eastAsia="en-GB"/>
        </w:rPr>
        <w:t xml:space="preserve"> treated the same and the cost of licensing is spread over all users</w:t>
      </w:r>
      <w:r w:rsidR="00DC7D18" w:rsidRPr="003D6439">
        <w:rPr>
          <w:rFonts w:eastAsia="Times New Roman" w:cs="Times New Roman"/>
          <w:sz w:val="22"/>
          <w:szCs w:val="20"/>
          <w:lang w:val="en-GB" w:eastAsia="en-GB"/>
        </w:rPr>
        <w:t xml:space="preserve">.   However, </w:t>
      </w:r>
      <w:r w:rsidR="00364504">
        <w:rPr>
          <w:rFonts w:eastAsia="Times New Roman" w:cs="Times New Roman"/>
          <w:sz w:val="22"/>
          <w:szCs w:val="20"/>
          <w:lang w:val="en-GB" w:eastAsia="en-GB"/>
        </w:rPr>
        <w:t xml:space="preserve">it </w:t>
      </w:r>
      <w:r w:rsidR="00DC7D18" w:rsidRPr="003D6439">
        <w:rPr>
          <w:rFonts w:eastAsia="Times New Roman" w:cs="Times New Roman"/>
          <w:sz w:val="22"/>
          <w:szCs w:val="20"/>
          <w:lang w:val="en-GB" w:eastAsia="en-GB"/>
        </w:rPr>
        <w:t xml:space="preserve">would </w:t>
      </w:r>
      <w:r>
        <w:rPr>
          <w:rFonts w:eastAsia="Times New Roman" w:cs="Times New Roman"/>
          <w:sz w:val="22"/>
          <w:szCs w:val="20"/>
          <w:lang w:val="en-GB" w:eastAsia="en-GB"/>
        </w:rPr>
        <w:t xml:space="preserve">add </w:t>
      </w:r>
      <w:r w:rsidR="00E24EBB">
        <w:rPr>
          <w:rFonts w:eastAsia="Times New Roman" w:cs="Times New Roman"/>
          <w:sz w:val="22"/>
          <w:szCs w:val="20"/>
          <w:lang w:val="en-GB" w:eastAsia="en-GB"/>
        </w:rPr>
        <w:t xml:space="preserve">to </w:t>
      </w:r>
      <w:r>
        <w:rPr>
          <w:rFonts w:eastAsia="Times New Roman" w:cs="Times New Roman"/>
          <w:sz w:val="22"/>
          <w:szCs w:val="20"/>
          <w:lang w:val="en-GB" w:eastAsia="en-GB"/>
        </w:rPr>
        <w:t>regulator cost</w:t>
      </w:r>
      <w:r w:rsidR="00E24EBB">
        <w:rPr>
          <w:rFonts w:eastAsia="Times New Roman" w:cs="Times New Roman"/>
          <w:sz w:val="22"/>
          <w:szCs w:val="20"/>
          <w:lang w:val="en-GB" w:eastAsia="en-GB"/>
        </w:rPr>
        <w:t>s</w:t>
      </w:r>
      <w:r>
        <w:rPr>
          <w:rFonts w:eastAsia="Times New Roman" w:cs="Times New Roman"/>
          <w:sz w:val="22"/>
          <w:szCs w:val="20"/>
          <w:lang w:val="en-GB" w:eastAsia="en-GB"/>
        </w:rPr>
        <w:t xml:space="preserve"> (additional licences) and add a compliance cost for those who already have radiation safety knowledge and experience </w:t>
      </w:r>
      <w:r w:rsidR="00364504">
        <w:rPr>
          <w:rFonts w:eastAsia="Times New Roman" w:cs="Times New Roman"/>
          <w:sz w:val="22"/>
          <w:szCs w:val="20"/>
          <w:lang w:val="en-GB" w:eastAsia="en-GB"/>
        </w:rPr>
        <w:t xml:space="preserve">and </w:t>
      </w:r>
      <w:r>
        <w:rPr>
          <w:rFonts w:eastAsia="Times New Roman" w:cs="Times New Roman"/>
          <w:sz w:val="22"/>
          <w:szCs w:val="20"/>
          <w:lang w:val="en-GB" w:eastAsia="en-GB"/>
        </w:rPr>
        <w:t>at</w:t>
      </w:r>
      <w:r w:rsidR="005561A0">
        <w:rPr>
          <w:rFonts w:eastAsia="Times New Roman" w:cs="Times New Roman"/>
          <w:sz w:val="22"/>
          <w:szCs w:val="20"/>
          <w:lang w:val="en-GB" w:eastAsia="en-GB"/>
        </w:rPr>
        <w:t xml:space="preserve"> no </w:t>
      </w:r>
      <w:r w:rsidR="00364504">
        <w:rPr>
          <w:rFonts w:eastAsia="Times New Roman" w:cs="Times New Roman"/>
          <w:sz w:val="22"/>
          <w:szCs w:val="20"/>
          <w:lang w:val="en-GB" w:eastAsia="en-GB"/>
        </w:rPr>
        <w:t xml:space="preserve">marked </w:t>
      </w:r>
      <w:r w:rsidR="00E24EBB">
        <w:rPr>
          <w:rFonts w:eastAsia="Times New Roman" w:cs="Times New Roman"/>
          <w:sz w:val="22"/>
          <w:szCs w:val="20"/>
          <w:lang w:val="en-GB" w:eastAsia="en-GB"/>
        </w:rPr>
        <w:t>radiation safety gain.</w:t>
      </w:r>
      <w:r w:rsidR="005561A0">
        <w:rPr>
          <w:rFonts w:eastAsia="Times New Roman" w:cs="Times New Roman"/>
          <w:sz w:val="22"/>
          <w:szCs w:val="20"/>
          <w:lang w:val="en-GB" w:eastAsia="en-GB"/>
        </w:rPr>
        <w:t xml:space="preserve">  </w:t>
      </w:r>
    </w:p>
    <w:p w:rsidR="00DC7D18" w:rsidRDefault="00DC7D18" w:rsidP="00DC7D18">
      <w:pPr>
        <w:pStyle w:val="ListParagraph"/>
        <w:spacing w:after="0" w:line="280" w:lineRule="atLeast"/>
        <w:ind w:left="360"/>
        <w:rPr>
          <w:sz w:val="22"/>
          <w:u w:val="single"/>
          <w:lang w:val="en-GB" w:eastAsia="en-GB"/>
        </w:rPr>
      </w:pPr>
    </w:p>
    <w:p w:rsidR="00DC7D18" w:rsidRDefault="00DC7D18" w:rsidP="00DC7D18">
      <w:pPr>
        <w:spacing w:after="0" w:line="280" w:lineRule="atLeast"/>
        <w:contextualSpacing/>
        <w:rPr>
          <w:sz w:val="22"/>
          <w:u w:val="single"/>
          <w:lang w:val="en-GB" w:eastAsia="en-GB"/>
        </w:rPr>
      </w:pPr>
      <w:r>
        <w:rPr>
          <w:sz w:val="22"/>
          <w:u w:val="single"/>
          <w:lang w:val="en-GB" w:eastAsia="en-GB"/>
        </w:rPr>
        <w:t>Option two</w:t>
      </w:r>
    </w:p>
    <w:p w:rsidR="00DC7D18" w:rsidRDefault="00DC7D18" w:rsidP="00DC7D18">
      <w:pPr>
        <w:spacing w:after="0"/>
        <w:rPr>
          <w:sz w:val="22"/>
          <w:lang w:val="en-GB" w:eastAsia="en-GB"/>
        </w:rPr>
      </w:pPr>
    </w:p>
    <w:p w:rsidR="00DC7D18" w:rsidRPr="00EC11FD" w:rsidRDefault="003D6439" w:rsidP="00616101">
      <w:pPr>
        <w:pStyle w:val="ListParagraph"/>
        <w:numPr>
          <w:ilvl w:val="0"/>
          <w:numId w:val="1"/>
        </w:numPr>
        <w:rPr>
          <w:i/>
          <w:sz w:val="22"/>
          <w:lang w:val="en-GB" w:eastAsia="en-GB"/>
        </w:rPr>
      </w:pPr>
      <w:r>
        <w:rPr>
          <w:rFonts w:eastAsia="Times New Roman" w:cs="Times New Roman"/>
          <w:sz w:val="22"/>
          <w:szCs w:val="20"/>
          <w:lang w:val="en-GB" w:eastAsia="en-GB"/>
        </w:rPr>
        <w:t xml:space="preserve">Prescribe the activities </w:t>
      </w:r>
      <w:r w:rsidR="005561A0">
        <w:rPr>
          <w:rFonts w:eastAsia="Times New Roman" w:cs="Times New Roman"/>
          <w:sz w:val="22"/>
          <w:szCs w:val="20"/>
          <w:lang w:val="en-GB" w:eastAsia="en-GB"/>
        </w:rPr>
        <w:t xml:space="preserve">or classes of activities </w:t>
      </w:r>
      <w:r>
        <w:rPr>
          <w:rFonts w:eastAsia="Times New Roman" w:cs="Times New Roman"/>
          <w:sz w:val="22"/>
          <w:szCs w:val="20"/>
          <w:lang w:val="en-GB" w:eastAsia="en-GB"/>
        </w:rPr>
        <w:t>that groups can perform without obtain</w:t>
      </w:r>
      <w:r w:rsidR="00364504">
        <w:rPr>
          <w:rFonts w:eastAsia="Times New Roman" w:cs="Times New Roman"/>
          <w:sz w:val="22"/>
          <w:szCs w:val="20"/>
          <w:lang w:val="en-GB" w:eastAsia="en-GB"/>
        </w:rPr>
        <w:t>i</w:t>
      </w:r>
      <w:r w:rsidR="00E24EBB">
        <w:rPr>
          <w:rFonts w:eastAsia="Times New Roman" w:cs="Times New Roman"/>
          <w:sz w:val="22"/>
          <w:szCs w:val="20"/>
          <w:lang w:val="en-GB" w:eastAsia="en-GB"/>
        </w:rPr>
        <w:t>n</w:t>
      </w:r>
      <w:r w:rsidR="00364504">
        <w:rPr>
          <w:rFonts w:eastAsia="Times New Roman" w:cs="Times New Roman"/>
          <w:sz w:val="22"/>
          <w:szCs w:val="20"/>
          <w:lang w:val="en-GB" w:eastAsia="en-GB"/>
        </w:rPr>
        <w:t>g</w:t>
      </w:r>
      <w:r>
        <w:rPr>
          <w:rFonts w:eastAsia="Times New Roman" w:cs="Times New Roman"/>
          <w:sz w:val="22"/>
          <w:szCs w:val="20"/>
          <w:lang w:val="en-GB" w:eastAsia="en-GB"/>
        </w:rPr>
        <w:t xml:space="preserve"> a use licence.</w:t>
      </w:r>
      <w:r w:rsidR="00DC7D18">
        <w:rPr>
          <w:rFonts w:eastAsia="Times New Roman" w:cs="Times New Roman"/>
          <w:sz w:val="22"/>
          <w:szCs w:val="20"/>
          <w:lang w:val="en-GB" w:eastAsia="en-GB"/>
        </w:rPr>
        <w:t xml:space="preserve">  </w:t>
      </w:r>
      <w:r w:rsidR="00DC7D18">
        <w:rPr>
          <w:sz w:val="22"/>
          <w:lang w:val="en-GB" w:eastAsia="en-GB"/>
        </w:rPr>
        <w:t xml:space="preserve">The Ministry has worked closely with </w:t>
      </w:r>
      <w:r>
        <w:rPr>
          <w:sz w:val="22"/>
          <w:lang w:val="en-GB" w:eastAsia="en-GB"/>
        </w:rPr>
        <w:t>potential</w:t>
      </w:r>
      <w:r w:rsidR="00DC7D18">
        <w:rPr>
          <w:sz w:val="22"/>
          <w:lang w:val="en-GB" w:eastAsia="en-GB"/>
        </w:rPr>
        <w:t xml:space="preserve"> </w:t>
      </w:r>
      <w:r>
        <w:rPr>
          <w:sz w:val="22"/>
          <w:lang w:val="en-GB" w:eastAsia="en-GB"/>
        </w:rPr>
        <w:t>groups</w:t>
      </w:r>
      <w:r w:rsidR="00DC7D18">
        <w:rPr>
          <w:sz w:val="22"/>
          <w:lang w:val="en-GB" w:eastAsia="en-GB"/>
        </w:rPr>
        <w:t xml:space="preserve"> to </w:t>
      </w:r>
      <w:r w:rsidR="00CC4A8F">
        <w:rPr>
          <w:sz w:val="22"/>
          <w:lang w:val="en-GB" w:eastAsia="en-GB"/>
        </w:rPr>
        <w:t xml:space="preserve">ensure </w:t>
      </w:r>
      <w:r>
        <w:rPr>
          <w:sz w:val="22"/>
          <w:lang w:val="en-GB" w:eastAsia="en-GB"/>
        </w:rPr>
        <w:t>that the required knowledge and experience has been gained (and will be maintained).</w:t>
      </w:r>
      <w:r w:rsidR="00DC7D18">
        <w:rPr>
          <w:sz w:val="22"/>
          <w:lang w:val="en-GB" w:eastAsia="en-GB"/>
        </w:rPr>
        <w:t xml:space="preserve">  These </w:t>
      </w:r>
      <w:r>
        <w:rPr>
          <w:sz w:val="22"/>
          <w:lang w:val="en-GB" w:eastAsia="en-GB"/>
        </w:rPr>
        <w:t>groups and the activities they can perform a</w:t>
      </w:r>
      <w:r w:rsidR="00DC7D18">
        <w:rPr>
          <w:sz w:val="22"/>
          <w:lang w:val="en-GB" w:eastAsia="en-GB"/>
        </w:rPr>
        <w:t xml:space="preserve">re set out in Table 1.  </w:t>
      </w:r>
    </w:p>
    <w:p w:rsidR="00EC11FD" w:rsidRDefault="00EC11FD" w:rsidP="00EC11FD">
      <w:pPr>
        <w:pStyle w:val="ListParagraph"/>
        <w:ind w:left="360"/>
        <w:rPr>
          <w:i/>
          <w:sz w:val="22"/>
          <w:lang w:val="en-GB" w:eastAsia="en-GB"/>
        </w:rPr>
      </w:pPr>
    </w:p>
    <w:p w:rsidR="003D6439" w:rsidRDefault="003D6439" w:rsidP="003D6439">
      <w:pPr>
        <w:pStyle w:val="CabStandard"/>
        <w:numPr>
          <w:ilvl w:val="0"/>
          <w:numId w:val="0"/>
        </w:numPr>
        <w:tabs>
          <w:tab w:val="left" w:pos="720"/>
        </w:tabs>
        <w:spacing w:after="0"/>
        <w:ind w:left="720" w:hanging="720"/>
        <w:jc w:val="both"/>
        <w:rPr>
          <w:rFonts w:ascii="Arial" w:hAnsi="Arial" w:cs="Arial"/>
          <w:b/>
          <w:sz w:val="23"/>
          <w:szCs w:val="23"/>
        </w:rPr>
      </w:pPr>
      <w:r w:rsidRPr="005561A0">
        <w:rPr>
          <w:rFonts w:ascii="Arial" w:hAnsi="Arial" w:cs="Arial"/>
          <w:b/>
          <w:sz w:val="23"/>
          <w:szCs w:val="23"/>
        </w:rPr>
        <w:t>Table 1: Groups and the activities they can perform without having to obtain a use licence (refer sections 91(1)(h) and (i) of the Act)</w:t>
      </w:r>
    </w:p>
    <w:p w:rsidR="00663F93" w:rsidRDefault="00663F93" w:rsidP="003D6439">
      <w:pPr>
        <w:pStyle w:val="CabStandard"/>
        <w:numPr>
          <w:ilvl w:val="0"/>
          <w:numId w:val="0"/>
        </w:numPr>
        <w:tabs>
          <w:tab w:val="left" w:pos="720"/>
        </w:tabs>
        <w:spacing w:after="0"/>
        <w:ind w:left="720" w:hanging="720"/>
        <w:jc w:val="both"/>
        <w:rPr>
          <w:rFonts w:ascii="Arial" w:hAnsi="Arial" w:cs="Arial"/>
          <w:b/>
          <w:sz w:val="23"/>
          <w:szCs w:val="23"/>
        </w:rPr>
      </w:pPr>
    </w:p>
    <w:p w:rsidR="00BA5959" w:rsidRDefault="00BA5959" w:rsidP="003D6439">
      <w:pPr>
        <w:pStyle w:val="CabStandard"/>
        <w:numPr>
          <w:ilvl w:val="0"/>
          <w:numId w:val="0"/>
        </w:numPr>
        <w:tabs>
          <w:tab w:val="left" w:pos="720"/>
        </w:tabs>
        <w:spacing w:after="0"/>
        <w:ind w:left="720" w:hanging="720"/>
        <w:jc w:val="both"/>
        <w:rPr>
          <w:rFonts w:ascii="Arial" w:hAnsi="Arial" w:cs="Arial"/>
          <w:sz w:val="23"/>
          <w:szCs w:val="23"/>
        </w:rPr>
      </w:pPr>
    </w:p>
    <w:tbl>
      <w:tblPr>
        <w:tblW w:w="9214" w:type="dxa"/>
        <w:tblInd w:w="108" w:type="dxa"/>
        <w:tblLayout w:type="fixed"/>
        <w:tblLook w:val="04A0" w:firstRow="1" w:lastRow="0" w:firstColumn="1" w:lastColumn="0" w:noHBand="0" w:noVBand="1"/>
      </w:tblPr>
      <w:tblGrid>
        <w:gridCol w:w="2302"/>
        <w:gridCol w:w="2302"/>
        <w:gridCol w:w="2302"/>
        <w:gridCol w:w="2308"/>
      </w:tblGrid>
      <w:tr w:rsidR="00BA5959" w:rsidRPr="00845E96" w:rsidTr="000B6227">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5959" w:rsidRPr="00845E96" w:rsidRDefault="00BA5959" w:rsidP="00FD79CC">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Authority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BA5959" w:rsidRPr="00845E96" w:rsidRDefault="00BA5959" w:rsidP="00FD79CC">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Group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BA5959" w:rsidRPr="00845E96" w:rsidRDefault="00BA5959" w:rsidP="00FD79CC">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Criteria </w:t>
            </w:r>
          </w:p>
        </w:tc>
        <w:tc>
          <w:tcPr>
            <w:tcW w:w="230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BA5959" w:rsidRPr="00845E96" w:rsidRDefault="00BA5959" w:rsidP="00FD79CC">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Activity </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Medical Council of New Zealand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Vocational scope of practice Diagnostic and Interventional Radiology</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8C7B22">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w:t>
            </w:r>
            <w:r w:rsidR="008C7B22">
              <w:rPr>
                <w:rFonts w:eastAsia="Times New Roman" w:cs="Arial"/>
                <w:color w:val="000000" w:themeColor="text1"/>
                <w:sz w:val="20"/>
                <w:szCs w:val="20"/>
                <w:lang w:eastAsia="en-NZ"/>
              </w:rPr>
              <w:t>s</w:t>
            </w:r>
            <w:r w:rsidRPr="00845E96">
              <w:rPr>
                <w:rFonts w:eastAsia="Times New Roman" w:cs="Arial"/>
                <w:color w:val="000000" w:themeColor="text1"/>
                <w:sz w:val="20"/>
                <w:szCs w:val="20"/>
                <w:lang w:eastAsia="en-NZ"/>
              </w:rPr>
              <w:t>ing certificate</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medical diagnostic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Vocational scope of practice Radiation Oncology</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8C7B22">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w:t>
            </w:r>
            <w:r w:rsidR="008C7B22">
              <w:rPr>
                <w:rFonts w:eastAsia="Times New Roman" w:cs="Arial"/>
                <w:color w:val="000000" w:themeColor="text1"/>
                <w:sz w:val="20"/>
                <w:szCs w:val="20"/>
                <w:lang w:eastAsia="en-NZ"/>
              </w:rPr>
              <w:t>s</w:t>
            </w:r>
            <w:r w:rsidRPr="00845E96">
              <w:rPr>
                <w:rFonts w:eastAsia="Times New Roman" w:cs="Arial"/>
                <w:color w:val="000000" w:themeColor="text1"/>
                <w:sz w:val="20"/>
                <w:szCs w:val="20"/>
                <w:lang w:eastAsia="en-NZ"/>
              </w:rPr>
              <w:t>ing certificate</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or radioactive material for medical therapeutic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General Dental Practice</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8C7B22">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w:t>
            </w:r>
            <w:r w:rsidR="008C7B22">
              <w:rPr>
                <w:rFonts w:eastAsia="Times New Roman" w:cs="Arial"/>
                <w:color w:val="000000" w:themeColor="text1"/>
                <w:sz w:val="20"/>
                <w:szCs w:val="20"/>
                <w:lang w:eastAsia="en-NZ"/>
              </w:rPr>
              <w:t>s</w:t>
            </w:r>
            <w:r w:rsidRPr="00845E96">
              <w:rPr>
                <w:rFonts w:eastAsia="Times New Roman" w:cs="Arial"/>
                <w:color w:val="000000" w:themeColor="text1"/>
                <w:sz w:val="20"/>
                <w:szCs w:val="20"/>
                <w:lang w:eastAsia="en-NZ"/>
              </w:rPr>
              <w:t>ing certificate</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dental diagnostic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Therapy Practice</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8C7B22">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w:t>
            </w:r>
            <w:r w:rsidR="008C7B22">
              <w:rPr>
                <w:rFonts w:eastAsia="Times New Roman" w:cs="Arial"/>
                <w:color w:val="000000" w:themeColor="text1"/>
                <w:sz w:val="20"/>
                <w:szCs w:val="20"/>
                <w:lang w:eastAsia="en-NZ"/>
              </w:rPr>
              <w:t>s</w:t>
            </w:r>
            <w:r w:rsidRPr="00845E96">
              <w:rPr>
                <w:rFonts w:eastAsia="Times New Roman" w:cs="Arial"/>
                <w:color w:val="000000" w:themeColor="text1"/>
                <w:sz w:val="20"/>
                <w:szCs w:val="20"/>
                <w:lang w:eastAsia="en-NZ"/>
              </w:rPr>
              <w:t>ing certificate</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the taking of periapical and bitewing radiographs for dental diagnostic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Hygiene Practice</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8C7B22" w:rsidP="00FD79CC">
            <w:pPr>
              <w:spacing w:after="0" w:line="240" w:lineRule="auto"/>
              <w:rPr>
                <w:rFonts w:eastAsia="Times New Roman" w:cs="Arial"/>
                <w:color w:val="000000" w:themeColor="text1"/>
                <w:sz w:val="20"/>
                <w:szCs w:val="20"/>
                <w:lang w:eastAsia="en-NZ"/>
              </w:rPr>
            </w:pPr>
            <w:r>
              <w:rPr>
                <w:rFonts w:eastAsia="Times New Roman" w:cs="Arial"/>
                <w:color w:val="000000" w:themeColor="text1"/>
                <w:sz w:val="20"/>
                <w:szCs w:val="20"/>
                <w:lang w:eastAsia="en-NZ"/>
              </w:rPr>
              <w:t>Current registration and practis</w:t>
            </w:r>
            <w:r w:rsidR="00BA5959" w:rsidRPr="00845E96">
              <w:rPr>
                <w:rFonts w:eastAsia="Times New Roman" w:cs="Arial"/>
                <w:color w:val="000000" w:themeColor="text1"/>
                <w:sz w:val="20"/>
                <w:szCs w:val="20"/>
                <w:lang w:eastAsia="en-NZ"/>
              </w:rPr>
              <w:t xml:space="preserve">ing certificate </w:t>
            </w:r>
            <w:r w:rsidR="00BA5959" w:rsidRPr="00845E96">
              <w:rPr>
                <w:rFonts w:cs="Arial"/>
                <w:color w:val="000000" w:themeColor="text1"/>
                <w:sz w:val="20"/>
                <w:szCs w:val="20"/>
              </w:rPr>
              <w:t>with no exclusion in taking extra-oral radiographs</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extra-oral radiographs for dental diagnostic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Hygiene Practice</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8C7B22" w:rsidP="00FD79CC">
            <w:pPr>
              <w:spacing w:after="0" w:line="240" w:lineRule="auto"/>
              <w:rPr>
                <w:rFonts w:eastAsia="Times New Roman" w:cs="Arial"/>
                <w:color w:val="000000" w:themeColor="text1"/>
                <w:sz w:val="20"/>
                <w:szCs w:val="20"/>
                <w:lang w:eastAsia="en-NZ"/>
              </w:rPr>
            </w:pPr>
            <w:r>
              <w:rPr>
                <w:rFonts w:eastAsia="Times New Roman" w:cs="Arial"/>
                <w:color w:val="000000" w:themeColor="text1"/>
                <w:sz w:val="20"/>
                <w:szCs w:val="20"/>
                <w:lang w:eastAsia="en-NZ"/>
              </w:rPr>
              <w:t>Current registration and practis</w:t>
            </w:r>
            <w:r w:rsidR="00BA5959" w:rsidRPr="00845E96">
              <w:rPr>
                <w:rFonts w:eastAsia="Times New Roman" w:cs="Arial"/>
                <w:color w:val="000000" w:themeColor="text1"/>
                <w:sz w:val="20"/>
                <w:szCs w:val="20"/>
                <w:lang w:eastAsia="en-NZ"/>
              </w:rPr>
              <w:t xml:space="preserve">ing certificate </w:t>
            </w:r>
            <w:r w:rsidR="00BA5959" w:rsidRPr="00845E96">
              <w:rPr>
                <w:rFonts w:cs="Arial"/>
                <w:color w:val="000000" w:themeColor="text1"/>
                <w:sz w:val="20"/>
                <w:szCs w:val="20"/>
              </w:rPr>
              <w:t>with no exclusion in taking intra-oral radiography</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periapical and bitewing radiographs for dental diagnostic purposes</w:t>
            </w:r>
          </w:p>
        </w:tc>
      </w:tr>
      <w:tr w:rsidR="00BA5959" w:rsidRPr="00845E96" w:rsidTr="000B6227">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Orthodontic Auxiliary Practice</w:t>
            </w:r>
          </w:p>
        </w:tc>
        <w:tc>
          <w:tcPr>
            <w:tcW w:w="2302" w:type="dxa"/>
            <w:tcBorders>
              <w:top w:val="nil"/>
              <w:left w:val="nil"/>
              <w:bottom w:val="single" w:sz="4" w:space="0" w:color="auto"/>
              <w:right w:val="single" w:sz="4" w:space="0" w:color="auto"/>
            </w:tcBorders>
            <w:shd w:val="clear" w:color="auto" w:fill="auto"/>
            <w:noWrap/>
            <w:vAlign w:val="center"/>
            <w:hideMark/>
          </w:tcPr>
          <w:p w:rsidR="00BA5959" w:rsidRPr="00845E96" w:rsidRDefault="008C7B22" w:rsidP="00FD79CC">
            <w:pPr>
              <w:spacing w:after="0" w:line="240" w:lineRule="auto"/>
              <w:rPr>
                <w:rFonts w:eastAsia="Times New Roman" w:cs="Arial"/>
                <w:color w:val="000000" w:themeColor="text1"/>
                <w:sz w:val="20"/>
                <w:szCs w:val="20"/>
                <w:lang w:eastAsia="en-NZ"/>
              </w:rPr>
            </w:pPr>
            <w:r>
              <w:rPr>
                <w:rFonts w:eastAsia="Times New Roman" w:cs="Arial"/>
                <w:color w:val="000000" w:themeColor="text1"/>
                <w:sz w:val="20"/>
                <w:szCs w:val="20"/>
                <w:lang w:eastAsia="en-NZ"/>
              </w:rPr>
              <w:t>Current registration and practis</w:t>
            </w:r>
            <w:r w:rsidR="00BA5959" w:rsidRPr="00845E96">
              <w:rPr>
                <w:rFonts w:eastAsia="Times New Roman" w:cs="Arial"/>
                <w:color w:val="000000" w:themeColor="text1"/>
                <w:sz w:val="20"/>
                <w:szCs w:val="20"/>
                <w:lang w:eastAsia="en-NZ"/>
              </w:rPr>
              <w:t xml:space="preserve">ing certificate </w:t>
            </w:r>
            <w:r w:rsidR="00BA5959" w:rsidRPr="00845E96">
              <w:rPr>
                <w:rFonts w:cs="Arial"/>
                <w:color w:val="000000" w:themeColor="text1"/>
                <w:sz w:val="20"/>
                <w:szCs w:val="20"/>
              </w:rPr>
              <w:t>with no exclusion in taking extra-oral radiographs</w:t>
            </w:r>
          </w:p>
        </w:tc>
        <w:tc>
          <w:tcPr>
            <w:tcW w:w="230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extra-oral radiographs for dental diagnostic purposes</w:t>
            </w:r>
          </w:p>
        </w:tc>
      </w:tr>
    </w:tbl>
    <w:p w:rsidR="000B6227" w:rsidRDefault="000B6227">
      <w:r>
        <w:br w:type="page"/>
      </w:r>
    </w:p>
    <w:tbl>
      <w:tblPr>
        <w:tblW w:w="9214" w:type="dxa"/>
        <w:tblInd w:w="108" w:type="dxa"/>
        <w:tblLayout w:type="fixed"/>
        <w:tblLook w:val="04A0" w:firstRow="1" w:lastRow="0" w:firstColumn="1" w:lastColumn="0" w:noHBand="0" w:noVBand="1"/>
      </w:tblPr>
      <w:tblGrid>
        <w:gridCol w:w="2268"/>
        <w:gridCol w:w="2410"/>
        <w:gridCol w:w="2268"/>
        <w:gridCol w:w="2268"/>
      </w:tblGrid>
      <w:tr w:rsidR="003F0787" w:rsidRPr="00845E96" w:rsidTr="002E4CE1">
        <w:trPr>
          <w:trHeight w:val="255"/>
        </w:trPr>
        <w:tc>
          <w:tcPr>
            <w:tcW w:w="2268"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rsidR="003F0787" w:rsidRPr="003F0787" w:rsidRDefault="003F0787" w:rsidP="003F0787">
            <w:pPr>
              <w:spacing w:after="0" w:line="240" w:lineRule="auto"/>
              <w:jc w:val="center"/>
              <w:rPr>
                <w:rFonts w:eastAsia="Times New Roman" w:cs="Arial"/>
                <w:b/>
                <w:color w:val="000000" w:themeColor="text1"/>
                <w:sz w:val="20"/>
                <w:szCs w:val="20"/>
                <w:lang w:eastAsia="en-NZ"/>
              </w:rPr>
            </w:pPr>
            <w:r w:rsidRPr="003F0787">
              <w:rPr>
                <w:rFonts w:eastAsia="Times New Roman" w:cs="Arial"/>
                <w:b/>
                <w:color w:val="000000" w:themeColor="text1"/>
                <w:sz w:val="20"/>
                <w:szCs w:val="20"/>
                <w:lang w:eastAsia="en-NZ"/>
              </w:rPr>
              <w:t>Authority</w:t>
            </w:r>
          </w:p>
        </w:tc>
        <w:tc>
          <w:tcPr>
            <w:tcW w:w="2410" w:type="dxa"/>
            <w:tcBorders>
              <w:top w:val="nil"/>
              <w:left w:val="nil"/>
              <w:bottom w:val="single" w:sz="4" w:space="0" w:color="auto"/>
              <w:right w:val="single" w:sz="4" w:space="0" w:color="auto"/>
            </w:tcBorders>
            <w:shd w:val="clear" w:color="auto" w:fill="FBD4B4" w:themeFill="accent6" w:themeFillTint="66"/>
            <w:noWrap/>
            <w:vAlign w:val="center"/>
          </w:tcPr>
          <w:p w:rsidR="003F0787" w:rsidRPr="003F0787" w:rsidRDefault="003F0787" w:rsidP="003F0787">
            <w:pPr>
              <w:spacing w:after="0" w:line="240" w:lineRule="auto"/>
              <w:jc w:val="center"/>
              <w:rPr>
                <w:rFonts w:eastAsia="Times New Roman" w:cs="Arial"/>
                <w:b/>
                <w:color w:val="000000" w:themeColor="text1"/>
                <w:sz w:val="20"/>
                <w:szCs w:val="20"/>
                <w:lang w:eastAsia="en-NZ"/>
              </w:rPr>
            </w:pPr>
            <w:r w:rsidRPr="003F0787">
              <w:rPr>
                <w:rFonts w:eastAsia="Times New Roman" w:cs="Arial"/>
                <w:b/>
                <w:color w:val="000000" w:themeColor="text1"/>
                <w:sz w:val="20"/>
                <w:szCs w:val="20"/>
                <w:lang w:eastAsia="en-NZ"/>
              </w:rPr>
              <w:t>Group</w:t>
            </w:r>
          </w:p>
        </w:tc>
        <w:tc>
          <w:tcPr>
            <w:tcW w:w="2268" w:type="dxa"/>
            <w:tcBorders>
              <w:top w:val="nil"/>
              <w:left w:val="nil"/>
              <w:bottom w:val="single" w:sz="4" w:space="0" w:color="auto"/>
              <w:right w:val="single" w:sz="4" w:space="0" w:color="auto"/>
            </w:tcBorders>
            <w:shd w:val="clear" w:color="auto" w:fill="FBD4B4" w:themeFill="accent6" w:themeFillTint="66"/>
            <w:noWrap/>
            <w:vAlign w:val="center"/>
          </w:tcPr>
          <w:p w:rsidR="003F0787" w:rsidRPr="003F0787" w:rsidRDefault="003F0787" w:rsidP="003F0787">
            <w:pPr>
              <w:spacing w:after="0" w:line="240" w:lineRule="auto"/>
              <w:jc w:val="center"/>
              <w:rPr>
                <w:rFonts w:eastAsia="Times New Roman" w:cs="Arial"/>
                <w:b/>
                <w:color w:val="000000" w:themeColor="text1"/>
                <w:sz w:val="20"/>
                <w:szCs w:val="20"/>
                <w:lang w:eastAsia="en-NZ"/>
              </w:rPr>
            </w:pPr>
            <w:r w:rsidRPr="003F0787">
              <w:rPr>
                <w:rFonts w:eastAsia="Times New Roman" w:cs="Arial"/>
                <w:b/>
                <w:color w:val="000000" w:themeColor="text1"/>
                <w:sz w:val="20"/>
                <w:szCs w:val="20"/>
                <w:lang w:eastAsia="en-NZ"/>
              </w:rPr>
              <w:t>Criteria</w:t>
            </w:r>
          </w:p>
        </w:tc>
        <w:tc>
          <w:tcPr>
            <w:tcW w:w="2268" w:type="dxa"/>
            <w:tcBorders>
              <w:top w:val="nil"/>
              <w:left w:val="nil"/>
              <w:bottom w:val="single" w:sz="4" w:space="0" w:color="auto"/>
              <w:right w:val="single" w:sz="4" w:space="0" w:color="auto"/>
            </w:tcBorders>
            <w:shd w:val="clear" w:color="auto" w:fill="FBD4B4" w:themeFill="accent6" w:themeFillTint="66"/>
            <w:noWrap/>
            <w:vAlign w:val="center"/>
          </w:tcPr>
          <w:p w:rsidR="003F0787" w:rsidRPr="003F0787" w:rsidRDefault="003F0787" w:rsidP="003F0787">
            <w:pPr>
              <w:spacing w:after="0" w:line="240" w:lineRule="auto"/>
              <w:jc w:val="center"/>
              <w:rPr>
                <w:rFonts w:eastAsia="Times New Roman" w:cs="Arial"/>
                <w:b/>
                <w:color w:val="000000" w:themeColor="text1"/>
                <w:sz w:val="20"/>
                <w:szCs w:val="20"/>
                <w:lang w:eastAsia="en-NZ"/>
              </w:rPr>
            </w:pPr>
            <w:r w:rsidRPr="003F0787">
              <w:rPr>
                <w:rFonts w:eastAsia="Times New Roman" w:cs="Arial"/>
                <w:b/>
                <w:color w:val="000000" w:themeColor="text1"/>
                <w:sz w:val="20"/>
                <w:szCs w:val="20"/>
                <w:lang w:eastAsia="en-NZ"/>
              </w:rPr>
              <w:t>Activity</w:t>
            </w:r>
          </w:p>
        </w:tc>
      </w:tr>
      <w:tr w:rsidR="00BA5959" w:rsidRPr="00845E96" w:rsidTr="002E4CE1">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410"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Orthodontic Auxiliary Practice</w:t>
            </w:r>
          </w:p>
        </w:tc>
        <w:tc>
          <w:tcPr>
            <w:tcW w:w="226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8C7B22">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w:t>
            </w:r>
            <w:r w:rsidR="008C7B22">
              <w:rPr>
                <w:rFonts w:eastAsia="Times New Roman" w:cs="Arial"/>
                <w:color w:val="000000" w:themeColor="text1"/>
                <w:sz w:val="20"/>
                <w:szCs w:val="20"/>
                <w:lang w:eastAsia="en-NZ"/>
              </w:rPr>
              <w:t>s</w:t>
            </w:r>
            <w:r w:rsidRPr="00845E96">
              <w:rPr>
                <w:rFonts w:eastAsia="Times New Roman" w:cs="Arial"/>
                <w:color w:val="000000" w:themeColor="text1"/>
                <w:sz w:val="20"/>
                <w:szCs w:val="20"/>
                <w:lang w:eastAsia="en-NZ"/>
              </w:rPr>
              <w:t xml:space="preserve">ing certificate </w:t>
            </w:r>
            <w:r w:rsidRPr="00845E96">
              <w:rPr>
                <w:rFonts w:cs="Arial"/>
                <w:color w:val="000000" w:themeColor="text1"/>
                <w:sz w:val="20"/>
                <w:szCs w:val="20"/>
              </w:rPr>
              <w:t>with no exclusion in taking intra-oral radiography</w:t>
            </w:r>
          </w:p>
        </w:tc>
        <w:tc>
          <w:tcPr>
            <w:tcW w:w="2268" w:type="dxa"/>
            <w:tcBorders>
              <w:top w:val="nil"/>
              <w:left w:val="nil"/>
              <w:bottom w:val="single" w:sz="4" w:space="0" w:color="auto"/>
              <w:right w:val="single" w:sz="4" w:space="0" w:color="auto"/>
            </w:tcBorders>
            <w:shd w:val="clear" w:color="auto" w:fill="auto"/>
            <w:noWrap/>
            <w:vAlign w:val="center"/>
            <w:hideMark/>
          </w:tcPr>
          <w:p w:rsidR="00BA5959" w:rsidRPr="00845E96" w:rsidRDefault="00BA5959" w:rsidP="00FD79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periapical and bitewing radiographs for dental diagnostic purposes</w:t>
            </w:r>
          </w:p>
        </w:tc>
      </w:tr>
      <w:tr w:rsidR="00BA5959" w:rsidRPr="00DF4708" w:rsidTr="002E4CE1">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BA5959" w:rsidRPr="00DF4708" w:rsidRDefault="00BA5959" w:rsidP="00FD79CC">
            <w:pPr>
              <w:spacing w:after="0" w:line="240" w:lineRule="auto"/>
              <w:rPr>
                <w:rFonts w:eastAsia="Times New Roman" w:cs="Arial"/>
                <w:sz w:val="20"/>
                <w:szCs w:val="20"/>
                <w:lang w:eastAsia="en-NZ"/>
              </w:rPr>
            </w:pPr>
            <w:r w:rsidRPr="00DF4708">
              <w:rPr>
                <w:rFonts w:eastAsia="Times New Roman" w:cs="Arial"/>
                <w:sz w:val="20"/>
                <w:szCs w:val="20"/>
                <w:lang w:eastAsia="en-NZ"/>
              </w:rPr>
              <w:t xml:space="preserve">Dental Council </w:t>
            </w:r>
          </w:p>
        </w:tc>
        <w:tc>
          <w:tcPr>
            <w:tcW w:w="2410" w:type="dxa"/>
            <w:tcBorders>
              <w:top w:val="nil"/>
              <w:left w:val="nil"/>
              <w:bottom w:val="single" w:sz="4" w:space="0" w:color="auto"/>
              <w:right w:val="single" w:sz="4" w:space="0" w:color="auto"/>
            </w:tcBorders>
            <w:shd w:val="clear" w:color="auto" w:fill="auto"/>
            <w:noWrap/>
            <w:vAlign w:val="center"/>
          </w:tcPr>
          <w:p w:rsidR="00BA5959" w:rsidRPr="00DF4708" w:rsidRDefault="00BA5959" w:rsidP="00FD79CC">
            <w:pPr>
              <w:spacing w:after="0" w:line="240" w:lineRule="auto"/>
              <w:rPr>
                <w:rFonts w:eastAsia="Times New Roman" w:cs="Arial"/>
                <w:sz w:val="20"/>
                <w:szCs w:val="20"/>
                <w:lang w:eastAsia="en-NZ"/>
              </w:rPr>
            </w:pPr>
            <w:r w:rsidRPr="00DF4708">
              <w:rPr>
                <w:rFonts w:eastAsia="Times New Roman" w:cs="Arial"/>
                <w:sz w:val="20"/>
                <w:szCs w:val="20"/>
                <w:lang w:eastAsia="en-NZ"/>
              </w:rPr>
              <w:t xml:space="preserve">Scope of practice </w:t>
            </w:r>
            <w:r w:rsidR="008C7B22">
              <w:rPr>
                <w:rFonts w:eastAsia="Times New Roman" w:cs="Arial"/>
                <w:sz w:val="20"/>
                <w:szCs w:val="20"/>
                <w:lang w:eastAsia="en-NZ"/>
              </w:rPr>
              <w:t>:</w:t>
            </w:r>
            <w:r>
              <w:rPr>
                <w:rFonts w:eastAsia="Times New Roman" w:cs="Arial"/>
                <w:sz w:val="20"/>
                <w:szCs w:val="20"/>
                <w:lang w:eastAsia="en-NZ"/>
              </w:rPr>
              <w:t>The Twelve Dental Specialties requiring general dental training to be completed* (NB: Regulations may list these specialties by name</w:t>
            </w:r>
            <w:r w:rsidR="008C7B22">
              <w:rPr>
                <w:rFonts w:eastAsia="Times New Roman" w:cs="Arial"/>
                <w:sz w:val="20"/>
                <w:szCs w:val="20"/>
                <w:lang w:eastAsia="en-NZ"/>
              </w:rPr>
              <w:t>)</w:t>
            </w:r>
          </w:p>
        </w:tc>
        <w:tc>
          <w:tcPr>
            <w:tcW w:w="2268" w:type="dxa"/>
            <w:tcBorders>
              <w:top w:val="nil"/>
              <w:left w:val="nil"/>
              <w:bottom w:val="single" w:sz="4" w:space="0" w:color="auto"/>
              <w:right w:val="single" w:sz="4" w:space="0" w:color="auto"/>
            </w:tcBorders>
            <w:shd w:val="clear" w:color="auto" w:fill="auto"/>
            <w:noWrap/>
            <w:vAlign w:val="center"/>
          </w:tcPr>
          <w:p w:rsidR="00BA5959" w:rsidRPr="00DF4708" w:rsidRDefault="00BA5959" w:rsidP="008C7B22">
            <w:pPr>
              <w:spacing w:after="0" w:line="240" w:lineRule="auto"/>
              <w:rPr>
                <w:rFonts w:eastAsia="Times New Roman" w:cs="Arial"/>
                <w:sz w:val="20"/>
                <w:szCs w:val="20"/>
                <w:lang w:eastAsia="en-NZ"/>
              </w:rPr>
            </w:pPr>
            <w:r w:rsidRPr="00DF4708">
              <w:rPr>
                <w:rFonts w:eastAsia="Times New Roman" w:cs="Arial"/>
                <w:sz w:val="20"/>
                <w:szCs w:val="20"/>
                <w:lang w:eastAsia="en-NZ"/>
              </w:rPr>
              <w:t>Current registration and practi</w:t>
            </w:r>
            <w:r w:rsidR="008C7B22">
              <w:rPr>
                <w:rFonts w:eastAsia="Times New Roman" w:cs="Arial"/>
                <w:sz w:val="20"/>
                <w:szCs w:val="20"/>
                <w:lang w:eastAsia="en-NZ"/>
              </w:rPr>
              <w:t>s</w:t>
            </w:r>
            <w:r w:rsidRPr="00DF4708">
              <w:rPr>
                <w:rFonts w:eastAsia="Times New Roman" w:cs="Arial"/>
                <w:sz w:val="20"/>
                <w:szCs w:val="20"/>
                <w:lang w:eastAsia="en-NZ"/>
              </w:rPr>
              <w:t>ing certificate</w:t>
            </w:r>
          </w:p>
        </w:tc>
        <w:tc>
          <w:tcPr>
            <w:tcW w:w="2268" w:type="dxa"/>
            <w:tcBorders>
              <w:top w:val="nil"/>
              <w:left w:val="nil"/>
              <w:bottom w:val="single" w:sz="4" w:space="0" w:color="auto"/>
              <w:right w:val="single" w:sz="4" w:space="0" w:color="auto"/>
            </w:tcBorders>
            <w:shd w:val="clear" w:color="auto" w:fill="auto"/>
            <w:noWrap/>
            <w:vAlign w:val="center"/>
          </w:tcPr>
          <w:p w:rsidR="00BA5959" w:rsidRPr="00DF4708" w:rsidRDefault="00BA5959" w:rsidP="00FD79CC">
            <w:pPr>
              <w:spacing w:after="0" w:line="240" w:lineRule="auto"/>
              <w:rPr>
                <w:rFonts w:eastAsia="Times New Roman" w:cs="Arial"/>
                <w:sz w:val="20"/>
                <w:szCs w:val="20"/>
                <w:lang w:eastAsia="en-NZ"/>
              </w:rPr>
            </w:pPr>
            <w:r w:rsidRPr="00DF4708">
              <w:rPr>
                <w:rFonts w:eastAsia="Times New Roman" w:cs="Arial"/>
                <w:sz w:val="20"/>
                <w:szCs w:val="20"/>
                <w:lang w:eastAsia="en-NZ"/>
              </w:rPr>
              <w:t>Use of irradiating apparatus for dental diagnostic purposes</w:t>
            </w:r>
          </w:p>
        </w:tc>
      </w:tr>
    </w:tbl>
    <w:tbl>
      <w:tblPr>
        <w:tblStyle w:val="TableGrid"/>
        <w:tblW w:w="9214" w:type="dxa"/>
        <w:tblInd w:w="108" w:type="dxa"/>
        <w:tblLook w:val="04A0" w:firstRow="1" w:lastRow="0" w:firstColumn="1" w:lastColumn="0" w:noHBand="0" w:noVBand="1"/>
      </w:tblPr>
      <w:tblGrid>
        <w:gridCol w:w="2268"/>
        <w:gridCol w:w="2410"/>
        <w:gridCol w:w="2268"/>
        <w:gridCol w:w="2268"/>
      </w:tblGrid>
      <w:tr w:rsidR="005561A0" w:rsidTr="003F0787">
        <w:tc>
          <w:tcPr>
            <w:tcW w:w="2268" w:type="dxa"/>
          </w:tcPr>
          <w:p w:rsidR="005561A0" w:rsidRDefault="005561A0">
            <w:r w:rsidRPr="00845E96">
              <w:rPr>
                <w:rFonts w:eastAsia="Times New Roman" w:cs="Arial"/>
                <w:color w:val="000000" w:themeColor="text1"/>
                <w:sz w:val="20"/>
                <w:szCs w:val="20"/>
                <w:lang w:eastAsia="en-NZ"/>
              </w:rPr>
              <w:t>New Zealand Medical Radiation Technologists Board</w:t>
            </w:r>
          </w:p>
        </w:tc>
        <w:tc>
          <w:tcPr>
            <w:tcW w:w="2410" w:type="dxa"/>
          </w:tcPr>
          <w:p w:rsidR="005561A0" w:rsidRDefault="005561A0">
            <w:r w:rsidRPr="00845E96">
              <w:rPr>
                <w:rFonts w:eastAsia="Times New Roman" w:cs="Arial"/>
                <w:color w:val="000000" w:themeColor="text1"/>
                <w:sz w:val="20"/>
                <w:szCs w:val="20"/>
                <w:lang w:eastAsia="en-NZ"/>
              </w:rPr>
              <w:t>Scope of practice Nuclear Medicine Technologist</w:t>
            </w:r>
          </w:p>
        </w:tc>
        <w:tc>
          <w:tcPr>
            <w:tcW w:w="2268" w:type="dxa"/>
          </w:tcPr>
          <w:p w:rsidR="005561A0" w:rsidRDefault="00BC3ED1">
            <w:r>
              <w:rPr>
                <w:rFonts w:eastAsia="Times New Roman" w:cs="Arial"/>
                <w:color w:val="000000" w:themeColor="text1"/>
                <w:sz w:val="20"/>
                <w:szCs w:val="20"/>
                <w:lang w:eastAsia="en-NZ"/>
              </w:rPr>
              <w:t>Current registration and practis</w:t>
            </w:r>
            <w:r w:rsidR="005561A0" w:rsidRPr="00845E96">
              <w:rPr>
                <w:rFonts w:eastAsia="Times New Roman" w:cs="Arial"/>
                <w:color w:val="000000" w:themeColor="text1"/>
                <w:sz w:val="20"/>
                <w:szCs w:val="20"/>
                <w:lang w:eastAsia="en-NZ"/>
              </w:rPr>
              <w:t>ing certificate</w:t>
            </w:r>
          </w:p>
        </w:tc>
        <w:tc>
          <w:tcPr>
            <w:tcW w:w="2268" w:type="dxa"/>
          </w:tcPr>
          <w:p w:rsidR="005561A0" w:rsidRDefault="005561A0">
            <w:r w:rsidRPr="00845E96">
              <w:rPr>
                <w:rFonts w:eastAsia="Times New Roman" w:cs="Arial"/>
                <w:color w:val="000000" w:themeColor="text1"/>
                <w:sz w:val="20"/>
                <w:szCs w:val="20"/>
                <w:lang w:eastAsia="en-NZ"/>
              </w:rPr>
              <w:t>Administration of radiopharmaceuticals and use of irradiating apparatus and radioactive material for nuclear medicine purposes</w:t>
            </w:r>
          </w:p>
        </w:tc>
      </w:tr>
      <w:tr w:rsidR="005561A0" w:rsidTr="003F0787">
        <w:tc>
          <w:tcPr>
            <w:tcW w:w="2268" w:type="dxa"/>
          </w:tcPr>
          <w:p w:rsidR="005561A0" w:rsidRDefault="005561A0">
            <w:r w:rsidRPr="00845E96">
              <w:rPr>
                <w:rFonts w:eastAsia="Times New Roman" w:cs="Arial"/>
                <w:color w:val="000000" w:themeColor="text1"/>
                <w:sz w:val="20"/>
                <w:szCs w:val="20"/>
                <w:lang w:eastAsia="en-NZ"/>
              </w:rPr>
              <w:t>New Zealand Medical Radiation Technologists Board</w:t>
            </w:r>
          </w:p>
        </w:tc>
        <w:tc>
          <w:tcPr>
            <w:tcW w:w="2410" w:type="dxa"/>
          </w:tcPr>
          <w:p w:rsidR="005561A0" w:rsidRDefault="005561A0">
            <w:r w:rsidRPr="00845E96">
              <w:rPr>
                <w:rFonts w:eastAsia="Times New Roman" w:cs="Arial"/>
                <w:color w:val="000000" w:themeColor="text1"/>
                <w:sz w:val="20"/>
                <w:szCs w:val="20"/>
                <w:lang w:eastAsia="en-NZ"/>
              </w:rPr>
              <w:t>Scope of practice Radiation Therapist</w:t>
            </w:r>
          </w:p>
        </w:tc>
        <w:tc>
          <w:tcPr>
            <w:tcW w:w="2268" w:type="dxa"/>
          </w:tcPr>
          <w:p w:rsidR="005561A0" w:rsidRDefault="005561A0">
            <w:r>
              <w:rPr>
                <w:rFonts w:eastAsia="Times New Roman" w:cs="Arial"/>
                <w:color w:val="000000" w:themeColor="text1"/>
                <w:sz w:val="20"/>
                <w:szCs w:val="20"/>
                <w:lang w:eastAsia="en-NZ"/>
              </w:rPr>
              <w:t>Current registration and practis</w:t>
            </w:r>
            <w:r w:rsidRPr="00845E96">
              <w:rPr>
                <w:rFonts w:eastAsia="Times New Roman" w:cs="Arial"/>
                <w:color w:val="000000" w:themeColor="text1"/>
                <w:sz w:val="20"/>
                <w:szCs w:val="20"/>
                <w:lang w:eastAsia="en-NZ"/>
              </w:rPr>
              <w:t>ing certificate</w:t>
            </w:r>
          </w:p>
        </w:tc>
        <w:tc>
          <w:tcPr>
            <w:tcW w:w="2268" w:type="dxa"/>
          </w:tcPr>
          <w:p w:rsidR="005561A0" w:rsidRDefault="005561A0">
            <w:r w:rsidRPr="00845E96">
              <w:rPr>
                <w:rFonts w:eastAsia="Times New Roman" w:cs="Arial"/>
                <w:color w:val="000000" w:themeColor="text1"/>
                <w:sz w:val="20"/>
                <w:szCs w:val="20"/>
                <w:lang w:eastAsia="en-NZ"/>
              </w:rPr>
              <w:t>Use of radiation sources for the delivery of radiation treatment for medical therapeutic purposes</w:t>
            </w:r>
          </w:p>
        </w:tc>
      </w:tr>
      <w:tr w:rsidR="005561A0" w:rsidTr="003F0787">
        <w:tc>
          <w:tcPr>
            <w:tcW w:w="2268" w:type="dxa"/>
          </w:tcPr>
          <w:p w:rsidR="005561A0" w:rsidRDefault="005561A0" w:rsidP="005561A0">
            <w:r w:rsidRPr="00845E96">
              <w:rPr>
                <w:rFonts w:eastAsia="Times New Roman" w:cs="Arial"/>
                <w:color w:val="000000" w:themeColor="text1"/>
                <w:sz w:val="20"/>
                <w:szCs w:val="20"/>
                <w:lang w:eastAsia="en-NZ"/>
              </w:rPr>
              <w:t>Veterinary Council of New Zealand</w:t>
            </w:r>
          </w:p>
        </w:tc>
        <w:tc>
          <w:tcPr>
            <w:tcW w:w="2410" w:type="dxa"/>
            <w:vAlign w:val="center"/>
          </w:tcPr>
          <w:p w:rsidR="005561A0" w:rsidRPr="00845E96" w:rsidRDefault="005561A0" w:rsidP="005561A0">
            <w:pPr>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Veterinarian</w:t>
            </w:r>
          </w:p>
        </w:tc>
        <w:tc>
          <w:tcPr>
            <w:tcW w:w="2268" w:type="dxa"/>
          </w:tcPr>
          <w:p w:rsidR="005561A0" w:rsidRDefault="00BC3ED1" w:rsidP="005561A0">
            <w:r>
              <w:rPr>
                <w:rFonts w:eastAsia="Times New Roman" w:cs="Arial"/>
                <w:color w:val="000000" w:themeColor="text1"/>
                <w:sz w:val="20"/>
                <w:szCs w:val="20"/>
                <w:lang w:eastAsia="en-NZ"/>
              </w:rPr>
              <w:t>Current registration and practis</w:t>
            </w:r>
            <w:r w:rsidR="005561A0" w:rsidRPr="00845E96">
              <w:rPr>
                <w:rFonts w:eastAsia="Times New Roman" w:cs="Arial"/>
                <w:color w:val="000000" w:themeColor="text1"/>
                <w:sz w:val="20"/>
                <w:szCs w:val="20"/>
                <w:lang w:eastAsia="en-NZ"/>
              </w:rPr>
              <w:t>ing certificate</w:t>
            </w:r>
          </w:p>
        </w:tc>
        <w:tc>
          <w:tcPr>
            <w:tcW w:w="2268" w:type="dxa"/>
          </w:tcPr>
          <w:p w:rsidR="005561A0" w:rsidRDefault="005561A0" w:rsidP="005561A0">
            <w:r w:rsidRPr="00845E96">
              <w:rPr>
                <w:rFonts w:eastAsia="Times New Roman" w:cs="Arial"/>
                <w:color w:val="000000" w:themeColor="text1"/>
                <w:sz w:val="20"/>
                <w:szCs w:val="20"/>
                <w:lang w:eastAsia="en-NZ"/>
              </w:rPr>
              <w:t>Use of irradiating apparatus for veterinary purposes</w:t>
            </w:r>
          </w:p>
        </w:tc>
      </w:tr>
      <w:tr w:rsidR="008C7B22" w:rsidTr="003F0787">
        <w:tc>
          <w:tcPr>
            <w:tcW w:w="2268" w:type="dxa"/>
          </w:tcPr>
          <w:p w:rsidR="008C7B22" w:rsidRPr="00845E96" w:rsidRDefault="008C7B22" w:rsidP="005561A0">
            <w:pPr>
              <w:rPr>
                <w:rFonts w:eastAsia="Times New Roman" w:cs="Arial"/>
                <w:color w:val="000000" w:themeColor="text1"/>
                <w:sz w:val="20"/>
                <w:szCs w:val="20"/>
                <w:lang w:eastAsia="en-NZ"/>
              </w:rPr>
            </w:pPr>
            <w:r>
              <w:rPr>
                <w:rFonts w:eastAsia="Times New Roman" w:cs="Arial"/>
                <w:color w:val="000000" w:themeColor="text1"/>
                <w:sz w:val="20"/>
                <w:szCs w:val="20"/>
                <w:lang w:eastAsia="en-NZ"/>
              </w:rPr>
              <w:t>New Zealand Chiropractic Board</w:t>
            </w:r>
          </w:p>
        </w:tc>
        <w:tc>
          <w:tcPr>
            <w:tcW w:w="2410" w:type="dxa"/>
            <w:vAlign w:val="center"/>
          </w:tcPr>
          <w:p w:rsidR="008C7B22" w:rsidRPr="00845E96" w:rsidRDefault="008C7B22" w:rsidP="005561A0">
            <w:pPr>
              <w:rPr>
                <w:rFonts w:eastAsia="Times New Roman" w:cs="Arial"/>
                <w:color w:val="000000" w:themeColor="text1"/>
                <w:sz w:val="20"/>
                <w:szCs w:val="20"/>
                <w:lang w:eastAsia="en-NZ"/>
              </w:rPr>
            </w:pPr>
            <w:r>
              <w:rPr>
                <w:rFonts w:eastAsia="Times New Roman" w:cs="Arial"/>
                <w:color w:val="000000" w:themeColor="text1"/>
                <w:sz w:val="20"/>
                <w:szCs w:val="20"/>
                <w:lang w:eastAsia="en-NZ"/>
              </w:rPr>
              <w:t>Scope of practice:  Chiropractor</w:t>
            </w:r>
          </w:p>
        </w:tc>
        <w:tc>
          <w:tcPr>
            <w:tcW w:w="2268" w:type="dxa"/>
          </w:tcPr>
          <w:p w:rsidR="008C7B22" w:rsidRPr="00845E96" w:rsidRDefault="008C7B22" w:rsidP="005561A0">
            <w:pPr>
              <w:rPr>
                <w:rFonts w:eastAsia="Times New Roman" w:cs="Arial"/>
                <w:color w:val="000000" w:themeColor="text1"/>
                <w:sz w:val="20"/>
                <w:szCs w:val="20"/>
                <w:lang w:eastAsia="en-NZ"/>
              </w:rPr>
            </w:pPr>
            <w:r>
              <w:rPr>
                <w:rFonts w:eastAsia="Times New Roman" w:cs="Arial"/>
                <w:color w:val="000000" w:themeColor="text1"/>
                <w:sz w:val="20"/>
                <w:szCs w:val="20"/>
                <w:lang w:eastAsia="en-NZ"/>
              </w:rPr>
              <w:t>Current registration and practising certificate</w:t>
            </w:r>
          </w:p>
        </w:tc>
        <w:tc>
          <w:tcPr>
            <w:tcW w:w="2268" w:type="dxa"/>
          </w:tcPr>
          <w:p w:rsidR="008C7B22" w:rsidRPr="00845E96" w:rsidRDefault="008C7B22" w:rsidP="005561A0">
            <w:pPr>
              <w:rPr>
                <w:rFonts w:eastAsia="Times New Roman" w:cs="Arial"/>
                <w:color w:val="000000" w:themeColor="text1"/>
                <w:sz w:val="20"/>
                <w:szCs w:val="20"/>
                <w:lang w:eastAsia="en-NZ"/>
              </w:rPr>
            </w:pPr>
            <w:r>
              <w:rPr>
                <w:rFonts w:eastAsia="Times New Roman" w:cs="Arial"/>
                <w:color w:val="000000" w:themeColor="text1"/>
                <w:sz w:val="20"/>
                <w:szCs w:val="20"/>
                <w:lang w:eastAsia="en-NZ"/>
              </w:rPr>
              <w:t>Use of irradiating apparatus for chiropractic purposes</w:t>
            </w:r>
          </w:p>
        </w:tc>
      </w:tr>
    </w:tbl>
    <w:p w:rsidR="00DC7D18" w:rsidRPr="003D6439" w:rsidRDefault="00DC7D18" w:rsidP="003D6439">
      <w:pPr>
        <w:rPr>
          <w:sz w:val="22"/>
          <w:u w:val="single"/>
          <w:lang w:val="en-GB" w:eastAsia="en-GB"/>
        </w:rPr>
      </w:pPr>
    </w:p>
    <w:p w:rsidR="00BA5959" w:rsidRPr="00BA5959" w:rsidRDefault="003D6439" w:rsidP="00616101">
      <w:pPr>
        <w:pStyle w:val="ListParagraph"/>
        <w:numPr>
          <w:ilvl w:val="0"/>
          <w:numId w:val="1"/>
        </w:numPr>
        <w:rPr>
          <w:sz w:val="22"/>
          <w:u w:val="single"/>
          <w:lang w:val="en-GB" w:eastAsia="en-GB"/>
        </w:rPr>
      </w:pPr>
      <w:r>
        <w:rPr>
          <w:sz w:val="22"/>
          <w:lang w:val="en-GB" w:eastAsia="en-GB"/>
        </w:rPr>
        <w:t xml:space="preserve">This option </w:t>
      </w:r>
      <w:r w:rsidR="00D840E7">
        <w:rPr>
          <w:sz w:val="22"/>
          <w:lang w:val="en-GB" w:eastAsia="en-GB"/>
        </w:rPr>
        <w:t xml:space="preserve">may </w:t>
      </w:r>
      <w:r>
        <w:rPr>
          <w:sz w:val="22"/>
          <w:lang w:val="en-GB" w:eastAsia="en-GB"/>
        </w:rPr>
        <w:t>not appear equitable</w:t>
      </w:r>
      <w:r w:rsidR="005561A0">
        <w:rPr>
          <w:sz w:val="22"/>
          <w:lang w:val="en-GB" w:eastAsia="en-GB"/>
        </w:rPr>
        <w:t xml:space="preserve"> </w:t>
      </w:r>
      <w:r w:rsidR="00663F93">
        <w:rPr>
          <w:sz w:val="22"/>
          <w:lang w:val="en-GB" w:eastAsia="en-GB"/>
        </w:rPr>
        <w:t xml:space="preserve">as only a subset of radiation users will be excused from a </w:t>
      </w:r>
      <w:r w:rsidRPr="003D6439">
        <w:rPr>
          <w:rFonts w:cs="Arial"/>
          <w:color w:val="000000"/>
          <w:sz w:val="22"/>
        </w:rPr>
        <w:t>use licence fee</w:t>
      </w:r>
      <w:r w:rsidR="00DC7D18" w:rsidRPr="003D6439">
        <w:rPr>
          <w:rFonts w:cs="Arial"/>
          <w:sz w:val="22"/>
          <w:lang w:val="en-GB" w:eastAsia="en-GB"/>
        </w:rPr>
        <w:t xml:space="preserve">.  </w:t>
      </w:r>
      <w:r w:rsidRPr="003D6439">
        <w:rPr>
          <w:rFonts w:cs="Arial"/>
          <w:sz w:val="22"/>
          <w:lang w:val="en-GB" w:eastAsia="en-GB"/>
        </w:rPr>
        <w:t xml:space="preserve">However, </w:t>
      </w:r>
      <w:r>
        <w:rPr>
          <w:rFonts w:cs="Arial"/>
          <w:sz w:val="22"/>
        </w:rPr>
        <w:t>without these</w:t>
      </w:r>
      <w:r w:rsidRPr="003D6439">
        <w:rPr>
          <w:rFonts w:cs="Arial"/>
          <w:sz w:val="22"/>
        </w:rPr>
        <w:t xml:space="preserve"> exclusions the total cost of administering use licences would increase and any </w:t>
      </w:r>
      <w:r w:rsidR="005561A0">
        <w:rPr>
          <w:rFonts w:cs="Arial"/>
          <w:sz w:val="22"/>
        </w:rPr>
        <w:t xml:space="preserve">flow-on reduction </w:t>
      </w:r>
      <w:r w:rsidRPr="003D6439">
        <w:rPr>
          <w:rFonts w:cs="Arial"/>
          <w:sz w:val="22"/>
        </w:rPr>
        <w:t xml:space="preserve">in the </w:t>
      </w:r>
      <w:r>
        <w:rPr>
          <w:rFonts w:cs="Arial"/>
          <w:sz w:val="22"/>
        </w:rPr>
        <w:t>u</w:t>
      </w:r>
      <w:r w:rsidRPr="003D6439">
        <w:rPr>
          <w:rFonts w:cs="Arial"/>
          <w:sz w:val="22"/>
        </w:rPr>
        <w:t>se licence fee would be small.</w:t>
      </w:r>
      <w:r>
        <w:rPr>
          <w:rFonts w:cs="Arial"/>
          <w:sz w:val="22"/>
        </w:rPr>
        <w:t xml:space="preserve">  </w:t>
      </w:r>
      <w:r w:rsidR="00BC3ED1">
        <w:rPr>
          <w:rFonts w:cs="Arial"/>
          <w:sz w:val="22"/>
        </w:rPr>
        <w:t>Further, t</w:t>
      </w:r>
      <w:r w:rsidR="005561A0">
        <w:rPr>
          <w:rFonts w:cs="Arial"/>
          <w:sz w:val="22"/>
        </w:rPr>
        <w:t xml:space="preserve">he option </w:t>
      </w:r>
      <w:r w:rsidR="005561A0" w:rsidRPr="00514732">
        <w:rPr>
          <w:rFonts w:cs="Arial"/>
          <w:sz w:val="22"/>
        </w:rPr>
        <w:t>is</w:t>
      </w:r>
      <w:r w:rsidR="005561A0">
        <w:rPr>
          <w:rFonts w:cs="Arial"/>
          <w:sz w:val="22"/>
        </w:rPr>
        <w:t xml:space="preserve"> equitable in the sense that the same criteria for exclusions </w:t>
      </w:r>
      <w:r w:rsidR="00BC3ED1">
        <w:rPr>
          <w:rFonts w:cs="Arial"/>
          <w:sz w:val="22"/>
        </w:rPr>
        <w:t>will be applied</w:t>
      </w:r>
      <w:r w:rsidR="005561A0">
        <w:rPr>
          <w:rFonts w:cs="Arial"/>
          <w:sz w:val="22"/>
        </w:rPr>
        <w:t xml:space="preserve"> to all groups and their activities.</w:t>
      </w:r>
    </w:p>
    <w:p w:rsidR="00BA5959" w:rsidRPr="00BA5959" w:rsidRDefault="00BA5959" w:rsidP="00BA5959">
      <w:pPr>
        <w:pStyle w:val="ListParagraph"/>
        <w:ind w:left="360"/>
        <w:rPr>
          <w:sz w:val="22"/>
          <w:u w:val="single"/>
          <w:lang w:val="en-GB" w:eastAsia="en-GB"/>
        </w:rPr>
      </w:pPr>
    </w:p>
    <w:p w:rsidR="003D6439" w:rsidRPr="00F678B5" w:rsidRDefault="003D6439" w:rsidP="00616101">
      <w:pPr>
        <w:pStyle w:val="ListParagraph"/>
        <w:numPr>
          <w:ilvl w:val="0"/>
          <w:numId w:val="1"/>
        </w:numPr>
        <w:rPr>
          <w:sz w:val="22"/>
          <w:u w:val="single"/>
          <w:lang w:val="en-GB" w:eastAsia="en-GB"/>
        </w:rPr>
      </w:pPr>
      <w:r>
        <w:rPr>
          <w:sz w:val="22"/>
          <w:lang w:val="en-GB" w:eastAsia="en-GB"/>
        </w:rPr>
        <w:t>Othe</w:t>
      </w:r>
      <w:r w:rsidR="00F678B5">
        <w:rPr>
          <w:sz w:val="22"/>
          <w:lang w:val="en-GB" w:eastAsia="en-GB"/>
        </w:rPr>
        <w:t xml:space="preserve">r groups </w:t>
      </w:r>
      <w:r w:rsidR="00BA5959">
        <w:rPr>
          <w:sz w:val="22"/>
          <w:lang w:val="en-GB" w:eastAsia="en-GB"/>
        </w:rPr>
        <w:t>may</w:t>
      </w:r>
      <w:r w:rsidR="00F678B5">
        <w:rPr>
          <w:sz w:val="22"/>
          <w:lang w:val="en-GB" w:eastAsia="en-GB"/>
        </w:rPr>
        <w:t xml:space="preserve"> be added to these R</w:t>
      </w:r>
      <w:r>
        <w:rPr>
          <w:sz w:val="22"/>
          <w:lang w:val="en-GB" w:eastAsia="en-GB"/>
        </w:rPr>
        <w:t>egulations</w:t>
      </w:r>
      <w:r w:rsidR="005561A0">
        <w:rPr>
          <w:sz w:val="22"/>
          <w:lang w:val="en-GB" w:eastAsia="en-GB"/>
        </w:rPr>
        <w:t xml:space="preserve"> over time</w:t>
      </w:r>
      <w:r>
        <w:rPr>
          <w:sz w:val="22"/>
          <w:lang w:val="en-GB" w:eastAsia="en-GB"/>
        </w:rPr>
        <w:t xml:space="preserve">.  </w:t>
      </w:r>
      <w:r w:rsidR="00DC7D18">
        <w:rPr>
          <w:sz w:val="22"/>
          <w:lang w:val="en-GB" w:eastAsia="en-GB"/>
        </w:rPr>
        <w:t xml:space="preserve">The Ministry </w:t>
      </w:r>
      <w:r>
        <w:rPr>
          <w:sz w:val="22"/>
          <w:lang w:val="en-GB" w:eastAsia="en-GB"/>
        </w:rPr>
        <w:t>will continue</w:t>
      </w:r>
      <w:r w:rsidR="00DC7D18">
        <w:rPr>
          <w:sz w:val="22"/>
          <w:lang w:val="en-GB" w:eastAsia="en-GB"/>
        </w:rPr>
        <w:t xml:space="preserve"> to work </w:t>
      </w:r>
      <w:r>
        <w:rPr>
          <w:sz w:val="22"/>
          <w:lang w:val="en-GB" w:eastAsia="en-GB"/>
        </w:rPr>
        <w:t>with groups that</w:t>
      </w:r>
      <w:r w:rsidR="00DC7D18">
        <w:rPr>
          <w:sz w:val="22"/>
          <w:lang w:val="en-GB" w:eastAsia="en-GB"/>
        </w:rPr>
        <w:t xml:space="preserve"> have indicated </w:t>
      </w:r>
      <w:r>
        <w:rPr>
          <w:sz w:val="22"/>
          <w:lang w:val="en-GB" w:eastAsia="en-GB"/>
        </w:rPr>
        <w:t xml:space="preserve">they may be able to meet the requirements to be included in </w:t>
      </w:r>
      <w:r w:rsidR="005561A0">
        <w:rPr>
          <w:sz w:val="22"/>
          <w:lang w:val="en-GB" w:eastAsia="en-GB"/>
        </w:rPr>
        <w:t xml:space="preserve">these </w:t>
      </w:r>
      <w:r w:rsidR="00BC3ED1">
        <w:rPr>
          <w:sz w:val="22"/>
          <w:lang w:val="en-GB" w:eastAsia="en-GB"/>
        </w:rPr>
        <w:t>R</w:t>
      </w:r>
      <w:r w:rsidR="00514732">
        <w:rPr>
          <w:sz w:val="22"/>
          <w:lang w:val="en-GB" w:eastAsia="en-GB"/>
        </w:rPr>
        <w:t>egulations in the future.</w:t>
      </w:r>
      <w:r>
        <w:rPr>
          <w:sz w:val="22"/>
          <w:lang w:val="en-GB" w:eastAsia="en-GB"/>
        </w:rPr>
        <w:t xml:space="preserve">  </w:t>
      </w:r>
    </w:p>
    <w:p w:rsidR="00BA5959" w:rsidRDefault="00BA5959" w:rsidP="00BA5959">
      <w:pPr>
        <w:rPr>
          <w:sz w:val="22"/>
          <w:u w:val="single"/>
          <w:lang w:val="en-GB" w:eastAsia="en-GB"/>
        </w:rPr>
      </w:pPr>
      <w:r>
        <w:rPr>
          <w:sz w:val="22"/>
          <w:u w:val="single"/>
          <w:lang w:val="en-GB" w:eastAsia="en-GB"/>
        </w:rPr>
        <w:t>Analysis of</w:t>
      </w:r>
      <w:r w:rsidR="00DC7D18">
        <w:rPr>
          <w:sz w:val="22"/>
          <w:u w:val="single"/>
          <w:lang w:val="en-GB" w:eastAsia="en-GB"/>
        </w:rPr>
        <w:t xml:space="preserve"> option</w:t>
      </w:r>
      <w:r>
        <w:rPr>
          <w:sz w:val="22"/>
          <w:u w:val="single"/>
          <w:lang w:val="en-GB" w:eastAsia="en-GB"/>
        </w:rPr>
        <w:t>s</w:t>
      </w:r>
    </w:p>
    <w:tbl>
      <w:tblPr>
        <w:tblStyle w:val="TableGrid"/>
        <w:tblW w:w="0" w:type="auto"/>
        <w:tblInd w:w="108" w:type="dxa"/>
        <w:tblLayout w:type="fixed"/>
        <w:tblLook w:val="04A0" w:firstRow="1" w:lastRow="0" w:firstColumn="1" w:lastColumn="0" w:noHBand="0" w:noVBand="1"/>
      </w:tblPr>
      <w:tblGrid>
        <w:gridCol w:w="5812"/>
        <w:gridCol w:w="1701"/>
        <w:gridCol w:w="1559"/>
      </w:tblGrid>
      <w:tr w:rsidR="005561A0" w:rsidRPr="008A5AA4" w:rsidTr="005561A0">
        <w:tc>
          <w:tcPr>
            <w:tcW w:w="5812" w:type="dxa"/>
          </w:tcPr>
          <w:p w:rsidR="005561A0" w:rsidRPr="008A5AA4" w:rsidRDefault="005561A0"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1701" w:type="dxa"/>
          </w:tcPr>
          <w:p w:rsidR="005561A0" w:rsidRPr="008A5AA4" w:rsidRDefault="005561A0"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1559" w:type="dxa"/>
          </w:tcPr>
          <w:p w:rsidR="005561A0" w:rsidRPr="008A5AA4" w:rsidRDefault="005561A0"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r>
      <w:tr w:rsidR="005561A0" w:rsidTr="005561A0">
        <w:tc>
          <w:tcPr>
            <w:tcW w:w="5812" w:type="dxa"/>
          </w:tcPr>
          <w:p w:rsidR="005561A0" w:rsidRPr="008A5AA4" w:rsidRDefault="005561A0"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Pr="008A5AA4">
              <w:rPr>
                <w:rFonts w:eastAsia="Times New Roman" w:cs="Times New Roman"/>
                <w:sz w:val="16"/>
                <w:szCs w:val="16"/>
                <w:lang w:val="en-GB" w:eastAsia="en-GB"/>
              </w:rPr>
              <w:t xml:space="preserve"> </w:t>
            </w:r>
          </w:p>
        </w:tc>
        <w:tc>
          <w:tcPr>
            <w:tcW w:w="1701"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r>
      <w:tr w:rsidR="005561A0" w:rsidTr="005561A0">
        <w:tc>
          <w:tcPr>
            <w:tcW w:w="5812" w:type="dxa"/>
          </w:tcPr>
          <w:p w:rsidR="005561A0" w:rsidRPr="008A5AA4" w:rsidRDefault="005561A0" w:rsidP="00204197">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1701"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r>
      <w:tr w:rsidR="005561A0" w:rsidTr="005561A0">
        <w:tc>
          <w:tcPr>
            <w:tcW w:w="5812" w:type="dxa"/>
          </w:tcPr>
          <w:p w:rsidR="005561A0" w:rsidRPr="008A5AA4" w:rsidRDefault="005561A0"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1701"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r>
      <w:tr w:rsidR="005561A0" w:rsidTr="005561A0">
        <w:tc>
          <w:tcPr>
            <w:tcW w:w="5812" w:type="dxa"/>
          </w:tcPr>
          <w:p w:rsidR="005561A0" w:rsidRPr="008A5AA4" w:rsidRDefault="005561A0" w:rsidP="00204197">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1701"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5561A0" w:rsidRDefault="005561A0" w:rsidP="00204197">
            <w:pPr>
              <w:spacing w:line="280" w:lineRule="exact"/>
              <w:rPr>
                <w:rFonts w:eastAsia="Times New Roman" w:cs="Times New Roman"/>
                <w:sz w:val="22"/>
                <w:lang w:val="en-AU"/>
              </w:rPr>
            </w:pPr>
            <w:r>
              <w:rPr>
                <w:rFonts w:eastAsia="Times New Roman" w:cs="Arial"/>
                <w:sz w:val="22"/>
                <w:lang w:val="en-AU"/>
              </w:rPr>
              <w:t>√√</w:t>
            </w:r>
          </w:p>
        </w:tc>
      </w:tr>
    </w:tbl>
    <w:p w:rsidR="007A464B" w:rsidRDefault="007A464B" w:rsidP="007A464B">
      <w:pPr>
        <w:spacing w:after="0" w:line="280" w:lineRule="exact"/>
        <w:rPr>
          <w:rFonts w:eastAsia="Times New Roman" w:cs="Times New Roman"/>
          <w:sz w:val="22"/>
          <w:lang w:val="en-AU"/>
        </w:rPr>
      </w:pPr>
      <w:r>
        <w:rPr>
          <w:rFonts w:eastAsia="Times New Roman" w:cs="Times New Roman"/>
          <w:sz w:val="22"/>
          <w:lang w:val="en-AU"/>
        </w:rPr>
        <w:t>Key = ticks indicate criteria met; blank space</w:t>
      </w:r>
      <w:r w:rsidR="000B6227">
        <w:rPr>
          <w:rFonts w:eastAsia="Times New Roman" w:cs="Times New Roman"/>
          <w:sz w:val="22"/>
          <w:lang w:val="en-AU"/>
        </w:rPr>
        <w:t>s</w:t>
      </w:r>
      <w:r>
        <w:rPr>
          <w:rFonts w:eastAsia="Times New Roman" w:cs="Times New Roman"/>
          <w:sz w:val="22"/>
          <w:lang w:val="en-AU"/>
        </w:rPr>
        <w:t xml:space="preserve"> indicates they are not met</w:t>
      </w:r>
    </w:p>
    <w:p w:rsidR="00BA5959" w:rsidRPr="00BA5959" w:rsidRDefault="00BA5959" w:rsidP="00BA5959">
      <w:pPr>
        <w:rPr>
          <w:sz w:val="22"/>
          <w:lang w:val="en-GB" w:eastAsia="en-GB"/>
        </w:rPr>
      </w:pPr>
    </w:p>
    <w:p w:rsidR="00DC7D18" w:rsidRDefault="005561A0" w:rsidP="00616101">
      <w:pPr>
        <w:pStyle w:val="ListParagraph"/>
        <w:numPr>
          <w:ilvl w:val="0"/>
          <w:numId w:val="1"/>
        </w:numPr>
        <w:rPr>
          <w:sz w:val="22"/>
          <w:lang w:val="en-GB" w:eastAsia="en-GB"/>
        </w:rPr>
      </w:pPr>
      <w:r>
        <w:rPr>
          <w:sz w:val="22"/>
          <w:lang w:val="en-GB" w:eastAsia="en-GB"/>
        </w:rPr>
        <w:t>The Ministry prefers option two because it is more proportionate and more in keeping with full cost recovery principles.</w:t>
      </w:r>
      <w:r w:rsidR="00DC7D18">
        <w:rPr>
          <w:sz w:val="22"/>
          <w:lang w:val="en-GB" w:eastAsia="en-GB"/>
        </w:rPr>
        <w:t xml:space="preserve"> </w:t>
      </w:r>
    </w:p>
    <w:p w:rsidR="00DC7D18" w:rsidRDefault="00DC7D18" w:rsidP="00DC7D18">
      <w:pPr>
        <w:rPr>
          <w:sz w:val="22"/>
          <w:lang w:val="en-GB" w:eastAsia="en-GB"/>
        </w:rPr>
      </w:pPr>
      <w:r>
        <w:rPr>
          <w:i/>
          <w:sz w:val="22"/>
          <w:lang w:val="en-GB" w:eastAsia="en-GB"/>
        </w:rPr>
        <w:t>Exemptions from authorisation for temporary arrivals by ship or aircraft</w:t>
      </w:r>
    </w:p>
    <w:p w:rsidR="00DC7D18" w:rsidRPr="004D7A72" w:rsidRDefault="00FB7024" w:rsidP="00616101">
      <w:pPr>
        <w:pStyle w:val="ListParagraph"/>
        <w:numPr>
          <w:ilvl w:val="0"/>
          <w:numId w:val="1"/>
        </w:numPr>
        <w:rPr>
          <w:sz w:val="22"/>
          <w:lang w:val="en-GB" w:eastAsia="en-GB"/>
        </w:rPr>
      </w:pPr>
      <w:r>
        <w:rPr>
          <w:sz w:val="22"/>
        </w:rPr>
        <w:t>Conditional</w:t>
      </w:r>
      <w:r w:rsidR="00DC7D18">
        <w:rPr>
          <w:sz w:val="22"/>
        </w:rPr>
        <w:t xml:space="preserve"> exemptions from the </w:t>
      </w:r>
      <w:r w:rsidR="00D840E7">
        <w:rPr>
          <w:sz w:val="22"/>
        </w:rPr>
        <w:t xml:space="preserve">Act’s </w:t>
      </w:r>
      <w:r w:rsidR="00DC7D18">
        <w:rPr>
          <w:sz w:val="22"/>
        </w:rPr>
        <w:t>authorisation and registration requirements can be made by</w:t>
      </w:r>
      <w:r w:rsidR="00DC7D18">
        <w:rPr>
          <w:sz w:val="22"/>
          <w:lang w:val="en-GB" w:eastAsia="en-GB"/>
        </w:rPr>
        <w:t xml:space="preserve"> </w:t>
      </w:r>
      <w:r w:rsidR="00DC7D18" w:rsidRPr="00FB7024">
        <w:rPr>
          <w:sz w:val="22"/>
        </w:rPr>
        <w:t>Regulations under s</w:t>
      </w:r>
      <w:r>
        <w:rPr>
          <w:sz w:val="22"/>
        </w:rPr>
        <w:t>ection</w:t>
      </w:r>
      <w:r w:rsidR="00DC7D18" w:rsidRPr="00FB7024">
        <w:rPr>
          <w:sz w:val="22"/>
        </w:rPr>
        <w:t xml:space="preserve"> 9</w:t>
      </w:r>
      <w:r>
        <w:rPr>
          <w:sz w:val="22"/>
        </w:rPr>
        <w:t xml:space="preserve">1(1)(a).  Radiation sources </w:t>
      </w:r>
      <w:r w:rsidR="00DC7D18" w:rsidRPr="00FB7024">
        <w:rPr>
          <w:sz w:val="22"/>
        </w:rPr>
        <w:t>enter New Zealand temporarily as cargo or stores on ships or aircraft and also as part of the</w:t>
      </w:r>
      <w:r>
        <w:rPr>
          <w:sz w:val="22"/>
        </w:rPr>
        <w:t>ir normal</w:t>
      </w:r>
      <w:r w:rsidR="00DC7D18" w:rsidRPr="00FB7024">
        <w:rPr>
          <w:sz w:val="22"/>
        </w:rPr>
        <w:t xml:space="preserve"> operations (</w:t>
      </w:r>
      <w:r>
        <w:rPr>
          <w:sz w:val="22"/>
        </w:rPr>
        <w:t>eg,</w:t>
      </w:r>
      <w:r w:rsidR="00062AAC">
        <w:rPr>
          <w:sz w:val="22"/>
        </w:rPr>
        <w:t xml:space="preserve"> </w:t>
      </w:r>
      <w:r w:rsidRPr="00FB7024">
        <w:rPr>
          <w:sz w:val="22"/>
        </w:rPr>
        <w:t xml:space="preserve">medical </w:t>
      </w:r>
      <w:r w:rsidR="00DC7D18" w:rsidRPr="00FB7024">
        <w:rPr>
          <w:sz w:val="22"/>
        </w:rPr>
        <w:t xml:space="preserve">departments on cruise ships).  </w:t>
      </w:r>
    </w:p>
    <w:p w:rsidR="00DC7D18" w:rsidRDefault="00DC7D18" w:rsidP="00DC7D18">
      <w:pPr>
        <w:rPr>
          <w:sz w:val="22"/>
          <w:u w:val="single"/>
        </w:rPr>
      </w:pPr>
      <w:r>
        <w:rPr>
          <w:sz w:val="22"/>
          <w:u w:val="single"/>
        </w:rPr>
        <w:t>Option one</w:t>
      </w:r>
    </w:p>
    <w:p w:rsidR="004D7A72" w:rsidRDefault="00DC7D18" w:rsidP="00616101">
      <w:pPr>
        <w:pStyle w:val="ListParagraph"/>
        <w:numPr>
          <w:ilvl w:val="0"/>
          <w:numId w:val="1"/>
        </w:numPr>
        <w:rPr>
          <w:sz w:val="22"/>
        </w:rPr>
      </w:pPr>
      <w:r>
        <w:rPr>
          <w:sz w:val="22"/>
        </w:rPr>
        <w:t xml:space="preserve">Provide an exemption from registration and authorisation requirements for radiation sources on </w:t>
      </w:r>
      <w:r w:rsidR="00CC4A8F">
        <w:rPr>
          <w:sz w:val="22"/>
        </w:rPr>
        <w:t>ships or aircraft</w:t>
      </w:r>
      <w:r w:rsidR="004D7A72">
        <w:rPr>
          <w:sz w:val="22"/>
        </w:rPr>
        <w:t xml:space="preserve"> </w:t>
      </w:r>
      <w:r>
        <w:rPr>
          <w:sz w:val="22"/>
        </w:rPr>
        <w:t xml:space="preserve">temporarily entering New Zealand, </w:t>
      </w:r>
      <w:r w:rsidR="004D7A72">
        <w:rPr>
          <w:sz w:val="22"/>
        </w:rPr>
        <w:t xml:space="preserve">such as </w:t>
      </w:r>
      <w:r>
        <w:rPr>
          <w:sz w:val="22"/>
        </w:rPr>
        <w:t>on the basis that they are leaving on the same or the next available vessel</w:t>
      </w:r>
      <w:r w:rsidR="00FB7024">
        <w:rPr>
          <w:sz w:val="22"/>
        </w:rPr>
        <w:t xml:space="preserve"> or scheduled time</w:t>
      </w:r>
      <w:r w:rsidR="004D7A72">
        <w:rPr>
          <w:sz w:val="22"/>
        </w:rPr>
        <w:t xml:space="preserve">. </w:t>
      </w:r>
    </w:p>
    <w:p w:rsidR="004D7A72" w:rsidRDefault="004D7A72" w:rsidP="004D7A72">
      <w:pPr>
        <w:pStyle w:val="ListParagraph"/>
        <w:ind w:left="360"/>
        <w:rPr>
          <w:sz w:val="22"/>
        </w:rPr>
      </w:pPr>
    </w:p>
    <w:p w:rsidR="004D7A72" w:rsidRDefault="004D7A72" w:rsidP="004D7A72">
      <w:pPr>
        <w:pStyle w:val="ListParagraph"/>
        <w:numPr>
          <w:ilvl w:val="0"/>
          <w:numId w:val="1"/>
        </w:numPr>
        <w:rPr>
          <w:sz w:val="22"/>
        </w:rPr>
      </w:pPr>
      <w:r>
        <w:rPr>
          <w:sz w:val="22"/>
        </w:rPr>
        <w:t>This option continues a practice that has operated under the outgoing Radiation Protection Act 1965.</w:t>
      </w:r>
    </w:p>
    <w:p w:rsidR="004D7A72" w:rsidRPr="004D7A72" w:rsidRDefault="004D7A72" w:rsidP="004D7A72">
      <w:pPr>
        <w:pStyle w:val="ListParagraph"/>
        <w:rPr>
          <w:sz w:val="22"/>
        </w:rPr>
      </w:pPr>
    </w:p>
    <w:p w:rsidR="004D7A72" w:rsidRPr="004D7A72" w:rsidRDefault="004D7A72" w:rsidP="00F622D1">
      <w:pPr>
        <w:pStyle w:val="ListParagraph"/>
        <w:numPr>
          <w:ilvl w:val="0"/>
          <w:numId w:val="1"/>
        </w:numPr>
        <w:rPr>
          <w:sz w:val="22"/>
        </w:rPr>
      </w:pPr>
      <w:r w:rsidRPr="004D7A72">
        <w:rPr>
          <w:sz w:val="22"/>
        </w:rPr>
        <w:t>The advantage is that this option</w:t>
      </w:r>
      <w:r w:rsidR="00DC7D18" w:rsidRPr="004D7A72">
        <w:rPr>
          <w:sz w:val="22"/>
        </w:rPr>
        <w:t xml:space="preserve"> prevents an onerous compliance and administrative burden.  </w:t>
      </w:r>
      <w:r w:rsidRPr="004D7A72">
        <w:rPr>
          <w:sz w:val="22"/>
        </w:rPr>
        <w:t xml:space="preserve">The inherent radiation safety risk is also comparatively small </w:t>
      </w:r>
      <w:r w:rsidR="00D840E7">
        <w:rPr>
          <w:sz w:val="22"/>
        </w:rPr>
        <w:t xml:space="preserve">because </w:t>
      </w:r>
      <w:r w:rsidRPr="004D7A72">
        <w:rPr>
          <w:sz w:val="22"/>
        </w:rPr>
        <w:t xml:space="preserve">there is a small temporal window for something to go wrong.  In addition, the </w:t>
      </w:r>
      <w:r w:rsidR="00DC7D18" w:rsidRPr="004D7A72">
        <w:rPr>
          <w:sz w:val="22"/>
        </w:rPr>
        <w:t xml:space="preserve">risk of a radiation safety incident occurring is </w:t>
      </w:r>
      <w:r w:rsidRPr="004D7A72">
        <w:rPr>
          <w:sz w:val="22"/>
        </w:rPr>
        <w:t xml:space="preserve">lessened to some extent </w:t>
      </w:r>
      <w:r w:rsidR="00DC7D18" w:rsidRPr="004D7A72">
        <w:rPr>
          <w:sz w:val="22"/>
        </w:rPr>
        <w:t xml:space="preserve">by the requirement that these sources will </w:t>
      </w:r>
      <w:r w:rsidR="00FB7024" w:rsidRPr="004D7A72">
        <w:rPr>
          <w:sz w:val="22"/>
        </w:rPr>
        <w:t xml:space="preserve">still </w:t>
      </w:r>
      <w:r w:rsidR="00DC7D18" w:rsidRPr="004D7A72">
        <w:rPr>
          <w:sz w:val="22"/>
        </w:rPr>
        <w:t xml:space="preserve">be subject to </w:t>
      </w:r>
      <w:r w:rsidR="00FB7024" w:rsidRPr="004D7A72">
        <w:rPr>
          <w:sz w:val="22"/>
        </w:rPr>
        <w:t xml:space="preserve">all other </w:t>
      </w:r>
      <w:r w:rsidR="00DC7D18" w:rsidRPr="004D7A72">
        <w:rPr>
          <w:sz w:val="22"/>
        </w:rPr>
        <w:t xml:space="preserve">requirements </w:t>
      </w:r>
      <w:r w:rsidR="00FB7024" w:rsidRPr="004D7A72">
        <w:rPr>
          <w:sz w:val="22"/>
        </w:rPr>
        <w:t xml:space="preserve">of the Act </w:t>
      </w:r>
      <w:r w:rsidR="00DC7D18" w:rsidRPr="004D7A72">
        <w:rPr>
          <w:sz w:val="22"/>
        </w:rPr>
        <w:t xml:space="preserve">while in New Zealand.  </w:t>
      </w:r>
      <w:r w:rsidR="00FB7024" w:rsidRPr="004D7A72">
        <w:rPr>
          <w:sz w:val="22"/>
        </w:rPr>
        <w:t xml:space="preserve">International </w:t>
      </w:r>
      <w:r w:rsidRPr="004D7A72">
        <w:rPr>
          <w:sz w:val="22"/>
        </w:rPr>
        <w:t>Transportation R</w:t>
      </w:r>
      <w:r w:rsidR="00FB7024" w:rsidRPr="004D7A72">
        <w:rPr>
          <w:sz w:val="22"/>
        </w:rPr>
        <w:t>egulations will also apply</w:t>
      </w:r>
      <w:r w:rsidR="0029612E" w:rsidRPr="004D7A72">
        <w:rPr>
          <w:sz w:val="22"/>
        </w:rPr>
        <w:t>.</w:t>
      </w:r>
      <w:r w:rsidR="00FB7024" w:rsidRPr="004D7A72">
        <w:rPr>
          <w:sz w:val="22"/>
        </w:rPr>
        <w:t xml:space="preserve">  </w:t>
      </w:r>
    </w:p>
    <w:p w:rsidR="00DC7D18" w:rsidRDefault="00DC7D18" w:rsidP="00DC7D18">
      <w:pPr>
        <w:rPr>
          <w:sz w:val="22"/>
          <w:u w:val="single"/>
        </w:rPr>
      </w:pPr>
      <w:r>
        <w:rPr>
          <w:sz w:val="22"/>
          <w:u w:val="single"/>
        </w:rPr>
        <w:t>Option two</w:t>
      </w:r>
    </w:p>
    <w:p w:rsidR="00DC7D18" w:rsidRDefault="00DC7D18" w:rsidP="00616101">
      <w:pPr>
        <w:pStyle w:val="ListParagraph"/>
        <w:numPr>
          <w:ilvl w:val="0"/>
          <w:numId w:val="1"/>
        </w:numPr>
        <w:rPr>
          <w:sz w:val="22"/>
        </w:rPr>
      </w:pPr>
      <w:r>
        <w:rPr>
          <w:sz w:val="22"/>
        </w:rPr>
        <w:t xml:space="preserve">Provide no exemption from the registration and authorisation requirements for radiation sources on </w:t>
      </w:r>
      <w:r w:rsidR="00CC4A8F">
        <w:rPr>
          <w:sz w:val="22"/>
        </w:rPr>
        <w:t>ships and aircraft</w:t>
      </w:r>
      <w:r w:rsidR="004D7A72">
        <w:rPr>
          <w:sz w:val="22"/>
        </w:rPr>
        <w:t xml:space="preserve"> </w:t>
      </w:r>
      <w:r>
        <w:rPr>
          <w:sz w:val="22"/>
        </w:rPr>
        <w:t>temporarily entering New Zealand.</w:t>
      </w:r>
    </w:p>
    <w:p w:rsidR="00DC7D18" w:rsidRDefault="00DC7D18" w:rsidP="00DC7D18">
      <w:pPr>
        <w:pStyle w:val="ListParagraph"/>
        <w:ind w:left="785"/>
        <w:rPr>
          <w:sz w:val="22"/>
        </w:rPr>
      </w:pPr>
    </w:p>
    <w:p w:rsidR="00DC7D18" w:rsidRDefault="004D7A72" w:rsidP="00616101">
      <w:pPr>
        <w:pStyle w:val="ListParagraph"/>
        <w:numPr>
          <w:ilvl w:val="0"/>
          <w:numId w:val="1"/>
        </w:numPr>
        <w:rPr>
          <w:sz w:val="22"/>
        </w:rPr>
      </w:pPr>
      <w:r>
        <w:rPr>
          <w:sz w:val="22"/>
        </w:rPr>
        <w:t xml:space="preserve"> While superficially simpler than option one, in reality t</w:t>
      </w:r>
      <w:r w:rsidR="00DC7D18">
        <w:rPr>
          <w:sz w:val="22"/>
        </w:rPr>
        <w:t xml:space="preserve">his would involve significant </w:t>
      </w:r>
      <w:r w:rsidR="0029612E">
        <w:rPr>
          <w:sz w:val="22"/>
        </w:rPr>
        <w:t>compliance costs for cargo movers, tourism operators and others visiting New Zealand for short periods of time.  It would also add significant regulator and compliance verification costs</w:t>
      </w:r>
      <w:r>
        <w:rPr>
          <w:sz w:val="22"/>
        </w:rPr>
        <w:t>, would be difficult to enforce,</w:t>
      </w:r>
      <w:r w:rsidR="0029612E">
        <w:rPr>
          <w:sz w:val="22"/>
        </w:rPr>
        <w:t xml:space="preserve"> and is likely to add to the cost of fees (</w:t>
      </w:r>
      <w:r>
        <w:rPr>
          <w:sz w:val="22"/>
        </w:rPr>
        <w:t xml:space="preserve">eg, </w:t>
      </w:r>
      <w:r w:rsidR="0029612E">
        <w:rPr>
          <w:sz w:val="22"/>
        </w:rPr>
        <w:t xml:space="preserve">compliance verification costs would be significantly higher than average).  </w:t>
      </w:r>
      <w:r>
        <w:rPr>
          <w:sz w:val="22"/>
        </w:rPr>
        <w:t>So while this option would involve full cost recovery, the costs imposed would not meet the ease of administration and efficiency principles in the Act.</w:t>
      </w:r>
    </w:p>
    <w:p w:rsidR="00DC7D18" w:rsidRDefault="00DC7D18" w:rsidP="00DC7D18">
      <w:pPr>
        <w:pStyle w:val="ListParagraph"/>
        <w:ind w:left="0"/>
        <w:rPr>
          <w:sz w:val="22"/>
          <w:u w:val="single"/>
        </w:rPr>
      </w:pPr>
    </w:p>
    <w:p w:rsidR="00DC7D18" w:rsidRDefault="00BA5959" w:rsidP="00BA5959">
      <w:pPr>
        <w:pStyle w:val="ListParagraph"/>
        <w:ind w:left="0"/>
        <w:rPr>
          <w:sz w:val="22"/>
          <w:u w:val="single"/>
        </w:rPr>
      </w:pPr>
      <w:r>
        <w:rPr>
          <w:sz w:val="22"/>
          <w:u w:val="single"/>
        </w:rPr>
        <w:t>Analysis of o</w:t>
      </w:r>
      <w:r w:rsidR="00DC7D18">
        <w:rPr>
          <w:sz w:val="22"/>
          <w:u w:val="single"/>
        </w:rPr>
        <w:t>ption</w:t>
      </w:r>
      <w:r>
        <w:rPr>
          <w:sz w:val="22"/>
          <w:u w:val="single"/>
        </w:rPr>
        <w:t>s</w:t>
      </w:r>
    </w:p>
    <w:tbl>
      <w:tblPr>
        <w:tblStyle w:val="TableGrid"/>
        <w:tblW w:w="9072" w:type="dxa"/>
        <w:tblInd w:w="108" w:type="dxa"/>
        <w:tblLayout w:type="fixed"/>
        <w:tblLook w:val="04A0" w:firstRow="1" w:lastRow="0" w:firstColumn="1" w:lastColumn="0" w:noHBand="0" w:noVBand="1"/>
      </w:tblPr>
      <w:tblGrid>
        <w:gridCol w:w="5812"/>
        <w:gridCol w:w="1701"/>
        <w:gridCol w:w="1559"/>
      </w:tblGrid>
      <w:tr w:rsidR="004D7A72" w:rsidRPr="008A5AA4" w:rsidTr="00756D51">
        <w:tc>
          <w:tcPr>
            <w:tcW w:w="5812" w:type="dxa"/>
          </w:tcPr>
          <w:p w:rsidR="004D7A72" w:rsidRPr="008A5AA4" w:rsidRDefault="004D7A7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1701" w:type="dxa"/>
          </w:tcPr>
          <w:p w:rsidR="004D7A72" w:rsidRPr="008A5AA4" w:rsidRDefault="004D7A7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1559" w:type="dxa"/>
          </w:tcPr>
          <w:p w:rsidR="004D7A72" w:rsidRPr="008A5AA4" w:rsidRDefault="004D7A7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r>
      <w:tr w:rsidR="004D7A72" w:rsidTr="00756D51">
        <w:tc>
          <w:tcPr>
            <w:tcW w:w="5812" w:type="dxa"/>
          </w:tcPr>
          <w:p w:rsidR="004D7A72" w:rsidRPr="008A5AA4" w:rsidRDefault="004D7A72"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Pr="008A5AA4">
              <w:rPr>
                <w:rFonts w:eastAsia="Times New Roman" w:cs="Times New Roman"/>
                <w:sz w:val="16"/>
                <w:szCs w:val="16"/>
                <w:lang w:val="en-GB" w:eastAsia="en-GB"/>
              </w:rPr>
              <w:t xml:space="preserve"> </w:t>
            </w:r>
          </w:p>
        </w:tc>
        <w:tc>
          <w:tcPr>
            <w:tcW w:w="1701"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4D7A72" w:rsidRDefault="004D7A72" w:rsidP="00204197">
            <w:pPr>
              <w:spacing w:line="280" w:lineRule="exact"/>
              <w:rPr>
                <w:rFonts w:eastAsia="Times New Roman" w:cs="Times New Roman"/>
                <w:sz w:val="22"/>
                <w:lang w:val="en-AU"/>
              </w:rPr>
            </w:pPr>
          </w:p>
        </w:tc>
      </w:tr>
      <w:tr w:rsidR="004D7A72" w:rsidTr="00756D51">
        <w:trPr>
          <w:trHeight w:val="259"/>
        </w:trPr>
        <w:tc>
          <w:tcPr>
            <w:tcW w:w="5812" w:type="dxa"/>
          </w:tcPr>
          <w:p w:rsidR="004D7A72" w:rsidRPr="008A5AA4" w:rsidRDefault="004D7A72" w:rsidP="00204197">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1701"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4D7A72" w:rsidRDefault="004D7A72" w:rsidP="00204197">
            <w:pPr>
              <w:spacing w:line="280" w:lineRule="exact"/>
              <w:rPr>
                <w:rFonts w:eastAsia="Times New Roman" w:cs="Times New Roman"/>
                <w:sz w:val="22"/>
                <w:lang w:val="en-AU"/>
              </w:rPr>
            </w:pPr>
          </w:p>
        </w:tc>
      </w:tr>
      <w:tr w:rsidR="004D7A72" w:rsidTr="00756D51">
        <w:tc>
          <w:tcPr>
            <w:tcW w:w="5812" w:type="dxa"/>
          </w:tcPr>
          <w:p w:rsidR="004D7A72" w:rsidRPr="008A5AA4" w:rsidRDefault="004D7A72"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1701"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r>
      <w:tr w:rsidR="004D7A72" w:rsidTr="00756D51">
        <w:tc>
          <w:tcPr>
            <w:tcW w:w="5812" w:type="dxa"/>
          </w:tcPr>
          <w:p w:rsidR="004D7A72" w:rsidRPr="008A5AA4" w:rsidRDefault="004D7A72" w:rsidP="00204197">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1701"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4D7A72" w:rsidRDefault="004D7A72" w:rsidP="00204197">
            <w:pPr>
              <w:spacing w:line="280" w:lineRule="exact"/>
              <w:rPr>
                <w:rFonts w:eastAsia="Times New Roman" w:cs="Times New Roman"/>
                <w:sz w:val="22"/>
                <w:lang w:val="en-AU"/>
              </w:rPr>
            </w:pPr>
            <w:r>
              <w:rPr>
                <w:rFonts w:eastAsia="Times New Roman" w:cs="Arial"/>
                <w:sz w:val="22"/>
                <w:lang w:val="en-AU"/>
              </w:rPr>
              <w:t>√</w:t>
            </w:r>
          </w:p>
        </w:tc>
      </w:tr>
    </w:tbl>
    <w:p w:rsidR="007A464B" w:rsidRDefault="007A464B" w:rsidP="007A464B">
      <w:pPr>
        <w:spacing w:after="0" w:line="280" w:lineRule="exact"/>
        <w:rPr>
          <w:rFonts w:eastAsia="Times New Roman" w:cs="Times New Roman"/>
          <w:sz w:val="22"/>
          <w:lang w:val="en-AU"/>
        </w:rPr>
      </w:pPr>
      <w:r>
        <w:rPr>
          <w:rFonts w:eastAsia="Times New Roman" w:cs="Times New Roman"/>
          <w:sz w:val="22"/>
          <w:lang w:val="en-AU"/>
        </w:rPr>
        <w:t>Key = ticks indicate criteria met; blank space</w:t>
      </w:r>
      <w:r w:rsidR="000B6227">
        <w:rPr>
          <w:rFonts w:eastAsia="Times New Roman" w:cs="Times New Roman"/>
          <w:sz w:val="22"/>
          <w:lang w:val="en-AU"/>
        </w:rPr>
        <w:t>s</w:t>
      </w:r>
      <w:r>
        <w:rPr>
          <w:rFonts w:eastAsia="Times New Roman" w:cs="Times New Roman"/>
          <w:sz w:val="22"/>
          <w:lang w:val="en-AU"/>
        </w:rPr>
        <w:t xml:space="preserve"> indicate they are not met</w:t>
      </w:r>
    </w:p>
    <w:p w:rsidR="00BA5959" w:rsidRPr="00EA73E3" w:rsidRDefault="00BA5959" w:rsidP="00EA73E3">
      <w:pPr>
        <w:rPr>
          <w:sz w:val="22"/>
          <w:u w:val="single"/>
        </w:rPr>
      </w:pPr>
    </w:p>
    <w:p w:rsidR="00771B9D" w:rsidRDefault="00DC7D18" w:rsidP="00616101">
      <w:pPr>
        <w:pStyle w:val="ListParagraph"/>
        <w:numPr>
          <w:ilvl w:val="0"/>
          <w:numId w:val="1"/>
        </w:numPr>
        <w:rPr>
          <w:sz w:val="22"/>
        </w:rPr>
      </w:pPr>
      <w:r>
        <w:rPr>
          <w:sz w:val="22"/>
        </w:rPr>
        <w:t xml:space="preserve">The Ministry prefers </w:t>
      </w:r>
      <w:r w:rsidR="004D7A72">
        <w:rPr>
          <w:sz w:val="22"/>
        </w:rPr>
        <w:t>option one because it is simpler and more workable than option two.</w:t>
      </w:r>
    </w:p>
    <w:p w:rsidR="00DC7D18" w:rsidRDefault="0029612E" w:rsidP="00DC7D18">
      <w:pPr>
        <w:rPr>
          <w:i/>
          <w:sz w:val="22"/>
        </w:rPr>
      </w:pPr>
      <w:r>
        <w:rPr>
          <w:i/>
          <w:sz w:val="22"/>
        </w:rPr>
        <w:t>Exemptions for low-exposure and low-</w:t>
      </w:r>
      <w:r w:rsidR="00DC7D18">
        <w:rPr>
          <w:i/>
          <w:sz w:val="22"/>
        </w:rPr>
        <w:t xml:space="preserve">probability </w:t>
      </w:r>
      <w:r>
        <w:rPr>
          <w:i/>
          <w:sz w:val="22"/>
        </w:rPr>
        <w:t>situations</w:t>
      </w:r>
    </w:p>
    <w:p w:rsidR="00DC7D18" w:rsidRPr="0029612E" w:rsidRDefault="00DC7D18" w:rsidP="00616101">
      <w:pPr>
        <w:pStyle w:val="ListParagraph"/>
        <w:numPr>
          <w:ilvl w:val="0"/>
          <w:numId w:val="1"/>
        </w:numPr>
        <w:rPr>
          <w:sz w:val="22"/>
        </w:rPr>
      </w:pPr>
      <w:r>
        <w:rPr>
          <w:sz w:val="22"/>
        </w:rPr>
        <w:t xml:space="preserve">There are situations </w:t>
      </w:r>
      <w:r w:rsidR="0029612E">
        <w:rPr>
          <w:sz w:val="22"/>
        </w:rPr>
        <w:t xml:space="preserve">where </w:t>
      </w:r>
      <w:r>
        <w:rPr>
          <w:sz w:val="22"/>
        </w:rPr>
        <w:t xml:space="preserve">radiation sources </w:t>
      </w:r>
      <w:r w:rsidR="0029612E">
        <w:rPr>
          <w:sz w:val="22"/>
        </w:rPr>
        <w:t>are of little regulatory concern</w:t>
      </w:r>
      <w:r w:rsidR="004D7A72">
        <w:rPr>
          <w:sz w:val="22"/>
        </w:rPr>
        <w:t xml:space="preserve"> -</w:t>
      </w:r>
      <w:r w:rsidR="0029612E">
        <w:rPr>
          <w:sz w:val="22"/>
        </w:rPr>
        <w:t xml:space="preserve"> because of the low probability of human or environmental exposure.  Most household smoke detectors fall into this category (providing they are labelled, used and disposed of as recommended).  </w:t>
      </w:r>
      <w:r w:rsidRPr="0029612E">
        <w:rPr>
          <w:sz w:val="22"/>
        </w:rPr>
        <w:t xml:space="preserve">Regulations can be made </w:t>
      </w:r>
      <w:r w:rsidR="0029612E">
        <w:rPr>
          <w:sz w:val="22"/>
        </w:rPr>
        <w:t>to exempt</w:t>
      </w:r>
      <w:r w:rsidRPr="0029612E">
        <w:rPr>
          <w:sz w:val="22"/>
        </w:rPr>
        <w:t xml:space="preserve"> </w:t>
      </w:r>
      <w:r w:rsidR="0029612E">
        <w:rPr>
          <w:sz w:val="22"/>
        </w:rPr>
        <w:t xml:space="preserve">these </w:t>
      </w:r>
      <w:r w:rsidRPr="0029612E">
        <w:rPr>
          <w:sz w:val="22"/>
        </w:rPr>
        <w:t xml:space="preserve">sources </w:t>
      </w:r>
      <w:r w:rsidR="0029612E">
        <w:rPr>
          <w:sz w:val="22"/>
        </w:rPr>
        <w:t xml:space="preserve">from the requirements of licensing and registration </w:t>
      </w:r>
      <w:r w:rsidRPr="0029612E">
        <w:rPr>
          <w:sz w:val="22"/>
        </w:rPr>
        <w:t xml:space="preserve">where the effective dose arising from them is less than the prescribed levels.  </w:t>
      </w:r>
    </w:p>
    <w:p w:rsidR="0029612E" w:rsidRDefault="0029612E" w:rsidP="00DC7D18">
      <w:pPr>
        <w:rPr>
          <w:sz w:val="22"/>
          <w:u w:val="single"/>
        </w:rPr>
      </w:pPr>
      <w:r>
        <w:rPr>
          <w:sz w:val="22"/>
          <w:u w:val="single"/>
        </w:rPr>
        <w:t>Option one</w:t>
      </w:r>
    </w:p>
    <w:p w:rsidR="00B212DD" w:rsidRDefault="0029612E" w:rsidP="00616101">
      <w:pPr>
        <w:pStyle w:val="ListParagraph"/>
        <w:numPr>
          <w:ilvl w:val="0"/>
          <w:numId w:val="1"/>
        </w:numPr>
        <w:rPr>
          <w:sz w:val="22"/>
        </w:rPr>
      </w:pPr>
      <w:r>
        <w:rPr>
          <w:sz w:val="22"/>
        </w:rPr>
        <w:t xml:space="preserve">Provide no exemptions from the authorisation and registration requirements.  </w:t>
      </w:r>
    </w:p>
    <w:p w:rsidR="00B212DD" w:rsidRDefault="00B212DD" w:rsidP="00B212DD">
      <w:pPr>
        <w:pStyle w:val="ListParagraph"/>
        <w:ind w:left="360"/>
        <w:rPr>
          <w:sz w:val="22"/>
        </w:rPr>
      </w:pPr>
    </w:p>
    <w:p w:rsidR="0029612E" w:rsidRDefault="0029612E" w:rsidP="00616101">
      <w:pPr>
        <w:pStyle w:val="ListParagraph"/>
        <w:numPr>
          <w:ilvl w:val="0"/>
          <w:numId w:val="1"/>
        </w:numPr>
        <w:rPr>
          <w:sz w:val="22"/>
        </w:rPr>
      </w:pPr>
      <w:r>
        <w:rPr>
          <w:sz w:val="22"/>
        </w:rPr>
        <w:t xml:space="preserve">This option would require householders to obtain a source licence and a use licence for their household smoke detectors, and to register their sources with the Director.   </w:t>
      </w:r>
      <w:r w:rsidR="00B212DD">
        <w:rPr>
          <w:sz w:val="22"/>
        </w:rPr>
        <w:t>While certain in application and initially simple, this would be disproportionate to the radiation safety risk and, therefore, overly cumbersome for administrators and radiation users.</w:t>
      </w:r>
    </w:p>
    <w:p w:rsidR="00DC7D18" w:rsidRDefault="0029612E" w:rsidP="00DC7D18">
      <w:pPr>
        <w:rPr>
          <w:sz w:val="22"/>
        </w:rPr>
      </w:pPr>
      <w:r>
        <w:rPr>
          <w:sz w:val="22"/>
          <w:u w:val="single"/>
        </w:rPr>
        <w:t>Option two</w:t>
      </w:r>
    </w:p>
    <w:p w:rsidR="00B212DD" w:rsidRDefault="0029612E" w:rsidP="00616101">
      <w:pPr>
        <w:pStyle w:val="ListParagraph"/>
        <w:numPr>
          <w:ilvl w:val="0"/>
          <w:numId w:val="1"/>
        </w:numPr>
        <w:rPr>
          <w:sz w:val="22"/>
        </w:rPr>
      </w:pPr>
      <w:r>
        <w:rPr>
          <w:sz w:val="22"/>
        </w:rPr>
        <w:t>Provide the exemption</w:t>
      </w:r>
      <w:r w:rsidR="00B212DD">
        <w:rPr>
          <w:sz w:val="22"/>
        </w:rPr>
        <w:t>s</w:t>
      </w:r>
      <w:r w:rsidR="00DC7D18">
        <w:rPr>
          <w:sz w:val="22"/>
        </w:rPr>
        <w:t xml:space="preserve"> listed in Table 2 s</w:t>
      </w:r>
      <w:r>
        <w:rPr>
          <w:sz w:val="22"/>
        </w:rPr>
        <w:t>ubject to the listed conditions.  Reasons for the exemption</w:t>
      </w:r>
      <w:r w:rsidR="00514732">
        <w:rPr>
          <w:sz w:val="22"/>
        </w:rPr>
        <w:t>s</w:t>
      </w:r>
      <w:r>
        <w:rPr>
          <w:sz w:val="22"/>
        </w:rPr>
        <w:t xml:space="preserve"> are also provided.  </w:t>
      </w:r>
    </w:p>
    <w:p w:rsidR="00B212DD" w:rsidRDefault="00B212DD" w:rsidP="00B212DD">
      <w:pPr>
        <w:pStyle w:val="ListParagraph"/>
        <w:ind w:left="360"/>
        <w:rPr>
          <w:sz w:val="22"/>
        </w:rPr>
      </w:pPr>
    </w:p>
    <w:p w:rsidR="00DC7D18" w:rsidRDefault="0029612E" w:rsidP="00616101">
      <w:pPr>
        <w:pStyle w:val="ListParagraph"/>
        <w:numPr>
          <w:ilvl w:val="0"/>
          <w:numId w:val="1"/>
        </w:numPr>
        <w:rPr>
          <w:sz w:val="22"/>
        </w:rPr>
      </w:pPr>
      <w:r>
        <w:rPr>
          <w:sz w:val="22"/>
        </w:rPr>
        <w:t>This option would reduce applicant compliance costs and regulator costs</w:t>
      </w:r>
      <w:r w:rsidR="00514732">
        <w:rPr>
          <w:sz w:val="22"/>
        </w:rPr>
        <w:t>,</w:t>
      </w:r>
      <w:r w:rsidR="00E45838">
        <w:rPr>
          <w:sz w:val="22"/>
        </w:rPr>
        <w:t xml:space="preserve"> with</w:t>
      </w:r>
      <w:r>
        <w:rPr>
          <w:sz w:val="22"/>
        </w:rPr>
        <w:t xml:space="preserve"> negligible risk.  </w:t>
      </w:r>
      <w:r w:rsidR="00E45838">
        <w:rPr>
          <w:sz w:val="22"/>
        </w:rPr>
        <w:t xml:space="preserve">It </w:t>
      </w:r>
      <w:r>
        <w:rPr>
          <w:sz w:val="22"/>
        </w:rPr>
        <w:t xml:space="preserve">continues exemptions provided under the outgoing radiation protection legislative framework. </w:t>
      </w:r>
      <w:r w:rsidR="00E45838">
        <w:rPr>
          <w:sz w:val="22"/>
        </w:rPr>
        <w:t xml:space="preserve"> However, t</w:t>
      </w:r>
      <w:r>
        <w:rPr>
          <w:sz w:val="22"/>
        </w:rPr>
        <w:t xml:space="preserve">he Ni-63 threshold of 750 megabecquerels has been raised from 500 megabecquerels as some research equipment sits at or around 500 megabecquerels and this options provides certainty for the owners of this type of equipment.  </w:t>
      </w:r>
    </w:p>
    <w:p w:rsidR="00D840E7" w:rsidRPr="00D840E7" w:rsidRDefault="00D840E7" w:rsidP="00D840E7">
      <w:pPr>
        <w:pStyle w:val="ListParagraph"/>
        <w:rPr>
          <w:sz w:val="22"/>
        </w:rPr>
      </w:pPr>
    </w:p>
    <w:p w:rsidR="00DC7D18" w:rsidRPr="00B212DD" w:rsidRDefault="00DC7D18" w:rsidP="00DC7D18">
      <w:pPr>
        <w:rPr>
          <w:b/>
          <w:sz w:val="22"/>
        </w:rPr>
      </w:pPr>
      <w:r w:rsidRPr="00B212DD">
        <w:rPr>
          <w:b/>
          <w:sz w:val="22"/>
        </w:rPr>
        <w:t xml:space="preserve">Table 2:  Proposed Radionuclides exempted from </w:t>
      </w:r>
      <w:r w:rsidR="0029612E" w:rsidRPr="00B212DD">
        <w:rPr>
          <w:b/>
          <w:sz w:val="22"/>
        </w:rPr>
        <w:t xml:space="preserve">authorisation and </w:t>
      </w:r>
      <w:r w:rsidRPr="00B212DD">
        <w:rPr>
          <w:b/>
          <w:sz w:val="22"/>
        </w:rPr>
        <w:t xml:space="preserve">registration </w:t>
      </w:r>
      <w:r w:rsidR="0029612E" w:rsidRPr="00B212DD">
        <w:rPr>
          <w:b/>
          <w:sz w:val="22"/>
        </w:rPr>
        <w:t>requirements</w:t>
      </w:r>
    </w:p>
    <w:tbl>
      <w:tblPr>
        <w:tblStyle w:val="TableGrid"/>
        <w:tblW w:w="0" w:type="auto"/>
        <w:tblInd w:w="0" w:type="dxa"/>
        <w:tblLook w:val="04A0" w:firstRow="1" w:lastRow="0" w:firstColumn="1" w:lastColumn="0" w:noHBand="0" w:noVBand="1"/>
      </w:tblPr>
      <w:tblGrid>
        <w:gridCol w:w="3006"/>
        <w:gridCol w:w="3009"/>
        <w:gridCol w:w="3001"/>
      </w:tblGrid>
      <w:tr w:rsidR="00DC7D18" w:rsidTr="00E45838">
        <w:tc>
          <w:tcPr>
            <w:tcW w:w="308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C7D18" w:rsidRPr="00E45838" w:rsidRDefault="00DC7D18">
            <w:pPr>
              <w:rPr>
                <w:b/>
                <w:sz w:val="20"/>
                <w:szCs w:val="20"/>
              </w:rPr>
            </w:pPr>
            <w:r w:rsidRPr="00E45838">
              <w:rPr>
                <w:b/>
                <w:sz w:val="20"/>
                <w:szCs w:val="20"/>
              </w:rPr>
              <w:t>Radionuclide</w:t>
            </w:r>
          </w:p>
        </w:tc>
        <w:tc>
          <w:tcPr>
            <w:tcW w:w="308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C7D18" w:rsidRPr="00E45838" w:rsidRDefault="00DC7D18">
            <w:pPr>
              <w:rPr>
                <w:b/>
                <w:sz w:val="20"/>
                <w:szCs w:val="20"/>
              </w:rPr>
            </w:pPr>
            <w:r w:rsidRPr="00E45838">
              <w:rPr>
                <w:b/>
                <w:sz w:val="20"/>
                <w:szCs w:val="20"/>
              </w:rPr>
              <w:t>Conditions</w:t>
            </w:r>
          </w:p>
        </w:tc>
        <w:tc>
          <w:tcPr>
            <w:tcW w:w="30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C7D18" w:rsidRPr="00E45838" w:rsidRDefault="00DC7D18">
            <w:pPr>
              <w:rPr>
                <w:b/>
                <w:sz w:val="20"/>
                <w:szCs w:val="20"/>
              </w:rPr>
            </w:pPr>
            <w:r w:rsidRPr="00E45838">
              <w:rPr>
                <w:b/>
                <w:sz w:val="20"/>
                <w:szCs w:val="20"/>
              </w:rPr>
              <w:t>Reasons</w:t>
            </w:r>
          </w:p>
        </w:tc>
      </w:tr>
      <w:tr w:rsidR="00DC7D18" w:rsidTr="00E45838">
        <w:trPr>
          <w:trHeight w:val="2915"/>
        </w:trPr>
        <w:tc>
          <w:tcPr>
            <w:tcW w:w="3081"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rPr>
            </w:pPr>
            <w:r>
              <w:rPr>
                <w:sz w:val="20"/>
                <w:szCs w:val="20"/>
              </w:rPr>
              <w:t>Americium - 241</w:t>
            </w:r>
          </w:p>
        </w:tc>
        <w:tc>
          <w:tcPr>
            <w:tcW w:w="3083"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No greater than 40 kilobecquerels</w:t>
            </w:r>
          </w:p>
          <w:p w:rsidR="00DC7D18" w:rsidRDefault="00DC7D18">
            <w:pPr>
              <w:rPr>
                <w:sz w:val="20"/>
                <w:szCs w:val="20"/>
              </w:rPr>
            </w:pPr>
          </w:p>
          <w:p w:rsidR="00DC7D18" w:rsidRDefault="00DC7D18">
            <w:pPr>
              <w:rPr>
                <w:sz w:val="20"/>
                <w:szCs w:val="20"/>
              </w:rPr>
            </w:pPr>
            <w:r>
              <w:rPr>
                <w:sz w:val="20"/>
                <w:szCs w:val="20"/>
              </w:rPr>
              <w:t>Contained in a domestic ionisation chamber smoke detector</w:t>
            </w:r>
          </w:p>
          <w:p w:rsidR="00DC7D18" w:rsidRDefault="00DC7D18">
            <w:pPr>
              <w:rPr>
                <w:sz w:val="20"/>
                <w:szCs w:val="20"/>
              </w:rPr>
            </w:pPr>
          </w:p>
          <w:p w:rsidR="00DC7D18" w:rsidRDefault="00DC7D18">
            <w:pPr>
              <w:rPr>
                <w:sz w:val="20"/>
                <w:szCs w:val="20"/>
              </w:rPr>
            </w:pPr>
            <w:r>
              <w:rPr>
                <w:sz w:val="20"/>
                <w:szCs w:val="20"/>
              </w:rPr>
              <w:t>Source is not readily accessible without dismantling the device</w:t>
            </w:r>
          </w:p>
          <w:p w:rsidR="00DC7D18" w:rsidRDefault="00DC7D18">
            <w:pPr>
              <w:rPr>
                <w:sz w:val="20"/>
                <w:szCs w:val="20"/>
              </w:rPr>
            </w:pPr>
          </w:p>
          <w:p w:rsidR="00DC7D18" w:rsidRDefault="00DC7D18">
            <w:pPr>
              <w:rPr>
                <w:sz w:val="20"/>
                <w:szCs w:val="20"/>
              </w:rPr>
            </w:pPr>
            <w:r>
              <w:rPr>
                <w:sz w:val="20"/>
                <w:szCs w:val="20"/>
              </w:rPr>
              <w:t>Clearly labelled with a trefoil symbol and the word ‘radioactive’</w:t>
            </w:r>
          </w:p>
        </w:tc>
        <w:tc>
          <w:tcPr>
            <w:tcW w:w="3078"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Emits alpha particles that are very easily shielded</w:t>
            </w:r>
          </w:p>
          <w:p w:rsidR="00DC7D18" w:rsidRDefault="00DC7D18">
            <w:pPr>
              <w:rPr>
                <w:sz w:val="20"/>
                <w:szCs w:val="20"/>
              </w:rPr>
            </w:pPr>
          </w:p>
          <w:p w:rsidR="00DC7D18" w:rsidRDefault="00DC7D18">
            <w:pPr>
              <w:rPr>
                <w:sz w:val="20"/>
                <w:szCs w:val="20"/>
              </w:rPr>
            </w:pPr>
          </w:p>
          <w:p w:rsidR="00DC7D18" w:rsidRDefault="00DC7D18">
            <w:pPr>
              <w:rPr>
                <w:sz w:val="20"/>
                <w:szCs w:val="20"/>
              </w:rPr>
            </w:pPr>
            <w:r>
              <w:rPr>
                <w:sz w:val="20"/>
                <w:szCs w:val="20"/>
              </w:rPr>
              <w:t>No external radiation dose so long as they remain in their manufactured containment</w:t>
            </w:r>
          </w:p>
          <w:p w:rsidR="00DC7D18" w:rsidRDefault="00DC7D18">
            <w:pPr>
              <w:rPr>
                <w:sz w:val="20"/>
                <w:szCs w:val="20"/>
              </w:rPr>
            </w:pPr>
          </w:p>
          <w:p w:rsidR="00DC7D18" w:rsidRDefault="00DC7D18">
            <w:pPr>
              <w:rPr>
                <w:sz w:val="20"/>
                <w:szCs w:val="20"/>
              </w:rPr>
            </w:pPr>
          </w:p>
          <w:p w:rsidR="00DC7D18" w:rsidRDefault="00DC7D18">
            <w:pPr>
              <w:rPr>
                <w:sz w:val="20"/>
                <w:szCs w:val="20"/>
              </w:rPr>
            </w:pPr>
          </w:p>
          <w:p w:rsidR="00DC7D18" w:rsidRDefault="00DC7D18">
            <w:pPr>
              <w:rPr>
                <w:sz w:val="20"/>
                <w:szCs w:val="20"/>
              </w:rPr>
            </w:pPr>
            <w:r>
              <w:rPr>
                <w:sz w:val="20"/>
                <w:szCs w:val="20"/>
              </w:rPr>
              <w:t>Satisfies the dose criteria in s 91(1)(a)(iii)A</w:t>
            </w:r>
          </w:p>
        </w:tc>
      </w:tr>
    </w:tbl>
    <w:p w:rsidR="00E45838" w:rsidRDefault="00E45838">
      <w:r>
        <w:br w:type="page"/>
      </w:r>
    </w:p>
    <w:tbl>
      <w:tblPr>
        <w:tblStyle w:val="TableGrid"/>
        <w:tblW w:w="0" w:type="auto"/>
        <w:tblInd w:w="0" w:type="dxa"/>
        <w:tblLook w:val="04A0" w:firstRow="1" w:lastRow="0" w:firstColumn="1" w:lastColumn="0" w:noHBand="0" w:noVBand="1"/>
      </w:tblPr>
      <w:tblGrid>
        <w:gridCol w:w="3003"/>
        <w:gridCol w:w="3016"/>
        <w:gridCol w:w="2997"/>
      </w:tblGrid>
      <w:tr w:rsidR="00E45838" w:rsidTr="00977B52">
        <w:trPr>
          <w:trHeight w:val="274"/>
        </w:trPr>
        <w:tc>
          <w:tcPr>
            <w:tcW w:w="308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45838" w:rsidRPr="00E45838" w:rsidRDefault="00E45838">
            <w:pPr>
              <w:rPr>
                <w:b/>
                <w:sz w:val="20"/>
                <w:szCs w:val="20"/>
              </w:rPr>
            </w:pPr>
            <w:r w:rsidRPr="00E45838">
              <w:rPr>
                <w:b/>
                <w:sz w:val="20"/>
                <w:szCs w:val="20"/>
              </w:rPr>
              <w:t>Radionuclide</w:t>
            </w:r>
          </w:p>
        </w:tc>
        <w:tc>
          <w:tcPr>
            <w:tcW w:w="308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45838" w:rsidRPr="00E45838" w:rsidRDefault="00E45838">
            <w:pPr>
              <w:rPr>
                <w:b/>
                <w:sz w:val="20"/>
                <w:szCs w:val="20"/>
              </w:rPr>
            </w:pPr>
            <w:r w:rsidRPr="00E45838">
              <w:rPr>
                <w:b/>
                <w:sz w:val="20"/>
                <w:szCs w:val="20"/>
              </w:rPr>
              <w:t>Conditions</w:t>
            </w:r>
          </w:p>
        </w:tc>
        <w:tc>
          <w:tcPr>
            <w:tcW w:w="307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45838" w:rsidRPr="00E45838" w:rsidRDefault="00E45838">
            <w:pPr>
              <w:rPr>
                <w:b/>
                <w:sz w:val="20"/>
                <w:szCs w:val="20"/>
              </w:rPr>
            </w:pPr>
            <w:r w:rsidRPr="00E45838">
              <w:rPr>
                <w:b/>
                <w:sz w:val="20"/>
                <w:szCs w:val="20"/>
              </w:rPr>
              <w:t>Reasons</w:t>
            </w:r>
          </w:p>
        </w:tc>
      </w:tr>
      <w:tr w:rsidR="00DC7D18" w:rsidTr="00E45838">
        <w:trPr>
          <w:trHeight w:val="2617"/>
        </w:trPr>
        <w:tc>
          <w:tcPr>
            <w:tcW w:w="3081"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rPr>
            </w:pPr>
            <w:r>
              <w:rPr>
                <w:sz w:val="20"/>
                <w:szCs w:val="20"/>
              </w:rPr>
              <w:t>Nickel-63 or Hydrogen-3 (tritium)</w:t>
            </w:r>
          </w:p>
        </w:tc>
        <w:tc>
          <w:tcPr>
            <w:tcW w:w="3083"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No greater than 750 megabecquerels (ni-63) or 20 gigabecquerels (H-3)</w:t>
            </w:r>
          </w:p>
          <w:p w:rsidR="00DC7D18" w:rsidRDefault="00DC7D18">
            <w:pPr>
              <w:rPr>
                <w:sz w:val="22"/>
              </w:rPr>
            </w:pPr>
          </w:p>
          <w:p w:rsidR="00DC7D18" w:rsidRDefault="00DC7D18">
            <w:pPr>
              <w:rPr>
                <w:sz w:val="20"/>
                <w:szCs w:val="20"/>
              </w:rPr>
            </w:pPr>
            <w:r>
              <w:rPr>
                <w:sz w:val="20"/>
                <w:szCs w:val="20"/>
              </w:rPr>
              <w:t>Contained in an electron capture detector or similar device for use in gas chromatography</w:t>
            </w:r>
          </w:p>
          <w:p w:rsidR="00DC7D18" w:rsidRDefault="00DC7D18">
            <w:pPr>
              <w:rPr>
                <w:sz w:val="20"/>
                <w:szCs w:val="20"/>
              </w:rPr>
            </w:pPr>
          </w:p>
          <w:p w:rsidR="00DC7D18" w:rsidRDefault="00DC7D18">
            <w:pPr>
              <w:rPr>
                <w:sz w:val="22"/>
              </w:rPr>
            </w:pPr>
            <w:r>
              <w:rPr>
                <w:sz w:val="20"/>
                <w:szCs w:val="20"/>
              </w:rPr>
              <w:t>Source housing clearly labelled with a trefoil symbol and the word ‘radioactive’</w:t>
            </w:r>
          </w:p>
        </w:tc>
        <w:tc>
          <w:tcPr>
            <w:tcW w:w="3078"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These radiation sources emit low-energy beta particles</w:t>
            </w:r>
          </w:p>
          <w:p w:rsidR="00DC7D18" w:rsidRDefault="00DC7D18">
            <w:pPr>
              <w:rPr>
                <w:sz w:val="20"/>
                <w:szCs w:val="20"/>
              </w:rPr>
            </w:pPr>
          </w:p>
          <w:p w:rsidR="00DC7D18" w:rsidRDefault="00DC7D18">
            <w:pPr>
              <w:rPr>
                <w:sz w:val="20"/>
                <w:szCs w:val="20"/>
              </w:rPr>
            </w:pPr>
            <w:r>
              <w:rPr>
                <w:sz w:val="20"/>
                <w:szCs w:val="20"/>
              </w:rPr>
              <w:t>These emissions are easily absorbed by the casing</w:t>
            </w:r>
          </w:p>
          <w:p w:rsidR="00DC7D18" w:rsidRDefault="00DC7D18">
            <w:pPr>
              <w:rPr>
                <w:sz w:val="20"/>
                <w:szCs w:val="20"/>
              </w:rPr>
            </w:pPr>
          </w:p>
          <w:p w:rsidR="00DC7D18" w:rsidRDefault="00DC7D18">
            <w:pPr>
              <w:rPr>
                <w:sz w:val="20"/>
                <w:szCs w:val="20"/>
              </w:rPr>
            </w:pPr>
          </w:p>
          <w:p w:rsidR="00DC7D18" w:rsidRDefault="00DC7D18">
            <w:pPr>
              <w:rPr>
                <w:sz w:val="20"/>
                <w:szCs w:val="20"/>
              </w:rPr>
            </w:pPr>
          </w:p>
          <w:p w:rsidR="00DC7D18" w:rsidRDefault="00DC7D18">
            <w:pPr>
              <w:rPr>
                <w:sz w:val="20"/>
                <w:szCs w:val="20"/>
              </w:rPr>
            </w:pPr>
          </w:p>
          <w:p w:rsidR="00DC7D18" w:rsidRDefault="00DC7D18">
            <w:pPr>
              <w:rPr>
                <w:sz w:val="20"/>
                <w:szCs w:val="20"/>
              </w:rPr>
            </w:pPr>
            <w:r>
              <w:rPr>
                <w:sz w:val="20"/>
                <w:szCs w:val="20"/>
              </w:rPr>
              <w:t>Satisfies the dose criteria in s 91(1)(iii)a</w:t>
            </w:r>
          </w:p>
        </w:tc>
      </w:tr>
      <w:tr w:rsidR="00DC7D18" w:rsidTr="00E45838">
        <w:tc>
          <w:tcPr>
            <w:tcW w:w="3081"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rPr>
            </w:pPr>
            <w:r>
              <w:rPr>
                <w:sz w:val="20"/>
                <w:szCs w:val="20"/>
              </w:rPr>
              <w:t>Hydrogen-3</w:t>
            </w:r>
          </w:p>
        </w:tc>
        <w:tc>
          <w:tcPr>
            <w:tcW w:w="3083"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No greater than 74 gigabecquerels contained in gaseous tritium light source</w:t>
            </w:r>
          </w:p>
          <w:p w:rsidR="00DC7D18" w:rsidRDefault="00DC7D18">
            <w:pPr>
              <w:rPr>
                <w:sz w:val="20"/>
                <w:szCs w:val="20"/>
              </w:rPr>
            </w:pPr>
          </w:p>
          <w:p w:rsidR="00DC7D18" w:rsidRDefault="00DC7D18">
            <w:pPr>
              <w:rPr>
                <w:b/>
                <w:sz w:val="22"/>
              </w:rPr>
            </w:pPr>
            <w:r>
              <w:rPr>
                <w:sz w:val="20"/>
                <w:szCs w:val="20"/>
              </w:rPr>
              <w:t>At least 98% of total activity in the form of elemental hydrogen gas</w:t>
            </w:r>
          </w:p>
        </w:tc>
        <w:tc>
          <w:tcPr>
            <w:tcW w:w="3078"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Emits low-energy beta particles</w:t>
            </w:r>
          </w:p>
          <w:p w:rsidR="00DC7D18" w:rsidRDefault="00DC7D18">
            <w:pPr>
              <w:rPr>
                <w:sz w:val="20"/>
                <w:szCs w:val="20"/>
              </w:rPr>
            </w:pPr>
          </w:p>
          <w:p w:rsidR="00DC7D18" w:rsidRDefault="00DC7D18">
            <w:pPr>
              <w:rPr>
                <w:sz w:val="20"/>
                <w:szCs w:val="20"/>
              </w:rPr>
            </w:pPr>
            <w:r>
              <w:rPr>
                <w:sz w:val="20"/>
                <w:szCs w:val="20"/>
              </w:rPr>
              <w:t>These sources are encapsulated in a glass capsule that easily shields emissions</w:t>
            </w:r>
          </w:p>
          <w:p w:rsidR="00DC7D18" w:rsidRDefault="00DC7D18">
            <w:pPr>
              <w:rPr>
                <w:sz w:val="20"/>
                <w:szCs w:val="20"/>
              </w:rPr>
            </w:pPr>
          </w:p>
          <w:p w:rsidR="00DC7D18" w:rsidRDefault="00DC7D18">
            <w:pPr>
              <w:rPr>
                <w:sz w:val="20"/>
                <w:szCs w:val="20"/>
              </w:rPr>
            </w:pPr>
            <w:r>
              <w:rPr>
                <w:sz w:val="20"/>
                <w:szCs w:val="20"/>
              </w:rPr>
              <w:t>Satisfies the does criteria in s 91(1)(a)(iii)B</w:t>
            </w:r>
          </w:p>
        </w:tc>
      </w:tr>
      <w:tr w:rsidR="00DC7D18" w:rsidTr="00E45838">
        <w:trPr>
          <w:trHeight w:val="552"/>
        </w:trPr>
        <w:tc>
          <w:tcPr>
            <w:tcW w:w="3081"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rPr>
            </w:pPr>
            <w:r>
              <w:rPr>
                <w:sz w:val="20"/>
                <w:szCs w:val="20"/>
              </w:rPr>
              <w:t>Benchtop x-ray analyser</w:t>
            </w:r>
          </w:p>
        </w:tc>
        <w:tc>
          <w:tcPr>
            <w:tcW w:w="3083" w:type="dxa"/>
            <w:tcBorders>
              <w:top w:val="single" w:sz="4" w:space="0" w:color="auto"/>
              <w:left w:val="single" w:sz="4" w:space="0" w:color="auto"/>
              <w:bottom w:val="single" w:sz="4" w:space="0" w:color="auto"/>
              <w:right w:val="single" w:sz="4" w:space="0" w:color="auto"/>
            </w:tcBorders>
          </w:tcPr>
          <w:p w:rsidR="00DC7D18" w:rsidRDefault="00DC7D18">
            <w:pPr>
              <w:rPr>
                <w:sz w:val="20"/>
                <w:szCs w:val="20"/>
              </w:rPr>
            </w:pPr>
            <w:r>
              <w:rPr>
                <w:sz w:val="20"/>
                <w:szCs w:val="20"/>
              </w:rPr>
              <w:t>Used for x-ray fluorescence or x-ray diffraction</w:t>
            </w:r>
          </w:p>
          <w:p w:rsidR="00DC7D18" w:rsidRDefault="00DC7D18">
            <w:pPr>
              <w:rPr>
                <w:sz w:val="20"/>
                <w:szCs w:val="20"/>
              </w:rPr>
            </w:pPr>
          </w:p>
          <w:p w:rsidR="00DC7D18" w:rsidRDefault="00DC7D18">
            <w:pPr>
              <w:rPr>
                <w:sz w:val="20"/>
                <w:szCs w:val="20"/>
              </w:rPr>
            </w:pPr>
            <w:r>
              <w:rPr>
                <w:sz w:val="20"/>
                <w:szCs w:val="20"/>
              </w:rPr>
              <w:t>Completely and permanently enclosed to prevent access of any part of the body to the primary x-ray beam</w:t>
            </w:r>
          </w:p>
          <w:p w:rsidR="00DC7D18" w:rsidRDefault="00DC7D18">
            <w:pPr>
              <w:rPr>
                <w:sz w:val="20"/>
                <w:szCs w:val="20"/>
              </w:rPr>
            </w:pPr>
          </w:p>
          <w:p w:rsidR="00DC7D18" w:rsidRDefault="00DC7D18">
            <w:pPr>
              <w:rPr>
                <w:sz w:val="20"/>
                <w:szCs w:val="20"/>
              </w:rPr>
            </w:pPr>
            <w:r>
              <w:rPr>
                <w:sz w:val="20"/>
                <w:szCs w:val="20"/>
              </w:rPr>
              <w:t>Enclosure interlocked with the x-ray generator such that disassembly of the enclosure prevents x-ray production</w:t>
            </w:r>
          </w:p>
          <w:p w:rsidR="00DC7D18" w:rsidRDefault="00DC7D18">
            <w:pPr>
              <w:rPr>
                <w:sz w:val="20"/>
                <w:szCs w:val="20"/>
              </w:rPr>
            </w:pPr>
          </w:p>
          <w:p w:rsidR="00DC7D18" w:rsidRDefault="00DC7D18">
            <w:pPr>
              <w:rPr>
                <w:sz w:val="20"/>
                <w:szCs w:val="20"/>
              </w:rPr>
            </w:pPr>
            <w:r>
              <w:rPr>
                <w:sz w:val="20"/>
                <w:szCs w:val="20"/>
              </w:rPr>
              <w:t>Shielded sufficiently to limit the instantaneous dose rate to 2.5 microsieverts per hour 5 cm from any accessible external surface</w:t>
            </w:r>
          </w:p>
          <w:p w:rsidR="00DC7D18" w:rsidRDefault="00DC7D18">
            <w:pPr>
              <w:rPr>
                <w:sz w:val="20"/>
                <w:szCs w:val="20"/>
              </w:rPr>
            </w:pPr>
            <w:r>
              <w:rPr>
                <w:sz w:val="20"/>
                <w:szCs w:val="20"/>
              </w:rPr>
              <w:t xml:space="preserve">Enclosure clearly labelled with suitable cautionary wording to the effect of:  </w:t>
            </w:r>
            <w:r>
              <w:rPr>
                <w:i/>
                <w:sz w:val="20"/>
                <w:szCs w:val="20"/>
              </w:rPr>
              <w:t>‘Do not disassemble.  This unit produces ionising radiation when energised.’</w:t>
            </w:r>
          </w:p>
        </w:tc>
        <w:tc>
          <w:tcPr>
            <w:tcW w:w="3078"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rPr>
            </w:pPr>
            <w:r>
              <w:rPr>
                <w:sz w:val="20"/>
                <w:szCs w:val="20"/>
              </w:rPr>
              <w:t>Satisfies the dose criteria in s 91(1)(a)(iii)A</w:t>
            </w:r>
          </w:p>
        </w:tc>
      </w:tr>
    </w:tbl>
    <w:p w:rsidR="00DC7D18" w:rsidRPr="00771B9D" w:rsidRDefault="00DC7D18" w:rsidP="00DC7D18">
      <w:pPr>
        <w:spacing w:after="0"/>
        <w:rPr>
          <w:sz w:val="22"/>
        </w:rPr>
      </w:pPr>
    </w:p>
    <w:p w:rsidR="00771B9D" w:rsidRDefault="00771B9D" w:rsidP="00DC7D18">
      <w:pPr>
        <w:spacing w:after="0"/>
        <w:rPr>
          <w:sz w:val="22"/>
          <w:u w:val="single"/>
        </w:rPr>
      </w:pPr>
      <w:r w:rsidRPr="00771B9D">
        <w:rPr>
          <w:sz w:val="22"/>
          <w:u w:val="single"/>
        </w:rPr>
        <w:t>Analysis of options</w:t>
      </w:r>
    </w:p>
    <w:p w:rsidR="00977B52" w:rsidRDefault="00977B52" w:rsidP="00DC7D18">
      <w:pPr>
        <w:spacing w:after="0"/>
        <w:rPr>
          <w:sz w:val="22"/>
          <w:u w:val="single"/>
        </w:rPr>
      </w:pPr>
    </w:p>
    <w:tbl>
      <w:tblPr>
        <w:tblStyle w:val="TableGrid"/>
        <w:tblW w:w="0" w:type="auto"/>
        <w:tblInd w:w="108" w:type="dxa"/>
        <w:tblLayout w:type="fixed"/>
        <w:tblLook w:val="04A0" w:firstRow="1" w:lastRow="0" w:firstColumn="1" w:lastColumn="0" w:noHBand="0" w:noVBand="1"/>
      </w:tblPr>
      <w:tblGrid>
        <w:gridCol w:w="5812"/>
        <w:gridCol w:w="1701"/>
        <w:gridCol w:w="1559"/>
      </w:tblGrid>
      <w:tr w:rsidR="00977B52" w:rsidRPr="008A5AA4" w:rsidTr="00204197">
        <w:tc>
          <w:tcPr>
            <w:tcW w:w="5812" w:type="dxa"/>
          </w:tcPr>
          <w:p w:rsidR="00977B52" w:rsidRPr="008A5AA4" w:rsidRDefault="00977B5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1701" w:type="dxa"/>
          </w:tcPr>
          <w:p w:rsidR="00977B52" w:rsidRPr="008A5AA4" w:rsidRDefault="00977B5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1559" w:type="dxa"/>
          </w:tcPr>
          <w:p w:rsidR="00977B52" w:rsidRPr="008A5AA4" w:rsidRDefault="00977B52" w:rsidP="00204197">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r>
      <w:tr w:rsidR="00977B52" w:rsidTr="00204197">
        <w:tc>
          <w:tcPr>
            <w:tcW w:w="5812" w:type="dxa"/>
          </w:tcPr>
          <w:p w:rsidR="00977B52" w:rsidRPr="008A5AA4" w:rsidRDefault="00977B52"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Pr="008A5AA4">
              <w:rPr>
                <w:rFonts w:eastAsia="Times New Roman" w:cs="Times New Roman"/>
                <w:sz w:val="16"/>
                <w:szCs w:val="16"/>
                <w:lang w:val="en-GB" w:eastAsia="en-GB"/>
              </w:rPr>
              <w:t xml:space="preserve"> </w:t>
            </w:r>
          </w:p>
        </w:tc>
        <w:tc>
          <w:tcPr>
            <w:tcW w:w="1701" w:type="dxa"/>
          </w:tcPr>
          <w:p w:rsidR="00977B52" w:rsidRDefault="00977B52" w:rsidP="00204197">
            <w:pPr>
              <w:spacing w:line="280" w:lineRule="exact"/>
              <w:rPr>
                <w:rFonts w:eastAsia="Times New Roman" w:cs="Times New Roman"/>
                <w:sz w:val="22"/>
                <w:lang w:val="en-AU"/>
              </w:rPr>
            </w:pPr>
          </w:p>
        </w:tc>
        <w:tc>
          <w:tcPr>
            <w:tcW w:w="1559"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r>
      <w:tr w:rsidR="00977B52" w:rsidTr="00204197">
        <w:trPr>
          <w:trHeight w:val="259"/>
        </w:trPr>
        <w:tc>
          <w:tcPr>
            <w:tcW w:w="5812" w:type="dxa"/>
          </w:tcPr>
          <w:p w:rsidR="00977B52" w:rsidRPr="008A5AA4" w:rsidRDefault="00977B52" w:rsidP="00204197">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1701"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r>
      <w:tr w:rsidR="00977B52" w:rsidTr="00204197">
        <w:tc>
          <w:tcPr>
            <w:tcW w:w="5812" w:type="dxa"/>
          </w:tcPr>
          <w:p w:rsidR="00977B52" w:rsidRPr="008A5AA4" w:rsidRDefault="00977B52" w:rsidP="00204197">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1701"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r>
      <w:tr w:rsidR="00977B52" w:rsidTr="00204197">
        <w:tc>
          <w:tcPr>
            <w:tcW w:w="5812" w:type="dxa"/>
          </w:tcPr>
          <w:p w:rsidR="00977B52" w:rsidRPr="008A5AA4" w:rsidRDefault="00977B52" w:rsidP="00204197">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1701"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c>
          <w:tcPr>
            <w:tcW w:w="1559" w:type="dxa"/>
          </w:tcPr>
          <w:p w:rsidR="00977B52" w:rsidRDefault="00977B52" w:rsidP="00204197">
            <w:pPr>
              <w:spacing w:line="280" w:lineRule="exact"/>
              <w:rPr>
                <w:rFonts w:eastAsia="Times New Roman" w:cs="Times New Roman"/>
                <w:sz w:val="22"/>
                <w:lang w:val="en-AU"/>
              </w:rPr>
            </w:pPr>
            <w:r>
              <w:rPr>
                <w:rFonts w:eastAsia="Times New Roman" w:cs="Arial"/>
                <w:sz w:val="22"/>
                <w:lang w:val="en-AU"/>
              </w:rPr>
              <w:t>√√</w:t>
            </w:r>
          </w:p>
        </w:tc>
      </w:tr>
    </w:tbl>
    <w:p w:rsidR="007A464B" w:rsidRDefault="007A464B" w:rsidP="007A464B">
      <w:pPr>
        <w:spacing w:after="0" w:line="280" w:lineRule="exact"/>
        <w:rPr>
          <w:rFonts w:eastAsia="Times New Roman" w:cs="Times New Roman"/>
          <w:sz w:val="22"/>
          <w:lang w:val="en-AU"/>
        </w:rPr>
      </w:pPr>
      <w:r>
        <w:rPr>
          <w:rFonts w:eastAsia="Times New Roman" w:cs="Times New Roman"/>
          <w:sz w:val="22"/>
          <w:lang w:val="en-AU"/>
        </w:rPr>
        <w:t>Key = ticks indicate criteria met; blanks space indicates they are not met</w:t>
      </w:r>
    </w:p>
    <w:p w:rsidR="00977B52" w:rsidRPr="00771B9D" w:rsidRDefault="00977B52" w:rsidP="00DC7D18">
      <w:pPr>
        <w:spacing w:after="0"/>
        <w:rPr>
          <w:sz w:val="22"/>
          <w:u w:val="single"/>
        </w:rPr>
      </w:pPr>
    </w:p>
    <w:p w:rsidR="00771B9D" w:rsidRPr="00771B9D" w:rsidRDefault="00771B9D" w:rsidP="00DC7D18">
      <w:pPr>
        <w:spacing w:after="0"/>
        <w:rPr>
          <w:sz w:val="22"/>
        </w:rPr>
      </w:pPr>
    </w:p>
    <w:p w:rsidR="00514732" w:rsidRPr="00EA06EE" w:rsidRDefault="00977B52" w:rsidP="009C7A9B">
      <w:pPr>
        <w:pStyle w:val="ListParagraph"/>
        <w:numPr>
          <w:ilvl w:val="0"/>
          <w:numId w:val="1"/>
        </w:numPr>
        <w:spacing w:after="0"/>
        <w:rPr>
          <w:i/>
          <w:sz w:val="22"/>
        </w:rPr>
      </w:pPr>
      <w:r w:rsidRPr="00EA06EE">
        <w:rPr>
          <w:sz w:val="22"/>
        </w:rPr>
        <w:t>The Ministry prefers o</w:t>
      </w:r>
      <w:r w:rsidR="008B6319" w:rsidRPr="00EA06EE">
        <w:rPr>
          <w:sz w:val="22"/>
        </w:rPr>
        <w:t xml:space="preserve">ption two </w:t>
      </w:r>
      <w:r w:rsidRPr="00EA06EE">
        <w:rPr>
          <w:sz w:val="22"/>
        </w:rPr>
        <w:t>because it is simpler, easier, more in keeping with the statutory principles for cost recovery, and mo</w:t>
      </w:r>
      <w:r w:rsidR="00514732" w:rsidRPr="00EA06EE">
        <w:rPr>
          <w:sz w:val="22"/>
        </w:rPr>
        <w:t>re proportio</w:t>
      </w:r>
      <w:r w:rsidR="00EA06EE">
        <w:rPr>
          <w:sz w:val="22"/>
        </w:rPr>
        <w:t>nate in application.</w:t>
      </w:r>
    </w:p>
    <w:p w:rsidR="000B6227" w:rsidRDefault="000B6227" w:rsidP="00DC7D18">
      <w:pPr>
        <w:spacing w:after="0"/>
        <w:rPr>
          <w:i/>
          <w:sz w:val="22"/>
        </w:rPr>
      </w:pPr>
    </w:p>
    <w:p w:rsidR="00DC7D18" w:rsidRDefault="00EA06EE" w:rsidP="00DC7D18">
      <w:pPr>
        <w:spacing w:after="0"/>
        <w:rPr>
          <w:i/>
          <w:sz w:val="22"/>
        </w:rPr>
      </w:pPr>
      <w:r>
        <w:rPr>
          <w:i/>
          <w:sz w:val="22"/>
        </w:rPr>
        <w:t xml:space="preserve">Providing </w:t>
      </w:r>
      <w:r w:rsidR="00DC7D18">
        <w:rPr>
          <w:i/>
          <w:sz w:val="22"/>
        </w:rPr>
        <w:t>for full or parti</w:t>
      </w:r>
      <w:r w:rsidR="00F83EA4">
        <w:rPr>
          <w:i/>
          <w:sz w:val="22"/>
        </w:rPr>
        <w:t>al cost recovery by way of fees</w:t>
      </w:r>
    </w:p>
    <w:p w:rsidR="00F83EA4" w:rsidRDefault="00F83EA4" w:rsidP="00F83EA4">
      <w:pPr>
        <w:autoSpaceDE w:val="0"/>
        <w:autoSpaceDN w:val="0"/>
        <w:adjustRightInd w:val="0"/>
        <w:spacing w:after="0" w:line="271" w:lineRule="atLeast"/>
        <w:jc w:val="both"/>
        <w:rPr>
          <w:rFonts w:cs="Arial"/>
          <w:color w:val="000000"/>
          <w:sz w:val="23"/>
          <w:szCs w:val="23"/>
        </w:rPr>
      </w:pPr>
    </w:p>
    <w:p w:rsidR="00F83EA4" w:rsidRPr="002D3C23" w:rsidRDefault="00F83EA4" w:rsidP="00F83EA4">
      <w:pPr>
        <w:pStyle w:val="ListParagraph"/>
        <w:numPr>
          <w:ilvl w:val="0"/>
          <w:numId w:val="1"/>
        </w:numPr>
        <w:autoSpaceDE w:val="0"/>
        <w:autoSpaceDN w:val="0"/>
        <w:adjustRightInd w:val="0"/>
        <w:spacing w:after="0" w:line="271" w:lineRule="atLeast"/>
        <w:jc w:val="both"/>
        <w:rPr>
          <w:rFonts w:eastAsia="Times New Roman" w:cs="Arial"/>
          <w:color w:val="000000"/>
          <w:sz w:val="22"/>
          <w:szCs w:val="20"/>
          <w:lang w:val="en-GB" w:eastAsia="en-GB"/>
        </w:rPr>
      </w:pPr>
      <w:r>
        <w:rPr>
          <w:rFonts w:eastAsia="Times New Roman" w:cs="Arial"/>
          <w:color w:val="000000"/>
          <w:sz w:val="22"/>
          <w:szCs w:val="20"/>
          <w:lang w:val="en-GB" w:eastAsia="en-GB"/>
        </w:rPr>
        <w:t>Under the Radiation Protection Act 1965, radiation u</w:t>
      </w:r>
      <w:r w:rsidRPr="00616101">
        <w:rPr>
          <w:rFonts w:eastAsia="Times New Roman" w:cs="Arial"/>
          <w:color w:val="000000"/>
          <w:sz w:val="22"/>
          <w:szCs w:val="20"/>
          <w:lang w:val="en-GB" w:eastAsia="en-GB"/>
        </w:rPr>
        <w:t xml:space="preserve">sers must renew their use licences annually, and pay a fee of $190 - $300 (incl GST), depending on the complexity of the licence.  The </w:t>
      </w:r>
      <w:r w:rsidRPr="00616101">
        <w:rPr>
          <w:rFonts w:eastAsia="Times New Roman" w:cs="Arial"/>
          <w:color w:val="000000"/>
          <w:sz w:val="22"/>
          <w:lang w:val="en-GB" w:eastAsia="en-GB"/>
        </w:rPr>
        <w:t>Ministry must keep a register of licences and also maintains a register of radiation sources.  The Ministry may suspend or cancel licences once granted, and the Regulations provide for exemptions or exceptions from all or some regulatory requirements, such as the requirement to hold a licence.  The Act does not</w:t>
      </w:r>
      <w:r>
        <w:rPr>
          <w:rFonts w:eastAsia="Times New Roman" w:cs="Arial"/>
          <w:color w:val="000000"/>
          <w:sz w:val="22"/>
          <w:lang w:val="en-GB" w:eastAsia="en-GB"/>
        </w:rPr>
        <w:t xml:space="preserve"> </w:t>
      </w:r>
      <w:r w:rsidRPr="00616101">
        <w:rPr>
          <w:rFonts w:eastAsia="Times New Roman" w:cs="Arial"/>
          <w:color w:val="000000"/>
          <w:sz w:val="22"/>
          <w:lang w:val="en-GB" w:eastAsia="en-GB"/>
        </w:rPr>
        <w:t>specify technical safety obligations that must be satisfied and these are imposed via licence conditions</w:t>
      </w:r>
      <w:r w:rsidRPr="00616101">
        <w:rPr>
          <w:rFonts w:eastAsia="Times New Roman" w:cs="Arial"/>
          <w:color w:val="000000"/>
          <w:sz w:val="23"/>
          <w:szCs w:val="23"/>
          <w:lang w:val="en-GB" w:eastAsia="en-GB"/>
        </w:rPr>
        <w:t>.</w:t>
      </w:r>
    </w:p>
    <w:p w:rsidR="00F83EA4" w:rsidRPr="002D3C23" w:rsidRDefault="00F83EA4" w:rsidP="00F83EA4">
      <w:pPr>
        <w:pStyle w:val="ListParagraph"/>
        <w:autoSpaceDE w:val="0"/>
        <w:autoSpaceDN w:val="0"/>
        <w:adjustRightInd w:val="0"/>
        <w:spacing w:after="0" w:line="271" w:lineRule="atLeast"/>
        <w:ind w:left="360"/>
        <w:jc w:val="both"/>
        <w:rPr>
          <w:rFonts w:eastAsia="Times New Roman" w:cs="Arial"/>
          <w:color w:val="000000"/>
          <w:sz w:val="22"/>
          <w:szCs w:val="20"/>
          <w:lang w:val="en-GB" w:eastAsia="en-GB"/>
        </w:rPr>
      </w:pPr>
    </w:p>
    <w:p w:rsidR="00F83EA4" w:rsidRPr="002D3C23" w:rsidRDefault="00F83EA4" w:rsidP="00F83EA4">
      <w:pPr>
        <w:pStyle w:val="ListParagraph"/>
        <w:numPr>
          <w:ilvl w:val="0"/>
          <w:numId w:val="1"/>
        </w:numPr>
        <w:autoSpaceDE w:val="0"/>
        <w:autoSpaceDN w:val="0"/>
        <w:adjustRightInd w:val="0"/>
        <w:spacing w:after="0" w:line="271" w:lineRule="atLeast"/>
        <w:jc w:val="both"/>
        <w:rPr>
          <w:rFonts w:eastAsia="Times New Roman" w:cs="Arial"/>
          <w:color w:val="000000"/>
          <w:sz w:val="22"/>
          <w:szCs w:val="20"/>
          <w:lang w:val="en-GB" w:eastAsia="en-GB"/>
        </w:rPr>
      </w:pPr>
      <w:r w:rsidRPr="002D3C23">
        <w:rPr>
          <w:rFonts w:eastAsia="Times New Roman" w:cs="Times New Roman"/>
          <w:sz w:val="22"/>
          <w:lang w:val="en-AU"/>
        </w:rPr>
        <w:t>The Ministry can only recover the costs of licensing activities via use licence applications and renewals.  The annual fees take from fees set in 1998, has averaged approximately $785,000 in recent years.  Since 1998 there has been higher than expected increase in the numbers of licences issued and the Ministry has absorbed the added workload without increasing its operating costs.  This has generated a surplus of $970,000</w:t>
      </w:r>
      <w:r>
        <w:rPr>
          <w:rFonts w:eastAsia="Times New Roman" w:cs="Times New Roman"/>
          <w:sz w:val="22"/>
          <w:lang w:val="en-AU"/>
        </w:rPr>
        <w:t>, which the Ministry intends to return to users via discounts on fees.</w:t>
      </w:r>
    </w:p>
    <w:p w:rsidR="00F83EA4" w:rsidRPr="002D3C23" w:rsidRDefault="00F83EA4" w:rsidP="00F83EA4">
      <w:pPr>
        <w:pStyle w:val="ListParagraph"/>
        <w:autoSpaceDE w:val="0"/>
        <w:autoSpaceDN w:val="0"/>
        <w:adjustRightInd w:val="0"/>
        <w:spacing w:after="0" w:line="271" w:lineRule="atLeast"/>
        <w:ind w:left="360"/>
        <w:jc w:val="both"/>
        <w:rPr>
          <w:rFonts w:eastAsia="Times New Roman" w:cs="Arial"/>
          <w:color w:val="000000"/>
          <w:sz w:val="22"/>
          <w:szCs w:val="20"/>
          <w:lang w:val="en-GB" w:eastAsia="en-GB"/>
        </w:rPr>
      </w:pPr>
    </w:p>
    <w:p w:rsidR="00F83EA4" w:rsidRDefault="00F83EA4" w:rsidP="00F83EA4">
      <w:pPr>
        <w:numPr>
          <w:ilvl w:val="0"/>
          <w:numId w:val="1"/>
        </w:numPr>
        <w:spacing w:after="240" w:line="280" w:lineRule="atLeast"/>
        <w:contextualSpacing/>
        <w:rPr>
          <w:rFonts w:eastAsia="Times New Roman" w:cs="Times New Roman"/>
          <w:sz w:val="22"/>
          <w:szCs w:val="20"/>
          <w:lang w:val="en-GB" w:eastAsia="en-GB"/>
        </w:rPr>
      </w:pPr>
      <w:r>
        <w:rPr>
          <w:rFonts w:eastAsia="Times New Roman" w:cs="Times New Roman"/>
          <w:sz w:val="22"/>
          <w:szCs w:val="20"/>
          <w:lang w:val="en-GB" w:eastAsia="en-GB"/>
        </w:rPr>
        <w:t>The Ministry processes all applications for licences at a cost of approximately $450,000 per year and contracts external science advice for its licensing activities and compliance verification services at a cost of $987,700 per year.  The current total operating cost is approximately $1.44 million per year.</w:t>
      </w:r>
    </w:p>
    <w:p w:rsidR="00F83EA4" w:rsidRDefault="00F83EA4" w:rsidP="00DC7D18">
      <w:pPr>
        <w:spacing w:after="0"/>
        <w:rPr>
          <w:i/>
          <w:sz w:val="22"/>
        </w:rPr>
      </w:pPr>
    </w:p>
    <w:p w:rsidR="008D7085" w:rsidRDefault="008D7085" w:rsidP="00616101">
      <w:pPr>
        <w:pStyle w:val="ListParagraph"/>
        <w:numPr>
          <w:ilvl w:val="0"/>
          <w:numId w:val="1"/>
        </w:numPr>
        <w:rPr>
          <w:sz w:val="22"/>
          <w:lang w:val="en-GB" w:eastAsia="en-GB"/>
        </w:rPr>
      </w:pPr>
      <w:r>
        <w:rPr>
          <w:sz w:val="22"/>
          <w:lang w:val="en-GB" w:eastAsia="en-GB"/>
        </w:rPr>
        <w:t xml:space="preserve">The </w:t>
      </w:r>
      <w:r w:rsidR="00977B52">
        <w:rPr>
          <w:sz w:val="22"/>
          <w:lang w:val="en-GB" w:eastAsia="en-GB"/>
        </w:rPr>
        <w:t xml:space="preserve">new </w:t>
      </w:r>
      <w:r>
        <w:rPr>
          <w:sz w:val="22"/>
          <w:lang w:val="en-GB" w:eastAsia="en-GB"/>
        </w:rPr>
        <w:t>Act allows for the full or partial costs of both administering authorisations and compliance verification to be recovered in fees.</w:t>
      </w:r>
      <w:r w:rsidR="00DC7D18">
        <w:rPr>
          <w:sz w:val="22"/>
          <w:lang w:val="en-GB" w:eastAsia="en-GB"/>
        </w:rPr>
        <w:t xml:space="preserve">  </w:t>
      </w:r>
    </w:p>
    <w:p w:rsidR="002767C8" w:rsidRDefault="002767C8" w:rsidP="008D7085">
      <w:pPr>
        <w:pStyle w:val="ListParagraph"/>
        <w:ind w:left="360"/>
        <w:rPr>
          <w:sz w:val="22"/>
          <w:lang w:val="en-GB" w:eastAsia="en-GB"/>
        </w:rPr>
      </w:pPr>
    </w:p>
    <w:p w:rsidR="008D7085" w:rsidRDefault="008D7085" w:rsidP="00616101">
      <w:pPr>
        <w:pStyle w:val="ListParagraph"/>
        <w:numPr>
          <w:ilvl w:val="0"/>
          <w:numId w:val="1"/>
        </w:numPr>
        <w:rPr>
          <w:sz w:val="22"/>
          <w:lang w:val="en-GB" w:eastAsia="en-GB"/>
        </w:rPr>
      </w:pPr>
      <w:r>
        <w:rPr>
          <w:sz w:val="22"/>
          <w:lang w:val="en-GB" w:eastAsia="en-GB"/>
        </w:rPr>
        <w:t xml:space="preserve">Adding recovery of the costs of compliance verification to fees will significantly increase fees.  </w:t>
      </w:r>
    </w:p>
    <w:p w:rsidR="008D7085" w:rsidRPr="008D7085" w:rsidRDefault="008D7085" w:rsidP="008D7085">
      <w:pPr>
        <w:pStyle w:val="ListParagraph"/>
        <w:rPr>
          <w:sz w:val="22"/>
          <w:lang w:val="en-GB" w:eastAsia="en-GB"/>
        </w:rPr>
      </w:pPr>
    </w:p>
    <w:p w:rsidR="00DC7D18" w:rsidRDefault="008D7085" w:rsidP="00616101">
      <w:pPr>
        <w:pStyle w:val="ListParagraph"/>
        <w:numPr>
          <w:ilvl w:val="0"/>
          <w:numId w:val="1"/>
        </w:numPr>
        <w:rPr>
          <w:sz w:val="22"/>
          <w:lang w:val="en-GB" w:eastAsia="en-GB"/>
        </w:rPr>
      </w:pPr>
      <w:r>
        <w:rPr>
          <w:sz w:val="22"/>
          <w:lang w:val="en-GB" w:eastAsia="en-GB"/>
        </w:rPr>
        <w:t>The</w:t>
      </w:r>
      <w:r w:rsidR="007D64BC">
        <w:rPr>
          <w:sz w:val="22"/>
          <w:lang w:val="en-GB" w:eastAsia="en-GB"/>
        </w:rPr>
        <w:t xml:space="preserve"> current and</w:t>
      </w:r>
      <w:r>
        <w:rPr>
          <w:sz w:val="22"/>
          <w:lang w:val="en-GB" w:eastAsia="en-GB"/>
        </w:rPr>
        <w:t xml:space="preserve"> expected costs of administering authorisations and compliance verification activities are set out in Table 3 below. </w:t>
      </w:r>
    </w:p>
    <w:p w:rsidR="00514732" w:rsidRPr="00514732" w:rsidRDefault="00514732" w:rsidP="00514732">
      <w:pPr>
        <w:pStyle w:val="ListParagraph"/>
        <w:rPr>
          <w:sz w:val="22"/>
          <w:lang w:val="en-GB" w:eastAsia="en-GB"/>
        </w:rPr>
      </w:pPr>
    </w:p>
    <w:p w:rsidR="00DC7D18" w:rsidRPr="007D64BC" w:rsidRDefault="00DC7D18" w:rsidP="00DC7D18">
      <w:pPr>
        <w:rPr>
          <w:b/>
          <w:sz w:val="22"/>
          <w:lang w:val="en-GB" w:eastAsia="en-GB"/>
        </w:rPr>
      </w:pPr>
      <w:r w:rsidRPr="007D64BC">
        <w:rPr>
          <w:b/>
          <w:sz w:val="22"/>
          <w:lang w:val="en-GB" w:eastAsia="en-GB"/>
        </w:rPr>
        <w:t xml:space="preserve">Table 3:  </w:t>
      </w:r>
      <w:r w:rsidR="00A92BB4" w:rsidRPr="007D64BC">
        <w:rPr>
          <w:b/>
          <w:sz w:val="22"/>
          <w:lang w:val="en-GB" w:eastAsia="en-GB"/>
        </w:rPr>
        <w:t xml:space="preserve">Expected </w:t>
      </w:r>
      <w:r w:rsidRPr="007D64BC">
        <w:rPr>
          <w:b/>
          <w:sz w:val="22"/>
          <w:lang w:val="en-GB" w:eastAsia="en-GB"/>
        </w:rPr>
        <w:t>costs</w:t>
      </w:r>
      <w:r w:rsidR="00A92BB4" w:rsidRPr="007D64BC">
        <w:rPr>
          <w:b/>
          <w:sz w:val="22"/>
          <w:lang w:val="en-GB" w:eastAsia="en-GB"/>
        </w:rPr>
        <w:t xml:space="preserve"> of administering authorisations and compliance verification activities</w:t>
      </w:r>
    </w:p>
    <w:tbl>
      <w:tblPr>
        <w:tblStyle w:val="TableGrid"/>
        <w:tblW w:w="0" w:type="auto"/>
        <w:tblInd w:w="0" w:type="dxa"/>
        <w:tblLook w:val="04A0" w:firstRow="1" w:lastRow="0" w:firstColumn="1" w:lastColumn="0" w:noHBand="0" w:noVBand="1"/>
      </w:tblPr>
      <w:tblGrid>
        <w:gridCol w:w="2259"/>
        <w:gridCol w:w="2263"/>
        <w:gridCol w:w="2248"/>
        <w:gridCol w:w="2246"/>
      </w:tblGrid>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0"/>
                <w:szCs w:val="20"/>
                <w:lang w:val="en-GB" w:eastAsia="en-GB"/>
              </w:rPr>
            </w:pPr>
            <w:r>
              <w:rPr>
                <w:b/>
                <w:sz w:val="20"/>
                <w:szCs w:val="20"/>
                <w:lang w:val="en-GB" w:eastAsia="en-GB"/>
              </w:rPr>
              <w:t>Item</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0"/>
                <w:szCs w:val="20"/>
                <w:lang w:val="en-GB" w:eastAsia="en-GB"/>
              </w:rPr>
            </w:pPr>
            <w:r>
              <w:rPr>
                <w:b/>
                <w:sz w:val="20"/>
                <w:szCs w:val="20"/>
                <w:lang w:val="en-GB" w:eastAsia="en-GB"/>
              </w:rPr>
              <w:t>Authorisation component</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0"/>
                <w:szCs w:val="20"/>
                <w:lang w:val="en-GB" w:eastAsia="en-GB"/>
              </w:rPr>
            </w:pPr>
            <w:r>
              <w:rPr>
                <w:b/>
                <w:sz w:val="20"/>
                <w:szCs w:val="20"/>
                <w:lang w:val="en-GB" w:eastAsia="en-GB"/>
              </w:rPr>
              <w:t xml:space="preserve">Compliance verification component </w:t>
            </w: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b/>
                <w:sz w:val="20"/>
                <w:szCs w:val="20"/>
                <w:lang w:val="en-GB" w:eastAsia="en-GB"/>
              </w:rPr>
            </w:pPr>
            <w:r>
              <w:rPr>
                <w:b/>
                <w:sz w:val="20"/>
                <w:szCs w:val="20"/>
                <w:lang w:val="en-GB" w:eastAsia="en-GB"/>
              </w:rPr>
              <w:t>Total</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Personnel expenses</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$244,000</w:t>
            </w:r>
          </w:p>
        </w:tc>
        <w:tc>
          <w:tcPr>
            <w:tcW w:w="2336" w:type="dxa"/>
            <w:tcBorders>
              <w:top w:val="single" w:sz="4" w:space="0" w:color="auto"/>
              <w:left w:val="single" w:sz="4" w:space="0" w:color="auto"/>
              <w:bottom w:val="single" w:sz="4" w:space="0" w:color="auto"/>
              <w:right w:val="single" w:sz="4" w:space="0" w:color="auto"/>
            </w:tcBorders>
          </w:tcPr>
          <w:p w:rsidR="00DC7D18" w:rsidRDefault="00DC7D18">
            <w:pPr>
              <w:rPr>
                <w:sz w:val="20"/>
                <w:szCs w:val="20"/>
                <w:lang w:val="en-GB" w:eastAsia="en-GB"/>
              </w:rPr>
            </w:pP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$244,000</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Office and overheads</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$160,000</w:t>
            </w:r>
          </w:p>
        </w:tc>
        <w:tc>
          <w:tcPr>
            <w:tcW w:w="2336" w:type="dxa"/>
            <w:tcBorders>
              <w:top w:val="single" w:sz="4" w:space="0" w:color="auto"/>
              <w:left w:val="single" w:sz="4" w:space="0" w:color="auto"/>
              <w:bottom w:val="single" w:sz="4" w:space="0" w:color="auto"/>
              <w:right w:val="single" w:sz="4" w:space="0" w:color="auto"/>
            </w:tcBorders>
          </w:tcPr>
          <w:p w:rsidR="00DC7D18" w:rsidRDefault="00DC7D18">
            <w:pPr>
              <w:rPr>
                <w:sz w:val="20"/>
                <w:szCs w:val="20"/>
                <w:lang w:val="en-GB" w:eastAsia="en-GB"/>
              </w:rPr>
            </w:pP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$160,000</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Miscellaneous costs</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  46,000</w:t>
            </w:r>
          </w:p>
        </w:tc>
        <w:tc>
          <w:tcPr>
            <w:tcW w:w="2336" w:type="dxa"/>
            <w:tcBorders>
              <w:top w:val="single" w:sz="4" w:space="0" w:color="auto"/>
              <w:left w:val="single" w:sz="4" w:space="0" w:color="auto"/>
              <w:bottom w:val="single" w:sz="4" w:space="0" w:color="auto"/>
              <w:right w:val="single" w:sz="4" w:space="0" w:color="auto"/>
            </w:tcBorders>
          </w:tcPr>
          <w:p w:rsidR="00DC7D18" w:rsidRDefault="00DC7D18">
            <w:pPr>
              <w:rPr>
                <w:sz w:val="20"/>
                <w:szCs w:val="20"/>
                <w:lang w:val="en-GB" w:eastAsia="en-GB"/>
              </w:rPr>
            </w:pP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 xml:space="preserve">  $46,000</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Contracted science advice</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 xml:space="preserve">$100,000 </w:t>
            </w:r>
          </w:p>
        </w:tc>
        <w:tc>
          <w:tcPr>
            <w:tcW w:w="2336" w:type="dxa"/>
            <w:tcBorders>
              <w:top w:val="single" w:sz="4" w:space="0" w:color="auto"/>
              <w:left w:val="single" w:sz="4" w:space="0" w:color="auto"/>
              <w:bottom w:val="single" w:sz="4" w:space="0" w:color="auto"/>
              <w:right w:val="single" w:sz="4" w:space="0" w:color="auto"/>
            </w:tcBorders>
          </w:tcPr>
          <w:p w:rsidR="00DC7D18" w:rsidRDefault="00DC7D18">
            <w:pPr>
              <w:rPr>
                <w:sz w:val="20"/>
                <w:szCs w:val="20"/>
                <w:lang w:val="en-GB" w:eastAsia="en-GB"/>
              </w:rPr>
            </w:pP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$100,000</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Contracted audit services</w:t>
            </w:r>
          </w:p>
        </w:tc>
        <w:tc>
          <w:tcPr>
            <w:tcW w:w="2336" w:type="dxa"/>
            <w:tcBorders>
              <w:top w:val="single" w:sz="4" w:space="0" w:color="auto"/>
              <w:left w:val="single" w:sz="4" w:space="0" w:color="auto"/>
              <w:bottom w:val="single" w:sz="4" w:space="0" w:color="auto"/>
              <w:right w:val="single" w:sz="4" w:space="0" w:color="auto"/>
            </w:tcBorders>
          </w:tcPr>
          <w:p w:rsidR="00DC7D18" w:rsidRDefault="00DC7D18">
            <w:pPr>
              <w:rPr>
                <w:sz w:val="20"/>
                <w:szCs w:val="20"/>
                <w:lang w:val="en-GB" w:eastAsia="en-GB"/>
              </w:rPr>
            </w:pP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$887,700</w:t>
            </w: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sz w:val="20"/>
                <w:szCs w:val="20"/>
                <w:lang w:val="en-GB" w:eastAsia="en-GB"/>
              </w:rPr>
            </w:pPr>
            <w:r>
              <w:rPr>
                <w:sz w:val="20"/>
                <w:szCs w:val="20"/>
                <w:lang w:val="en-GB" w:eastAsia="en-GB"/>
              </w:rPr>
              <w:t>$887,700</w:t>
            </w:r>
          </w:p>
        </w:tc>
      </w:tr>
      <w:tr w:rsidR="00DC7D18" w:rsidTr="00DC7D18">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2"/>
                <w:lang w:val="en-GB" w:eastAsia="en-GB"/>
              </w:rPr>
            </w:pPr>
            <w:r>
              <w:rPr>
                <w:b/>
                <w:sz w:val="22"/>
                <w:lang w:val="en-GB" w:eastAsia="en-GB"/>
              </w:rPr>
              <w:t>Total</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2"/>
                <w:lang w:val="en-GB" w:eastAsia="en-GB"/>
              </w:rPr>
            </w:pPr>
            <w:r>
              <w:rPr>
                <w:b/>
                <w:sz w:val="22"/>
                <w:lang w:val="en-GB" w:eastAsia="en-GB"/>
              </w:rPr>
              <w:t>$550,000</w:t>
            </w:r>
          </w:p>
        </w:tc>
        <w:tc>
          <w:tcPr>
            <w:tcW w:w="2336" w:type="dxa"/>
            <w:tcBorders>
              <w:top w:val="single" w:sz="4" w:space="0" w:color="auto"/>
              <w:left w:val="single" w:sz="4" w:space="0" w:color="auto"/>
              <w:bottom w:val="single" w:sz="4" w:space="0" w:color="auto"/>
              <w:right w:val="single" w:sz="4" w:space="0" w:color="auto"/>
            </w:tcBorders>
            <w:hideMark/>
          </w:tcPr>
          <w:p w:rsidR="00DC7D18" w:rsidRDefault="00DC7D18">
            <w:pPr>
              <w:rPr>
                <w:b/>
                <w:sz w:val="22"/>
                <w:lang w:val="en-GB" w:eastAsia="en-GB"/>
              </w:rPr>
            </w:pPr>
            <w:r>
              <w:rPr>
                <w:b/>
                <w:sz w:val="22"/>
                <w:lang w:val="en-GB" w:eastAsia="en-GB"/>
              </w:rPr>
              <w:t>$887,700</w:t>
            </w:r>
          </w:p>
        </w:tc>
        <w:tc>
          <w:tcPr>
            <w:tcW w:w="2337" w:type="dxa"/>
            <w:tcBorders>
              <w:top w:val="single" w:sz="4" w:space="0" w:color="auto"/>
              <w:left w:val="single" w:sz="4" w:space="0" w:color="auto"/>
              <w:bottom w:val="single" w:sz="4" w:space="0" w:color="auto"/>
              <w:right w:val="single" w:sz="4" w:space="0" w:color="auto"/>
            </w:tcBorders>
            <w:hideMark/>
          </w:tcPr>
          <w:p w:rsidR="00DC7D18" w:rsidRDefault="00DC7D18">
            <w:pPr>
              <w:rPr>
                <w:b/>
                <w:sz w:val="22"/>
                <w:lang w:val="en-GB" w:eastAsia="en-GB"/>
              </w:rPr>
            </w:pPr>
            <w:r>
              <w:rPr>
                <w:b/>
                <w:sz w:val="22"/>
                <w:lang w:val="en-GB" w:eastAsia="en-GB"/>
              </w:rPr>
              <w:t>$1,437,700</w:t>
            </w:r>
          </w:p>
        </w:tc>
      </w:tr>
    </w:tbl>
    <w:p w:rsidR="00DC7D18" w:rsidRDefault="00DC7D18" w:rsidP="001B48C3">
      <w:pPr>
        <w:spacing w:after="0"/>
        <w:rPr>
          <w:lang w:val="en-GB" w:eastAsia="en-GB"/>
        </w:rPr>
      </w:pPr>
    </w:p>
    <w:p w:rsidR="001B48C3" w:rsidRPr="001B48C3" w:rsidRDefault="001B48C3" w:rsidP="001B48C3">
      <w:pPr>
        <w:rPr>
          <w:sz w:val="22"/>
          <w:u w:val="single"/>
          <w:lang w:val="en-GB" w:eastAsia="en-GB"/>
        </w:rPr>
      </w:pPr>
      <w:r>
        <w:rPr>
          <w:sz w:val="22"/>
          <w:u w:val="single"/>
          <w:lang w:val="en-GB" w:eastAsia="en-GB"/>
        </w:rPr>
        <w:t xml:space="preserve">Existing </w:t>
      </w:r>
      <w:r w:rsidR="009258E5">
        <w:rPr>
          <w:sz w:val="22"/>
          <w:u w:val="single"/>
          <w:lang w:val="en-GB" w:eastAsia="en-GB"/>
        </w:rPr>
        <w:t>surplus funds through over recovery</w:t>
      </w:r>
    </w:p>
    <w:p w:rsidR="001B48C3" w:rsidRPr="001B48C3" w:rsidRDefault="001B48C3" w:rsidP="00616101">
      <w:pPr>
        <w:pStyle w:val="ListParagraph"/>
        <w:numPr>
          <w:ilvl w:val="0"/>
          <w:numId w:val="1"/>
        </w:numPr>
        <w:rPr>
          <w:sz w:val="22"/>
          <w:lang w:val="en-GB" w:eastAsia="en-GB"/>
        </w:rPr>
      </w:pPr>
      <w:r>
        <w:rPr>
          <w:sz w:val="22"/>
          <w:lang w:val="en-GB" w:eastAsia="en-GB"/>
        </w:rPr>
        <w:t xml:space="preserve">Since the fees under the outgoing </w:t>
      </w:r>
      <w:r w:rsidR="00663F93">
        <w:rPr>
          <w:sz w:val="22"/>
          <w:lang w:val="en-GB" w:eastAsia="en-GB"/>
        </w:rPr>
        <w:t xml:space="preserve">Act </w:t>
      </w:r>
      <w:r>
        <w:rPr>
          <w:sz w:val="22"/>
          <w:lang w:val="en-GB" w:eastAsia="en-GB"/>
        </w:rPr>
        <w:t xml:space="preserve">were last set in 1998, the Ministry has accumulated </w:t>
      </w:r>
      <w:r w:rsidR="00663F93">
        <w:rPr>
          <w:sz w:val="22"/>
          <w:lang w:val="en-GB" w:eastAsia="en-GB"/>
        </w:rPr>
        <w:t xml:space="preserve">a </w:t>
      </w:r>
      <w:r w:rsidR="009258E5">
        <w:rPr>
          <w:sz w:val="22"/>
          <w:lang w:val="en-GB" w:eastAsia="en-GB"/>
        </w:rPr>
        <w:t>surplus through over recovery</w:t>
      </w:r>
      <w:r>
        <w:rPr>
          <w:sz w:val="22"/>
          <w:lang w:val="en-GB" w:eastAsia="en-GB"/>
        </w:rPr>
        <w:t xml:space="preserve"> for its partial cost-recovery licen</w:t>
      </w:r>
      <w:r w:rsidR="007D64BC">
        <w:rPr>
          <w:sz w:val="22"/>
          <w:lang w:val="en-GB" w:eastAsia="en-GB"/>
        </w:rPr>
        <w:t>s</w:t>
      </w:r>
      <w:r>
        <w:rPr>
          <w:sz w:val="22"/>
          <w:lang w:val="en-GB" w:eastAsia="en-GB"/>
        </w:rPr>
        <w:t>ing activities of $970,000.  Setting the fees under the</w:t>
      </w:r>
      <w:r w:rsidR="00663F93">
        <w:rPr>
          <w:sz w:val="22"/>
          <w:lang w:val="en-GB" w:eastAsia="en-GB"/>
        </w:rPr>
        <w:t xml:space="preserve"> new</w:t>
      </w:r>
      <w:r>
        <w:rPr>
          <w:sz w:val="22"/>
          <w:lang w:val="en-GB" w:eastAsia="en-GB"/>
        </w:rPr>
        <w:t xml:space="preserve"> Act provides an opportunity to move this </w:t>
      </w:r>
      <w:r w:rsidR="00663F93">
        <w:rPr>
          <w:sz w:val="22"/>
          <w:lang w:val="en-GB" w:eastAsia="en-GB"/>
        </w:rPr>
        <w:t xml:space="preserve">surplus </w:t>
      </w:r>
      <w:r>
        <w:rPr>
          <w:sz w:val="22"/>
          <w:lang w:val="en-GB" w:eastAsia="en-GB"/>
        </w:rPr>
        <w:t>toward</w:t>
      </w:r>
      <w:r w:rsidR="00663F93">
        <w:rPr>
          <w:sz w:val="22"/>
          <w:lang w:val="en-GB" w:eastAsia="en-GB"/>
        </w:rPr>
        <w:t>s</w:t>
      </w:r>
      <w:r>
        <w:rPr>
          <w:sz w:val="22"/>
          <w:lang w:val="en-GB" w:eastAsia="en-GB"/>
        </w:rPr>
        <w:t xml:space="preserve"> zero.  </w:t>
      </w:r>
    </w:p>
    <w:p w:rsidR="00DC7D18" w:rsidRDefault="007D64BC" w:rsidP="00DC7D18">
      <w:pPr>
        <w:rPr>
          <w:sz w:val="22"/>
          <w:u w:val="single"/>
          <w:lang w:val="en-GB" w:eastAsia="en-GB"/>
        </w:rPr>
      </w:pPr>
      <w:r>
        <w:rPr>
          <w:sz w:val="22"/>
          <w:u w:val="single"/>
          <w:lang w:val="en-GB" w:eastAsia="en-GB"/>
        </w:rPr>
        <w:t>Option one</w:t>
      </w:r>
    </w:p>
    <w:p w:rsidR="007D64BC" w:rsidRPr="007D64BC" w:rsidRDefault="007D64BC" w:rsidP="00616101">
      <w:pPr>
        <w:pStyle w:val="ListParagraph"/>
        <w:numPr>
          <w:ilvl w:val="0"/>
          <w:numId w:val="1"/>
        </w:numPr>
        <w:rPr>
          <w:sz w:val="22"/>
          <w:u w:val="single"/>
          <w:lang w:val="en-GB" w:eastAsia="en-GB"/>
        </w:rPr>
      </w:pPr>
      <w:r>
        <w:rPr>
          <w:sz w:val="22"/>
          <w:lang w:val="en-GB" w:eastAsia="en-GB"/>
        </w:rPr>
        <w:t>Provide for partial cost recovery.</w:t>
      </w:r>
    </w:p>
    <w:p w:rsidR="007D64BC" w:rsidRPr="007D64BC" w:rsidRDefault="007D64BC" w:rsidP="007D64BC">
      <w:pPr>
        <w:pStyle w:val="ListParagraph"/>
        <w:ind w:left="360"/>
        <w:rPr>
          <w:sz w:val="22"/>
          <w:u w:val="single"/>
          <w:lang w:val="en-GB" w:eastAsia="en-GB"/>
        </w:rPr>
      </w:pPr>
    </w:p>
    <w:p w:rsidR="007D64BC" w:rsidRDefault="007D64BC" w:rsidP="00616101">
      <w:pPr>
        <w:pStyle w:val="ListParagraph"/>
        <w:numPr>
          <w:ilvl w:val="0"/>
          <w:numId w:val="1"/>
        </w:numPr>
        <w:rPr>
          <w:sz w:val="22"/>
          <w:lang w:val="en-GB" w:eastAsia="en-GB"/>
        </w:rPr>
      </w:pPr>
      <w:r w:rsidRPr="007D64BC">
        <w:rPr>
          <w:sz w:val="22"/>
          <w:lang w:val="en-GB" w:eastAsia="en-GB"/>
        </w:rPr>
        <w:t>This is the current approach, which involves</w:t>
      </w:r>
      <w:r>
        <w:rPr>
          <w:sz w:val="22"/>
          <w:lang w:val="en-GB" w:eastAsia="en-GB"/>
        </w:rPr>
        <w:t xml:space="preserve"> partial cost recovery, likely to be confined to the costs associated with processing licence fee applications.  Even though this approach has led to over recovery</w:t>
      </w:r>
      <w:r w:rsidR="00EA06EE">
        <w:rPr>
          <w:sz w:val="22"/>
          <w:lang w:val="en-GB" w:eastAsia="en-GB"/>
        </w:rPr>
        <w:t xml:space="preserve">, </w:t>
      </w:r>
      <w:r>
        <w:rPr>
          <w:sz w:val="22"/>
          <w:lang w:val="en-GB" w:eastAsia="en-GB"/>
        </w:rPr>
        <w:t>option one does not provide sufficient funds to operate the radiation safety framework in a cost neutral way over time.</w:t>
      </w:r>
    </w:p>
    <w:p w:rsidR="007D64BC" w:rsidRPr="007D64BC" w:rsidRDefault="007D64BC" w:rsidP="007D64BC">
      <w:pPr>
        <w:pStyle w:val="ListParagraph"/>
        <w:rPr>
          <w:sz w:val="22"/>
          <w:lang w:val="en-GB" w:eastAsia="en-GB"/>
        </w:rPr>
      </w:pPr>
    </w:p>
    <w:p w:rsidR="00331926" w:rsidRPr="00331926" w:rsidRDefault="00A92BB4" w:rsidP="00616101">
      <w:pPr>
        <w:pStyle w:val="ListParagraph"/>
        <w:numPr>
          <w:ilvl w:val="0"/>
          <w:numId w:val="1"/>
        </w:numPr>
        <w:rPr>
          <w:sz w:val="22"/>
          <w:u w:val="single"/>
          <w:lang w:val="en-GB" w:eastAsia="en-GB"/>
        </w:rPr>
      </w:pPr>
      <w:r>
        <w:rPr>
          <w:sz w:val="22"/>
          <w:lang w:val="en-GB" w:eastAsia="en-GB"/>
        </w:rPr>
        <w:t>The benefits to t</w:t>
      </w:r>
      <w:r w:rsidR="007D64BC">
        <w:rPr>
          <w:sz w:val="22"/>
          <w:lang w:val="en-GB" w:eastAsia="en-GB"/>
        </w:rPr>
        <w:t>he Crown of choosing to subsidi</w:t>
      </w:r>
      <w:r>
        <w:rPr>
          <w:sz w:val="22"/>
          <w:lang w:val="en-GB" w:eastAsia="en-GB"/>
        </w:rPr>
        <w:t>s</w:t>
      </w:r>
      <w:r w:rsidR="007D64BC">
        <w:rPr>
          <w:sz w:val="22"/>
          <w:lang w:val="en-GB" w:eastAsia="en-GB"/>
        </w:rPr>
        <w:t>e</w:t>
      </w:r>
      <w:r>
        <w:rPr>
          <w:sz w:val="22"/>
          <w:lang w:val="en-GB" w:eastAsia="en-GB"/>
        </w:rPr>
        <w:t xml:space="preserve"> these particular costs are likely to </w:t>
      </w:r>
      <w:r w:rsidR="004C37BF">
        <w:rPr>
          <w:sz w:val="22"/>
          <w:lang w:val="en-GB" w:eastAsia="en-GB"/>
        </w:rPr>
        <w:t xml:space="preserve">be </w:t>
      </w:r>
      <w:r>
        <w:rPr>
          <w:sz w:val="22"/>
          <w:lang w:val="en-GB" w:eastAsia="en-GB"/>
        </w:rPr>
        <w:t xml:space="preserve">marginal when set alongside the costs and revenues associated with activities </w:t>
      </w:r>
      <w:r w:rsidR="00663F93">
        <w:rPr>
          <w:sz w:val="22"/>
          <w:lang w:val="en-GB" w:eastAsia="en-GB"/>
        </w:rPr>
        <w:t>using</w:t>
      </w:r>
      <w:r>
        <w:rPr>
          <w:sz w:val="22"/>
          <w:lang w:val="en-GB" w:eastAsia="en-GB"/>
        </w:rPr>
        <w:t xml:space="preserve"> radiation and would not be targeted to any particular outcome (ie, </w:t>
      </w:r>
      <w:r w:rsidR="00331926">
        <w:rPr>
          <w:sz w:val="22"/>
          <w:lang w:val="en-GB" w:eastAsia="en-GB"/>
        </w:rPr>
        <w:t xml:space="preserve">marginal </w:t>
      </w:r>
      <w:r>
        <w:rPr>
          <w:sz w:val="22"/>
          <w:lang w:val="en-GB" w:eastAsia="en-GB"/>
        </w:rPr>
        <w:t xml:space="preserve">benefits </w:t>
      </w:r>
      <w:r w:rsidR="00331926">
        <w:rPr>
          <w:sz w:val="22"/>
          <w:lang w:val="en-GB" w:eastAsia="en-GB"/>
        </w:rPr>
        <w:t xml:space="preserve">would attribute to </w:t>
      </w:r>
      <w:r>
        <w:rPr>
          <w:sz w:val="22"/>
          <w:lang w:val="en-GB" w:eastAsia="en-GB"/>
        </w:rPr>
        <w:t xml:space="preserve">health service and research costs but would also </w:t>
      </w:r>
      <w:r w:rsidR="00331926">
        <w:rPr>
          <w:sz w:val="22"/>
          <w:lang w:val="en-GB" w:eastAsia="en-GB"/>
        </w:rPr>
        <w:t xml:space="preserve">attribute to the </w:t>
      </w:r>
      <w:r>
        <w:rPr>
          <w:sz w:val="22"/>
          <w:lang w:val="en-GB" w:eastAsia="en-GB"/>
        </w:rPr>
        <w:t>oil, gas</w:t>
      </w:r>
      <w:r w:rsidR="00331926">
        <w:rPr>
          <w:sz w:val="22"/>
          <w:lang w:val="en-GB" w:eastAsia="en-GB"/>
        </w:rPr>
        <w:t>, airline</w:t>
      </w:r>
      <w:r>
        <w:rPr>
          <w:sz w:val="22"/>
          <w:lang w:val="en-GB" w:eastAsia="en-GB"/>
        </w:rPr>
        <w:t xml:space="preserve"> and construction industries).  </w:t>
      </w:r>
    </w:p>
    <w:p w:rsidR="00DC7D18" w:rsidRDefault="00FB409F" w:rsidP="00DC7D18">
      <w:pPr>
        <w:rPr>
          <w:sz w:val="22"/>
          <w:u w:val="single"/>
          <w:lang w:val="en-GB" w:eastAsia="en-GB"/>
        </w:rPr>
      </w:pPr>
      <w:r>
        <w:rPr>
          <w:sz w:val="22"/>
          <w:u w:val="single"/>
          <w:lang w:val="en-GB" w:eastAsia="en-GB"/>
        </w:rPr>
        <w:t xml:space="preserve">Option two: </w:t>
      </w:r>
    </w:p>
    <w:p w:rsidR="007D64BC" w:rsidRDefault="007D64BC" w:rsidP="00616101">
      <w:pPr>
        <w:pStyle w:val="ListParagraph"/>
        <w:numPr>
          <w:ilvl w:val="0"/>
          <w:numId w:val="1"/>
        </w:numPr>
        <w:rPr>
          <w:sz w:val="22"/>
          <w:lang w:val="en-GB" w:eastAsia="en-GB"/>
        </w:rPr>
      </w:pPr>
      <w:r>
        <w:rPr>
          <w:sz w:val="22"/>
          <w:lang w:val="en-GB" w:eastAsia="en-GB"/>
        </w:rPr>
        <w:t xml:space="preserve">Recover full costs.  </w:t>
      </w:r>
      <w:r w:rsidR="00A81684">
        <w:rPr>
          <w:sz w:val="22"/>
          <w:lang w:val="en-GB" w:eastAsia="en-GB"/>
        </w:rPr>
        <w:t xml:space="preserve">This option is based on the </w:t>
      </w:r>
      <w:r>
        <w:rPr>
          <w:sz w:val="22"/>
          <w:lang w:val="en-GB" w:eastAsia="en-GB"/>
        </w:rPr>
        <w:t xml:space="preserve">current and </w:t>
      </w:r>
      <w:r w:rsidR="00A81684">
        <w:rPr>
          <w:sz w:val="22"/>
          <w:lang w:val="en-GB" w:eastAsia="en-GB"/>
        </w:rPr>
        <w:t>expected costs outlined in Table 3</w:t>
      </w:r>
      <w:r w:rsidR="00EA06EE">
        <w:rPr>
          <w:sz w:val="22"/>
          <w:lang w:val="en-GB" w:eastAsia="en-GB"/>
        </w:rPr>
        <w:t xml:space="preserve"> above</w:t>
      </w:r>
      <w:r w:rsidR="00A81684">
        <w:rPr>
          <w:sz w:val="22"/>
          <w:lang w:val="en-GB" w:eastAsia="en-GB"/>
        </w:rPr>
        <w:t>.</w:t>
      </w:r>
      <w:r w:rsidR="00DC7D18">
        <w:rPr>
          <w:sz w:val="22"/>
          <w:lang w:val="en-GB" w:eastAsia="en-GB"/>
        </w:rPr>
        <w:t xml:space="preserve">  </w:t>
      </w:r>
      <w:r>
        <w:rPr>
          <w:sz w:val="22"/>
          <w:lang w:val="en-GB" w:eastAsia="en-GB"/>
        </w:rPr>
        <w:t>It enables the full costs of processing licences and consents</w:t>
      </w:r>
      <w:r w:rsidR="009258E5">
        <w:rPr>
          <w:sz w:val="22"/>
          <w:lang w:val="en-GB" w:eastAsia="en-GB"/>
        </w:rPr>
        <w:t>,</w:t>
      </w:r>
      <w:r>
        <w:rPr>
          <w:sz w:val="22"/>
          <w:lang w:val="en-GB" w:eastAsia="en-GB"/>
        </w:rPr>
        <w:t xml:space="preserve"> and </w:t>
      </w:r>
      <w:r w:rsidR="009258E5">
        <w:rPr>
          <w:sz w:val="22"/>
          <w:lang w:val="en-GB" w:eastAsia="en-GB"/>
        </w:rPr>
        <w:t xml:space="preserve">of </w:t>
      </w:r>
      <w:r w:rsidR="00EA06EE">
        <w:rPr>
          <w:sz w:val="22"/>
          <w:lang w:val="en-GB" w:eastAsia="en-GB"/>
        </w:rPr>
        <w:t xml:space="preserve">compliance verification </w:t>
      </w:r>
      <w:r w:rsidR="009258E5">
        <w:rPr>
          <w:sz w:val="22"/>
          <w:lang w:val="en-GB" w:eastAsia="en-GB"/>
        </w:rPr>
        <w:t>in relation to source licences,</w:t>
      </w:r>
      <w:r>
        <w:rPr>
          <w:sz w:val="22"/>
          <w:lang w:val="en-GB" w:eastAsia="en-GB"/>
        </w:rPr>
        <w:t xml:space="preserve"> to be met through imposition of fees.</w:t>
      </w:r>
    </w:p>
    <w:p w:rsidR="007D64BC" w:rsidRDefault="007D64BC" w:rsidP="007D64BC">
      <w:pPr>
        <w:pStyle w:val="ListParagraph"/>
        <w:ind w:left="360"/>
        <w:rPr>
          <w:sz w:val="22"/>
          <w:lang w:val="en-GB" w:eastAsia="en-GB"/>
        </w:rPr>
      </w:pPr>
    </w:p>
    <w:p w:rsidR="009258E5" w:rsidRDefault="009258E5" w:rsidP="009258E5">
      <w:pPr>
        <w:pStyle w:val="ListParagraph"/>
        <w:numPr>
          <w:ilvl w:val="0"/>
          <w:numId w:val="1"/>
        </w:numPr>
        <w:spacing w:after="0" w:line="280" w:lineRule="exact"/>
        <w:rPr>
          <w:rFonts w:eastAsia="Times New Roman" w:cs="Arial"/>
          <w:sz w:val="22"/>
          <w:lang w:val="en-AU"/>
        </w:rPr>
      </w:pPr>
      <w:r>
        <w:rPr>
          <w:rFonts w:eastAsia="Times New Roman" w:cs="Arial"/>
          <w:sz w:val="22"/>
          <w:lang w:val="en-AU"/>
        </w:rPr>
        <w:t>This approach is justified cost recovery in that source licences apply to the legal entity with control and management of radiation sources</w:t>
      </w:r>
      <w:r w:rsidR="00514732">
        <w:rPr>
          <w:rFonts w:eastAsia="Times New Roman" w:cs="Arial"/>
          <w:sz w:val="22"/>
          <w:lang w:val="en-AU"/>
        </w:rPr>
        <w:t>, and t</w:t>
      </w:r>
      <w:r>
        <w:rPr>
          <w:rFonts w:eastAsia="Times New Roman" w:cs="Arial"/>
          <w:sz w:val="22"/>
          <w:lang w:val="en-AU"/>
        </w:rPr>
        <w:t>hese entities have significant influence on radiation safety and protection practices.  Almost all comp</w:t>
      </w:r>
      <w:r w:rsidR="00514732">
        <w:rPr>
          <w:rFonts w:eastAsia="Times New Roman" w:cs="Arial"/>
          <w:sz w:val="22"/>
          <w:lang w:val="en-AU"/>
        </w:rPr>
        <w:t xml:space="preserve">liance verification activities </w:t>
      </w:r>
      <w:r>
        <w:rPr>
          <w:rFonts w:eastAsia="Times New Roman" w:cs="Arial"/>
          <w:sz w:val="22"/>
          <w:lang w:val="en-AU"/>
        </w:rPr>
        <w:t xml:space="preserve">will be applied to source licence conditions.  Therefore, fees will reflect the full cost of compliance verification costs which is the major component of overall cost of regulation.  The costs of source licensing and compliance verification </w:t>
      </w:r>
      <w:r w:rsidR="00514732">
        <w:rPr>
          <w:rFonts w:eastAsia="Times New Roman" w:cs="Arial"/>
          <w:sz w:val="22"/>
          <w:lang w:val="en-AU"/>
        </w:rPr>
        <w:t xml:space="preserve">are </w:t>
      </w:r>
      <w:r>
        <w:rPr>
          <w:rFonts w:eastAsia="Times New Roman" w:cs="Arial"/>
          <w:sz w:val="22"/>
          <w:lang w:val="en-AU"/>
        </w:rPr>
        <w:t xml:space="preserve">expected to be approximately $1.25 million per year or 87 percent of the total cost.  </w:t>
      </w:r>
    </w:p>
    <w:p w:rsidR="009258E5" w:rsidRDefault="009258E5" w:rsidP="007D64BC">
      <w:pPr>
        <w:pStyle w:val="ListParagraph"/>
        <w:ind w:left="360"/>
        <w:rPr>
          <w:sz w:val="22"/>
          <w:lang w:val="en-GB" w:eastAsia="en-GB"/>
        </w:rPr>
      </w:pPr>
    </w:p>
    <w:p w:rsidR="001B48C3" w:rsidRDefault="00DC7D18" w:rsidP="00C70AA0">
      <w:pPr>
        <w:pStyle w:val="ListParagraph"/>
        <w:numPr>
          <w:ilvl w:val="0"/>
          <w:numId w:val="1"/>
        </w:numPr>
        <w:rPr>
          <w:sz w:val="22"/>
          <w:lang w:val="en-GB" w:eastAsia="en-GB"/>
        </w:rPr>
      </w:pPr>
      <w:r w:rsidRPr="007D64BC">
        <w:rPr>
          <w:sz w:val="22"/>
          <w:lang w:val="en-GB" w:eastAsia="en-GB"/>
        </w:rPr>
        <w:t xml:space="preserve">The advantages of this option </w:t>
      </w:r>
      <w:r w:rsidR="007D64BC" w:rsidRPr="007D64BC">
        <w:rPr>
          <w:sz w:val="22"/>
          <w:lang w:val="en-GB" w:eastAsia="en-GB"/>
        </w:rPr>
        <w:t>are</w:t>
      </w:r>
      <w:r w:rsidRPr="007D64BC">
        <w:rPr>
          <w:sz w:val="22"/>
          <w:lang w:val="en-GB" w:eastAsia="en-GB"/>
        </w:rPr>
        <w:t xml:space="preserve"> that it is </w:t>
      </w:r>
      <w:r w:rsidR="007D64BC">
        <w:rPr>
          <w:sz w:val="22"/>
          <w:lang w:val="en-GB" w:eastAsia="en-GB"/>
        </w:rPr>
        <w:t>clear, simple</w:t>
      </w:r>
      <w:r w:rsidR="00A81684" w:rsidRPr="007D64BC">
        <w:rPr>
          <w:sz w:val="22"/>
          <w:lang w:val="en-GB" w:eastAsia="en-GB"/>
        </w:rPr>
        <w:t xml:space="preserve"> </w:t>
      </w:r>
      <w:r w:rsidRPr="007D64BC">
        <w:rPr>
          <w:sz w:val="22"/>
          <w:lang w:val="en-GB" w:eastAsia="en-GB"/>
        </w:rPr>
        <w:t xml:space="preserve">and </w:t>
      </w:r>
      <w:r w:rsidR="001B48C3" w:rsidRPr="007D64BC">
        <w:rPr>
          <w:sz w:val="22"/>
          <w:lang w:val="en-GB" w:eastAsia="en-GB"/>
        </w:rPr>
        <w:t xml:space="preserve">the funding of regulation would be </w:t>
      </w:r>
      <w:r w:rsidR="007D64BC">
        <w:rPr>
          <w:sz w:val="22"/>
          <w:lang w:val="en-GB" w:eastAsia="en-GB"/>
        </w:rPr>
        <w:t xml:space="preserve">more </w:t>
      </w:r>
      <w:r w:rsidR="001B48C3" w:rsidRPr="007D64BC">
        <w:rPr>
          <w:sz w:val="22"/>
          <w:lang w:val="en-GB" w:eastAsia="en-GB"/>
        </w:rPr>
        <w:t xml:space="preserve">closely associated with </w:t>
      </w:r>
      <w:r w:rsidR="007D64BC">
        <w:rPr>
          <w:sz w:val="22"/>
          <w:lang w:val="en-GB" w:eastAsia="en-GB"/>
        </w:rPr>
        <w:t>actual Regulator costs than option one.  Put simply, fees reflecting this option are justifiable as meeting reasonable and actual expenses.</w:t>
      </w:r>
    </w:p>
    <w:p w:rsidR="007D64BC" w:rsidRPr="007D64BC" w:rsidRDefault="007D64BC" w:rsidP="007D64BC">
      <w:pPr>
        <w:pStyle w:val="ListParagraph"/>
        <w:rPr>
          <w:sz w:val="22"/>
          <w:lang w:val="en-GB" w:eastAsia="en-GB"/>
        </w:rPr>
      </w:pPr>
    </w:p>
    <w:p w:rsidR="007D64BC" w:rsidRDefault="007D64BC" w:rsidP="00C70AA0">
      <w:pPr>
        <w:pStyle w:val="ListParagraph"/>
        <w:numPr>
          <w:ilvl w:val="0"/>
          <w:numId w:val="1"/>
        </w:numPr>
        <w:rPr>
          <w:sz w:val="22"/>
          <w:lang w:val="en-GB" w:eastAsia="en-GB"/>
        </w:rPr>
      </w:pPr>
      <w:r>
        <w:rPr>
          <w:sz w:val="22"/>
          <w:lang w:val="en-GB" w:eastAsia="en-GB"/>
        </w:rPr>
        <w:t xml:space="preserve">The disadvantages are that full cost recovery will be unpopular with some radiation users, particularly the compliance verification component of the fee.  </w:t>
      </w:r>
      <w:r w:rsidR="00514732">
        <w:rPr>
          <w:sz w:val="22"/>
          <w:lang w:val="en-GB" w:eastAsia="en-GB"/>
        </w:rPr>
        <w:t>Also, t</w:t>
      </w:r>
      <w:r>
        <w:rPr>
          <w:sz w:val="22"/>
          <w:lang w:val="en-GB" w:eastAsia="en-GB"/>
        </w:rPr>
        <w:t>here may be perceptions of inequity in that full cost recovery does not appear</w:t>
      </w:r>
      <w:r w:rsidR="00EA06EE">
        <w:rPr>
          <w:sz w:val="22"/>
          <w:lang w:val="en-GB" w:eastAsia="en-GB"/>
        </w:rPr>
        <w:t xml:space="preserve"> to take account of the surplus.</w:t>
      </w:r>
    </w:p>
    <w:p w:rsidR="00890C08" w:rsidRPr="00890C08" w:rsidRDefault="00890C08" w:rsidP="00890C08">
      <w:pPr>
        <w:pStyle w:val="ListParagraph"/>
        <w:rPr>
          <w:sz w:val="22"/>
          <w:lang w:val="en-GB" w:eastAsia="en-GB"/>
        </w:rPr>
      </w:pPr>
    </w:p>
    <w:p w:rsidR="00890C08" w:rsidRPr="00890C08" w:rsidRDefault="00890C08" w:rsidP="00890C08">
      <w:pPr>
        <w:rPr>
          <w:sz w:val="22"/>
          <w:lang w:val="en-GB" w:eastAsia="en-GB"/>
        </w:rPr>
      </w:pPr>
    </w:p>
    <w:p w:rsidR="007D64BC" w:rsidRDefault="00DC7D18" w:rsidP="007D64BC">
      <w:pPr>
        <w:rPr>
          <w:rFonts w:cs="Arial"/>
          <w:sz w:val="22"/>
          <w:u w:val="single"/>
          <w:lang w:val="en-GB" w:eastAsia="en-GB"/>
        </w:rPr>
      </w:pPr>
      <w:r>
        <w:rPr>
          <w:rFonts w:cs="Arial"/>
          <w:sz w:val="22"/>
          <w:u w:val="single"/>
          <w:lang w:val="en-GB" w:eastAsia="en-GB"/>
        </w:rPr>
        <w:t xml:space="preserve">Option three - full cost recovery with </w:t>
      </w:r>
      <w:r w:rsidR="007D64BC">
        <w:rPr>
          <w:rFonts w:cs="Arial"/>
          <w:sz w:val="22"/>
          <w:u w:val="single"/>
          <w:lang w:val="en-GB" w:eastAsia="en-GB"/>
        </w:rPr>
        <w:t>initial,</w:t>
      </w:r>
      <w:r w:rsidR="007424EB">
        <w:rPr>
          <w:rFonts w:cs="Arial"/>
          <w:sz w:val="22"/>
          <w:u w:val="single"/>
          <w:lang w:val="en-GB" w:eastAsia="en-GB"/>
        </w:rPr>
        <w:t xml:space="preserve"> </w:t>
      </w:r>
      <w:r>
        <w:rPr>
          <w:rFonts w:cs="Arial"/>
          <w:sz w:val="22"/>
          <w:u w:val="single"/>
          <w:lang w:val="en-GB" w:eastAsia="en-GB"/>
        </w:rPr>
        <w:t xml:space="preserve">partial exemption </w:t>
      </w:r>
      <w:r w:rsidR="007D64BC">
        <w:rPr>
          <w:rFonts w:cs="Arial"/>
          <w:sz w:val="22"/>
          <w:u w:val="single"/>
          <w:lang w:val="en-GB" w:eastAsia="en-GB"/>
        </w:rPr>
        <w:t xml:space="preserve">for source licence holders </w:t>
      </w:r>
    </w:p>
    <w:p w:rsidR="009258E5" w:rsidRPr="009258E5" w:rsidRDefault="00EA06EE" w:rsidP="009258E5">
      <w:pPr>
        <w:pStyle w:val="ListParagraph"/>
        <w:numPr>
          <w:ilvl w:val="0"/>
          <w:numId w:val="1"/>
        </w:numPr>
        <w:spacing w:after="240" w:line="280" w:lineRule="atLeast"/>
        <w:ind w:right="170"/>
        <w:rPr>
          <w:rFonts w:eastAsia="Times New Roman" w:cs="Arial"/>
          <w:i/>
          <w:sz w:val="22"/>
          <w:szCs w:val="20"/>
          <w:lang w:val="en-GB" w:eastAsia="en-GB"/>
        </w:rPr>
      </w:pPr>
      <w:r>
        <w:rPr>
          <w:rFonts w:eastAsia="Times New Roman" w:cs="Arial"/>
          <w:sz w:val="22"/>
          <w:szCs w:val="20"/>
          <w:lang w:val="en-GB" w:eastAsia="en-GB"/>
        </w:rPr>
        <w:t xml:space="preserve">Provide an </w:t>
      </w:r>
      <w:r w:rsidR="007D64BC" w:rsidRPr="007D64BC">
        <w:rPr>
          <w:rFonts w:eastAsia="Times New Roman" w:cs="Arial"/>
          <w:sz w:val="22"/>
          <w:szCs w:val="20"/>
          <w:lang w:val="en-GB" w:eastAsia="en-GB"/>
        </w:rPr>
        <w:t>initial exemption</w:t>
      </w:r>
      <w:r w:rsidR="007D64BC">
        <w:rPr>
          <w:rFonts w:eastAsia="Times New Roman" w:cs="Arial"/>
          <w:sz w:val="22"/>
          <w:szCs w:val="20"/>
          <w:lang w:val="en-GB" w:eastAsia="en-GB"/>
        </w:rPr>
        <w:t xml:space="preserve"> </w:t>
      </w:r>
      <w:r w:rsidR="007D64BC" w:rsidRPr="007D64BC">
        <w:rPr>
          <w:rFonts w:eastAsia="Times New Roman" w:cs="Arial"/>
          <w:sz w:val="22"/>
          <w:szCs w:val="20"/>
          <w:lang w:val="en-GB" w:eastAsia="en-GB"/>
        </w:rPr>
        <w:t>from the full fees so that the balance of previously over-recovered costs under the current legislative framework would move towards zero over a six year period.</w:t>
      </w:r>
      <w:r w:rsidR="007D64BC">
        <w:rPr>
          <w:rFonts w:eastAsia="Times New Roman" w:cs="Arial"/>
          <w:sz w:val="22"/>
          <w:szCs w:val="20"/>
          <w:lang w:val="en-GB" w:eastAsia="en-GB"/>
        </w:rPr>
        <w:t xml:space="preserve"> </w:t>
      </w:r>
      <w:r w:rsidR="009258E5">
        <w:rPr>
          <w:rFonts w:eastAsia="Times New Roman" w:cs="Arial"/>
          <w:sz w:val="22"/>
          <w:szCs w:val="20"/>
          <w:lang w:val="en-GB" w:eastAsia="en-GB"/>
        </w:rPr>
        <w:t xml:space="preserve"> </w:t>
      </w:r>
    </w:p>
    <w:p w:rsidR="009258E5" w:rsidRPr="009258E5" w:rsidRDefault="009258E5" w:rsidP="009258E5">
      <w:pPr>
        <w:pStyle w:val="ListParagraph"/>
        <w:spacing w:after="240" w:line="280" w:lineRule="atLeast"/>
        <w:ind w:left="360" w:right="170"/>
        <w:rPr>
          <w:rFonts w:eastAsia="Times New Roman" w:cs="Arial"/>
          <w:i/>
          <w:sz w:val="22"/>
          <w:szCs w:val="20"/>
          <w:lang w:val="en-GB" w:eastAsia="en-GB"/>
        </w:rPr>
      </w:pPr>
    </w:p>
    <w:p w:rsidR="009258E5" w:rsidRPr="00514732" w:rsidRDefault="009258E5" w:rsidP="009258E5">
      <w:pPr>
        <w:pStyle w:val="ListParagraph"/>
        <w:numPr>
          <w:ilvl w:val="0"/>
          <w:numId w:val="1"/>
        </w:numPr>
        <w:spacing w:after="240" w:line="280" w:lineRule="atLeast"/>
        <w:ind w:right="170"/>
        <w:rPr>
          <w:rFonts w:eastAsia="Times New Roman" w:cs="Arial"/>
          <w:i/>
          <w:sz w:val="22"/>
          <w:szCs w:val="20"/>
          <w:lang w:val="en-GB" w:eastAsia="en-GB"/>
        </w:rPr>
      </w:pPr>
      <w:r>
        <w:rPr>
          <w:rFonts w:eastAsia="Times New Roman" w:cs="Arial"/>
          <w:sz w:val="22"/>
          <w:szCs w:val="20"/>
          <w:lang w:val="en-GB" w:eastAsia="en-GB"/>
        </w:rPr>
        <w:t>In this initial period a</w:t>
      </w:r>
      <w:r w:rsidRPr="009258E5">
        <w:rPr>
          <w:rFonts w:eastAsia="Times New Roman" w:cs="Arial"/>
          <w:sz w:val="22"/>
          <w:lang w:val="en-AU"/>
        </w:rPr>
        <w:t xml:space="preserve"> 13 percent partial exemption</w:t>
      </w:r>
      <w:r w:rsidR="00514732">
        <w:rPr>
          <w:rFonts w:eastAsia="Times New Roman" w:cs="Arial"/>
          <w:sz w:val="22"/>
          <w:lang w:val="en-AU"/>
        </w:rPr>
        <w:t xml:space="preserve"> would apply</w:t>
      </w:r>
      <w:r w:rsidRPr="009258E5">
        <w:rPr>
          <w:rFonts w:eastAsia="Times New Roman" w:cs="Arial"/>
          <w:sz w:val="22"/>
          <w:lang w:val="en-AU"/>
        </w:rPr>
        <w:t xml:space="preserve"> to the full source licence fees.  Applying this approach to the total expected cost ($1.25 million per year), comes to $1.09 million per year.  This would reduce the surplus through over recovery by approximately $160,000 per year or approximately $960,000 over six years.  </w:t>
      </w:r>
    </w:p>
    <w:p w:rsidR="00514732" w:rsidRPr="00514732" w:rsidRDefault="00514732" w:rsidP="00514732">
      <w:pPr>
        <w:pStyle w:val="ListParagraph"/>
        <w:rPr>
          <w:rFonts w:eastAsia="Times New Roman" w:cs="Arial"/>
          <w:i/>
          <w:sz w:val="22"/>
          <w:szCs w:val="20"/>
          <w:lang w:val="en-GB" w:eastAsia="en-GB"/>
        </w:rPr>
      </w:pPr>
    </w:p>
    <w:p w:rsidR="00514732" w:rsidRDefault="00514732" w:rsidP="00514732">
      <w:pPr>
        <w:pStyle w:val="ListParagraph"/>
        <w:numPr>
          <w:ilvl w:val="0"/>
          <w:numId w:val="1"/>
        </w:numPr>
        <w:spacing w:after="0" w:line="280" w:lineRule="exact"/>
        <w:rPr>
          <w:rFonts w:eastAsia="Times New Roman" w:cs="Arial"/>
          <w:sz w:val="22"/>
          <w:lang w:val="en-AU"/>
        </w:rPr>
      </w:pPr>
      <w:r w:rsidRPr="007D64BC">
        <w:rPr>
          <w:sz w:val="22"/>
          <w:lang w:val="en-GB" w:eastAsia="en-GB"/>
        </w:rPr>
        <w:t>The proposal</w:t>
      </w:r>
      <w:r>
        <w:rPr>
          <w:sz w:val="22"/>
          <w:lang w:val="en-GB" w:eastAsia="en-GB"/>
        </w:rPr>
        <w:t xml:space="preserve"> mentioned earlier, </w:t>
      </w:r>
      <w:r w:rsidR="00E65A94">
        <w:rPr>
          <w:sz w:val="22"/>
          <w:lang w:val="en-GB" w:eastAsia="en-GB"/>
        </w:rPr>
        <w:t xml:space="preserve">of </w:t>
      </w:r>
      <w:r w:rsidRPr="007D64BC">
        <w:rPr>
          <w:sz w:val="22"/>
          <w:lang w:val="en-GB" w:eastAsia="en-GB"/>
        </w:rPr>
        <w:t>adopt</w:t>
      </w:r>
      <w:r w:rsidR="00E65A94">
        <w:rPr>
          <w:sz w:val="22"/>
          <w:lang w:val="en-GB" w:eastAsia="en-GB"/>
        </w:rPr>
        <w:t>ing</w:t>
      </w:r>
      <w:r w:rsidRPr="007D64BC">
        <w:rPr>
          <w:sz w:val="22"/>
          <w:lang w:val="en-GB" w:eastAsia="en-GB"/>
        </w:rPr>
        <w:t xml:space="preserve"> a three-year source licen</w:t>
      </w:r>
      <w:r>
        <w:rPr>
          <w:sz w:val="22"/>
          <w:lang w:val="en-GB" w:eastAsia="en-GB"/>
        </w:rPr>
        <w:t>s</w:t>
      </w:r>
      <w:r w:rsidRPr="007D64BC">
        <w:rPr>
          <w:sz w:val="22"/>
          <w:lang w:val="en-GB" w:eastAsia="en-GB"/>
        </w:rPr>
        <w:t>ing period</w:t>
      </w:r>
      <w:r>
        <w:rPr>
          <w:sz w:val="22"/>
          <w:lang w:val="en-GB" w:eastAsia="en-GB"/>
        </w:rPr>
        <w:t>,</w:t>
      </w:r>
      <w:r w:rsidRPr="007D64BC">
        <w:rPr>
          <w:sz w:val="22"/>
          <w:lang w:val="en-GB" w:eastAsia="en-GB"/>
        </w:rPr>
        <w:t xml:space="preserve"> means that the Ministry’s income from licen</w:t>
      </w:r>
      <w:r>
        <w:rPr>
          <w:sz w:val="22"/>
          <w:lang w:val="en-GB" w:eastAsia="en-GB"/>
        </w:rPr>
        <w:t>s</w:t>
      </w:r>
      <w:r w:rsidRPr="007D64BC">
        <w:rPr>
          <w:sz w:val="22"/>
          <w:lang w:val="en-GB" w:eastAsia="en-GB"/>
        </w:rPr>
        <w:t xml:space="preserve">ing is </w:t>
      </w:r>
      <w:r>
        <w:rPr>
          <w:sz w:val="22"/>
          <w:lang w:val="en-GB" w:eastAsia="en-GB"/>
        </w:rPr>
        <w:t xml:space="preserve">also </w:t>
      </w:r>
      <w:r w:rsidRPr="007D64BC">
        <w:rPr>
          <w:sz w:val="22"/>
          <w:lang w:val="en-GB" w:eastAsia="en-GB"/>
        </w:rPr>
        <w:t>likely to follow a three yearly cycle.  Therefore, a meaningful analysis of the fees taken under these proposed Regulations would not be available until at least four years has past (one full cycle is complete).</w:t>
      </w:r>
      <w:r w:rsidR="008A4E5E">
        <w:rPr>
          <w:sz w:val="22"/>
          <w:lang w:val="en-GB" w:eastAsia="en-GB"/>
        </w:rPr>
        <w:t xml:space="preserve">  Under option three, </w:t>
      </w:r>
      <w:r>
        <w:rPr>
          <w:sz w:val="22"/>
          <w:lang w:val="en-GB" w:eastAsia="en-GB"/>
        </w:rPr>
        <w:t>th</w:t>
      </w:r>
      <w:r>
        <w:rPr>
          <w:rFonts w:eastAsia="Times New Roman" w:cs="Arial"/>
          <w:sz w:val="22"/>
          <w:lang w:val="en-AU"/>
        </w:rPr>
        <w:t xml:space="preserve">e Ministry would review the fees (and costs) before the end of this six year period.  </w:t>
      </w:r>
    </w:p>
    <w:p w:rsidR="00514732" w:rsidRPr="00514732" w:rsidRDefault="00514732" w:rsidP="00514732">
      <w:pPr>
        <w:pStyle w:val="ListParagraph"/>
        <w:rPr>
          <w:rFonts w:eastAsia="Times New Roman" w:cs="Arial"/>
          <w:sz w:val="22"/>
          <w:lang w:val="en-AU"/>
        </w:rPr>
      </w:pPr>
    </w:p>
    <w:p w:rsidR="00514732" w:rsidRPr="00514732" w:rsidRDefault="00514732" w:rsidP="00514732">
      <w:pPr>
        <w:pStyle w:val="ListParagraph"/>
        <w:numPr>
          <w:ilvl w:val="0"/>
          <w:numId w:val="1"/>
        </w:numPr>
        <w:spacing w:after="0" w:line="280" w:lineRule="exact"/>
        <w:ind w:right="170"/>
        <w:rPr>
          <w:rFonts w:eastAsia="Times New Roman" w:cs="Arial"/>
          <w:sz w:val="22"/>
          <w:lang w:val="en-AU"/>
        </w:rPr>
      </w:pPr>
      <w:r w:rsidRPr="00514732">
        <w:rPr>
          <w:rFonts w:eastAsia="Times New Roman" w:cs="Arial"/>
          <w:sz w:val="22"/>
          <w:szCs w:val="20"/>
          <w:lang w:val="en-GB" w:eastAsia="en-GB"/>
        </w:rPr>
        <w:t>This option has been agreed by Cabinet as the basis on which the Ministry would consult w</w:t>
      </w:r>
      <w:r w:rsidR="00CC4A8F">
        <w:rPr>
          <w:rFonts w:eastAsia="Times New Roman" w:cs="Arial"/>
          <w:sz w:val="22"/>
          <w:szCs w:val="20"/>
          <w:lang w:val="en-GB" w:eastAsia="en-GB"/>
        </w:rPr>
        <w:t>ith stakeholders and the public</w:t>
      </w:r>
      <w:r w:rsidRPr="00514732">
        <w:rPr>
          <w:rFonts w:eastAsia="Times New Roman" w:cs="Arial"/>
          <w:i/>
          <w:sz w:val="22"/>
          <w:szCs w:val="20"/>
          <w:lang w:val="en-GB" w:eastAsia="en-GB"/>
        </w:rPr>
        <w:t xml:space="preserve">.   </w:t>
      </w:r>
    </w:p>
    <w:p w:rsidR="00514732" w:rsidRPr="00514732" w:rsidRDefault="00514732" w:rsidP="00514732">
      <w:pPr>
        <w:pStyle w:val="ListParagraph"/>
        <w:rPr>
          <w:rFonts w:eastAsia="Times New Roman" w:cs="Arial"/>
          <w:sz w:val="22"/>
          <w:lang w:val="en-AU"/>
        </w:rPr>
      </w:pPr>
    </w:p>
    <w:p w:rsidR="00514732" w:rsidRPr="00514732" w:rsidRDefault="00514732" w:rsidP="00514732">
      <w:pPr>
        <w:pStyle w:val="ListParagraph"/>
        <w:numPr>
          <w:ilvl w:val="0"/>
          <w:numId w:val="1"/>
        </w:numPr>
        <w:spacing w:after="0" w:line="280" w:lineRule="exact"/>
        <w:ind w:right="170"/>
        <w:rPr>
          <w:rFonts w:eastAsia="Times New Roman" w:cs="Arial"/>
          <w:sz w:val="22"/>
          <w:lang w:val="en-AU"/>
        </w:rPr>
      </w:pPr>
      <w:r>
        <w:rPr>
          <w:rFonts w:eastAsia="Times New Roman" w:cs="Arial"/>
          <w:sz w:val="22"/>
          <w:lang w:val="en-AU"/>
        </w:rPr>
        <w:t>O</w:t>
      </w:r>
      <w:r w:rsidRPr="00514732">
        <w:rPr>
          <w:rFonts w:eastAsia="Times New Roman" w:cs="Arial"/>
          <w:sz w:val="22"/>
          <w:lang w:val="en-AU"/>
        </w:rPr>
        <w:t xml:space="preserve">ption </w:t>
      </w:r>
      <w:r>
        <w:rPr>
          <w:rFonts w:eastAsia="Times New Roman" w:cs="Arial"/>
          <w:sz w:val="22"/>
          <w:lang w:val="en-AU"/>
        </w:rPr>
        <w:t xml:space="preserve">three </w:t>
      </w:r>
      <w:r w:rsidRPr="00514732">
        <w:rPr>
          <w:rFonts w:eastAsia="Times New Roman" w:cs="Arial"/>
          <w:sz w:val="22"/>
          <w:lang w:val="en-AU"/>
        </w:rPr>
        <w:t xml:space="preserve">has the advantage of giving the group most comparable to those who have contributed to the surplus funds in the past an initial, partial fees exemption.  Put another way, this exemption would be </w:t>
      </w:r>
      <w:r>
        <w:rPr>
          <w:rFonts w:eastAsia="Times New Roman" w:cs="Arial"/>
          <w:sz w:val="22"/>
          <w:lang w:val="en-AU"/>
        </w:rPr>
        <w:t xml:space="preserve">appropriately </w:t>
      </w:r>
      <w:r w:rsidRPr="00514732">
        <w:rPr>
          <w:rFonts w:eastAsia="Times New Roman" w:cs="Arial"/>
          <w:sz w:val="22"/>
          <w:lang w:val="en-AU"/>
        </w:rPr>
        <w:t xml:space="preserve">applied to licence holders who have </w:t>
      </w:r>
      <w:r w:rsidR="00EA06EE">
        <w:rPr>
          <w:rFonts w:eastAsia="Times New Roman" w:cs="Arial"/>
          <w:sz w:val="22"/>
          <w:lang w:val="en-AU"/>
        </w:rPr>
        <w:t xml:space="preserve">contributed most to the surplus, </w:t>
      </w:r>
      <w:r w:rsidRPr="00514732">
        <w:rPr>
          <w:rFonts w:eastAsia="Times New Roman" w:cs="Arial"/>
          <w:sz w:val="22"/>
          <w:lang w:val="en-AU"/>
        </w:rPr>
        <w:t>and best meets the statutory principles for cost recovery.  It would also assist in initially keeping fees lower than option two.</w:t>
      </w:r>
    </w:p>
    <w:p w:rsidR="00514732" w:rsidRPr="00514732" w:rsidRDefault="00514732" w:rsidP="00514732">
      <w:pPr>
        <w:pStyle w:val="ListParagraph"/>
        <w:rPr>
          <w:rFonts w:eastAsia="Times New Roman" w:cs="Arial"/>
          <w:sz w:val="22"/>
          <w:lang w:val="en-AU"/>
        </w:rPr>
      </w:pPr>
    </w:p>
    <w:p w:rsidR="00514732" w:rsidRDefault="00514732" w:rsidP="004929A3">
      <w:pPr>
        <w:pStyle w:val="ListParagraph"/>
        <w:numPr>
          <w:ilvl w:val="0"/>
          <w:numId w:val="1"/>
        </w:numPr>
        <w:spacing w:after="0" w:line="280" w:lineRule="exact"/>
        <w:ind w:right="170"/>
        <w:rPr>
          <w:rFonts w:eastAsia="Times New Roman" w:cs="Arial"/>
          <w:sz w:val="22"/>
          <w:lang w:val="en-AU"/>
        </w:rPr>
      </w:pPr>
      <w:r>
        <w:rPr>
          <w:rFonts w:eastAsia="Times New Roman" w:cs="Arial"/>
          <w:sz w:val="22"/>
          <w:lang w:val="en-AU"/>
        </w:rPr>
        <w:t xml:space="preserve"> A disadvantage is that the option is not as simple as either of the other options.  Although there is a risk that the partial exemption may in reality result in a short fall of fees, compromising radiation safety compliance measures, the Ministry considers this risk to be slight.</w:t>
      </w:r>
    </w:p>
    <w:p w:rsidR="007D64BC" w:rsidRDefault="007D64BC" w:rsidP="007D64BC">
      <w:pPr>
        <w:pStyle w:val="ListParagraph"/>
        <w:spacing w:after="0" w:line="280" w:lineRule="exact"/>
        <w:ind w:left="360"/>
        <w:rPr>
          <w:rFonts w:eastAsia="Times New Roman" w:cs="Arial"/>
          <w:sz w:val="22"/>
          <w:lang w:val="en-AU"/>
        </w:rPr>
      </w:pPr>
    </w:p>
    <w:p w:rsidR="00DC7D18" w:rsidRDefault="00447127" w:rsidP="00DC7D18">
      <w:pPr>
        <w:spacing w:after="0" w:line="280" w:lineRule="exact"/>
        <w:ind w:left="720" w:hanging="720"/>
        <w:rPr>
          <w:rFonts w:eastAsia="Times New Roman" w:cs="Arial"/>
          <w:sz w:val="22"/>
          <w:u w:val="single"/>
          <w:lang w:val="en-AU"/>
        </w:rPr>
      </w:pPr>
      <w:r>
        <w:rPr>
          <w:rFonts w:eastAsia="Times New Roman" w:cs="Arial"/>
          <w:sz w:val="22"/>
          <w:u w:val="single"/>
          <w:lang w:val="en-AU"/>
        </w:rPr>
        <w:t xml:space="preserve">Analysis of </w:t>
      </w:r>
      <w:r w:rsidR="00DC7D18">
        <w:rPr>
          <w:rFonts w:eastAsia="Times New Roman" w:cs="Arial"/>
          <w:sz w:val="22"/>
          <w:u w:val="single"/>
          <w:lang w:val="en-AU"/>
        </w:rPr>
        <w:t>option</w:t>
      </w:r>
      <w:r>
        <w:rPr>
          <w:rFonts w:eastAsia="Times New Roman" w:cs="Arial"/>
          <w:sz w:val="22"/>
          <w:u w:val="single"/>
          <w:lang w:val="en-AU"/>
        </w:rPr>
        <w:t>s</w:t>
      </w:r>
    </w:p>
    <w:p w:rsidR="00514732" w:rsidRDefault="00514732" w:rsidP="00DC7D18">
      <w:pPr>
        <w:spacing w:after="0" w:line="280" w:lineRule="exact"/>
        <w:ind w:left="720" w:hanging="720"/>
        <w:rPr>
          <w:rFonts w:eastAsia="Times New Roman" w:cs="Arial"/>
          <w:sz w:val="22"/>
          <w:u w:val="single"/>
          <w:lang w:val="en-AU"/>
        </w:rPr>
      </w:pPr>
    </w:p>
    <w:tbl>
      <w:tblPr>
        <w:tblStyle w:val="TableGrid"/>
        <w:tblW w:w="0" w:type="auto"/>
        <w:tblInd w:w="108" w:type="dxa"/>
        <w:tblLayout w:type="fixed"/>
        <w:tblLook w:val="04A0" w:firstRow="1" w:lastRow="0" w:firstColumn="1" w:lastColumn="0" w:noHBand="0" w:noVBand="1"/>
      </w:tblPr>
      <w:tblGrid>
        <w:gridCol w:w="5812"/>
        <w:gridCol w:w="1134"/>
        <w:gridCol w:w="992"/>
        <w:gridCol w:w="992"/>
      </w:tblGrid>
      <w:tr w:rsidR="00514732" w:rsidRPr="008A5AA4" w:rsidTr="00EB0884">
        <w:tc>
          <w:tcPr>
            <w:tcW w:w="5812" w:type="dxa"/>
          </w:tcPr>
          <w:p w:rsidR="00514732" w:rsidRPr="008A5AA4" w:rsidRDefault="00514732" w:rsidP="00E874CE">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Criteria</w:t>
            </w:r>
          </w:p>
        </w:tc>
        <w:tc>
          <w:tcPr>
            <w:tcW w:w="1134" w:type="dxa"/>
          </w:tcPr>
          <w:p w:rsidR="00514732" w:rsidRPr="008A5AA4" w:rsidRDefault="00514732" w:rsidP="00E874CE">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1</w:t>
            </w:r>
          </w:p>
        </w:tc>
        <w:tc>
          <w:tcPr>
            <w:tcW w:w="992" w:type="dxa"/>
          </w:tcPr>
          <w:p w:rsidR="00514732" w:rsidRPr="008A5AA4" w:rsidRDefault="00514732" w:rsidP="00E874CE">
            <w:pPr>
              <w:spacing w:line="280" w:lineRule="exact"/>
              <w:jc w:val="center"/>
              <w:rPr>
                <w:rFonts w:eastAsia="Times New Roman" w:cs="Times New Roman"/>
                <w:b/>
                <w:sz w:val="16"/>
                <w:szCs w:val="16"/>
                <w:lang w:val="en-AU"/>
              </w:rPr>
            </w:pPr>
            <w:r w:rsidRPr="008A5AA4">
              <w:rPr>
                <w:rFonts w:eastAsia="Times New Roman" w:cs="Times New Roman"/>
                <w:b/>
                <w:sz w:val="16"/>
                <w:szCs w:val="16"/>
                <w:lang w:val="en-AU"/>
              </w:rPr>
              <w:t>Option 2</w:t>
            </w:r>
          </w:p>
        </w:tc>
        <w:tc>
          <w:tcPr>
            <w:tcW w:w="992" w:type="dxa"/>
          </w:tcPr>
          <w:p w:rsidR="00514732" w:rsidRPr="008A5AA4" w:rsidRDefault="00514732" w:rsidP="00E874CE">
            <w:pPr>
              <w:spacing w:line="280" w:lineRule="exact"/>
              <w:jc w:val="center"/>
              <w:rPr>
                <w:rFonts w:eastAsia="Times New Roman" w:cs="Times New Roman"/>
                <w:b/>
                <w:sz w:val="16"/>
                <w:szCs w:val="16"/>
                <w:lang w:val="en-AU"/>
              </w:rPr>
            </w:pPr>
            <w:r>
              <w:rPr>
                <w:rFonts w:eastAsia="Times New Roman" w:cs="Times New Roman"/>
                <w:b/>
                <w:sz w:val="16"/>
                <w:szCs w:val="16"/>
                <w:lang w:val="en-AU"/>
              </w:rPr>
              <w:t>Option 3</w:t>
            </w:r>
          </w:p>
        </w:tc>
      </w:tr>
      <w:tr w:rsidR="00514732" w:rsidTr="00EB0884">
        <w:tc>
          <w:tcPr>
            <w:tcW w:w="5812" w:type="dxa"/>
          </w:tcPr>
          <w:p w:rsidR="00514732" w:rsidRPr="008A5AA4" w:rsidRDefault="00514732" w:rsidP="00E874CE">
            <w:pPr>
              <w:spacing w:line="280" w:lineRule="exact"/>
              <w:rPr>
                <w:rFonts w:eastAsia="Times New Roman" w:cs="Times New Roman"/>
                <w:sz w:val="16"/>
                <w:szCs w:val="16"/>
                <w:lang w:val="en-AU"/>
              </w:rPr>
            </w:pPr>
            <w:r>
              <w:rPr>
                <w:rFonts w:eastAsia="Times New Roman" w:cs="Times New Roman"/>
                <w:sz w:val="16"/>
                <w:szCs w:val="16"/>
                <w:lang w:val="en-GB" w:eastAsia="en-GB"/>
              </w:rPr>
              <w:t>Proportionate</w:t>
            </w:r>
            <w:r w:rsidRPr="008A5AA4">
              <w:rPr>
                <w:rFonts w:eastAsia="Times New Roman" w:cs="Times New Roman"/>
                <w:sz w:val="16"/>
                <w:szCs w:val="16"/>
                <w:lang w:val="en-GB" w:eastAsia="en-GB"/>
              </w:rPr>
              <w:t xml:space="preserve"> </w:t>
            </w:r>
          </w:p>
        </w:tc>
        <w:tc>
          <w:tcPr>
            <w:tcW w:w="1134" w:type="dxa"/>
          </w:tcPr>
          <w:p w:rsidR="00514732" w:rsidRDefault="00514732" w:rsidP="00E874CE">
            <w:pPr>
              <w:spacing w:line="280" w:lineRule="exact"/>
              <w:rPr>
                <w:rFonts w:eastAsia="Times New Roman" w:cs="Times New Roman"/>
                <w:sz w:val="22"/>
                <w:lang w:val="en-AU"/>
              </w:rPr>
            </w:pPr>
          </w:p>
        </w:tc>
        <w:tc>
          <w:tcPr>
            <w:tcW w:w="992"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Arial"/>
                <w:sz w:val="22"/>
                <w:lang w:val="en-AU"/>
              </w:rPr>
            </w:pPr>
            <w:r>
              <w:rPr>
                <w:rFonts w:eastAsia="Times New Roman" w:cs="Arial"/>
                <w:sz w:val="22"/>
                <w:lang w:val="en-AU"/>
              </w:rPr>
              <w:t>√√</w:t>
            </w:r>
          </w:p>
        </w:tc>
      </w:tr>
      <w:tr w:rsidR="00514732" w:rsidTr="00EB0884">
        <w:trPr>
          <w:trHeight w:val="259"/>
        </w:trPr>
        <w:tc>
          <w:tcPr>
            <w:tcW w:w="5812" w:type="dxa"/>
          </w:tcPr>
          <w:p w:rsidR="00514732" w:rsidRPr="008A5AA4" w:rsidRDefault="00514732" w:rsidP="00E874CE">
            <w:pPr>
              <w:spacing w:line="280" w:lineRule="exact"/>
              <w:rPr>
                <w:rFonts w:eastAsia="Times New Roman" w:cs="Times New Roman"/>
                <w:sz w:val="16"/>
                <w:szCs w:val="16"/>
                <w:lang w:val="en-AU"/>
              </w:rPr>
            </w:pPr>
            <w:r>
              <w:rPr>
                <w:rFonts w:eastAsia="Times New Roman" w:cs="Times New Roman"/>
                <w:sz w:val="16"/>
                <w:szCs w:val="16"/>
                <w:lang w:val="en-AU"/>
              </w:rPr>
              <w:t>Simple</w:t>
            </w:r>
          </w:p>
        </w:tc>
        <w:tc>
          <w:tcPr>
            <w:tcW w:w="1134"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Arial"/>
                <w:sz w:val="22"/>
                <w:lang w:val="en-AU"/>
              </w:rPr>
            </w:pPr>
            <w:r>
              <w:rPr>
                <w:rFonts w:eastAsia="Times New Roman" w:cs="Arial"/>
                <w:sz w:val="22"/>
                <w:lang w:val="en-AU"/>
              </w:rPr>
              <w:t>√</w:t>
            </w:r>
          </w:p>
        </w:tc>
      </w:tr>
      <w:tr w:rsidR="00514732" w:rsidTr="00EB0884">
        <w:tc>
          <w:tcPr>
            <w:tcW w:w="5812" w:type="dxa"/>
          </w:tcPr>
          <w:p w:rsidR="00514732" w:rsidRPr="008A5AA4" w:rsidRDefault="00514732" w:rsidP="00E874CE">
            <w:pPr>
              <w:spacing w:line="280" w:lineRule="exact"/>
              <w:rPr>
                <w:rFonts w:eastAsia="Times New Roman" w:cs="Times New Roman"/>
                <w:sz w:val="16"/>
                <w:szCs w:val="16"/>
                <w:lang w:val="en-AU"/>
              </w:rPr>
            </w:pPr>
            <w:r>
              <w:rPr>
                <w:rFonts w:eastAsia="Times New Roman" w:cs="Times New Roman"/>
                <w:sz w:val="16"/>
                <w:szCs w:val="16"/>
                <w:lang w:val="en-GB" w:eastAsia="en-GB"/>
              </w:rPr>
              <w:t>Certain</w:t>
            </w:r>
            <w:r w:rsidRPr="008A5AA4">
              <w:rPr>
                <w:rFonts w:eastAsia="Times New Roman" w:cs="Times New Roman"/>
                <w:sz w:val="16"/>
                <w:szCs w:val="16"/>
                <w:lang w:val="en-GB" w:eastAsia="en-GB"/>
              </w:rPr>
              <w:t xml:space="preserve"> in cases where this is </w:t>
            </w:r>
            <w:r>
              <w:rPr>
                <w:rFonts w:eastAsia="Times New Roman" w:cs="Times New Roman"/>
                <w:sz w:val="16"/>
                <w:szCs w:val="16"/>
                <w:lang w:val="en-GB" w:eastAsia="en-GB"/>
              </w:rPr>
              <w:t>appropriate</w:t>
            </w:r>
          </w:p>
        </w:tc>
        <w:tc>
          <w:tcPr>
            <w:tcW w:w="1134"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Arial"/>
                <w:sz w:val="22"/>
                <w:lang w:val="en-AU"/>
              </w:rPr>
            </w:pPr>
            <w:r>
              <w:rPr>
                <w:rFonts w:eastAsia="Times New Roman" w:cs="Arial"/>
                <w:sz w:val="22"/>
                <w:lang w:val="en-AU"/>
              </w:rPr>
              <w:t>√√</w:t>
            </w:r>
          </w:p>
        </w:tc>
      </w:tr>
      <w:tr w:rsidR="00514732" w:rsidTr="00EB0884">
        <w:tc>
          <w:tcPr>
            <w:tcW w:w="5812" w:type="dxa"/>
          </w:tcPr>
          <w:p w:rsidR="00514732" w:rsidRPr="008A5AA4" w:rsidRDefault="00514732" w:rsidP="00E874CE">
            <w:pPr>
              <w:spacing w:line="280" w:lineRule="exact"/>
              <w:rPr>
                <w:rFonts w:eastAsia="Times New Roman" w:cs="Times New Roman"/>
                <w:sz w:val="16"/>
                <w:szCs w:val="16"/>
                <w:lang w:val="en-GB" w:eastAsia="en-GB"/>
              </w:rPr>
            </w:pPr>
            <w:r>
              <w:rPr>
                <w:rFonts w:eastAsia="Times New Roman" w:cs="Times New Roman"/>
                <w:sz w:val="16"/>
                <w:szCs w:val="16"/>
                <w:lang w:val="en-GB" w:eastAsia="en-GB"/>
              </w:rPr>
              <w:t>Full cost recovery in keeping with statutory principles</w:t>
            </w:r>
          </w:p>
        </w:tc>
        <w:tc>
          <w:tcPr>
            <w:tcW w:w="1134" w:type="dxa"/>
          </w:tcPr>
          <w:p w:rsidR="00514732" w:rsidRDefault="00514732" w:rsidP="00E874CE">
            <w:pPr>
              <w:spacing w:line="280" w:lineRule="exact"/>
              <w:rPr>
                <w:rFonts w:eastAsia="Times New Roman" w:cs="Times New Roman"/>
                <w:sz w:val="22"/>
                <w:lang w:val="en-AU"/>
              </w:rPr>
            </w:pPr>
          </w:p>
        </w:tc>
        <w:tc>
          <w:tcPr>
            <w:tcW w:w="992" w:type="dxa"/>
          </w:tcPr>
          <w:p w:rsidR="00514732" w:rsidRDefault="00514732" w:rsidP="00E874CE">
            <w:pPr>
              <w:spacing w:line="280" w:lineRule="exact"/>
              <w:rPr>
                <w:rFonts w:eastAsia="Times New Roman" w:cs="Times New Roman"/>
                <w:sz w:val="22"/>
                <w:lang w:val="en-AU"/>
              </w:rPr>
            </w:pPr>
            <w:r>
              <w:rPr>
                <w:rFonts w:eastAsia="Times New Roman" w:cs="Arial"/>
                <w:sz w:val="22"/>
                <w:lang w:val="en-AU"/>
              </w:rPr>
              <w:t>√√</w:t>
            </w:r>
          </w:p>
        </w:tc>
        <w:tc>
          <w:tcPr>
            <w:tcW w:w="992" w:type="dxa"/>
          </w:tcPr>
          <w:p w:rsidR="00514732" w:rsidRDefault="00514732" w:rsidP="00E874CE">
            <w:pPr>
              <w:spacing w:line="280" w:lineRule="exact"/>
              <w:rPr>
                <w:rFonts w:eastAsia="Times New Roman" w:cs="Arial"/>
                <w:sz w:val="22"/>
                <w:lang w:val="en-AU"/>
              </w:rPr>
            </w:pPr>
            <w:r>
              <w:rPr>
                <w:rFonts w:eastAsia="Times New Roman" w:cs="Arial"/>
                <w:sz w:val="22"/>
                <w:lang w:val="en-AU"/>
              </w:rPr>
              <w:t>√√√</w:t>
            </w:r>
          </w:p>
        </w:tc>
      </w:tr>
    </w:tbl>
    <w:p w:rsidR="007A464B" w:rsidRDefault="007A464B" w:rsidP="007A464B">
      <w:pPr>
        <w:spacing w:after="0" w:line="280" w:lineRule="exact"/>
        <w:rPr>
          <w:rFonts w:eastAsia="Times New Roman" w:cs="Times New Roman"/>
          <w:sz w:val="22"/>
          <w:lang w:val="en-AU"/>
        </w:rPr>
      </w:pPr>
      <w:r>
        <w:rPr>
          <w:rFonts w:eastAsia="Times New Roman" w:cs="Times New Roman"/>
          <w:sz w:val="22"/>
          <w:lang w:val="en-AU"/>
        </w:rPr>
        <w:t>Key = ticks indicate criteri</w:t>
      </w:r>
      <w:r w:rsidR="000B6227">
        <w:rPr>
          <w:rFonts w:eastAsia="Times New Roman" w:cs="Times New Roman"/>
          <w:sz w:val="22"/>
          <w:lang w:val="en-AU"/>
        </w:rPr>
        <w:t>a met; blank</w:t>
      </w:r>
      <w:r>
        <w:rPr>
          <w:rFonts w:eastAsia="Times New Roman" w:cs="Times New Roman"/>
          <w:sz w:val="22"/>
          <w:lang w:val="en-AU"/>
        </w:rPr>
        <w:t xml:space="preserve"> space</w:t>
      </w:r>
      <w:r w:rsidR="000B6227">
        <w:rPr>
          <w:rFonts w:eastAsia="Times New Roman" w:cs="Times New Roman"/>
          <w:sz w:val="22"/>
          <w:lang w:val="en-AU"/>
        </w:rPr>
        <w:t>s</w:t>
      </w:r>
      <w:r>
        <w:rPr>
          <w:rFonts w:eastAsia="Times New Roman" w:cs="Times New Roman"/>
          <w:sz w:val="22"/>
          <w:lang w:val="en-AU"/>
        </w:rPr>
        <w:t xml:space="preserve"> indicates they are not met</w:t>
      </w:r>
    </w:p>
    <w:p w:rsidR="00447127" w:rsidRDefault="00447127" w:rsidP="00447127">
      <w:pPr>
        <w:spacing w:after="0" w:line="280" w:lineRule="exact"/>
        <w:rPr>
          <w:rFonts w:eastAsia="Times New Roman" w:cs="Times New Roman"/>
          <w:sz w:val="22"/>
          <w:lang w:val="en-AU"/>
        </w:rPr>
      </w:pPr>
    </w:p>
    <w:p w:rsidR="00DE06EF" w:rsidRPr="00E65A94" w:rsidRDefault="00E65A94" w:rsidP="00E65A94">
      <w:pPr>
        <w:pStyle w:val="ListParagraph"/>
        <w:numPr>
          <w:ilvl w:val="0"/>
          <w:numId w:val="1"/>
        </w:numPr>
        <w:spacing w:after="0" w:line="280" w:lineRule="exact"/>
        <w:rPr>
          <w:rFonts w:eastAsia="Times New Roman" w:cs="Arial"/>
          <w:sz w:val="22"/>
          <w:lang w:val="en-AU"/>
        </w:rPr>
      </w:pPr>
      <w:r>
        <w:rPr>
          <w:rFonts w:eastAsia="Times New Roman" w:cs="Arial"/>
          <w:sz w:val="22"/>
          <w:lang w:val="en-AU"/>
        </w:rPr>
        <w:t>T</w:t>
      </w:r>
      <w:r w:rsidR="00DC7D18" w:rsidRPr="00E65A94">
        <w:rPr>
          <w:rFonts w:eastAsia="Times New Roman" w:cs="Arial"/>
          <w:sz w:val="22"/>
          <w:lang w:val="en-AU"/>
        </w:rPr>
        <w:t>he Ministry prefers option three</w:t>
      </w:r>
      <w:r w:rsidR="00514732" w:rsidRPr="00E65A94">
        <w:rPr>
          <w:rFonts w:eastAsia="Times New Roman" w:cs="Arial"/>
          <w:sz w:val="22"/>
          <w:lang w:val="en-AU"/>
        </w:rPr>
        <w:t>, since it at least initially off-sets some of the cost of source licence fees, and assists in reducing surplus funds</w:t>
      </w:r>
      <w:r w:rsidR="00DC7D18" w:rsidRPr="00E65A94">
        <w:rPr>
          <w:rFonts w:eastAsia="Times New Roman" w:cs="Arial"/>
          <w:sz w:val="22"/>
          <w:lang w:val="en-AU"/>
        </w:rPr>
        <w:t xml:space="preserve">.  </w:t>
      </w:r>
    </w:p>
    <w:p w:rsidR="00DC7D18" w:rsidRDefault="00DC7D18" w:rsidP="00DC7D18">
      <w:pPr>
        <w:spacing w:after="0" w:line="280" w:lineRule="exact"/>
        <w:ind w:left="720" w:hanging="720"/>
        <w:rPr>
          <w:sz w:val="22"/>
        </w:rPr>
      </w:pPr>
      <w:bookmarkStart w:id="58" w:name="_Toc363047106"/>
      <w:bookmarkStart w:id="59" w:name="_Toc362940598"/>
      <w:bookmarkStart w:id="60" w:name="_Toc362619034"/>
      <w:bookmarkStart w:id="61" w:name="_Toc362589334"/>
      <w:bookmarkStart w:id="62" w:name="_Toc362434948"/>
      <w:bookmarkStart w:id="63" w:name="_Toc362368107"/>
      <w:bookmarkStart w:id="64" w:name="_Toc244916998"/>
      <w:bookmarkStart w:id="65" w:name="_Toc244912541"/>
      <w:bookmarkStart w:id="66" w:name="_Toc244857276"/>
      <w:bookmarkStart w:id="67" w:name="_Toc244587042"/>
      <w:bookmarkStart w:id="68" w:name="_Toc244580366"/>
    </w:p>
    <w:p w:rsidR="00890C08" w:rsidRDefault="00890C08" w:rsidP="00DC7D18">
      <w:pPr>
        <w:spacing w:after="0" w:line="280" w:lineRule="exact"/>
        <w:ind w:left="720" w:hanging="720"/>
        <w:rPr>
          <w:rFonts w:eastAsia="Times New Roman" w:cs="Times New Roman"/>
          <w:b/>
          <w:color w:val="335087"/>
          <w:spacing w:val="20"/>
          <w:w w:val="90"/>
          <w:sz w:val="32"/>
          <w:szCs w:val="24"/>
          <w:lang w:val="en-GB" w:eastAsia="en-GB"/>
        </w:rPr>
      </w:pPr>
    </w:p>
    <w:p w:rsidR="00890C08" w:rsidRDefault="00890C08" w:rsidP="00DC7D18">
      <w:pPr>
        <w:spacing w:after="0" w:line="280" w:lineRule="exact"/>
        <w:ind w:left="720" w:hanging="720"/>
        <w:rPr>
          <w:rFonts w:eastAsia="Times New Roman" w:cs="Times New Roman"/>
          <w:b/>
          <w:color w:val="335087"/>
          <w:spacing w:val="20"/>
          <w:w w:val="90"/>
          <w:sz w:val="32"/>
          <w:szCs w:val="24"/>
          <w:lang w:val="en-GB" w:eastAsia="en-GB"/>
        </w:rPr>
      </w:pPr>
    </w:p>
    <w:p w:rsidR="00890C08" w:rsidRDefault="00890C08" w:rsidP="00DC7D18">
      <w:pPr>
        <w:spacing w:after="0" w:line="280" w:lineRule="exact"/>
        <w:ind w:left="720" w:hanging="720"/>
        <w:rPr>
          <w:rFonts w:eastAsia="Times New Roman" w:cs="Times New Roman"/>
          <w:b/>
          <w:color w:val="335087"/>
          <w:spacing w:val="20"/>
          <w:w w:val="90"/>
          <w:sz w:val="32"/>
          <w:szCs w:val="24"/>
          <w:lang w:val="en-GB" w:eastAsia="en-GB"/>
        </w:rPr>
      </w:pPr>
    </w:p>
    <w:p w:rsidR="00890C08" w:rsidRDefault="00890C08" w:rsidP="00DC7D18">
      <w:pPr>
        <w:spacing w:after="0" w:line="280" w:lineRule="exact"/>
        <w:ind w:left="720" w:hanging="720"/>
        <w:rPr>
          <w:rFonts w:eastAsia="Times New Roman" w:cs="Times New Roman"/>
          <w:b/>
          <w:color w:val="335087"/>
          <w:spacing w:val="20"/>
          <w:w w:val="90"/>
          <w:sz w:val="32"/>
          <w:szCs w:val="24"/>
          <w:lang w:val="en-GB" w:eastAsia="en-GB"/>
        </w:rPr>
      </w:pPr>
    </w:p>
    <w:p w:rsidR="00890C08" w:rsidRDefault="00890C08" w:rsidP="00DC7D18">
      <w:pPr>
        <w:spacing w:after="0" w:line="280" w:lineRule="exact"/>
        <w:ind w:left="720" w:hanging="720"/>
        <w:rPr>
          <w:rFonts w:eastAsia="Times New Roman" w:cs="Times New Roman"/>
          <w:b/>
          <w:color w:val="335087"/>
          <w:spacing w:val="20"/>
          <w:w w:val="90"/>
          <w:sz w:val="32"/>
          <w:szCs w:val="24"/>
          <w:lang w:val="en-GB" w:eastAsia="en-GB"/>
        </w:rPr>
      </w:pPr>
    </w:p>
    <w:p w:rsidR="00DC7D18" w:rsidRDefault="00DC7D18" w:rsidP="00DC7D18">
      <w:pPr>
        <w:spacing w:after="0" w:line="280" w:lineRule="exact"/>
        <w:ind w:left="720" w:hanging="720"/>
        <w:rPr>
          <w:rFonts w:eastAsia="Times New Roman" w:cs="Times New Roman"/>
          <w:b/>
          <w:color w:val="335087"/>
          <w:spacing w:val="20"/>
          <w:w w:val="90"/>
          <w:sz w:val="32"/>
          <w:szCs w:val="24"/>
          <w:lang w:val="en-GB" w:eastAsia="en-GB"/>
        </w:rPr>
      </w:pPr>
      <w:r>
        <w:rPr>
          <w:rFonts w:eastAsia="Times New Roman" w:cs="Times New Roman"/>
          <w:b/>
          <w:color w:val="335087"/>
          <w:spacing w:val="20"/>
          <w:w w:val="90"/>
          <w:sz w:val="32"/>
          <w:szCs w:val="24"/>
          <w:lang w:val="en-GB" w:eastAsia="en-GB"/>
        </w:rPr>
        <w:t>Consultation</w:t>
      </w:r>
      <w:bookmarkEnd w:id="58"/>
      <w:bookmarkEnd w:id="59"/>
      <w:bookmarkEnd w:id="60"/>
      <w:bookmarkEnd w:id="61"/>
      <w:bookmarkEnd w:id="62"/>
      <w:bookmarkEnd w:id="63"/>
      <w:bookmarkEnd w:id="64"/>
      <w:bookmarkEnd w:id="65"/>
      <w:bookmarkEnd w:id="66"/>
      <w:bookmarkEnd w:id="67"/>
      <w:bookmarkEnd w:id="68"/>
    </w:p>
    <w:p w:rsidR="007507C3" w:rsidRDefault="007507C3" w:rsidP="009C149D">
      <w:pPr>
        <w:rPr>
          <w:i/>
          <w:sz w:val="22"/>
          <w:lang w:val="en-GB" w:eastAsia="en-GB"/>
        </w:rPr>
      </w:pPr>
    </w:p>
    <w:p w:rsidR="00C8376A" w:rsidRPr="00C8376A" w:rsidRDefault="00C8376A" w:rsidP="009C149D">
      <w:pPr>
        <w:rPr>
          <w:i/>
          <w:sz w:val="22"/>
          <w:lang w:val="en-GB" w:eastAsia="en-GB"/>
        </w:rPr>
      </w:pPr>
      <w:r w:rsidRPr="00C8376A">
        <w:rPr>
          <w:i/>
          <w:sz w:val="22"/>
          <w:lang w:val="en-GB" w:eastAsia="en-GB"/>
        </w:rPr>
        <w:t>Mode and timing of consultation</w:t>
      </w:r>
    </w:p>
    <w:p w:rsidR="00C8376A" w:rsidRPr="007507C3" w:rsidRDefault="007507C3" w:rsidP="00DA7208">
      <w:pPr>
        <w:pStyle w:val="ListParagraph"/>
        <w:numPr>
          <w:ilvl w:val="0"/>
          <w:numId w:val="1"/>
        </w:numPr>
        <w:rPr>
          <w:sz w:val="22"/>
          <w:lang w:val="en-GB" w:eastAsia="en-GB"/>
        </w:rPr>
      </w:pPr>
      <w:r w:rsidRPr="007507C3">
        <w:rPr>
          <w:sz w:val="22"/>
          <w:lang w:val="en-GB" w:eastAsia="en-GB"/>
        </w:rPr>
        <w:t>On 11 May 2016, a</w:t>
      </w:r>
      <w:r w:rsidR="00DC7D18" w:rsidRPr="007507C3">
        <w:rPr>
          <w:sz w:val="22"/>
          <w:lang w:val="en-GB" w:eastAsia="en-GB"/>
        </w:rPr>
        <w:t xml:space="preserve"> consultation document</w:t>
      </w:r>
      <w:r w:rsidRPr="007507C3">
        <w:rPr>
          <w:sz w:val="22"/>
          <w:lang w:val="en-GB" w:eastAsia="en-GB"/>
        </w:rPr>
        <w:t xml:space="preserve">, </w:t>
      </w:r>
      <w:r w:rsidRPr="007507C3">
        <w:rPr>
          <w:i/>
          <w:sz w:val="22"/>
          <w:lang w:val="en-GB" w:eastAsia="en-GB"/>
        </w:rPr>
        <w:t>Proposed Radiation Safety Regulations,</w:t>
      </w:r>
      <w:r w:rsidR="00DC7D18" w:rsidRPr="007507C3">
        <w:rPr>
          <w:sz w:val="22"/>
          <w:lang w:val="en-GB" w:eastAsia="en-GB"/>
        </w:rPr>
        <w:t xml:space="preserve"> was </w:t>
      </w:r>
      <w:r w:rsidRPr="007507C3">
        <w:rPr>
          <w:sz w:val="22"/>
          <w:lang w:val="en-GB" w:eastAsia="en-GB"/>
        </w:rPr>
        <w:t xml:space="preserve">published </w:t>
      </w:r>
      <w:r w:rsidR="00DC7D18" w:rsidRPr="007507C3">
        <w:rPr>
          <w:sz w:val="22"/>
          <w:lang w:val="en-GB" w:eastAsia="en-GB"/>
        </w:rPr>
        <w:t xml:space="preserve">on the Ministry of Health’s website.  Every current licence holder was </w:t>
      </w:r>
      <w:r w:rsidR="00EA06EE" w:rsidRPr="007507C3">
        <w:rPr>
          <w:sz w:val="22"/>
          <w:lang w:val="en-GB" w:eastAsia="en-GB"/>
        </w:rPr>
        <w:t xml:space="preserve">alerted </w:t>
      </w:r>
      <w:r w:rsidR="00DC7D18" w:rsidRPr="007507C3">
        <w:rPr>
          <w:sz w:val="22"/>
          <w:lang w:val="en-GB" w:eastAsia="en-GB"/>
        </w:rPr>
        <w:t>twice</w:t>
      </w:r>
      <w:r w:rsidR="00EA06EE" w:rsidRPr="007507C3">
        <w:rPr>
          <w:sz w:val="22"/>
          <w:lang w:val="en-GB" w:eastAsia="en-GB"/>
        </w:rPr>
        <w:t xml:space="preserve"> by email</w:t>
      </w:r>
      <w:r w:rsidR="00DC7D18" w:rsidRPr="007507C3">
        <w:rPr>
          <w:sz w:val="22"/>
          <w:lang w:val="en-GB" w:eastAsia="en-GB"/>
        </w:rPr>
        <w:t xml:space="preserve">. </w:t>
      </w:r>
      <w:r w:rsidR="009C149D" w:rsidRPr="007507C3">
        <w:rPr>
          <w:sz w:val="22"/>
          <w:lang w:val="en-GB" w:eastAsia="en-GB"/>
        </w:rPr>
        <w:t xml:space="preserve"> All</w:t>
      </w:r>
      <w:r w:rsidR="00CC4A8F">
        <w:rPr>
          <w:sz w:val="22"/>
          <w:lang w:val="en-GB" w:eastAsia="en-GB"/>
        </w:rPr>
        <w:t xml:space="preserve"> relevant departments, DHBs</w:t>
      </w:r>
      <w:r w:rsidR="00EA06EE" w:rsidRPr="007507C3">
        <w:rPr>
          <w:sz w:val="22"/>
          <w:lang w:val="en-GB" w:eastAsia="en-GB"/>
        </w:rPr>
        <w:t xml:space="preserve"> and some</w:t>
      </w:r>
      <w:r w:rsidR="00DC7D18" w:rsidRPr="007507C3">
        <w:rPr>
          <w:sz w:val="22"/>
          <w:lang w:val="en-GB" w:eastAsia="en-GB"/>
        </w:rPr>
        <w:t xml:space="preserve"> health related registration bodies and engineering professional bodies</w:t>
      </w:r>
      <w:r>
        <w:rPr>
          <w:sz w:val="22"/>
          <w:lang w:val="en-GB" w:eastAsia="en-GB"/>
        </w:rPr>
        <w:t>,</w:t>
      </w:r>
      <w:r w:rsidR="00DC7D18" w:rsidRPr="007507C3">
        <w:rPr>
          <w:sz w:val="22"/>
          <w:lang w:val="en-GB" w:eastAsia="en-GB"/>
        </w:rPr>
        <w:t xml:space="preserve"> were advised.  </w:t>
      </w:r>
    </w:p>
    <w:p w:rsidR="00C8376A" w:rsidRDefault="00C8376A" w:rsidP="00C8376A">
      <w:pPr>
        <w:pStyle w:val="ListParagraph"/>
        <w:ind w:left="360"/>
        <w:rPr>
          <w:sz w:val="22"/>
          <w:lang w:val="en-GB" w:eastAsia="en-GB"/>
        </w:rPr>
      </w:pPr>
    </w:p>
    <w:p w:rsidR="00C8376A" w:rsidRPr="00C8376A" w:rsidRDefault="00C8376A" w:rsidP="00C8376A">
      <w:pPr>
        <w:pStyle w:val="ListParagraph"/>
        <w:numPr>
          <w:ilvl w:val="0"/>
          <w:numId w:val="1"/>
        </w:numPr>
        <w:rPr>
          <w:sz w:val="22"/>
          <w:lang w:val="en-GB" w:eastAsia="en-GB"/>
        </w:rPr>
      </w:pPr>
      <w:r>
        <w:rPr>
          <w:sz w:val="22"/>
          <w:lang w:val="en-GB" w:eastAsia="en-GB"/>
        </w:rPr>
        <w:t xml:space="preserve">In total, </w:t>
      </w:r>
      <w:r w:rsidR="00CC4A8F">
        <w:rPr>
          <w:sz w:val="22"/>
          <w:lang w:val="en-GB" w:eastAsia="en-GB"/>
        </w:rPr>
        <w:t>more than 4,500</w:t>
      </w:r>
      <w:r w:rsidRPr="00C8376A">
        <w:rPr>
          <w:sz w:val="22"/>
          <w:lang w:val="en-GB" w:eastAsia="en-GB"/>
        </w:rPr>
        <w:t xml:space="preserve"> current owners and licensed users of radiation sources were consulted, as well as the professional registration bodies and other organisations representing potential users (eg, the Medical Council of New Zealand).  Members of the public have also been consulted to enable people who may benefit from or be concerned about potential harm from using ionising radiation have an opportunity to be heard.</w:t>
      </w:r>
    </w:p>
    <w:p w:rsidR="009C149D" w:rsidRDefault="009C149D" w:rsidP="009C149D">
      <w:pPr>
        <w:pStyle w:val="ListParagraph"/>
        <w:ind w:left="360"/>
        <w:rPr>
          <w:sz w:val="22"/>
          <w:lang w:val="en-GB" w:eastAsia="en-GB"/>
        </w:rPr>
      </w:pPr>
    </w:p>
    <w:p w:rsidR="00C8376A" w:rsidRDefault="009C149D" w:rsidP="00DC7D18">
      <w:pPr>
        <w:pStyle w:val="ListParagraph"/>
        <w:numPr>
          <w:ilvl w:val="0"/>
          <w:numId w:val="1"/>
        </w:numPr>
        <w:rPr>
          <w:sz w:val="22"/>
          <w:lang w:val="en-GB" w:eastAsia="en-GB"/>
        </w:rPr>
      </w:pPr>
      <w:r w:rsidRPr="009C149D">
        <w:rPr>
          <w:sz w:val="22"/>
          <w:lang w:val="en-GB" w:eastAsia="en-GB"/>
        </w:rPr>
        <w:t>Stakeholders were consulted on the basis that the proposed Regulati</w:t>
      </w:r>
      <w:r w:rsidR="007507C3">
        <w:rPr>
          <w:sz w:val="22"/>
          <w:lang w:val="en-GB" w:eastAsia="en-GB"/>
        </w:rPr>
        <w:t>ons may include authorisations</w:t>
      </w:r>
      <w:r w:rsidRPr="009C149D">
        <w:rPr>
          <w:sz w:val="22"/>
          <w:lang w:val="en-GB" w:eastAsia="en-GB"/>
        </w:rPr>
        <w:t>, exemptions, categorisation of radioactive material, safety plans, fees which must be submitted with applications for authorisations and renewals, record-ke</w:t>
      </w:r>
      <w:r w:rsidR="00C8376A">
        <w:rPr>
          <w:sz w:val="22"/>
          <w:lang w:val="en-GB" w:eastAsia="en-GB"/>
        </w:rPr>
        <w:t xml:space="preserve">eping and enforcement matters. </w:t>
      </w:r>
    </w:p>
    <w:p w:rsidR="00C8376A" w:rsidRPr="00C8376A" w:rsidRDefault="00C8376A" w:rsidP="00C8376A">
      <w:pPr>
        <w:pStyle w:val="ListParagraph"/>
        <w:rPr>
          <w:sz w:val="22"/>
          <w:lang w:val="en-GB" w:eastAsia="en-GB"/>
        </w:rPr>
      </w:pPr>
    </w:p>
    <w:p w:rsidR="00DA04A8" w:rsidRPr="007507C3" w:rsidRDefault="00C8376A" w:rsidP="006123B8">
      <w:pPr>
        <w:pStyle w:val="ListParagraph"/>
        <w:numPr>
          <w:ilvl w:val="0"/>
          <w:numId w:val="1"/>
        </w:numPr>
        <w:rPr>
          <w:sz w:val="22"/>
          <w:lang w:val="en-GB" w:eastAsia="en-GB"/>
        </w:rPr>
      </w:pPr>
      <w:r w:rsidRPr="007507C3">
        <w:rPr>
          <w:sz w:val="22"/>
          <w:lang w:val="en-GB" w:eastAsia="en-GB"/>
        </w:rPr>
        <w:t xml:space="preserve">The consultation period was for six weeks and a submissions template was published with the consultation document to facilitate feedback.  </w:t>
      </w:r>
      <w:r w:rsidR="00DC7D18" w:rsidRPr="007507C3">
        <w:rPr>
          <w:sz w:val="22"/>
          <w:lang w:val="en-GB" w:eastAsia="en-GB"/>
        </w:rPr>
        <w:t xml:space="preserve">The </w:t>
      </w:r>
      <w:r w:rsidRPr="007507C3">
        <w:rPr>
          <w:sz w:val="22"/>
          <w:lang w:val="en-GB" w:eastAsia="en-GB"/>
        </w:rPr>
        <w:t xml:space="preserve">Ministry considers that the consultation satisfies the </w:t>
      </w:r>
      <w:r w:rsidR="00DC7D18" w:rsidRPr="007507C3">
        <w:rPr>
          <w:sz w:val="22"/>
          <w:lang w:val="en-GB" w:eastAsia="en-GB"/>
        </w:rPr>
        <w:t>Act</w:t>
      </w:r>
      <w:r w:rsidRPr="007507C3">
        <w:rPr>
          <w:sz w:val="22"/>
          <w:lang w:val="en-GB" w:eastAsia="en-GB"/>
        </w:rPr>
        <w:t>’s</w:t>
      </w:r>
      <w:r w:rsidR="00DC7D18" w:rsidRPr="007507C3">
        <w:rPr>
          <w:sz w:val="22"/>
          <w:lang w:val="en-GB" w:eastAsia="en-GB"/>
        </w:rPr>
        <w:t xml:space="preserve"> requirements where Regulations relate to fees.  </w:t>
      </w:r>
    </w:p>
    <w:p w:rsidR="00DA04A8" w:rsidRPr="00DA04A8" w:rsidRDefault="00DA04A8" w:rsidP="00DA04A8">
      <w:pPr>
        <w:rPr>
          <w:rFonts w:eastAsia="Times New Roman" w:cs="Times New Roman"/>
          <w:i/>
          <w:sz w:val="22"/>
          <w:lang w:val="en-AU"/>
        </w:rPr>
      </w:pPr>
      <w:r w:rsidRPr="00DA04A8">
        <w:rPr>
          <w:rFonts w:eastAsia="Times New Roman" w:cs="Times New Roman"/>
          <w:i/>
          <w:sz w:val="22"/>
          <w:lang w:val="en-AU"/>
        </w:rPr>
        <w:t>Tenor of submissions</w:t>
      </w:r>
    </w:p>
    <w:p w:rsidR="004568A2" w:rsidRPr="004568A2" w:rsidRDefault="00DA04A8" w:rsidP="00DA04A8">
      <w:pPr>
        <w:pStyle w:val="ListParagraph"/>
        <w:numPr>
          <w:ilvl w:val="0"/>
          <w:numId w:val="1"/>
        </w:numPr>
        <w:rPr>
          <w:sz w:val="22"/>
          <w:lang w:val="en-GB" w:eastAsia="en-GB"/>
        </w:rPr>
      </w:pPr>
      <w:r w:rsidRPr="00DA04A8">
        <w:rPr>
          <w:rFonts w:eastAsia="Times New Roman" w:cs="Times New Roman"/>
          <w:sz w:val="22"/>
          <w:lang w:val="en-AU"/>
        </w:rPr>
        <w:t>The Ministry received 142 submissions.   The majority were on the fees</w:t>
      </w:r>
      <w:r w:rsidR="00EA06EE">
        <w:rPr>
          <w:rFonts w:eastAsia="Times New Roman" w:cs="Times New Roman"/>
          <w:sz w:val="22"/>
          <w:lang w:val="en-AU"/>
        </w:rPr>
        <w:t xml:space="preserve"> and increase</w:t>
      </w:r>
      <w:r w:rsidR="00CC4A8F">
        <w:rPr>
          <w:rFonts w:eastAsia="Times New Roman" w:cs="Times New Roman"/>
          <w:sz w:val="22"/>
          <w:lang w:val="en-AU"/>
        </w:rPr>
        <w:t>s</w:t>
      </w:r>
      <w:r w:rsidRPr="00DA04A8">
        <w:rPr>
          <w:rFonts w:eastAsia="Times New Roman" w:cs="Times New Roman"/>
          <w:sz w:val="22"/>
          <w:lang w:val="en-AU"/>
        </w:rPr>
        <w:t xml:space="preserve"> proposed and the activities which can be performed without obtain</w:t>
      </w:r>
      <w:r w:rsidR="00EA06EE">
        <w:rPr>
          <w:rFonts w:eastAsia="Times New Roman" w:cs="Times New Roman"/>
          <w:sz w:val="22"/>
          <w:lang w:val="en-AU"/>
        </w:rPr>
        <w:t>ing</w:t>
      </w:r>
      <w:r w:rsidRPr="00DA04A8">
        <w:rPr>
          <w:rFonts w:eastAsia="Times New Roman" w:cs="Times New Roman"/>
          <w:sz w:val="22"/>
          <w:lang w:val="en-AU"/>
        </w:rPr>
        <w:t xml:space="preserve"> a use licence.</w:t>
      </w:r>
      <w:r w:rsidR="004568A2">
        <w:rPr>
          <w:rFonts w:eastAsia="Times New Roman" w:cs="Times New Roman"/>
          <w:sz w:val="22"/>
          <w:lang w:val="en-AU"/>
        </w:rPr>
        <w:t xml:space="preserve"> </w:t>
      </w:r>
    </w:p>
    <w:p w:rsidR="004568A2" w:rsidRPr="004568A2" w:rsidRDefault="004568A2" w:rsidP="004568A2">
      <w:pPr>
        <w:pStyle w:val="ListParagraph"/>
        <w:ind w:left="360"/>
        <w:rPr>
          <w:sz w:val="22"/>
          <w:lang w:val="en-GB" w:eastAsia="en-GB"/>
        </w:rPr>
      </w:pPr>
    </w:p>
    <w:p w:rsidR="00DA04A8" w:rsidRPr="004568A2" w:rsidRDefault="004568A2" w:rsidP="00DA04A8">
      <w:pPr>
        <w:pStyle w:val="ListParagraph"/>
        <w:numPr>
          <w:ilvl w:val="0"/>
          <w:numId w:val="1"/>
        </w:numPr>
        <w:rPr>
          <w:sz w:val="22"/>
          <w:lang w:val="en-GB" w:eastAsia="en-GB"/>
        </w:rPr>
      </w:pPr>
      <w:r>
        <w:rPr>
          <w:rFonts w:eastAsia="Times New Roman" w:cs="Times New Roman"/>
          <w:sz w:val="22"/>
          <w:lang w:val="en-AU"/>
        </w:rPr>
        <w:t xml:space="preserve">Ninety almost identical submissions were nearly all from chiropractors seeking to come within the use licence exceptions, itemised in Table 1 above.  After follow up meetings between the Office of Radiation Safety and the New Zealand Chiropractic Board (the profession’s registration body), the Ministry considers chiropractors should be one of the occupational groups avoiding having to apply for a use licence for the activities shown in Table 1.  They were able to demonstrate the competency and registration requirements asked of them.  </w:t>
      </w:r>
    </w:p>
    <w:p w:rsidR="004568A2" w:rsidRPr="004568A2" w:rsidRDefault="004568A2" w:rsidP="004568A2">
      <w:pPr>
        <w:pStyle w:val="ListParagraph"/>
        <w:ind w:left="360"/>
        <w:rPr>
          <w:sz w:val="22"/>
          <w:lang w:val="en-GB" w:eastAsia="en-GB"/>
        </w:rPr>
      </w:pPr>
    </w:p>
    <w:p w:rsidR="004568A2" w:rsidRPr="00DA04A8" w:rsidRDefault="004568A2" w:rsidP="00DA04A8">
      <w:pPr>
        <w:pStyle w:val="ListParagraph"/>
        <w:numPr>
          <w:ilvl w:val="0"/>
          <w:numId w:val="1"/>
        </w:numPr>
        <w:rPr>
          <w:sz w:val="22"/>
          <w:lang w:val="en-GB" w:eastAsia="en-GB"/>
        </w:rPr>
      </w:pPr>
      <w:r>
        <w:rPr>
          <w:rFonts w:eastAsia="Times New Roman" w:cs="Times New Roman"/>
          <w:sz w:val="22"/>
          <w:lang w:val="en-AU"/>
        </w:rPr>
        <w:t>In addition, 12 dental specialities have been added to the Table.</w:t>
      </w:r>
    </w:p>
    <w:p w:rsidR="00DA04A8" w:rsidRPr="00DA04A8" w:rsidRDefault="00DA04A8" w:rsidP="00DA04A8">
      <w:pPr>
        <w:pStyle w:val="ListParagraph"/>
        <w:rPr>
          <w:rFonts w:eastAsia="Times New Roman" w:cs="Times New Roman"/>
          <w:sz w:val="22"/>
          <w:lang w:val="en-AU"/>
        </w:rPr>
      </w:pPr>
    </w:p>
    <w:p w:rsidR="004568A2" w:rsidRPr="004568A2" w:rsidRDefault="00DC7D18" w:rsidP="004568A2">
      <w:pPr>
        <w:pStyle w:val="ListParagraph"/>
        <w:numPr>
          <w:ilvl w:val="0"/>
          <w:numId w:val="1"/>
        </w:numPr>
        <w:rPr>
          <w:sz w:val="22"/>
          <w:lang w:val="en-GB" w:eastAsia="en-GB"/>
        </w:rPr>
      </w:pPr>
      <w:r w:rsidRPr="004568A2">
        <w:rPr>
          <w:rFonts w:eastAsia="Times New Roman" w:cs="Arial"/>
          <w:sz w:val="22"/>
          <w:szCs w:val="20"/>
          <w:lang w:val="en-AU"/>
        </w:rPr>
        <w:t>Although a lot of detailed matters were raised by submitters, the majority supported the bulk of the proposals in the consultation document, including the appropriateness of full cost recovery.</w:t>
      </w:r>
    </w:p>
    <w:p w:rsidR="004568A2" w:rsidRPr="004568A2" w:rsidRDefault="004568A2" w:rsidP="004568A2">
      <w:pPr>
        <w:pStyle w:val="ListParagraph"/>
        <w:rPr>
          <w:rFonts w:eastAsia="Times New Roman" w:cs="Arial"/>
          <w:sz w:val="22"/>
          <w:szCs w:val="20"/>
          <w:lang w:val="en-AU"/>
        </w:rPr>
      </w:pPr>
    </w:p>
    <w:p w:rsidR="00DC7D18" w:rsidRPr="004568A2" w:rsidRDefault="00DC7D18" w:rsidP="004568A2">
      <w:pPr>
        <w:pStyle w:val="ListParagraph"/>
        <w:numPr>
          <w:ilvl w:val="0"/>
          <w:numId w:val="1"/>
        </w:numPr>
        <w:rPr>
          <w:sz w:val="22"/>
          <w:lang w:val="en-GB" w:eastAsia="en-GB"/>
        </w:rPr>
      </w:pPr>
      <w:r w:rsidRPr="004568A2">
        <w:rPr>
          <w:rFonts w:eastAsia="Times New Roman" w:cs="Arial"/>
          <w:sz w:val="22"/>
          <w:szCs w:val="20"/>
          <w:lang w:val="en-AU"/>
        </w:rPr>
        <w:t>Submitters particularly supported:</w:t>
      </w:r>
    </w:p>
    <w:p w:rsidR="004568A2" w:rsidRPr="004568A2" w:rsidRDefault="004568A2" w:rsidP="004568A2">
      <w:pPr>
        <w:pStyle w:val="ListParagraph"/>
        <w:rPr>
          <w:sz w:val="22"/>
          <w:lang w:val="en-GB" w:eastAsia="en-GB"/>
        </w:rPr>
      </w:pPr>
    </w:p>
    <w:p w:rsidR="00DC7D18" w:rsidRDefault="00DC7D18" w:rsidP="00DC7D18">
      <w:pPr>
        <w:pStyle w:val="ListParagraph"/>
        <w:numPr>
          <w:ilvl w:val="0"/>
          <w:numId w:val="9"/>
        </w:numPr>
        <w:spacing w:after="180" w:line="280" w:lineRule="exact"/>
        <w:ind w:left="1440"/>
        <w:rPr>
          <w:rFonts w:eastAsia="Times New Roman" w:cs="Arial"/>
          <w:sz w:val="22"/>
          <w:szCs w:val="20"/>
          <w:lang w:val="en-AU"/>
        </w:rPr>
      </w:pPr>
      <w:r>
        <w:rPr>
          <w:rFonts w:eastAsia="Times New Roman" w:cs="Arial"/>
          <w:sz w:val="22"/>
          <w:szCs w:val="20"/>
          <w:lang w:val="en-AU"/>
        </w:rPr>
        <w:t xml:space="preserve">dealing with </w:t>
      </w:r>
      <w:r w:rsidR="004568A2">
        <w:rPr>
          <w:rFonts w:eastAsia="Times New Roman" w:cs="Arial"/>
          <w:sz w:val="22"/>
          <w:szCs w:val="20"/>
          <w:lang w:val="en-AU"/>
        </w:rPr>
        <w:t>r</w:t>
      </w:r>
      <w:r>
        <w:rPr>
          <w:rFonts w:eastAsia="Times New Roman" w:cs="Arial"/>
          <w:sz w:val="22"/>
          <w:szCs w:val="20"/>
          <w:lang w:val="en-AU"/>
        </w:rPr>
        <w:t>adiation safety plans in codes of practice rather than in Regulations;</w:t>
      </w:r>
    </w:p>
    <w:p w:rsidR="00DC7D18" w:rsidRDefault="00DC7D18" w:rsidP="00DC7D18">
      <w:pPr>
        <w:pStyle w:val="ListParagraph"/>
        <w:spacing w:after="180" w:line="280" w:lineRule="exact"/>
        <w:ind w:left="1440"/>
        <w:rPr>
          <w:rFonts w:eastAsia="Times New Roman" w:cs="Arial"/>
          <w:sz w:val="22"/>
          <w:szCs w:val="20"/>
          <w:lang w:val="en-AU"/>
        </w:rPr>
      </w:pPr>
    </w:p>
    <w:p w:rsidR="00DC7D18" w:rsidRDefault="00DC7D18" w:rsidP="00DC7D18">
      <w:pPr>
        <w:pStyle w:val="ListParagraph"/>
        <w:numPr>
          <w:ilvl w:val="0"/>
          <w:numId w:val="9"/>
        </w:numPr>
        <w:spacing w:after="180" w:line="280" w:lineRule="exact"/>
        <w:ind w:left="1440"/>
        <w:rPr>
          <w:rFonts w:eastAsia="Times New Roman" w:cs="Arial"/>
          <w:sz w:val="22"/>
          <w:szCs w:val="20"/>
          <w:lang w:val="en-AU"/>
        </w:rPr>
      </w:pPr>
      <w:r>
        <w:rPr>
          <w:rFonts w:eastAsia="Times New Roman" w:cs="Arial"/>
          <w:sz w:val="22"/>
          <w:szCs w:val="20"/>
          <w:lang w:val="en-AU"/>
        </w:rPr>
        <w:t>user exceptions to licensing;</w:t>
      </w:r>
    </w:p>
    <w:p w:rsidR="00DC7D18" w:rsidRDefault="00DC7D18" w:rsidP="00DC7D18">
      <w:pPr>
        <w:pStyle w:val="ListParagraph"/>
        <w:spacing w:after="180" w:line="280" w:lineRule="exact"/>
        <w:ind w:left="1440"/>
        <w:rPr>
          <w:rFonts w:eastAsia="Times New Roman" w:cs="Arial"/>
          <w:sz w:val="22"/>
          <w:szCs w:val="20"/>
          <w:lang w:val="en-AU"/>
        </w:rPr>
      </w:pPr>
    </w:p>
    <w:p w:rsidR="00DC7D18" w:rsidRDefault="00DC7D18" w:rsidP="00DC7D18">
      <w:pPr>
        <w:pStyle w:val="ListParagraph"/>
        <w:numPr>
          <w:ilvl w:val="0"/>
          <w:numId w:val="9"/>
        </w:numPr>
        <w:spacing w:after="180" w:line="280" w:lineRule="exact"/>
        <w:ind w:left="1440"/>
        <w:rPr>
          <w:rFonts w:eastAsia="Times New Roman" w:cs="Arial"/>
          <w:sz w:val="22"/>
          <w:szCs w:val="20"/>
          <w:lang w:val="en-AU"/>
        </w:rPr>
      </w:pPr>
      <w:r>
        <w:rPr>
          <w:rFonts w:eastAsia="Times New Roman" w:cs="Arial"/>
          <w:sz w:val="22"/>
          <w:szCs w:val="20"/>
          <w:lang w:val="en-AU"/>
        </w:rPr>
        <w:t>the detail of the dose limit exemption tables; and</w:t>
      </w:r>
    </w:p>
    <w:p w:rsidR="00DC7D18" w:rsidRDefault="00DC7D18" w:rsidP="00DC7D18">
      <w:pPr>
        <w:pStyle w:val="ListParagraph"/>
        <w:spacing w:after="180" w:line="280" w:lineRule="exact"/>
        <w:ind w:left="1440"/>
        <w:rPr>
          <w:rFonts w:eastAsia="Times New Roman" w:cs="Arial"/>
          <w:sz w:val="22"/>
          <w:szCs w:val="20"/>
          <w:lang w:val="en-AU"/>
        </w:rPr>
      </w:pPr>
    </w:p>
    <w:p w:rsidR="00DC7D18" w:rsidRDefault="00DC7D18" w:rsidP="00DC7D18">
      <w:pPr>
        <w:pStyle w:val="ListParagraph"/>
        <w:numPr>
          <w:ilvl w:val="0"/>
          <w:numId w:val="9"/>
        </w:numPr>
        <w:spacing w:after="180" w:line="280" w:lineRule="exact"/>
        <w:ind w:left="1440"/>
        <w:rPr>
          <w:rFonts w:eastAsia="Times New Roman" w:cs="Arial"/>
          <w:sz w:val="22"/>
          <w:szCs w:val="20"/>
          <w:lang w:val="en-AU"/>
        </w:rPr>
      </w:pPr>
      <w:r>
        <w:rPr>
          <w:rFonts w:eastAsia="Times New Roman" w:cs="Arial"/>
          <w:sz w:val="22"/>
          <w:szCs w:val="20"/>
          <w:lang w:val="en-AU"/>
        </w:rPr>
        <w:t>taking a lean approach to Regulation, with most of the detail being included in codes of practice.</w:t>
      </w:r>
    </w:p>
    <w:p w:rsidR="00DC7D18" w:rsidRDefault="00DC7D18" w:rsidP="00DC7D18">
      <w:pPr>
        <w:pStyle w:val="ListParagraph"/>
        <w:rPr>
          <w:rFonts w:eastAsia="Times New Roman" w:cs="Arial"/>
          <w:sz w:val="22"/>
          <w:szCs w:val="20"/>
          <w:lang w:val="en-AU"/>
        </w:rPr>
      </w:pPr>
    </w:p>
    <w:p w:rsidR="006E619F" w:rsidRDefault="00DC7D18" w:rsidP="006E619F">
      <w:pPr>
        <w:keepNext/>
        <w:tabs>
          <w:tab w:val="left" w:pos="567"/>
        </w:tabs>
        <w:spacing w:after="180" w:line="240" w:lineRule="auto"/>
        <w:outlineLvl w:val="1"/>
        <w:rPr>
          <w:rFonts w:eastAsia="Times New Roman" w:cs="Times New Roman"/>
          <w:b/>
          <w:color w:val="335087"/>
          <w:spacing w:val="20"/>
          <w:w w:val="90"/>
          <w:sz w:val="32"/>
          <w:szCs w:val="24"/>
          <w:lang w:val="en-GB" w:eastAsia="en-GB"/>
        </w:rPr>
      </w:pPr>
      <w:bookmarkStart w:id="69" w:name="_Preferred_option_[optional]"/>
      <w:bookmarkStart w:id="70" w:name="_Toc244580367"/>
      <w:bookmarkStart w:id="71" w:name="_Toc244587043"/>
      <w:bookmarkStart w:id="72" w:name="_Toc244857277"/>
      <w:bookmarkStart w:id="73" w:name="_Toc244912542"/>
      <w:bookmarkStart w:id="74" w:name="_Toc244916999"/>
      <w:bookmarkStart w:id="75" w:name="_Toc362368108"/>
      <w:bookmarkStart w:id="76" w:name="_Toc362434949"/>
      <w:bookmarkStart w:id="77" w:name="_Toc362589335"/>
      <w:bookmarkStart w:id="78" w:name="_Toc362619035"/>
      <w:bookmarkStart w:id="79" w:name="_Toc362940599"/>
      <w:bookmarkStart w:id="80" w:name="_Toc363047107"/>
      <w:bookmarkEnd w:id="69"/>
      <w:r>
        <w:rPr>
          <w:rFonts w:eastAsia="Times New Roman" w:cs="Times New Roman"/>
          <w:b/>
          <w:color w:val="335087"/>
          <w:spacing w:val="20"/>
          <w:w w:val="90"/>
          <w:sz w:val="32"/>
          <w:szCs w:val="24"/>
          <w:lang w:val="en-GB" w:eastAsia="en-GB"/>
        </w:rPr>
        <w:t>Conclusions and recommendations</w:t>
      </w:r>
      <w:bookmarkEnd w:id="70"/>
      <w:bookmarkEnd w:id="71"/>
      <w:bookmarkEnd w:id="72"/>
      <w:bookmarkEnd w:id="73"/>
      <w:bookmarkEnd w:id="74"/>
      <w:bookmarkEnd w:id="75"/>
      <w:bookmarkEnd w:id="76"/>
      <w:bookmarkEnd w:id="77"/>
      <w:bookmarkEnd w:id="78"/>
      <w:bookmarkEnd w:id="79"/>
      <w:bookmarkEnd w:id="80"/>
    </w:p>
    <w:p w:rsidR="006E619F" w:rsidRPr="006E619F" w:rsidRDefault="006E619F" w:rsidP="006E619F">
      <w:pPr>
        <w:pStyle w:val="ListParagraph"/>
        <w:keepNext/>
        <w:numPr>
          <w:ilvl w:val="0"/>
          <w:numId w:val="1"/>
        </w:numPr>
        <w:tabs>
          <w:tab w:val="left" w:pos="567"/>
        </w:tabs>
        <w:spacing w:after="180" w:line="240" w:lineRule="auto"/>
        <w:outlineLvl w:val="1"/>
        <w:rPr>
          <w:rFonts w:eastAsia="Times New Roman" w:cs="Arial"/>
          <w:sz w:val="22"/>
          <w:lang w:val="en-AU"/>
        </w:rPr>
      </w:pPr>
      <w:r w:rsidRPr="006E619F">
        <w:rPr>
          <w:rFonts w:eastAsia="Times New Roman" w:cs="Arial"/>
          <w:sz w:val="22"/>
          <w:lang w:val="en-AU"/>
        </w:rPr>
        <w:t xml:space="preserve">The proposed Radiation Safety Regulations supporting the Radiation Safety Act 2016 </w:t>
      </w:r>
    </w:p>
    <w:p w:rsidR="00DC7D18" w:rsidRPr="006E619F" w:rsidRDefault="006E619F" w:rsidP="006E619F">
      <w:pPr>
        <w:pStyle w:val="ListParagraph"/>
        <w:keepNext/>
        <w:tabs>
          <w:tab w:val="left" w:pos="567"/>
        </w:tabs>
        <w:spacing w:after="180" w:line="240" w:lineRule="auto"/>
        <w:ind w:left="360"/>
        <w:outlineLvl w:val="1"/>
        <w:rPr>
          <w:rFonts w:eastAsia="Times New Roman" w:cs="Times New Roman"/>
          <w:b/>
          <w:color w:val="335087"/>
          <w:spacing w:val="20"/>
          <w:w w:val="90"/>
          <w:sz w:val="32"/>
          <w:szCs w:val="24"/>
          <w:lang w:val="en-GB" w:eastAsia="en-GB"/>
        </w:rPr>
      </w:pPr>
      <w:r w:rsidRPr="006E619F">
        <w:rPr>
          <w:rFonts w:eastAsia="Times New Roman" w:cs="Arial"/>
          <w:sz w:val="22"/>
          <w:lang w:val="en-AU"/>
        </w:rPr>
        <w:t>would:</w:t>
      </w:r>
    </w:p>
    <w:p w:rsidR="00DC7D18" w:rsidRPr="009E4A80" w:rsidRDefault="00DC7D18" w:rsidP="00DC7D18">
      <w:pPr>
        <w:numPr>
          <w:ilvl w:val="0"/>
          <w:numId w:val="10"/>
        </w:numPr>
        <w:spacing w:after="0" w:line="280" w:lineRule="exact"/>
        <w:ind w:left="1080"/>
        <w:rPr>
          <w:rFonts w:eastAsia="Times New Roman" w:cs="Arial"/>
          <w:sz w:val="22"/>
          <w:lang w:val="en-AU"/>
        </w:rPr>
      </w:pPr>
      <w:r w:rsidRPr="009E4A80">
        <w:rPr>
          <w:rFonts w:eastAsia="Times New Roman" w:cs="Arial"/>
          <w:sz w:val="22"/>
          <w:lang w:val="en-AU"/>
        </w:rPr>
        <w:t>specify maximum time limits for the duration of authorisations (use and consent licences and consents to import and export radioactive sources);</w:t>
      </w:r>
    </w:p>
    <w:p w:rsidR="00DC7D18" w:rsidRPr="009E4A80" w:rsidRDefault="00DC7D18" w:rsidP="00DC7D18">
      <w:pPr>
        <w:spacing w:after="0" w:line="280" w:lineRule="exact"/>
        <w:ind w:left="1080"/>
        <w:rPr>
          <w:rFonts w:eastAsia="Times New Roman" w:cs="Arial"/>
          <w:sz w:val="22"/>
          <w:lang w:val="en-AU"/>
        </w:rPr>
      </w:pPr>
    </w:p>
    <w:p w:rsidR="00DC7D18" w:rsidRDefault="00DC7D18" w:rsidP="00DC7D18">
      <w:pPr>
        <w:numPr>
          <w:ilvl w:val="0"/>
          <w:numId w:val="10"/>
        </w:numPr>
        <w:spacing w:after="0" w:line="280" w:lineRule="exact"/>
        <w:ind w:left="1080"/>
        <w:rPr>
          <w:rFonts w:eastAsia="Times New Roman" w:cs="Arial"/>
          <w:sz w:val="22"/>
          <w:lang w:val="en-AU"/>
        </w:rPr>
      </w:pPr>
      <w:r w:rsidRPr="009E4A80">
        <w:rPr>
          <w:rFonts w:eastAsia="Times New Roman" w:cs="Arial"/>
          <w:sz w:val="22"/>
          <w:lang w:val="en-AU"/>
        </w:rPr>
        <w:t>provide that the maximum time limits for use and source licences are three years and for</w:t>
      </w:r>
      <w:r>
        <w:rPr>
          <w:rFonts w:eastAsia="Times New Roman" w:cs="Arial"/>
          <w:sz w:val="22"/>
          <w:lang w:val="en-AU"/>
        </w:rPr>
        <w:t xml:space="preserve"> consents are one year;</w:t>
      </w:r>
    </w:p>
    <w:p w:rsidR="00DC7D18" w:rsidRDefault="00DC7D18" w:rsidP="00DC7D18">
      <w:pPr>
        <w:spacing w:after="0" w:line="280" w:lineRule="exact"/>
        <w:ind w:left="1080"/>
        <w:rPr>
          <w:rFonts w:eastAsia="Times New Roman" w:cs="Arial"/>
          <w:sz w:val="22"/>
          <w:lang w:val="en-AU"/>
        </w:rPr>
      </w:pPr>
    </w:p>
    <w:p w:rsidR="00DC7D18" w:rsidRDefault="00DC7D18" w:rsidP="00DC7D18">
      <w:pPr>
        <w:numPr>
          <w:ilvl w:val="0"/>
          <w:numId w:val="10"/>
        </w:numPr>
        <w:spacing w:after="0" w:line="280" w:lineRule="exact"/>
        <w:ind w:left="1080"/>
        <w:rPr>
          <w:rFonts w:eastAsia="Times New Roman" w:cs="Arial"/>
          <w:sz w:val="22"/>
          <w:lang w:val="en-AU"/>
        </w:rPr>
      </w:pPr>
      <w:r>
        <w:rPr>
          <w:rFonts w:eastAsia="Times New Roman" w:cs="Arial"/>
          <w:sz w:val="22"/>
          <w:lang w:val="en-AU"/>
        </w:rPr>
        <w:t>provide exceptions from the requirement to have a use licence for people who can demonstrate by another means that they are safe to use radiation sources – so far the people and activities set out in Table 1 of the RIS;</w:t>
      </w:r>
    </w:p>
    <w:p w:rsidR="00DC7D18" w:rsidRDefault="00DC7D18" w:rsidP="00DC7D18">
      <w:pPr>
        <w:spacing w:after="0" w:line="280" w:lineRule="exact"/>
        <w:ind w:left="1080"/>
        <w:rPr>
          <w:rFonts w:eastAsia="Times New Roman" w:cs="Arial"/>
          <w:sz w:val="22"/>
          <w:lang w:val="en-AU"/>
        </w:rPr>
      </w:pPr>
    </w:p>
    <w:p w:rsidR="00DC7D18" w:rsidRDefault="00DC7D18" w:rsidP="00DC7D18">
      <w:pPr>
        <w:numPr>
          <w:ilvl w:val="0"/>
          <w:numId w:val="10"/>
        </w:numPr>
        <w:spacing w:after="0" w:line="280" w:lineRule="exact"/>
        <w:ind w:left="1080"/>
        <w:rPr>
          <w:rFonts w:eastAsia="Times New Roman" w:cs="Arial"/>
          <w:sz w:val="22"/>
          <w:lang w:val="en-AU"/>
        </w:rPr>
      </w:pPr>
      <w:r>
        <w:rPr>
          <w:rFonts w:eastAsia="Times New Roman" w:cs="Times New Roman"/>
          <w:sz w:val="22"/>
          <w:szCs w:val="20"/>
          <w:lang w:val="en-AU"/>
        </w:rPr>
        <w:t xml:space="preserve">provide an exemption from the registration and authorisation requirements in subparts 2 and 3 of Part 1 of the Act for </w:t>
      </w:r>
      <w:r w:rsidR="006E619F">
        <w:rPr>
          <w:rFonts w:eastAsia="Times New Roman" w:cs="Times New Roman"/>
          <w:sz w:val="22"/>
          <w:szCs w:val="20"/>
          <w:lang w:val="en-AU"/>
        </w:rPr>
        <w:t xml:space="preserve">aircrafts and ships </w:t>
      </w:r>
      <w:r w:rsidR="009E4A80">
        <w:rPr>
          <w:rFonts w:eastAsia="Times New Roman" w:cs="Times New Roman"/>
          <w:sz w:val="22"/>
          <w:szCs w:val="20"/>
          <w:lang w:val="en-AU"/>
        </w:rPr>
        <w:t xml:space="preserve">temporarily </w:t>
      </w:r>
      <w:r>
        <w:rPr>
          <w:rFonts w:eastAsia="Times New Roman" w:cs="Times New Roman"/>
          <w:sz w:val="22"/>
          <w:szCs w:val="20"/>
          <w:lang w:val="en-AU"/>
        </w:rPr>
        <w:t>entering New Zealand,</w:t>
      </w:r>
      <w:r w:rsidR="009E4A80">
        <w:rPr>
          <w:rFonts w:eastAsia="Times New Roman" w:cs="Times New Roman"/>
          <w:sz w:val="22"/>
          <w:szCs w:val="20"/>
          <w:lang w:val="en-AU"/>
        </w:rPr>
        <w:t xml:space="preserve"> such as</w:t>
      </w:r>
      <w:r>
        <w:rPr>
          <w:rFonts w:eastAsia="Times New Roman" w:cs="Times New Roman"/>
          <w:sz w:val="22"/>
          <w:szCs w:val="20"/>
          <w:lang w:val="en-AU"/>
        </w:rPr>
        <w:t xml:space="preserve"> on the basis that they are leaving on the same or the next available vessel;  </w:t>
      </w:r>
    </w:p>
    <w:p w:rsidR="00DC7D18" w:rsidRDefault="00DC7D18" w:rsidP="00DC7D18">
      <w:pPr>
        <w:spacing w:after="0" w:line="280" w:lineRule="exact"/>
        <w:ind w:left="1080"/>
        <w:rPr>
          <w:rFonts w:eastAsia="Times New Roman" w:cs="Arial"/>
          <w:sz w:val="22"/>
          <w:lang w:val="en-AU"/>
        </w:rPr>
      </w:pPr>
    </w:p>
    <w:p w:rsidR="00DC7D18" w:rsidRDefault="00DC7D18" w:rsidP="00DC7D18">
      <w:pPr>
        <w:numPr>
          <w:ilvl w:val="0"/>
          <w:numId w:val="10"/>
        </w:numPr>
        <w:spacing w:after="0" w:line="280" w:lineRule="exact"/>
        <w:ind w:left="1080"/>
        <w:rPr>
          <w:rFonts w:eastAsia="Times New Roman" w:cs="Arial"/>
          <w:sz w:val="22"/>
          <w:lang w:val="en-AU"/>
        </w:rPr>
      </w:pPr>
      <w:r>
        <w:rPr>
          <w:rFonts w:eastAsia="Times New Roman" w:cs="Times New Roman"/>
          <w:sz w:val="22"/>
          <w:szCs w:val="20"/>
          <w:lang w:val="en-AU"/>
        </w:rPr>
        <w:t>exclude radiation sources from the authorisation and registration requirements in the Act whe</w:t>
      </w:r>
      <w:r w:rsidR="00EA06EE">
        <w:rPr>
          <w:rFonts w:eastAsia="Times New Roman" w:cs="Times New Roman"/>
          <w:sz w:val="22"/>
          <w:szCs w:val="20"/>
          <w:lang w:val="en-AU"/>
        </w:rPr>
        <w:t>n</w:t>
      </w:r>
      <w:r>
        <w:rPr>
          <w:rFonts w:eastAsia="Times New Roman" w:cs="Times New Roman"/>
          <w:sz w:val="22"/>
          <w:szCs w:val="20"/>
          <w:lang w:val="en-AU"/>
        </w:rPr>
        <w:t xml:space="preserve"> the effective dose arising from them is less than the prescribed levels, as set out in Table 2 of the RIS; </w:t>
      </w:r>
    </w:p>
    <w:p w:rsidR="00DC7D18" w:rsidRDefault="00DC7D18" w:rsidP="00DC7D18">
      <w:pPr>
        <w:spacing w:after="0" w:line="280" w:lineRule="exact"/>
        <w:ind w:left="1080"/>
        <w:rPr>
          <w:rFonts w:eastAsia="Times New Roman" w:cs="Arial"/>
          <w:sz w:val="22"/>
          <w:lang w:val="en-AU"/>
        </w:rPr>
      </w:pPr>
    </w:p>
    <w:p w:rsidR="004568A2" w:rsidRPr="006E619F" w:rsidRDefault="00DC7D18" w:rsidP="009E4A80">
      <w:pPr>
        <w:numPr>
          <w:ilvl w:val="0"/>
          <w:numId w:val="10"/>
        </w:numPr>
        <w:spacing w:after="0" w:line="280" w:lineRule="exact"/>
        <w:ind w:left="1080"/>
        <w:rPr>
          <w:rFonts w:eastAsia="Times New Roman" w:cs="Times New Roman"/>
          <w:b/>
          <w:color w:val="335087"/>
          <w:spacing w:val="20"/>
          <w:w w:val="90"/>
          <w:sz w:val="32"/>
          <w:szCs w:val="24"/>
          <w:lang w:val="en-GB" w:eastAsia="en-GB"/>
        </w:rPr>
      </w:pPr>
      <w:r>
        <w:rPr>
          <w:rFonts w:eastAsia="Times New Roman" w:cs="Arial"/>
          <w:sz w:val="22"/>
          <w:lang w:val="en-AU"/>
        </w:rPr>
        <w:t xml:space="preserve">provide for full cost recovery </w:t>
      </w:r>
      <w:r w:rsidR="009E4A80">
        <w:rPr>
          <w:rFonts w:eastAsia="Times New Roman" w:cs="Arial"/>
          <w:sz w:val="22"/>
          <w:lang w:val="en-AU"/>
        </w:rPr>
        <w:t xml:space="preserve">of costs arising from processing </w:t>
      </w:r>
      <w:r>
        <w:rPr>
          <w:rFonts w:eastAsia="Times New Roman" w:cs="Arial"/>
          <w:sz w:val="22"/>
          <w:lang w:val="en-AU"/>
        </w:rPr>
        <w:t xml:space="preserve">authorisations and compliance verifications, except that a partial exemption to the full source licence fee would apply over the first six years of the new Act’s operations, moving </w:t>
      </w:r>
      <w:r w:rsidR="009E4A80">
        <w:rPr>
          <w:rFonts w:eastAsia="Times New Roman" w:cs="Arial"/>
          <w:sz w:val="22"/>
          <w:lang w:val="en-AU"/>
        </w:rPr>
        <w:t xml:space="preserve">the surplus </w:t>
      </w:r>
      <w:r>
        <w:rPr>
          <w:rFonts w:eastAsia="Times New Roman" w:cs="Arial"/>
          <w:sz w:val="22"/>
          <w:lang w:val="en-AU"/>
        </w:rPr>
        <w:t>toward</w:t>
      </w:r>
      <w:r w:rsidR="006E619F">
        <w:rPr>
          <w:rFonts w:eastAsia="Times New Roman" w:cs="Arial"/>
          <w:sz w:val="22"/>
          <w:lang w:val="en-AU"/>
        </w:rPr>
        <w:t>s</w:t>
      </w:r>
      <w:r>
        <w:rPr>
          <w:rFonts w:eastAsia="Times New Roman" w:cs="Arial"/>
          <w:sz w:val="22"/>
          <w:lang w:val="en-AU"/>
        </w:rPr>
        <w:t xml:space="preserve"> zero over that period</w:t>
      </w:r>
      <w:bookmarkStart w:id="81" w:name="_Toc244917000"/>
      <w:bookmarkStart w:id="82" w:name="_Toc244912543"/>
      <w:bookmarkStart w:id="83" w:name="_Toc244857278"/>
      <w:bookmarkStart w:id="84" w:name="_Toc244587044"/>
      <w:bookmarkStart w:id="85" w:name="_Toc244580368"/>
      <w:bookmarkStart w:id="86" w:name="_Toc363047108"/>
      <w:bookmarkStart w:id="87" w:name="_Toc362940600"/>
      <w:bookmarkStart w:id="88" w:name="_Toc362619036"/>
      <w:bookmarkStart w:id="89" w:name="_Toc362589336"/>
      <w:bookmarkStart w:id="90" w:name="_Toc362434950"/>
      <w:bookmarkStart w:id="91" w:name="_Toc362368109"/>
      <w:r w:rsidR="009E4A80">
        <w:rPr>
          <w:rFonts w:eastAsia="Times New Roman" w:cs="Arial"/>
          <w:sz w:val="22"/>
          <w:lang w:val="en-AU"/>
        </w:rPr>
        <w:t>.</w:t>
      </w:r>
    </w:p>
    <w:p w:rsidR="00DC7D18" w:rsidRDefault="006E619F" w:rsidP="00DC7D18">
      <w:pPr>
        <w:keepNext/>
        <w:tabs>
          <w:tab w:val="left" w:pos="567"/>
        </w:tabs>
        <w:spacing w:before="240" w:after="180" w:line="240" w:lineRule="auto"/>
        <w:outlineLvl w:val="1"/>
        <w:rPr>
          <w:rFonts w:eastAsia="Times New Roman" w:cs="Times New Roman"/>
          <w:b/>
          <w:color w:val="335087"/>
          <w:spacing w:val="20"/>
          <w:w w:val="90"/>
          <w:sz w:val="32"/>
          <w:szCs w:val="24"/>
          <w:lang w:val="en-GB" w:eastAsia="en-GB"/>
        </w:rPr>
      </w:pPr>
      <w:r>
        <w:rPr>
          <w:rFonts w:eastAsia="Times New Roman" w:cs="Times New Roman"/>
          <w:b/>
          <w:color w:val="335087"/>
          <w:spacing w:val="20"/>
          <w:w w:val="90"/>
          <w:sz w:val="32"/>
          <w:szCs w:val="24"/>
          <w:lang w:val="en-GB" w:eastAsia="en-GB"/>
        </w:rPr>
        <w:t>I</w:t>
      </w:r>
      <w:r w:rsidR="00DC7D18">
        <w:rPr>
          <w:rFonts w:eastAsia="Times New Roman" w:cs="Times New Roman"/>
          <w:b/>
          <w:color w:val="335087"/>
          <w:spacing w:val="20"/>
          <w:w w:val="90"/>
          <w:sz w:val="32"/>
          <w:szCs w:val="24"/>
          <w:lang w:val="en-GB" w:eastAsia="en-GB"/>
        </w:rPr>
        <w:t>mplementation</w:t>
      </w:r>
      <w:bookmarkEnd w:id="81"/>
      <w:bookmarkEnd w:id="82"/>
      <w:bookmarkEnd w:id="83"/>
      <w:bookmarkEnd w:id="84"/>
      <w:bookmarkEnd w:id="85"/>
      <w:r w:rsidR="00DC7D18">
        <w:rPr>
          <w:rFonts w:eastAsia="Times New Roman" w:cs="Times New Roman"/>
          <w:b/>
          <w:color w:val="335087"/>
          <w:spacing w:val="20"/>
          <w:w w:val="90"/>
          <w:sz w:val="32"/>
          <w:szCs w:val="24"/>
          <w:lang w:val="en-GB" w:eastAsia="en-GB"/>
        </w:rPr>
        <w:t xml:space="preserve"> plan</w:t>
      </w:r>
      <w:bookmarkEnd w:id="86"/>
      <w:bookmarkEnd w:id="87"/>
      <w:bookmarkEnd w:id="88"/>
      <w:bookmarkEnd w:id="89"/>
      <w:bookmarkEnd w:id="90"/>
      <w:bookmarkEnd w:id="91"/>
    </w:p>
    <w:p w:rsidR="00DC7D18" w:rsidRDefault="00DC7D18" w:rsidP="00DC7D18">
      <w:pPr>
        <w:rPr>
          <w:i/>
          <w:sz w:val="22"/>
          <w:lang w:val="en-GB" w:eastAsia="en-GB"/>
        </w:rPr>
      </w:pPr>
      <w:r>
        <w:rPr>
          <w:i/>
          <w:sz w:val="22"/>
          <w:lang w:val="en-GB" w:eastAsia="en-GB"/>
        </w:rPr>
        <w:t>Steps towards implementation</w:t>
      </w:r>
    </w:p>
    <w:p w:rsidR="00DC7D18" w:rsidRDefault="00DC7D18"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8</w:t>
      </w:r>
      <w:r w:rsidR="000B6227">
        <w:rPr>
          <w:rFonts w:eastAsia="Times New Roman" w:cs="Times New Roman"/>
          <w:sz w:val="22"/>
          <w:szCs w:val="20"/>
          <w:lang w:val="en-AU"/>
        </w:rPr>
        <w:t>9</w:t>
      </w:r>
      <w:r>
        <w:rPr>
          <w:rFonts w:eastAsia="Times New Roman" w:cs="Times New Roman"/>
          <w:sz w:val="22"/>
          <w:szCs w:val="20"/>
          <w:lang w:val="en-AU"/>
        </w:rPr>
        <w:t>.</w:t>
      </w:r>
      <w:r>
        <w:rPr>
          <w:rFonts w:eastAsia="Times New Roman" w:cs="Times New Roman"/>
          <w:sz w:val="22"/>
          <w:szCs w:val="20"/>
          <w:lang w:val="en-AU"/>
        </w:rPr>
        <w:tab/>
        <w:t>The Act has a 12 month transitional period between enactment and implementation, enabling the proposed Regulations to be ready in time</w:t>
      </w:r>
      <w:r w:rsidR="00EA06EE">
        <w:rPr>
          <w:rFonts w:eastAsia="Times New Roman" w:cs="Times New Roman"/>
          <w:sz w:val="22"/>
          <w:szCs w:val="20"/>
          <w:lang w:val="en-AU"/>
        </w:rPr>
        <w:t xml:space="preserve"> for commencement</w:t>
      </w:r>
      <w:r>
        <w:rPr>
          <w:rFonts w:eastAsia="Times New Roman" w:cs="Times New Roman"/>
          <w:sz w:val="22"/>
          <w:szCs w:val="20"/>
          <w:lang w:val="en-AU"/>
        </w:rPr>
        <w:t xml:space="preserve">.  </w:t>
      </w:r>
    </w:p>
    <w:p w:rsidR="00DC7D18" w:rsidRDefault="000B6227"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90</w:t>
      </w:r>
      <w:r w:rsidR="00DC7D18">
        <w:rPr>
          <w:rFonts w:eastAsia="Times New Roman" w:cs="Times New Roman"/>
          <w:sz w:val="22"/>
          <w:szCs w:val="20"/>
          <w:lang w:val="en-AU"/>
        </w:rPr>
        <w:t>.</w:t>
      </w:r>
      <w:r w:rsidR="00DC7D18">
        <w:rPr>
          <w:rFonts w:eastAsia="Times New Roman" w:cs="Times New Roman"/>
          <w:sz w:val="22"/>
          <w:szCs w:val="20"/>
          <w:lang w:val="en-AU"/>
        </w:rPr>
        <w:tab/>
        <w:t>An Implementation Steering Group has responsibility f</w:t>
      </w:r>
      <w:r w:rsidR="007507C3">
        <w:rPr>
          <w:rFonts w:eastAsia="Times New Roman" w:cs="Times New Roman"/>
          <w:sz w:val="22"/>
          <w:szCs w:val="20"/>
          <w:lang w:val="en-AU"/>
        </w:rPr>
        <w:t>or</w:t>
      </w:r>
      <w:r w:rsidR="00DC7D18">
        <w:rPr>
          <w:rFonts w:eastAsia="Times New Roman" w:cs="Times New Roman"/>
          <w:sz w:val="22"/>
          <w:szCs w:val="20"/>
          <w:lang w:val="en-AU"/>
        </w:rPr>
        <w:t xml:space="preserve"> overseeing the implementation plan.  One of the key priorities identified is appoint</w:t>
      </w:r>
      <w:r w:rsidR="009537C3">
        <w:rPr>
          <w:rFonts w:eastAsia="Times New Roman" w:cs="Times New Roman"/>
          <w:sz w:val="22"/>
          <w:szCs w:val="20"/>
          <w:lang w:val="en-AU"/>
        </w:rPr>
        <w:t>ing</w:t>
      </w:r>
      <w:r w:rsidR="00CC4A8F">
        <w:rPr>
          <w:rFonts w:eastAsia="Times New Roman" w:cs="Times New Roman"/>
          <w:sz w:val="22"/>
          <w:szCs w:val="20"/>
          <w:lang w:val="en-AU"/>
        </w:rPr>
        <w:t xml:space="preserve"> a Director for </w:t>
      </w:r>
      <w:r w:rsidR="00DC7D18">
        <w:rPr>
          <w:rFonts w:eastAsia="Times New Roman" w:cs="Times New Roman"/>
          <w:sz w:val="22"/>
          <w:szCs w:val="20"/>
          <w:lang w:val="en-AU"/>
        </w:rPr>
        <w:t>Radiation Safety, with the incumbent Team Leader of the Office of Radiation Safety effectively acting in the role until the permanent appointment has been made.  Another is to appoint the members of the Radiation Safety Advisory Council which has advisory powers to the Minister of Health, Director-Gen</w:t>
      </w:r>
      <w:r w:rsidR="009537C3">
        <w:rPr>
          <w:rFonts w:eastAsia="Times New Roman" w:cs="Times New Roman"/>
          <w:sz w:val="22"/>
          <w:szCs w:val="20"/>
          <w:lang w:val="en-AU"/>
        </w:rPr>
        <w:t>eral of Health and the Director</w:t>
      </w:r>
      <w:r w:rsidR="00DC7D18">
        <w:rPr>
          <w:rFonts w:eastAsia="Times New Roman" w:cs="Times New Roman"/>
          <w:sz w:val="22"/>
          <w:szCs w:val="20"/>
          <w:lang w:val="en-AU"/>
        </w:rPr>
        <w:t>.</w:t>
      </w:r>
    </w:p>
    <w:p w:rsidR="00DC7D18" w:rsidRDefault="000B6227"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91</w:t>
      </w:r>
      <w:r w:rsidR="00DC7D18">
        <w:rPr>
          <w:rFonts w:eastAsia="Times New Roman" w:cs="Times New Roman"/>
          <w:sz w:val="22"/>
          <w:szCs w:val="20"/>
          <w:lang w:val="en-AU"/>
        </w:rPr>
        <w:t>.</w:t>
      </w:r>
      <w:r w:rsidR="00DC7D18">
        <w:rPr>
          <w:rFonts w:eastAsia="Times New Roman" w:cs="Times New Roman"/>
          <w:sz w:val="22"/>
          <w:szCs w:val="20"/>
          <w:lang w:val="en-AU"/>
        </w:rPr>
        <w:tab/>
        <w:t>Drafting codes of practice is another key priority identified on the Plan, although existing codes of safe practice can be used in the interim to some extent.  The codes need updating across the board to ensure they meet the requirements of s 86 of the Act (eg, codes must state the fundamental requirement/s to which they relate, the scope of the code of practice, and not be inconsistent with the Act).  The codes must be available on the Office of Radiation Safety part of the Ministry</w:t>
      </w:r>
      <w:r w:rsidR="006E619F">
        <w:rPr>
          <w:rFonts w:eastAsia="Times New Roman" w:cs="Times New Roman"/>
          <w:sz w:val="22"/>
          <w:szCs w:val="20"/>
          <w:lang w:val="en-AU"/>
        </w:rPr>
        <w:t>’s</w:t>
      </w:r>
      <w:r w:rsidR="00DC7D18">
        <w:rPr>
          <w:rFonts w:eastAsia="Times New Roman" w:cs="Times New Roman"/>
          <w:sz w:val="22"/>
          <w:szCs w:val="20"/>
          <w:lang w:val="en-AU"/>
        </w:rPr>
        <w:t xml:space="preserve"> website and have been consulted on.  </w:t>
      </w:r>
    </w:p>
    <w:p w:rsidR="00DC7D18" w:rsidRDefault="002E4CE1"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2</w:t>
      </w:r>
      <w:r w:rsidR="00DC7D18">
        <w:rPr>
          <w:rFonts w:eastAsia="Times New Roman" w:cs="Times New Roman"/>
          <w:sz w:val="22"/>
          <w:szCs w:val="20"/>
          <w:lang w:val="en-AU"/>
        </w:rPr>
        <w:t>.</w:t>
      </w:r>
      <w:r w:rsidR="00DC7D18">
        <w:rPr>
          <w:rFonts w:eastAsia="Times New Roman" w:cs="Times New Roman"/>
          <w:sz w:val="22"/>
          <w:szCs w:val="20"/>
          <w:lang w:val="en-AU"/>
        </w:rPr>
        <w:tab/>
        <w:t>A new security code of practice must be drafted, although the substance is currently contained in licensing conditions of it.  The Implementation Steering Group will monitor progress in updating the codes of practice, for planned completion of them by February 2017, in time for the Act’s commencement.</w:t>
      </w:r>
    </w:p>
    <w:p w:rsidR="00DC7D18" w:rsidRDefault="00DC7D18" w:rsidP="00DC7D18">
      <w:pPr>
        <w:spacing w:after="180" w:line="280" w:lineRule="exact"/>
        <w:rPr>
          <w:rFonts w:eastAsia="Times New Roman" w:cs="Times New Roman"/>
          <w:i/>
          <w:sz w:val="22"/>
          <w:szCs w:val="20"/>
          <w:lang w:val="en-AU"/>
        </w:rPr>
      </w:pPr>
      <w:r>
        <w:rPr>
          <w:rFonts w:eastAsia="Times New Roman" w:cs="Times New Roman"/>
          <w:i/>
          <w:sz w:val="22"/>
          <w:szCs w:val="20"/>
          <w:lang w:val="en-AU"/>
        </w:rPr>
        <w:t>Steps taken to minimise compliance costs</w:t>
      </w:r>
    </w:p>
    <w:p w:rsidR="00DC7D18" w:rsidRDefault="006E619F"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3</w:t>
      </w:r>
      <w:r w:rsidR="00DC7D18">
        <w:rPr>
          <w:rFonts w:eastAsia="Times New Roman" w:cs="Times New Roman"/>
          <w:sz w:val="22"/>
          <w:szCs w:val="20"/>
          <w:lang w:val="en-AU"/>
        </w:rPr>
        <w:t>.</w:t>
      </w:r>
      <w:r w:rsidR="00DC7D18">
        <w:rPr>
          <w:rFonts w:eastAsia="Times New Roman" w:cs="Times New Roman"/>
          <w:sz w:val="22"/>
          <w:szCs w:val="20"/>
          <w:lang w:val="en-AU"/>
        </w:rPr>
        <w:tab/>
        <w:t xml:space="preserve">The </w:t>
      </w:r>
      <w:r w:rsidR="00EA06EE">
        <w:rPr>
          <w:rFonts w:eastAsia="Times New Roman" w:cs="Times New Roman"/>
          <w:sz w:val="22"/>
          <w:szCs w:val="20"/>
          <w:lang w:val="en-AU"/>
        </w:rPr>
        <w:t xml:space="preserve">Ministry’s </w:t>
      </w:r>
      <w:r w:rsidR="00DC7D18">
        <w:rPr>
          <w:rFonts w:eastAsia="Times New Roman" w:cs="Times New Roman"/>
          <w:sz w:val="22"/>
          <w:szCs w:val="20"/>
          <w:lang w:val="en-AU"/>
        </w:rPr>
        <w:t xml:space="preserve">cost recovery proposals recognise that segments of the radiation sector have disproportionately carried the brunt of licensing costs under the old legislation, and the surplus will to some extent be returned </w:t>
      </w:r>
      <w:r>
        <w:rPr>
          <w:rFonts w:eastAsia="Times New Roman" w:cs="Times New Roman"/>
          <w:sz w:val="22"/>
          <w:szCs w:val="20"/>
          <w:lang w:val="en-AU"/>
        </w:rPr>
        <w:t xml:space="preserve">to those segments in the first six </w:t>
      </w:r>
      <w:r w:rsidR="00DC7D18">
        <w:rPr>
          <w:rFonts w:eastAsia="Times New Roman" w:cs="Times New Roman"/>
          <w:sz w:val="22"/>
          <w:szCs w:val="20"/>
          <w:lang w:val="en-AU"/>
        </w:rPr>
        <w:t>years of the Act’s operation.</w:t>
      </w:r>
    </w:p>
    <w:p w:rsidR="00DC7D18" w:rsidRDefault="006E619F"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4</w:t>
      </w:r>
      <w:r w:rsidR="00DC7D18">
        <w:rPr>
          <w:rFonts w:eastAsia="Times New Roman" w:cs="Times New Roman"/>
          <w:sz w:val="22"/>
          <w:szCs w:val="20"/>
          <w:lang w:val="en-AU"/>
        </w:rPr>
        <w:t>.</w:t>
      </w:r>
      <w:r w:rsidR="00DC7D18">
        <w:rPr>
          <w:rFonts w:eastAsia="Times New Roman" w:cs="Times New Roman"/>
          <w:sz w:val="22"/>
          <w:szCs w:val="20"/>
          <w:lang w:val="en-AU"/>
        </w:rPr>
        <w:tab/>
      </w:r>
      <w:r w:rsidR="00EA06EE">
        <w:rPr>
          <w:rFonts w:eastAsia="Times New Roman" w:cs="Times New Roman"/>
          <w:sz w:val="22"/>
          <w:szCs w:val="20"/>
          <w:lang w:val="en-AU"/>
        </w:rPr>
        <w:t>E</w:t>
      </w:r>
      <w:r w:rsidR="00DC7D18">
        <w:rPr>
          <w:rFonts w:eastAsia="Times New Roman" w:cs="Times New Roman"/>
          <w:sz w:val="22"/>
          <w:szCs w:val="20"/>
          <w:lang w:val="en-AU"/>
        </w:rPr>
        <w:t>xceptions to obtaining authorisations proposed in the Regulations for some radiation safety users and activities, based on the availability of demonstrably robust training requirements, enable them to avoid the payment of fees.</w:t>
      </w:r>
    </w:p>
    <w:p w:rsidR="00DC7D18" w:rsidRDefault="006E619F"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5</w:t>
      </w:r>
      <w:r w:rsidR="00DC7D18">
        <w:rPr>
          <w:rFonts w:eastAsia="Times New Roman" w:cs="Times New Roman"/>
          <w:sz w:val="22"/>
          <w:szCs w:val="20"/>
          <w:lang w:val="en-AU"/>
        </w:rPr>
        <w:t>.</w:t>
      </w:r>
      <w:r w:rsidR="00DC7D18">
        <w:rPr>
          <w:rFonts w:eastAsia="Times New Roman" w:cs="Times New Roman"/>
          <w:sz w:val="22"/>
          <w:szCs w:val="20"/>
          <w:lang w:val="en-AU"/>
        </w:rPr>
        <w:tab/>
        <w:t xml:space="preserve">Compliance verification audit frequency is also geared to the presenting radiation safety risk (eg, three year licence holders could in some instances be subject to an audit every five years, and the fees will be comparative low as a result).  </w:t>
      </w:r>
    </w:p>
    <w:p w:rsidR="00DC7D18" w:rsidRDefault="006E619F"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6</w:t>
      </w:r>
      <w:r w:rsidR="00DC7D18">
        <w:rPr>
          <w:rFonts w:eastAsia="Times New Roman" w:cs="Times New Roman"/>
          <w:sz w:val="22"/>
          <w:szCs w:val="20"/>
          <w:lang w:val="en-AU"/>
        </w:rPr>
        <w:t>.</w:t>
      </w:r>
      <w:r w:rsidR="00DC7D18">
        <w:rPr>
          <w:rFonts w:eastAsia="Times New Roman" w:cs="Times New Roman"/>
          <w:sz w:val="22"/>
          <w:szCs w:val="20"/>
          <w:lang w:val="en-AU"/>
        </w:rPr>
        <w:tab/>
        <w:t>The proposed</w:t>
      </w:r>
      <w:r w:rsidR="00EA06EE">
        <w:rPr>
          <w:rFonts w:eastAsia="Times New Roman" w:cs="Times New Roman"/>
          <w:sz w:val="22"/>
          <w:szCs w:val="20"/>
          <w:lang w:val="en-AU"/>
        </w:rPr>
        <w:t xml:space="preserve"> cost recovery</w:t>
      </w:r>
      <w:r w:rsidR="00DC7D18">
        <w:rPr>
          <w:rFonts w:eastAsia="Times New Roman" w:cs="Times New Roman"/>
          <w:sz w:val="22"/>
          <w:szCs w:val="20"/>
          <w:lang w:val="en-AU"/>
        </w:rPr>
        <w:t xml:space="preserve"> Regulations have been developed taking into account the cost recovery principles in s 92 of the Act – including equity, efficiency, justifiability, transparency, and ease of administration.</w:t>
      </w:r>
    </w:p>
    <w:p w:rsidR="00DC7D18" w:rsidRDefault="006E619F"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7</w:t>
      </w:r>
      <w:r w:rsidR="00DC7D18">
        <w:rPr>
          <w:rFonts w:eastAsia="Times New Roman" w:cs="Times New Roman"/>
          <w:sz w:val="22"/>
          <w:szCs w:val="20"/>
          <w:lang w:val="en-AU"/>
        </w:rPr>
        <w:t>.</w:t>
      </w:r>
      <w:r w:rsidR="00DC7D18">
        <w:rPr>
          <w:rFonts w:eastAsia="Times New Roman" w:cs="Times New Roman"/>
          <w:sz w:val="22"/>
          <w:szCs w:val="20"/>
          <w:lang w:val="en-AU"/>
        </w:rPr>
        <w:tab/>
        <w:t xml:space="preserve">The consultation requirements in the Act which apply before cost recovery can be embarked on are another means of checking burgeoning costs. </w:t>
      </w:r>
    </w:p>
    <w:p w:rsidR="00DC7D18" w:rsidRDefault="00DC7D18" w:rsidP="00DC7D18">
      <w:pPr>
        <w:spacing w:after="180" w:line="280" w:lineRule="exact"/>
        <w:rPr>
          <w:rFonts w:eastAsia="Times New Roman" w:cs="Times New Roman"/>
          <w:i/>
          <w:sz w:val="22"/>
          <w:szCs w:val="20"/>
          <w:lang w:val="en-AU"/>
        </w:rPr>
      </w:pPr>
      <w:r>
        <w:rPr>
          <w:rFonts w:eastAsia="Times New Roman" w:cs="Times New Roman"/>
          <w:i/>
          <w:sz w:val="22"/>
          <w:szCs w:val="20"/>
          <w:lang w:val="en-AU"/>
        </w:rPr>
        <w:t>Impact of the proposals on existing Regulations</w:t>
      </w:r>
    </w:p>
    <w:p w:rsidR="00DC7D18" w:rsidRDefault="006E619F" w:rsidP="00DC7D18">
      <w:pPr>
        <w:spacing w:after="180" w:line="280" w:lineRule="exact"/>
        <w:ind w:left="720" w:hanging="720"/>
        <w:rPr>
          <w:rFonts w:eastAsia="Times New Roman" w:cs="Times New Roman"/>
          <w:i/>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8</w:t>
      </w:r>
      <w:r w:rsidR="00DC7D18">
        <w:rPr>
          <w:rFonts w:eastAsia="Times New Roman" w:cs="Times New Roman"/>
          <w:sz w:val="22"/>
          <w:szCs w:val="20"/>
          <w:lang w:val="en-AU"/>
        </w:rPr>
        <w:t>.</w:t>
      </w:r>
      <w:r w:rsidR="00DC7D18">
        <w:rPr>
          <w:rFonts w:eastAsia="Times New Roman" w:cs="Times New Roman"/>
          <w:sz w:val="22"/>
          <w:szCs w:val="20"/>
          <w:lang w:val="en-AU"/>
        </w:rPr>
        <w:tab/>
        <w:t>The Radiation Protection Regulations 1982 and the Radiation Protection (Appeals) Regulations will be revoked by the Radiation Safety Act 2016 when it comes into force on 7 March 2016.</w:t>
      </w:r>
    </w:p>
    <w:p w:rsidR="00DC7D18" w:rsidRDefault="00DC7D18" w:rsidP="00DC7D18">
      <w:pPr>
        <w:spacing w:after="180" w:line="280" w:lineRule="exact"/>
        <w:ind w:left="284" w:hanging="284"/>
        <w:rPr>
          <w:rFonts w:eastAsia="Times New Roman" w:cs="Times New Roman"/>
          <w:i/>
          <w:sz w:val="22"/>
          <w:szCs w:val="20"/>
          <w:lang w:val="en-AU"/>
        </w:rPr>
      </w:pPr>
      <w:r>
        <w:rPr>
          <w:rFonts w:eastAsia="Times New Roman" w:cs="Times New Roman"/>
          <w:i/>
          <w:sz w:val="22"/>
          <w:szCs w:val="20"/>
          <w:lang w:val="en-AU"/>
        </w:rPr>
        <w:t>Enforcement strategy</w:t>
      </w:r>
    </w:p>
    <w:p w:rsidR="00DC7D18" w:rsidRDefault="00DC7D18" w:rsidP="00DC7D18">
      <w:pPr>
        <w:spacing w:after="180" w:line="280" w:lineRule="exact"/>
        <w:ind w:left="720" w:hanging="720"/>
        <w:rPr>
          <w:rFonts w:eastAsia="Times New Roman" w:cs="Times New Roman"/>
          <w:sz w:val="22"/>
          <w:szCs w:val="20"/>
          <w:lang w:val="en-AU"/>
        </w:rPr>
      </w:pPr>
      <w:r>
        <w:rPr>
          <w:rFonts w:eastAsia="Times New Roman" w:cs="Times New Roman"/>
          <w:sz w:val="22"/>
          <w:szCs w:val="20"/>
          <w:lang w:val="en-AU"/>
        </w:rPr>
        <w:t>9</w:t>
      </w:r>
      <w:r w:rsidR="000B6227">
        <w:rPr>
          <w:rFonts w:eastAsia="Times New Roman" w:cs="Times New Roman"/>
          <w:sz w:val="22"/>
          <w:szCs w:val="20"/>
          <w:lang w:val="en-AU"/>
        </w:rPr>
        <w:t>9</w:t>
      </w:r>
      <w:r>
        <w:rPr>
          <w:rFonts w:eastAsia="Times New Roman" w:cs="Times New Roman"/>
          <w:sz w:val="22"/>
          <w:szCs w:val="20"/>
          <w:lang w:val="en-AU"/>
        </w:rPr>
        <w:t>.</w:t>
      </w:r>
      <w:r>
        <w:rPr>
          <w:rFonts w:eastAsia="Times New Roman" w:cs="Times New Roman"/>
          <w:sz w:val="22"/>
          <w:szCs w:val="20"/>
          <w:lang w:val="en-AU"/>
        </w:rPr>
        <w:tab/>
        <w:t xml:space="preserve">The new Act allows for enforcement officers which will be appointed by the Ministry, as recognised in the Implementation Plan.  The Office of Radiation Safety will be continuing the audits of compliance and responding to any incidents coming to </w:t>
      </w:r>
      <w:r w:rsidR="006E619F">
        <w:rPr>
          <w:rFonts w:eastAsia="Times New Roman" w:cs="Times New Roman"/>
          <w:sz w:val="22"/>
          <w:szCs w:val="20"/>
          <w:lang w:val="en-AU"/>
        </w:rPr>
        <w:t xml:space="preserve">its </w:t>
      </w:r>
      <w:r>
        <w:rPr>
          <w:rFonts w:eastAsia="Times New Roman" w:cs="Times New Roman"/>
          <w:sz w:val="22"/>
          <w:szCs w:val="20"/>
          <w:lang w:val="en-AU"/>
        </w:rPr>
        <w:t xml:space="preserve">notice.  </w:t>
      </w:r>
      <w:r w:rsidR="00EA06EE">
        <w:rPr>
          <w:rFonts w:eastAsia="Times New Roman" w:cs="Times New Roman"/>
          <w:sz w:val="22"/>
          <w:szCs w:val="20"/>
          <w:lang w:val="en-AU"/>
        </w:rPr>
        <w:t xml:space="preserve">An </w:t>
      </w:r>
      <w:r>
        <w:rPr>
          <w:rFonts w:eastAsia="Times New Roman" w:cs="Times New Roman"/>
          <w:sz w:val="22"/>
          <w:szCs w:val="20"/>
          <w:lang w:val="en-AU"/>
        </w:rPr>
        <w:t xml:space="preserve">Incidents Responders’ Handbook (March 2009) is being revised to meet the requirements of s 60 of the Act - which necessitates a Radiation Response Plan for events that may involve radiation safety and containing “appropriate operational arrangements”.  </w:t>
      </w:r>
      <w:r w:rsidR="00EA06EE">
        <w:rPr>
          <w:rFonts w:eastAsia="Times New Roman" w:cs="Times New Roman"/>
          <w:sz w:val="22"/>
          <w:szCs w:val="20"/>
          <w:lang w:val="en-AU"/>
        </w:rPr>
        <w:t>W</w:t>
      </w:r>
      <w:r>
        <w:rPr>
          <w:rFonts w:eastAsia="Times New Roman" w:cs="Times New Roman"/>
          <w:sz w:val="22"/>
          <w:szCs w:val="20"/>
          <w:lang w:val="en-AU"/>
        </w:rPr>
        <w:t>ebsite material will also be updated to reflect the legislative changes, including enforcement changes.</w:t>
      </w:r>
    </w:p>
    <w:p w:rsidR="00DC7D18" w:rsidRDefault="00DC7D18" w:rsidP="00DC7D18">
      <w:pPr>
        <w:keepNext/>
        <w:tabs>
          <w:tab w:val="left" w:pos="567"/>
        </w:tabs>
        <w:spacing w:before="240" w:after="180" w:line="240" w:lineRule="auto"/>
        <w:outlineLvl w:val="1"/>
        <w:rPr>
          <w:rFonts w:eastAsia="Times New Roman" w:cs="Times New Roman"/>
          <w:b/>
          <w:color w:val="335087"/>
          <w:spacing w:val="20"/>
          <w:w w:val="90"/>
          <w:sz w:val="32"/>
          <w:szCs w:val="24"/>
          <w:lang w:val="en-GB" w:eastAsia="en-GB"/>
        </w:rPr>
      </w:pPr>
      <w:bookmarkStart w:id="92" w:name="_Toc363047109"/>
      <w:bookmarkStart w:id="93" w:name="_Toc362940601"/>
      <w:bookmarkStart w:id="94" w:name="_Toc362619037"/>
      <w:bookmarkStart w:id="95" w:name="_Toc362589337"/>
      <w:bookmarkStart w:id="96" w:name="_Toc362434951"/>
      <w:bookmarkStart w:id="97" w:name="_Toc362368110"/>
      <w:bookmarkStart w:id="98" w:name="_Toc244917001"/>
      <w:bookmarkStart w:id="99" w:name="_Toc244912544"/>
      <w:bookmarkStart w:id="100" w:name="_Toc244857279"/>
      <w:bookmarkStart w:id="101" w:name="_Toc244587045"/>
      <w:bookmarkStart w:id="102" w:name="_Toc244580369"/>
      <w:r>
        <w:rPr>
          <w:rFonts w:eastAsia="Times New Roman" w:cs="Times New Roman"/>
          <w:b/>
          <w:color w:val="335087"/>
          <w:spacing w:val="20"/>
          <w:w w:val="90"/>
          <w:sz w:val="32"/>
          <w:szCs w:val="24"/>
          <w:lang w:val="en-GB" w:eastAsia="en-GB"/>
        </w:rPr>
        <w:t>Monitoring, evaluation and review</w:t>
      </w:r>
      <w:bookmarkEnd w:id="92"/>
      <w:bookmarkEnd w:id="93"/>
      <w:bookmarkEnd w:id="94"/>
      <w:bookmarkEnd w:id="95"/>
      <w:bookmarkEnd w:id="96"/>
      <w:bookmarkEnd w:id="97"/>
      <w:bookmarkEnd w:id="98"/>
      <w:bookmarkEnd w:id="99"/>
      <w:bookmarkEnd w:id="100"/>
      <w:bookmarkEnd w:id="101"/>
      <w:bookmarkEnd w:id="102"/>
    </w:p>
    <w:p w:rsidR="00DC7D18" w:rsidRDefault="000B6227" w:rsidP="00DC7D18">
      <w:pPr>
        <w:ind w:left="720" w:hanging="720"/>
        <w:rPr>
          <w:sz w:val="22"/>
          <w:lang w:val="en-GB" w:eastAsia="en-GB"/>
        </w:rPr>
      </w:pPr>
      <w:r>
        <w:rPr>
          <w:sz w:val="22"/>
          <w:lang w:val="en-GB" w:eastAsia="en-GB"/>
        </w:rPr>
        <w:t>100</w:t>
      </w:r>
      <w:r w:rsidR="00DC7D18">
        <w:rPr>
          <w:sz w:val="22"/>
          <w:lang w:val="en-GB" w:eastAsia="en-GB"/>
        </w:rPr>
        <w:t>.</w:t>
      </w:r>
      <w:r w:rsidR="00DC7D18">
        <w:rPr>
          <w:sz w:val="22"/>
          <w:lang w:val="en-GB" w:eastAsia="en-GB"/>
        </w:rPr>
        <w:tab/>
      </w:r>
      <w:r w:rsidR="00CC4A8F">
        <w:rPr>
          <w:sz w:val="22"/>
          <w:lang w:val="en-GB" w:eastAsia="en-GB"/>
        </w:rPr>
        <w:t>Within</w:t>
      </w:r>
      <w:r w:rsidR="00DC7D18">
        <w:rPr>
          <w:sz w:val="22"/>
          <w:lang w:val="en-GB" w:eastAsia="en-GB"/>
        </w:rPr>
        <w:t xml:space="preserve"> </w:t>
      </w:r>
      <w:r w:rsidR="006E619F">
        <w:rPr>
          <w:sz w:val="22"/>
          <w:lang w:val="en-GB" w:eastAsia="en-GB"/>
        </w:rPr>
        <w:t>six</w:t>
      </w:r>
      <w:r w:rsidR="00DC7D18">
        <w:rPr>
          <w:sz w:val="22"/>
          <w:lang w:val="en-GB" w:eastAsia="en-GB"/>
        </w:rPr>
        <w:t xml:space="preserve"> years, fees wi</w:t>
      </w:r>
      <w:r w:rsidR="00EA06EE">
        <w:rPr>
          <w:sz w:val="22"/>
          <w:lang w:val="en-GB" w:eastAsia="en-GB"/>
        </w:rPr>
        <w:t>ll be reviewed in light of the surplus</w:t>
      </w:r>
      <w:r w:rsidR="00DC7D18">
        <w:rPr>
          <w:sz w:val="22"/>
          <w:lang w:val="en-GB" w:eastAsia="en-GB"/>
        </w:rPr>
        <w:t>, and our assumptions on costs of the regulatory framework and the level of li</w:t>
      </w:r>
      <w:r w:rsidR="006E619F">
        <w:rPr>
          <w:sz w:val="22"/>
          <w:lang w:val="en-GB" w:eastAsia="en-GB"/>
        </w:rPr>
        <w:t>cence fees.  A review at the three</w:t>
      </w:r>
      <w:r w:rsidR="00DC7D18">
        <w:rPr>
          <w:sz w:val="22"/>
          <w:lang w:val="en-GB" w:eastAsia="en-GB"/>
        </w:rPr>
        <w:t xml:space="preserve"> year mark would be premature in the Ministry’s view given this and the three year maximum duration of most authorisations.  </w:t>
      </w:r>
      <w:r w:rsidR="00EA06EE">
        <w:rPr>
          <w:sz w:val="22"/>
          <w:lang w:val="en-GB" w:eastAsia="en-GB"/>
        </w:rPr>
        <w:t>T</w:t>
      </w:r>
      <w:r w:rsidR="00DC7D18">
        <w:rPr>
          <w:sz w:val="22"/>
          <w:lang w:val="en-GB" w:eastAsia="en-GB"/>
        </w:rPr>
        <w:t xml:space="preserve">ransitional arrangements in the Act mean the current licences that are all one year licences will be expiring within the first year of operation and then will move on to source and user licences of up to three years’ and to consents of up to one years’ duration.  </w:t>
      </w:r>
      <w:r w:rsidR="009537C3">
        <w:rPr>
          <w:sz w:val="22"/>
          <w:lang w:val="en-GB" w:eastAsia="en-GB"/>
        </w:rPr>
        <w:t>Af</w:t>
      </w:r>
      <w:r w:rsidR="00DC7D18">
        <w:rPr>
          <w:sz w:val="22"/>
          <w:lang w:val="en-GB" w:eastAsia="en-GB"/>
        </w:rPr>
        <w:t xml:space="preserve">ter </w:t>
      </w:r>
      <w:r w:rsidR="009537C3">
        <w:rPr>
          <w:sz w:val="22"/>
          <w:lang w:val="en-GB" w:eastAsia="en-GB"/>
        </w:rPr>
        <w:t xml:space="preserve">only </w:t>
      </w:r>
      <w:r w:rsidR="00DC7D18">
        <w:rPr>
          <w:sz w:val="22"/>
          <w:lang w:val="en-GB" w:eastAsia="en-GB"/>
        </w:rPr>
        <w:t>three years</w:t>
      </w:r>
      <w:r w:rsidR="00EA06EE">
        <w:rPr>
          <w:sz w:val="22"/>
          <w:lang w:val="en-GB" w:eastAsia="en-GB"/>
        </w:rPr>
        <w:t xml:space="preserve"> there is unlikely to b</w:t>
      </w:r>
      <w:r w:rsidR="00DC7D18">
        <w:rPr>
          <w:sz w:val="22"/>
          <w:lang w:val="en-GB" w:eastAsia="en-GB"/>
        </w:rPr>
        <w:t>e sufficient data to conduct a meaningful review.</w:t>
      </w:r>
    </w:p>
    <w:p w:rsidR="00DC7D18" w:rsidRDefault="000B6227" w:rsidP="00DC7D18">
      <w:pPr>
        <w:ind w:left="720" w:hanging="720"/>
        <w:rPr>
          <w:rFonts w:cs="Arial"/>
          <w:sz w:val="22"/>
          <w:lang w:val="en-GB" w:eastAsia="en-GB"/>
        </w:rPr>
      </w:pPr>
      <w:r>
        <w:rPr>
          <w:rFonts w:cs="Arial"/>
          <w:sz w:val="22"/>
          <w:lang w:val="en-GB" w:eastAsia="en-GB"/>
        </w:rPr>
        <w:t>101</w:t>
      </w:r>
      <w:r w:rsidR="00DC7D18">
        <w:rPr>
          <w:rFonts w:cs="Arial"/>
          <w:sz w:val="22"/>
          <w:lang w:val="en-GB" w:eastAsia="en-GB"/>
        </w:rPr>
        <w:t>.</w:t>
      </w:r>
      <w:r w:rsidR="00DC7D18">
        <w:rPr>
          <w:rFonts w:cs="Arial"/>
          <w:sz w:val="22"/>
          <w:lang w:val="en-GB" w:eastAsia="en-GB"/>
        </w:rPr>
        <w:tab/>
        <w:t xml:space="preserve">In terms of other features– such as duration of authorisations and exceptions and exemptions, </w:t>
      </w:r>
      <w:r w:rsidR="005C1C80">
        <w:rPr>
          <w:rFonts w:cs="Arial"/>
          <w:sz w:val="22"/>
          <w:lang w:val="en-GB" w:eastAsia="en-GB"/>
        </w:rPr>
        <w:t xml:space="preserve">some </w:t>
      </w:r>
      <w:r w:rsidR="00DC7D18">
        <w:rPr>
          <w:rFonts w:cs="Arial"/>
          <w:sz w:val="22"/>
          <w:lang w:val="en-GB" w:eastAsia="en-GB"/>
        </w:rPr>
        <w:t>occupational groups will continue to work with the Office of Radiation Safety for possible</w:t>
      </w:r>
      <w:r w:rsidR="005C1C80">
        <w:rPr>
          <w:rFonts w:cs="Arial"/>
          <w:sz w:val="22"/>
          <w:lang w:val="en-GB" w:eastAsia="en-GB"/>
        </w:rPr>
        <w:t xml:space="preserve"> future avoidance of fees</w:t>
      </w:r>
      <w:r w:rsidR="00DC7D18">
        <w:rPr>
          <w:rFonts w:cs="Arial"/>
          <w:sz w:val="22"/>
          <w:lang w:val="en-GB" w:eastAsia="en-GB"/>
        </w:rPr>
        <w:t>.  This would only arise when the Director is satisfied that the training and competency requirements of the people performing the radiation user activities are robust enough to ensure radiation safety without additionally going through the use licensing requirements.</w:t>
      </w:r>
      <w:bookmarkEnd w:id="9"/>
      <w:bookmarkEnd w:id="10"/>
      <w:bookmarkEnd w:id="11"/>
      <w:bookmarkEnd w:id="12"/>
      <w:bookmarkEnd w:id="13"/>
      <w:bookmarkEnd w:id="14"/>
      <w:bookmarkEnd w:id="15"/>
      <w:bookmarkEnd w:id="16"/>
      <w:bookmarkEnd w:id="17"/>
      <w:bookmarkEnd w:id="18"/>
    </w:p>
    <w:p w:rsidR="00DC7D18" w:rsidRDefault="000B6227" w:rsidP="00DC7D18">
      <w:pPr>
        <w:ind w:left="720" w:hanging="720"/>
        <w:rPr>
          <w:rFonts w:cs="Arial"/>
          <w:sz w:val="22"/>
          <w:lang w:val="en-GB" w:eastAsia="en-GB"/>
        </w:rPr>
      </w:pPr>
      <w:r>
        <w:rPr>
          <w:rFonts w:cs="Arial"/>
          <w:sz w:val="22"/>
          <w:lang w:val="en-GB" w:eastAsia="en-GB"/>
        </w:rPr>
        <w:t>102</w:t>
      </w:r>
      <w:r w:rsidR="00DC7D18">
        <w:rPr>
          <w:rFonts w:cs="Arial"/>
          <w:sz w:val="22"/>
          <w:lang w:val="en-GB" w:eastAsia="en-GB"/>
        </w:rPr>
        <w:t xml:space="preserve">.  </w:t>
      </w:r>
      <w:r w:rsidR="00DC7D18">
        <w:rPr>
          <w:rFonts w:cs="Arial"/>
          <w:sz w:val="22"/>
          <w:lang w:val="en-GB" w:eastAsia="en-GB"/>
        </w:rPr>
        <w:tab/>
        <w:t>Section 94 of the Act provides for revision by Order in Council of Schedules 2 (lower limits for radioactive material subject to the Act) and 3 (upper dose limits for ionising radiation which cannot be exceeded).  These review mechanisms reflect the Office</w:t>
      </w:r>
      <w:r w:rsidR="006E619F">
        <w:rPr>
          <w:rFonts w:cs="Arial"/>
          <w:sz w:val="22"/>
          <w:lang w:val="en-GB" w:eastAsia="en-GB"/>
        </w:rPr>
        <w:t>’s</w:t>
      </w:r>
      <w:r w:rsidR="00DC7D18">
        <w:rPr>
          <w:rFonts w:cs="Arial"/>
          <w:sz w:val="22"/>
          <w:lang w:val="en-GB" w:eastAsia="en-GB"/>
        </w:rPr>
        <w:t xml:space="preserve"> broader responsibilities for monitoring and acting on International Atomic Energy Agency Guidance issued from time and relating to radiation safety.  </w:t>
      </w:r>
    </w:p>
    <w:p w:rsidR="009866FE" w:rsidRPr="005C1C80" w:rsidRDefault="006E619F" w:rsidP="009537C3">
      <w:pPr>
        <w:ind w:left="720" w:hanging="720"/>
        <w:rPr>
          <w:b/>
        </w:rPr>
      </w:pPr>
      <w:r>
        <w:rPr>
          <w:sz w:val="22"/>
        </w:rPr>
        <w:t>10</w:t>
      </w:r>
      <w:r w:rsidR="000B6227">
        <w:rPr>
          <w:sz w:val="22"/>
        </w:rPr>
        <w:t>3</w:t>
      </w:r>
      <w:r w:rsidR="00DC7D18">
        <w:rPr>
          <w:sz w:val="22"/>
        </w:rPr>
        <w:t>.</w:t>
      </w:r>
      <w:r w:rsidR="00DC7D18">
        <w:rPr>
          <w:sz w:val="22"/>
        </w:rPr>
        <w:tab/>
        <w:t xml:space="preserve">Finally, the Radiation Safety </w:t>
      </w:r>
      <w:r w:rsidR="00CC4A8F">
        <w:rPr>
          <w:sz w:val="22"/>
        </w:rPr>
        <w:t xml:space="preserve">Advisory </w:t>
      </w:r>
      <w:r w:rsidR="00DC7D18">
        <w:rPr>
          <w:sz w:val="22"/>
        </w:rPr>
        <w:t>Council has powers to communicate with the Minister and vice versa.  They could conceivably provide advice on matters coming within the scope of monitoring, evaluation and review of the Regulatory framework.</w:t>
      </w:r>
    </w:p>
    <w:sectPr w:rsidR="009866FE" w:rsidRPr="005C1C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8A3" w:rsidRDefault="005A18A3" w:rsidP="004D7A72">
      <w:pPr>
        <w:spacing w:after="0" w:line="240" w:lineRule="auto"/>
      </w:pPr>
      <w:r>
        <w:separator/>
      </w:r>
    </w:p>
  </w:endnote>
  <w:endnote w:type="continuationSeparator" w:id="0">
    <w:p w:rsidR="005A18A3" w:rsidRDefault="005A18A3" w:rsidP="004D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994276"/>
      <w:docPartObj>
        <w:docPartGallery w:val="Page Numbers (Bottom of Page)"/>
        <w:docPartUnique/>
      </w:docPartObj>
    </w:sdtPr>
    <w:sdtEndPr>
      <w:rPr>
        <w:noProof/>
      </w:rPr>
    </w:sdtEndPr>
    <w:sdtContent>
      <w:p w:rsidR="00B212DD" w:rsidRDefault="00B212DD">
        <w:pPr>
          <w:pStyle w:val="Footer"/>
        </w:pPr>
        <w:r>
          <w:fldChar w:fldCharType="begin"/>
        </w:r>
        <w:r>
          <w:instrText xml:space="preserve"> PAGE   \* MERGEFORMAT </w:instrText>
        </w:r>
        <w:r>
          <w:fldChar w:fldCharType="separate"/>
        </w:r>
        <w:r w:rsidR="005B4832">
          <w:rPr>
            <w:noProof/>
          </w:rPr>
          <w:t>1</w:t>
        </w:r>
        <w:r>
          <w:rPr>
            <w:noProof/>
          </w:rPr>
          <w:fldChar w:fldCharType="end"/>
        </w:r>
      </w:p>
    </w:sdtContent>
  </w:sdt>
  <w:p w:rsidR="00B212DD" w:rsidRDefault="00B21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8A3" w:rsidRDefault="005A18A3" w:rsidP="004D7A72">
      <w:pPr>
        <w:spacing w:after="0" w:line="240" w:lineRule="auto"/>
      </w:pPr>
      <w:r>
        <w:separator/>
      </w:r>
    </w:p>
  </w:footnote>
  <w:footnote w:type="continuationSeparator" w:id="0">
    <w:p w:rsidR="005A18A3" w:rsidRDefault="005A18A3" w:rsidP="004D7A72">
      <w:pPr>
        <w:spacing w:after="0" w:line="240" w:lineRule="auto"/>
      </w:pPr>
      <w:r>
        <w:continuationSeparator/>
      </w:r>
    </w:p>
  </w:footnote>
  <w:footnote w:id="1">
    <w:p w:rsidR="00BB0E47" w:rsidRDefault="00BB0E47">
      <w:pPr>
        <w:pStyle w:val="FootnoteText"/>
      </w:pPr>
      <w:r>
        <w:rPr>
          <w:rStyle w:val="FootnoteReference"/>
        </w:rPr>
        <w:footnoteRef/>
      </w:r>
      <w:r>
        <w:t xml:space="preserve"> “Authorisation” refers to the process of granting use and source licences and consents.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EE3"/>
    <w:multiLevelType w:val="hybridMultilevel"/>
    <w:tmpl w:val="46AA4D14"/>
    <w:lvl w:ilvl="0" w:tplc="D456809C">
      <w:start w:val="1"/>
      <w:numFmt w:val="decimal"/>
      <w:lvlText w:val="%1."/>
      <w:lvlJc w:val="left"/>
      <w:pPr>
        <w:ind w:left="360" w:hanging="360"/>
      </w:pPr>
      <w:rPr>
        <w:rFonts w:ascii="Arial" w:hAnsi="Arial" w:cs="Arial" w:hint="default"/>
        <w:b w:val="0"/>
        <w:i w:val="0"/>
        <w:color w:val="auto"/>
        <w:sz w:val="22"/>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
    <w:nsid w:val="0E23141D"/>
    <w:multiLevelType w:val="hybridMultilevel"/>
    <w:tmpl w:val="7F9C21D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nsid w:val="1DD071A0"/>
    <w:multiLevelType w:val="hybridMultilevel"/>
    <w:tmpl w:val="E384BB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2A0E1E44"/>
    <w:multiLevelType w:val="hybridMultilevel"/>
    <w:tmpl w:val="7F24E868"/>
    <w:lvl w:ilvl="0" w:tplc="14090001">
      <w:start w:val="1"/>
      <w:numFmt w:val="bullet"/>
      <w:lvlText w:val=""/>
      <w:lvlJc w:val="left"/>
      <w:pPr>
        <w:ind w:left="2160" w:hanging="360"/>
      </w:pPr>
      <w:rPr>
        <w:rFonts w:ascii="Symbol" w:hAnsi="Symbol"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4">
    <w:nsid w:val="2B521345"/>
    <w:multiLevelType w:val="hybridMultilevel"/>
    <w:tmpl w:val="057A96E6"/>
    <w:lvl w:ilvl="0" w:tplc="2416E07A">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31AC5BCC"/>
    <w:multiLevelType w:val="multilevel"/>
    <w:tmpl w:val="F0069A14"/>
    <w:lvl w:ilvl="0">
      <w:start w:val="1"/>
      <w:numFmt w:val="decimal"/>
      <w:pStyle w:val="CabStandar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nsid w:val="3221639D"/>
    <w:multiLevelType w:val="hybridMultilevel"/>
    <w:tmpl w:val="9486738E"/>
    <w:lvl w:ilvl="0" w:tplc="AE14ADC2">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nsid w:val="37503198"/>
    <w:multiLevelType w:val="hybridMultilevel"/>
    <w:tmpl w:val="82D840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nsid w:val="3C612783"/>
    <w:multiLevelType w:val="hybridMultilevel"/>
    <w:tmpl w:val="2A66E1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3DDC6180"/>
    <w:multiLevelType w:val="hybridMultilevel"/>
    <w:tmpl w:val="E0A83114"/>
    <w:lvl w:ilvl="0" w:tplc="D6C85F8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8F52EAB"/>
    <w:multiLevelType w:val="hybridMultilevel"/>
    <w:tmpl w:val="DFA43FC6"/>
    <w:lvl w:ilvl="0" w:tplc="E31AE236">
      <w:start w:val="6"/>
      <w:numFmt w:val="decimal"/>
      <w:lvlText w:val="%1."/>
      <w:lvlJc w:val="left"/>
      <w:pPr>
        <w:ind w:left="785" w:hanging="360"/>
      </w:pPr>
      <w:rPr>
        <w:i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nsid w:val="4B234816"/>
    <w:multiLevelType w:val="hybridMultilevel"/>
    <w:tmpl w:val="8654A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54A4430"/>
    <w:multiLevelType w:val="hybridMultilevel"/>
    <w:tmpl w:val="8676CF6E"/>
    <w:lvl w:ilvl="0" w:tplc="FAAC4E92">
      <w:start w:val="1"/>
      <w:numFmt w:val="lowerRoman"/>
      <w:lvlText w:val="(%1)"/>
      <w:lvlJc w:val="left"/>
      <w:pPr>
        <w:ind w:left="1080" w:hanging="720"/>
      </w:pPr>
      <w:rPr>
        <w:rFonts w:eastAsia="Times New Roman" w:cs="Arial"/>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6E796D22"/>
    <w:multiLevelType w:val="hybridMultilevel"/>
    <w:tmpl w:val="16144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B0663DA"/>
    <w:multiLevelType w:val="hybridMultilevel"/>
    <w:tmpl w:val="F4561A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
  </w:num>
  <w:num w:numId="8">
    <w:abstractNumId w:val="3"/>
  </w:num>
  <w:num w:numId="9">
    <w:abstractNumId w:val="7"/>
  </w:num>
  <w:num w:numId="10">
    <w:abstractNumId w:val="1"/>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20B51"/>
    <w:rsid w:val="000522C2"/>
    <w:rsid w:val="00062AAC"/>
    <w:rsid w:val="00065D6F"/>
    <w:rsid w:val="000B3B47"/>
    <w:rsid w:val="000B6227"/>
    <w:rsid w:val="000B798C"/>
    <w:rsid w:val="0017396F"/>
    <w:rsid w:val="001A46BD"/>
    <w:rsid w:val="001B48C3"/>
    <w:rsid w:val="002138C8"/>
    <w:rsid w:val="00216B39"/>
    <w:rsid w:val="00236651"/>
    <w:rsid w:val="002767C8"/>
    <w:rsid w:val="0029612E"/>
    <w:rsid w:val="002A7BE5"/>
    <w:rsid w:val="002D3C23"/>
    <w:rsid w:val="002D65C5"/>
    <w:rsid w:val="002E485B"/>
    <w:rsid w:val="002E4CE1"/>
    <w:rsid w:val="002F52D9"/>
    <w:rsid w:val="00325405"/>
    <w:rsid w:val="00331926"/>
    <w:rsid w:val="00336D89"/>
    <w:rsid w:val="00357ECA"/>
    <w:rsid w:val="00360375"/>
    <w:rsid w:val="00364504"/>
    <w:rsid w:val="0038258D"/>
    <w:rsid w:val="0039180B"/>
    <w:rsid w:val="003D0328"/>
    <w:rsid w:val="003D1CA1"/>
    <w:rsid w:val="003D6439"/>
    <w:rsid w:val="003F0787"/>
    <w:rsid w:val="003F27A0"/>
    <w:rsid w:val="0043586F"/>
    <w:rsid w:val="00447127"/>
    <w:rsid w:val="004568A2"/>
    <w:rsid w:val="00460FDC"/>
    <w:rsid w:val="00464AD3"/>
    <w:rsid w:val="00487C36"/>
    <w:rsid w:val="004A64D4"/>
    <w:rsid w:val="004B6A40"/>
    <w:rsid w:val="004C37BF"/>
    <w:rsid w:val="004D7A72"/>
    <w:rsid w:val="00514732"/>
    <w:rsid w:val="005561A0"/>
    <w:rsid w:val="00582685"/>
    <w:rsid w:val="005937F1"/>
    <w:rsid w:val="005A18A3"/>
    <w:rsid w:val="005A434D"/>
    <w:rsid w:val="005B4832"/>
    <w:rsid w:val="005C1C80"/>
    <w:rsid w:val="005D0FA8"/>
    <w:rsid w:val="00616101"/>
    <w:rsid w:val="00663F93"/>
    <w:rsid w:val="006E619F"/>
    <w:rsid w:val="006E75B2"/>
    <w:rsid w:val="00702335"/>
    <w:rsid w:val="007424EB"/>
    <w:rsid w:val="007507C3"/>
    <w:rsid w:val="00756D51"/>
    <w:rsid w:val="00771B9D"/>
    <w:rsid w:val="00771BCD"/>
    <w:rsid w:val="007A464B"/>
    <w:rsid w:val="007D64BC"/>
    <w:rsid w:val="007E7084"/>
    <w:rsid w:val="007F04E4"/>
    <w:rsid w:val="00852185"/>
    <w:rsid w:val="00854256"/>
    <w:rsid w:val="00890C08"/>
    <w:rsid w:val="008A4E5E"/>
    <w:rsid w:val="008A5AA4"/>
    <w:rsid w:val="008B12BF"/>
    <w:rsid w:val="008B6319"/>
    <w:rsid w:val="008C6460"/>
    <w:rsid w:val="008C7B22"/>
    <w:rsid w:val="008D7085"/>
    <w:rsid w:val="009138C8"/>
    <w:rsid w:val="009258E5"/>
    <w:rsid w:val="009537C3"/>
    <w:rsid w:val="00964236"/>
    <w:rsid w:val="00971284"/>
    <w:rsid w:val="00977B52"/>
    <w:rsid w:val="00981D86"/>
    <w:rsid w:val="009866FE"/>
    <w:rsid w:val="009C149D"/>
    <w:rsid w:val="009D56C9"/>
    <w:rsid w:val="009E4A80"/>
    <w:rsid w:val="00A67BD0"/>
    <w:rsid w:val="00A81684"/>
    <w:rsid w:val="00A90CFC"/>
    <w:rsid w:val="00A92BB4"/>
    <w:rsid w:val="00AA7E28"/>
    <w:rsid w:val="00AC4785"/>
    <w:rsid w:val="00AE0AC4"/>
    <w:rsid w:val="00AF3065"/>
    <w:rsid w:val="00AF3D65"/>
    <w:rsid w:val="00B212DD"/>
    <w:rsid w:val="00B8230D"/>
    <w:rsid w:val="00BA11B0"/>
    <w:rsid w:val="00BA5959"/>
    <w:rsid w:val="00BB0E47"/>
    <w:rsid w:val="00BC3ED1"/>
    <w:rsid w:val="00BC75F5"/>
    <w:rsid w:val="00C35F14"/>
    <w:rsid w:val="00C51046"/>
    <w:rsid w:val="00C8376A"/>
    <w:rsid w:val="00C97E12"/>
    <w:rsid w:val="00CC4A8F"/>
    <w:rsid w:val="00CF425C"/>
    <w:rsid w:val="00D132BE"/>
    <w:rsid w:val="00D8125F"/>
    <w:rsid w:val="00D8128F"/>
    <w:rsid w:val="00D840E7"/>
    <w:rsid w:val="00DA04A8"/>
    <w:rsid w:val="00DB4066"/>
    <w:rsid w:val="00DB64C8"/>
    <w:rsid w:val="00DC7D18"/>
    <w:rsid w:val="00DD69A8"/>
    <w:rsid w:val="00DE06EF"/>
    <w:rsid w:val="00DE3B87"/>
    <w:rsid w:val="00DE4C8A"/>
    <w:rsid w:val="00E24EBB"/>
    <w:rsid w:val="00E45838"/>
    <w:rsid w:val="00E65A94"/>
    <w:rsid w:val="00E742E2"/>
    <w:rsid w:val="00E94D54"/>
    <w:rsid w:val="00EA06EE"/>
    <w:rsid w:val="00EA73E3"/>
    <w:rsid w:val="00EC11FD"/>
    <w:rsid w:val="00EE29D7"/>
    <w:rsid w:val="00F209FE"/>
    <w:rsid w:val="00F40C6E"/>
    <w:rsid w:val="00F47913"/>
    <w:rsid w:val="00F678B5"/>
    <w:rsid w:val="00F7497D"/>
    <w:rsid w:val="00F76279"/>
    <w:rsid w:val="00F77539"/>
    <w:rsid w:val="00F83EA4"/>
    <w:rsid w:val="00FB2B7B"/>
    <w:rsid w:val="00FB409F"/>
    <w:rsid w:val="00FB7024"/>
    <w:rsid w:val="00FE69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78628-1F04-477E-AA49-DA824A3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8"/>
    <w:pPr>
      <w:ind w:left="720"/>
      <w:contextualSpacing/>
    </w:pPr>
  </w:style>
  <w:style w:type="table" w:styleId="TableGrid">
    <w:name w:val="Table Grid"/>
    <w:basedOn w:val="TableNormal"/>
    <w:uiPriority w:val="59"/>
    <w:rsid w:val="00DC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Standard">
    <w:name w:val="CabStandard"/>
    <w:basedOn w:val="Normal"/>
    <w:rsid w:val="003D6439"/>
    <w:pPr>
      <w:numPr>
        <w:numId w:val="12"/>
      </w:numPr>
      <w:spacing w:after="240" w:line="240" w:lineRule="auto"/>
    </w:pPr>
    <w:rPr>
      <w:rFonts w:ascii="Times New Roman" w:eastAsia="Times New Roman" w:hAnsi="Times New Roman" w:cs="Times New Roman"/>
      <w:szCs w:val="20"/>
      <w:lang w:val="en-GB" w:eastAsia="ja-JP"/>
    </w:rPr>
  </w:style>
  <w:style w:type="paragraph" w:styleId="BalloonText">
    <w:name w:val="Balloon Text"/>
    <w:basedOn w:val="Normal"/>
    <w:link w:val="BalloonTextChar"/>
    <w:uiPriority w:val="99"/>
    <w:semiHidden/>
    <w:unhideWhenUsed/>
    <w:rsid w:val="00F67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8B5"/>
    <w:rPr>
      <w:rFonts w:ascii="Segoe UI" w:hAnsi="Segoe UI" w:cs="Segoe UI"/>
      <w:sz w:val="18"/>
      <w:szCs w:val="18"/>
    </w:rPr>
  </w:style>
  <w:style w:type="paragraph" w:styleId="FootnoteText">
    <w:name w:val="footnote text"/>
    <w:basedOn w:val="Normal"/>
    <w:link w:val="FootnoteTextChar"/>
    <w:uiPriority w:val="99"/>
    <w:semiHidden/>
    <w:unhideWhenUsed/>
    <w:rsid w:val="004D7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A72"/>
    <w:rPr>
      <w:sz w:val="20"/>
      <w:szCs w:val="20"/>
    </w:rPr>
  </w:style>
  <w:style w:type="character" w:styleId="FootnoteReference">
    <w:name w:val="footnote reference"/>
    <w:basedOn w:val="DefaultParagraphFont"/>
    <w:uiPriority w:val="99"/>
    <w:semiHidden/>
    <w:unhideWhenUsed/>
    <w:rsid w:val="004D7A72"/>
    <w:rPr>
      <w:vertAlign w:val="superscript"/>
    </w:rPr>
  </w:style>
  <w:style w:type="paragraph" w:styleId="Header">
    <w:name w:val="header"/>
    <w:basedOn w:val="Normal"/>
    <w:link w:val="HeaderChar"/>
    <w:uiPriority w:val="99"/>
    <w:unhideWhenUsed/>
    <w:rsid w:val="00B21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2DD"/>
  </w:style>
  <w:style w:type="paragraph" w:styleId="Footer">
    <w:name w:val="footer"/>
    <w:basedOn w:val="Normal"/>
    <w:link w:val="FooterChar"/>
    <w:uiPriority w:val="99"/>
    <w:unhideWhenUsed/>
    <w:rsid w:val="00B2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C524-6B08-45A8-8A9D-05DC23B7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92ADA249</Template>
  <TotalTime>0</TotalTime>
  <Pages>1</Pages>
  <Words>6458</Words>
  <Characters>36812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MoH</dc:creator>
  <cp:keywords/>
  <dc:description/>
  <cp:lastModifiedBy>Keith Gardner</cp:lastModifiedBy>
  <cp:revision>1</cp:revision>
  <cp:lastPrinted>2016-08-01T02:18:00Z</cp:lastPrinted>
  <dcterms:created xsi:type="dcterms:W3CDTF">2016-10-03T20:06:00Z</dcterms:created>
  <dcterms:modified xsi:type="dcterms:W3CDTF">2016-10-03T20:06:00Z</dcterms:modified>
</cp:coreProperties>
</file>