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D9" w:rsidRPr="008C2DE9" w:rsidRDefault="008D5CD9" w:rsidP="004B4B2B">
      <w:pPr>
        <w:pStyle w:val="Heading1"/>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bookmarkStart w:id="8" w:name="_Toc111173195"/>
      <w:bookmarkStart w:id="9" w:name="_Toc112306482"/>
      <w:bookmarkStart w:id="10" w:name="_Toc114287559"/>
      <w:bookmarkStart w:id="11" w:name="_Toc115188196"/>
      <w:bookmarkStart w:id="12" w:name="_Toc118514380"/>
      <w:bookmarkStart w:id="13" w:name="_Toc110071692"/>
      <w:bookmarkStart w:id="14" w:name="_Toc110072564"/>
      <w:bookmarkStart w:id="15" w:name="_Toc138735614"/>
      <w:bookmarkStart w:id="16" w:name="_Toc139335927"/>
      <w:bookmarkStart w:id="17" w:name="_Toc362526401"/>
      <w:r w:rsidRPr="008C2DE9">
        <w:t>Regulatory Impact Statement</w:t>
      </w:r>
      <w:bookmarkEnd w:id="0"/>
      <w:bookmarkEnd w:id="1"/>
      <w:bookmarkEnd w:id="2"/>
      <w:bookmarkEnd w:id="3"/>
      <w:bookmarkEnd w:id="4"/>
      <w:bookmarkEnd w:id="5"/>
      <w:bookmarkEnd w:id="6"/>
      <w:bookmarkEnd w:id="7"/>
    </w:p>
    <w:p w:rsidR="008D5CD9" w:rsidRPr="009B2714" w:rsidRDefault="005C7958" w:rsidP="004B4B2B">
      <w:pPr>
        <w:rPr>
          <w:b/>
        </w:rPr>
      </w:pPr>
      <w:bookmarkStart w:id="18" w:name="_GoBack"/>
      <w:r>
        <w:rPr>
          <w:b/>
        </w:rPr>
        <w:t>Amend</w:t>
      </w:r>
      <w:r w:rsidR="009E5D63">
        <w:rPr>
          <w:b/>
        </w:rPr>
        <w:t xml:space="preserve">ing </w:t>
      </w:r>
      <w:r w:rsidR="006C5DBE">
        <w:rPr>
          <w:b/>
        </w:rPr>
        <w:t xml:space="preserve">the Medicines (Standing Order) </w:t>
      </w:r>
      <w:r>
        <w:rPr>
          <w:b/>
        </w:rPr>
        <w:t>Regulation</w:t>
      </w:r>
      <w:r w:rsidR="005B113B">
        <w:rPr>
          <w:b/>
        </w:rPr>
        <w:t>s</w:t>
      </w:r>
      <w:r w:rsidR="00535A12">
        <w:rPr>
          <w:b/>
        </w:rPr>
        <w:t xml:space="preserve"> 2002</w:t>
      </w:r>
    </w:p>
    <w:p w:rsidR="008D5CD9" w:rsidRPr="00082653" w:rsidRDefault="008D5CD9" w:rsidP="0088541D">
      <w:pPr>
        <w:pStyle w:val="Heading2"/>
      </w:pPr>
      <w:bookmarkStart w:id="19" w:name="_Toc362434943"/>
      <w:bookmarkStart w:id="20" w:name="_Toc362589329"/>
      <w:bookmarkStart w:id="21" w:name="_Toc362619029"/>
      <w:bookmarkStart w:id="22" w:name="_Toc362940593"/>
      <w:bookmarkStart w:id="23" w:name="_Toc363047101"/>
      <w:bookmarkEnd w:id="18"/>
      <w:r w:rsidRPr="00082653">
        <w:t>Agency Disclosure Statement</w:t>
      </w:r>
      <w:bookmarkEnd w:id="19"/>
      <w:bookmarkEnd w:id="20"/>
      <w:bookmarkEnd w:id="21"/>
      <w:bookmarkEnd w:id="22"/>
      <w:bookmarkEnd w:id="23"/>
      <w:r w:rsidRPr="00082653">
        <w:t xml:space="preserve"> </w:t>
      </w:r>
    </w:p>
    <w:p w:rsidR="008D5CD9" w:rsidRPr="00CF0629" w:rsidRDefault="00CC31D7" w:rsidP="001F492F">
      <w:pPr>
        <w:pStyle w:val="ListParagraph"/>
        <w:ind w:left="0" w:right="170"/>
        <w:contextualSpacing w:val="0"/>
        <w:rPr>
          <w:rFonts w:cs="Arial"/>
        </w:rPr>
      </w:pPr>
      <w:r w:rsidRPr="00CF0629">
        <w:rPr>
          <w:rFonts w:cs="Arial"/>
        </w:rPr>
        <w:t>The Ministry of Health has prepared this Regulatory Impact Statement</w:t>
      </w:r>
      <w:r w:rsidR="009B2714" w:rsidRPr="00CF0629">
        <w:rPr>
          <w:rFonts w:cs="Arial"/>
        </w:rPr>
        <w:t>.</w:t>
      </w:r>
    </w:p>
    <w:p w:rsidR="008D5CD9" w:rsidRDefault="008D5CD9" w:rsidP="00CF3795">
      <w:pPr>
        <w:pStyle w:val="ListParagraph"/>
        <w:ind w:left="0" w:right="170"/>
        <w:contextualSpacing w:val="0"/>
        <w:jc w:val="both"/>
        <w:rPr>
          <w:rFonts w:cs="Arial"/>
        </w:rPr>
      </w:pPr>
      <w:r w:rsidRPr="00CF0629">
        <w:rPr>
          <w:rFonts w:cs="Arial"/>
        </w:rPr>
        <w:t xml:space="preserve">It provides an analysis of </w:t>
      </w:r>
      <w:r w:rsidR="00CF0629" w:rsidRPr="00CF0629">
        <w:rPr>
          <w:rFonts w:cs="Arial"/>
        </w:rPr>
        <w:t xml:space="preserve">the </w:t>
      </w:r>
      <w:r w:rsidR="00CF0629">
        <w:t xml:space="preserve">proposed regulatory change to allow </w:t>
      </w:r>
      <w:r w:rsidR="00CF0629" w:rsidRPr="00732DE6">
        <w:rPr>
          <w:lang w:eastAsia="en-US"/>
        </w:rPr>
        <w:t xml:space="preserve">nurse practitioners and </w:t>
      </w:r>
      <w:r w:rsidR="00E13880">
        <w:rPr>
          <w:lang w:eastAsia="en-US"/>
        </w:rPr>
        <w:t>prescribing optometrist</w:t>
      </w:r>
      <w:r w:rsidR="005B113B" w:rsidRPr="001616AF">
        <w:rPr>
          <w:lang w:eastAsia="en-US"/>
        </w:rPr>
        <w:t>s</w:t>
      </w:r>
      <w:r w:rsidR="00E13880">
        <w:rPr>
          <w:lang w:eastAsia="en-US"/>
        </w:rPr>
        <w:t xml:space="preserve">, those optometrists with Therapeutic Product Authorisation, </w:t>
      </w:r>
      <w:r w:rsidR="00CF0629">
        <w:rPr>
          <w:lang w:eastAsia="en-US"/>
        </w:rPr>
        <w:t xml:space="preserve">to issue standing orders. Overall the change </w:t>
      </w:r>
      <w:r w:rsidR="00535A12">
        <w:rPr>
          <w:lang w:eastAsia="en-US"/>
        </w:rPr>
        <w:t>is expected to improve</w:t>
      </w:r>
      <w:r w:rsidR="006C5DBE" w:rsidRPr="00873740">
        <w:rPr>
          <w:lang w:eastAsia="en-US"/>
        </w:rPr>
        <w:t xml:space="preserve"> timeliness and ease of access to medicines for particular people</w:t>
      </w:r>
      <w:r w:rsidR="006C5DBE">
        <w:rPr>
          <w:lang w:eastAsia="en-US"/>
        </w:rPr>
        <w:t xml:space="preserve"> and </w:t>
      </w:r>
      <w:r w:rsidR="00F64C60">
        <w:rPr>
          <w:lang w:eastAsia="en-US"/>
        </w:rPr>
        <w:t>en</w:t>
      </w:r>
      <w:r w:rsidR="006C5DBE">
        <w:rPr>
          <w:lang w:eastAsia="en-US"/>
        </w:rPr>
        <w:t>able</w:t>
      </w:r>
      <w:r w:rsidR="006C5DBE">
        <w:t xml:space="preserve"> more efficient </w:t>
      </w:r>
      <w:r w:rsidR="00326109">
        <w:t>service delivery</w:t>
      </w:r>
      <w:r w:rsidR="006C5DBE">
        <w:t xml:space="preserve"> in health care teams</w:t>
      </w:r>
      <w:r w:rsidR="00F64C60">
        <w:rPr>
          <w:lang w:eastAsia="en-US"/>
        </w:rPr>
        <w:t>.</w:t>
      </w:r>
    </w:p>
    <w:p w:rsidR="00F64C60" w:rsidRPr="00F64C60" w:rsidRDefault="00F64C60" w:rsidP="00F64C60">
      <w:pPr>
        <w:pStyle w:val="ListParagraph"/>
        <w:ind w:left="0" w:right="170"/>
        <w:contextualSpacing w:val="0"/>
        <w:rPr>
          <w:rFonts w:cs="Arial"/>
        </w:rPr>
      </w:pPr>
      <w:r>
        <w:rPr>
          <w:rFonts w:cs="Arial"/>
        </w:rPr>
        <w:t xml:space="preserve">The </w:t>
      </w:r>
      <w:r w:rsidRPr="00F64C60">
        <w:rPr>
          <w:rFonts w:cs="Arial"/>
        </w:rPr>
        <w:t>proposal does not:</w:t>
      </w:r>
    </w:p>
    <w:p w:rsidR="00F64C60" w:rsidRPr="00F64C60" w:rsidRDefault="00CC31D7" w:rsidP="00F64C60">
      <w:pPr>
        <w:pStyle w:val="ListParagraph"/>
        <w:numPr>
          <w:ilvl w:val="0"/>
          <w:numId w:val="2"/>
        </w:numPr>
        <w:rPr>
          <w:rFonts w:cs="Arial"/>
          <w:lang w:val="en-AU"/>
        </w:rPr>
      </w:pPr>
      <w:r w:rsidRPr="00F64C60">
        <w:rPr>
          <w:rFonts w:cs="Arial"/>
          <w:lang w:val="en-AU"/>
        </w:rPr>
        <w:t>Impose</w:t>
      </w:r>
      <w:r w:rsidR="00F64C60" w:rsidRPr="00F64C60">
        <w:rPr>
          <w:rFonts w:cs="Arial"/>
          <w:lang w:val="en-AU"/>
        </w:rPr>
        <w:t xml:space="preserve"> additional costs on businesses</w:t>
      </w:r>
    </w:p>
    <w:p w:rsidR="00F64C60" w:rsidRDefault="00CC31D7" w:rsidP="00F64C60">
      <w:pPr>
        <w:pStyle w:val="ListParagraph"/>
        <w:numPr>
          <w:ilvl w:val="0"/>
          <w:numId w:val="2"/>
        </w:numPr>
        <w:rPr>
          <w:rFonts w:cs="Arial"/>
          <w:lang w:val="en-AU"/>
        </w:rPr>
      </w:pPr>
      <w:r w:rsidRPr="00F64C60">
        <w:rPr>
          <w:rFonts w:cs="Arial"/>
          <w:lang w:val="en-AU"/>
        </w:rPr>
        <w:t>Impair</w:t>
      </w:r>
      <w:r w:rsidR="00F64C60" w:rsidRPr="00F64C60">
        <w:rPr>
          <w:rFonts w:cs="Arial"/>
          <w:lang w:val="en-AU"/>
        </w:rPr>
        <w:t xml:space="preserve"> private property rights, market competition, or the incentives on businesses to innovate and invest, or</w:t>
      </w:r>
    </w:p>
    <w:p w:rsidR="00F64C60" w:rsidRDefault="00CC31D7" w:rsidP="00CF3795">
      <w:pPr>
        <w:pStyle w:val="ListParagraph"/>
        <w:numPr>
          <w:ilvl w:val="0"/>
          <w:numId w:val="2"/>
        </w:numPr>
        <w:spacing w:after="0" w:line="240" w:lineRule="auto"/>
        <w:rPr>
          <w:rFonts w:cs="Arial"/>
          <w:lang w:val="en-AU"/>
        </w:rPr>
      </w:pPr>
      <w:r>
        <w:rPr>
          <w:rFonts w:cs="Arial"/>
          <w:lang w:val="en-AU"/>
        </w:rPr>
        <w:t>Override</w:t>
      </w:r>
      <w:r w:rsidR="00F64C60">
        <w:rPr>
          <w:rFonts w:cs="Arial"/>
          <w:lang w:val="en-AU"/>
        </w:rPr>
        <w:t xml:space="preserve"> common law principles</w:t>
      </w:r>
    </w:p>
    <w:p w:rsidR="00CF3795" w:rsidRDefault="00CF3795" w:rsidP="00CF3795">
      <w:pPr>
        <w:spacing w:after="0" w:line="240" w:lineRule="auto"/>
        <w:rPr>
          <w:rFonts w:cs="Arial"/>
          <w:lang w:val="en-AU"/>
        </w:rPr>
      </w:pPr>
    </w:p>
    <w:p w:rsidR="00CF3795" w:rsidRDefault="00CF3795" w:rsidP="00CF3795">
      <w:pPr>
        <w:spacing w:after="0" w:line="240" w:lineRule="auto"/>
        <w:rPr>
          <w:rFonts w:cs="Arial"/>
          <w:lang w:val="en-AU"/>
        </w:rPr>
      </w:pPr>
    </w:p>
    <w:p w:rsidR="00CF3795" w:rsidRDefault="00CF3795" w:rsidP="00CF3795">
      <w:pPr>
        <w:spacing w:after="0" w:line="240" w:lineRule="auto"/>
        <w:rPr>
          <w:rFonts w:cs="Arial"/>
          <w:lang w:val="en-AU"/>
        </w:rPr>
      </w:pPr>
    </w:p>
    <w:p w:rsidR="00CF3795" w:rsidRDefault="00CF3795" w:rsidP="00CF3795">
      <w:pPr>
        <w:spacing w:after="0" w:line="240" w:lineRule="auto"/>
        <w:rPr>
          <w:rFonts w:cs="Arial"/>
          <w:lang w:val="en-AU"/>
        </w:rPr>
      </w:pPr>
    </w:p>
    <w:p w:rsidR="00CF3795" w:rsidRDefault="00CF3795" w:rsidP="00CF3795">
      <w:pPr>
        <w:spacing w:after="0" w:line="240" w:lineRule="auto"/>
        <w:rPr>
          <w:rFonts w:cs="Arial"/>
          <w:lang w:val="en-AU"/>
        </w:rPr>
      </w:pPr>
    </w:p>
    <w:p w:rsidR="00CF3795" w:rsidRPr="00CF3795" w:rsidRDefault="00CF3795" w:rsidP="00CF3795">
      <w:pPr>
        <w:spacing w:after="0" w:line="240" w:lineRule="auto"/>
        <w:rPr>
          <w:rFonts w:cs="Arial"/>
          <w:lang w:val="en-AU"/>
        </w:rPr>
      </w:pPr>
    </w:p>
    <w:p w:rsidR="00514A45" w:rsidRDefault="00761AC3" w:rsidP="00514A45">
      <w:pPr>
        <w:pStyle w:val="Text"/>
        <w:spacing w:before="0" w:after="0" w:line="240" w:lineRule="auto"/>
        <w:ind w:right="170"/>
        <w:rPr>
          <w:rFonts w:cs="Arial"/>
          <w:lang w:val="en-NZ"/>
        </w:rPr>
      </w:pPr>
      <w:r>
        <w:rPr>
          <w:rFonts w:cs="Arial"/>
          <w:lang w:val="en-NZ"/>
        </w:rPr>
        <w:t xml:space="preserve">Dr Jane O’Malley, </w:t>
      </w:r>
    </w:p>
    <w:p w:rsidR="008D5CD9" w:rsidRDefault="00761AC3" w:rsidP="00514A45">
      <w:pPr>
        <w:pStyle w:val="Text"/>
        <w:spacing w:before="0" w:after="0" w:line="240" w:lineRule="auto"/>
        <w:ind w:right="170"/>
        <w:rPr>
          <w:rFonts w:cs="Arial"/>
          <w:lang w:val="en-NZ"/>
        </w:rPr>
      </w:pPr>
      <w:r>
        <w:rPr>
          <w:rFonts w:cs="Arial"/>
          <w:lang w:val="en-NZ"/>
        </w:rPr>
        <w:t>Chief Nursing Officer</w:t>
      </w:r>
    </w:p>
    <w:p w:rsidR="00514A45" w:rsidRPr="00F64C60" w:rsidRDefault="00514A45" w:rsidP="00514A45">
      <w:pPr>
        <w:pStyle w:val="Text"/>
        <w:spacing w:before="0" w:after="0" w:line="240" w:lineRule="auto"/>
        <w:ind w:right="170"/>
        <w:rPr>
          <w:rFonts w:cs="Arial"/>
          <w:lang w:val="en-NZ"/>
        </w:rPr>
      </w:pPr>
      <w:r>
        <w:rPr>
          <w:rFonts w:cs="Arial"/>
          <w:lang w:val="en-NZ"/>
        </w:rPr>
        <w:t>Ministry of Health</w:t>
      </w:r>
    </w:p>
    <w:p w:rsidR="008D5CD9" w:rsidRDefault="008D5CD9" w:rsidP="001F492F">
      <w:pPr>
        <w:pStyle w:val="Text"/>
        <w:spacing w:before="0" w:after="180" w:line="280" w:lineRule="atLeast"/>
        <w:ind w:right="170"/>
        <w:rPr>
          <w:rFonts w:cs="Arial"/>
          <w:highlight w:val="yellow"/>
          <w:lang w:val="en-NZ"/>
        </w:rPr>
      </w:pPr>
    </w:p>
    <w:p w:rsidR="00514A45" w:rsidRPr="009B2714" w:rsidRDefault="00514A45" w:rsidP="001F492F">
      <w:pPr>
        <w:pStyle w:val="Text"/>
        <w:spacing w:before="0" w:after="180" w:line="280" w:lineRule="atLeast"/>
        <w:ind w:right="170"/>
        <w:rPr>
          <w:rFonts w:cs="Arial"/>
          <w:highlight w:val="yellow"/>
          <w:lang w:val="en-NZ"/>
        </w:rPr>
      </w:pPr>
    </w:p>
    <w:p w:rsidR="008D5CD9" w:rsidRDefault="008D5CD9" w:rsidP="001F492F">
      <w:pPr>
        <w:pStyle w:val="Text"/>
        <w:tabs>
          <w:tab w:val="left" w:pos="6521"/>
        </w:tabs>
        <w:spacing w:before="0" w:after="180" w:line="280" w:lineRule="atLeast"/>
        <w:ind w:right="170"/>
        <w:rPr>
          <w:rFonts w:cs="Arial"/>
          <w:lang w:val="en-NZ"/>
        </w:rPr>
      </w:pPr>
      <w:r w:rsidRPr="00F64C60">
        <w:rPr>
          <w:rFonts w:cs="Arial"/>
          <w:lang w:val="en-NZ"/>
        </w:rPr>
        <w:tab/>
      </w:r>
      <w:r w:rsidR="003342C5">
        <w:rPr>
          <w:rFonts w:cs="Arial"/>
          <w:lang w:val="en-NZ"/>
        </w:rPr>
        <w:t>21 March 2016</w:t>
      </w:r>
    </w:p>
    <w:p w:rsidR="00E13880" w:rsidRDefault="00E13880">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184308" w:rsidRDefault="00184308">
      <w:pPr>
        <w:spacing w:after="0" w:line="240" w:lineRule="auto"/>
        <w:rPr>
          <w:rFonts w:cs="Arial"/>
          <w:lang w:val="en-NZ" w:eastAsia="en-US"/>
        </w:rPr>
      </w:pPr>
    </w:p>
    <w:p w:rsidR="008D5CD9" w:rsidRDefault="007276CD" w:rsidP="0088541D">
      <w:pPr>
        <w:pStyle w:val="Heading2"/>
      </w:pPr>
      <w:bookmarkStart w:id="24" w:name="_Toc362368103"/>
      <w:bookmarkStart w:id="25" w:name="_Toc362434944"/>
      <w:bookmarkStart w:id="26" w:name="_Toc362589330"/>
      <w:bookmarkStart w:id="27" w:name="_Toc362619030"/>
      <w:bookmarkStart w:id="28" w:name="_Toc362940594"/>
      <w:bookmarkStart w:id="29" w:name="_Toc363047102"/>
      <w:r>
        <w:lastRenderedPageBreak/>
        <w:t>Executive s</w:t>
      </w:r>
      <w:r w:rsidR="008D5CD9">
        <w:t>ummary</w:t>
      </w:r>
      <w:bookmarkEnd w:id="24"/>
      <w:bookmarkEnd w:id="25"/>
      <w:bookmarkEnd w:id="26"/>
      <w:bookmarkEnd w:id="27"/>
      <w:bookmarkEnd w:id="28"/>
      <w:bookmarkEnd w:id="29"/>
    </w:p>
    <w:p w:rsidR="003A2839" w:rsidRDefault="003A2839" w:rsidP="00CF3795">
      <w:pPr>
        <w:numPr>
          <w:ilvl w:val="0"/>
          <w:numId w:val="5"/>
        </w:numPr>
        <w:spacing w:line="240" w:lineRule="auto"/>
        <w:jc w:val="both"/>
        <w:rPr>
          <w:rFonts w:cs="Arial"/>
          <w:szCs w:val="22"/>
        </w:rPr>
      </w:pPr>
      <w:r>
        <w:rPr>
          <w:rFonts w:cs="Arial"/>
          <w:szCs w:val="22"/>
        </w:rPr>
        <w:t xml:space="preserve">The Medicines (Standing Order) Regulations 2002 </w:t>
      </w:r>
      <w:r w:rsidR="00110120">
        <w:rPr>
          <w:rFonts w:cs="Arial"/>
          <w:szCs w:val="22"/>
        </w:rPr>
        <w:t xml:space="preserve">(Regulations) </w:t>
      </w:r>
      <w:r>
        <w:rPr>
          <w:rFonts w:cs="Arial"/>
          <w:szCs w:val="22"/>
        </w:rPr>
        <w:t>currently allow only medical practitioners and dentists to issue standing orders.</w:t>
      </w:r>
    </w:p>
    <w:p w:rsidR="004F1A3D" w:rsidRDefault="004F1A3D" w:rsidP="00CF3795">
      <w:pPr>
        <w:numPr>
          <w:ilvl w:val="0"/>
          <w:numId w:val="5"/>
        </w:numPr>
        <w:autoSpaceDE w:val="0"/>
        <w:autoSpaceDN w:val="0"/>
        <w:adjustRightInd w:val="0"/>
        <w:spacing w:line="240" w:lineRule="auto"/>
        <w:jc w:val="both"/>
      </w:pPr>
      <w:r>
        <w:t xml:space="preserve">The proposed amendment to the </w:t>
      </w:r>
      <w:r w:rsidR="006C5DBE" w:rsidRPr="00F3027D">
        <w:rPr>
          <w:rFonts w:cs="Arial"/>
          <w:szCs w:val="22"/>
        </w:rPr>
        <w:t>Regulation</w:t>
      </w:r>
      <w:r w:rsidR="006C5DBE">
        <w:rPr>
          <w:rFonts w:cs="Arial"/>
          <w:szCs w:val="22"/>
        </w:rPr>
        <w:t>s</w:t>
      </w:r>
      <w:r w:rsidR="006C5DBE" w:rsidRPr="00F3027D">
        <w:rPr>
          <w:rFonts w:cs="Arial"/>
          <w:szCs w:val="22"/>
        </w:rPr>
        <w:t xml:space="preserve"> </w:t>
      </w:r>
      <w:r w:rsidR="00470F14">
        <w:t xml:space="preserve">so that nurse practitioners and </w:t>
      </w:r>
      <w:r w:rsidR="00E13880">
        <w:t>prescribing optometrist</w:t>
      </w:r>
      <w:r w:rsidR="00470F14">
        <w:t xml:space="preserve">s can issue standing orders </w:t>
      </w:r>
      <w:r>
        <w:t>has t</w:t>
      </w:r>
      <w:r w:rsidR="00E13880">
        <w:t>wo</w:t>
      </w:r>
      <w:r>
        <w:t xml:space="preserve"> objectives:</w:t>
      </w:r>
    </w:p>
    <w:p w:rsidR="004F1A3D" w:rsidRDefault="004F1A3D" w:rsidP="005A18B9">
      <w:pPr>
        <w:numPr>
          <w:ilvl w:val="1"/>
          <w:numId w:val="5"/>
        </w:numPr>
        <w:autoSpaceDE w:val="0"/>
        <w:autoSpaceDN w:val="0"/>
        <w:adjustRightInd w:val="0"/>
        <w:spacing w:line="240" w:lineRule="auto"/>
      </w:pPr>
      <w:r>
        <w:t>to improve people’s access to appropriate and effective treatment;</w:t>
      </w:r>
    </w:p>
    <w:p w:rsidR="004F1A3D" w:rsidRDefault="004F1A3D" w:rsidP="005A18B9">
      <w:pPr>
        <w:numPr>
          <w:ilvl w:val="1"/>
          <w:numId w:val="5"/>
        </w:numPr>
        <w:autoSpaceDE w:val="0"/>
        <w:autoSpaceDN w:val="0"/>
        <w:adjustRightInd w:val="0"/>
        <w:spacing w:line="240" w:lineRule="auto"/>
      </w:pPr>
      <w:r>
        <w:t xml:space="preserve">to enable nurse practitioners </w:t>
      </w:r>
      <w:r w:rsidRPr="00535A12">
        <w:t xml:space="preserve">and </w:t>
      </w:r>
      <w:r w:rsidR="00E13880">
        <w:t>prescribing optometrist</w:t>
      </w:r>
      <w:r w:rsidRPr="00535A12">
        <w:t>s</w:t>
      </w:r>
      <w:r>
        <w:t xml:space="preserve"> to work more efficiently with appropriately tra</w:t>
      </w:r>
      <w:r w:rsidR="00E13880">
        <w:t>ined staff in health care teams.</w:t>
      </w:r>
    </w:p>
    <w:p w:rsidR="003F6627" w:rsidRPr="003F6627" w:rsidRDefault="003F6627" w:rsidP="005A18B9">
      <w:pPr>
        <w:numPr>
          <w:ilvl w:val="0"/>
          <w:numId w:val="5"/>
        </w:numPr>
        <w:autoSpaceDE w:val="0"/>
        <w:autoSpaceDN w:val="0"/>
        <w:adjustRightInd w:val="0"/>
        <w:spacing w:line="240" w:lineRule="auto"/>
        <w:rPr>
          <w:rFonts w:cs="Arial"/>
        </w:rPr>
      </w:pPr>
      <w:r>
        <w:t xml:space="preserve">The Ministry considers that the objectives </w:t>
      </w:r>
      <w:r w:rsidR="00011C23">
        <w:t>can only be fully met by amending the Regulations</w:t>
      </w:r>
      <w:r>
        <w:t xml:space="preserve">. </w:t>
      </w:r>
    </w:p>
    <w:p w:rsidR="00470F14" w:rsidRPr="00535A12" w:rsidRDefault="00470F14" w:rsidP="00470F14">
      <w:pPr>
        <w:numPr>
          <w:ilvl w:val="0"/>
          <w:numId w:val="5"/>
        </w:numPr>
        <w:spacing w:line="240" w:lineRule="auto"/>
        <w:rPr>
          <w:rFonts w:cs="Arial"/>
          <w:szCs w:val="22"/>
        </w:rPr>
      </w:pPr>
      <w:r>
        <w:rPr>
          <w:rFonts w:cs="Arial"/>
          <w:szCs w:val="22"/>
        </w:rPr>
        <w:t xml:space="preserve">The proposed </w:t>
      </w:r>
      <w:r w:rsidRPr="00535A12">
        <w:rPr>
          <w:rFonts w:cs="Arial"/>
          <w:szCs w:val="22"/>
        </w:rPr>
        <w:t>amendment is relatively minor.</w:t>
      </w:r>
    </w:p>
    <w:p w:rsidR="003F6627" w:rsidRDefault="003F6627" w:rsidP="00CF3795">
      <w:pPr>
        <w:numPr>
          <w:ilvl w:val="0"/>
          <w:numId w:val="5"/>
        </w:numPr>
        <w:autoSpaceDE w:val="0"/>
        <w:autoSpaceDN w:val="0"/>
        <w:adjustRightInd w:val="0"/>
        <w:spacing w:line="240" w:lineRule="auto"/>
        <w:jc w:val="both"/>
        <w:rPr>
          <w:rFonts w:cs="Arial"/>
          <w:szCs w:val="22"/>
        </w:rPr>
      </w:pPr>
      <w:r w:rsidRPr="00770F49">
        <w:rPr>
          <w:rFonts w:cs="Arial"/>
          <w:szCs w:val="22"/>
        </w:rPr>
        <w:t xml:space="preserve">The Ministry has consulted on amending the Regulations to include nurse practitioners and </w:t>
      </w:r>
      <w:r w:rsidR="00E13880">
        <w:rPr>
          <w:rFonts w:cs="Arial"/>
          <w:szCs w:val="22"/>
        </w:rPr>
        <w:t>prescribing optometrist</w:t>
      </w:r>
      <w:r w:rsidRPr="00770F49">
        <w:rPr>
          <w:rFonts w:cs="Arial"/>
          <w:szCs w:val="22"/>
        </w:rPr>
        <w:t>s as issuers of standing orders</w:t>
      </w:r>
      <w:r>
        <w:rPr>
          <w:rFonts w:cs="Arial"/>
          <w:szCs w:val="22"/>
        </w:rPr>
        <w:t>. The</w:t>
      </w:r>
      <w:r w:rsidRPr="00770F49">
        <w:rPr>
          <w:rFonts w:cs="Arial"/>
          <w:szCs w:val="22"/>
        </w:rPr>
        <w:t xml:space="preserve"> proposal is well supported by stakeholders. </w:t>
      </w:r>
    </w:p>
    <w:p w:rsidR="004F1A3D" w:rsidRPr="003F6627" w:rsidRDefault="007A33EF" w:rsidP="00CF3795">
      <w:pPr>
        <w:numPr>
          <w:ilvl w:val="0"/>
          <w:numId w:val="5"/>
        </w:numPr>
        <w:autoSpaceDE w:val="0"/>
        <w:autoSpaceDN w:val="0"/>
        <w:adjustRightInd w:val="0"/>
        <w:spacing w:line="240" w:lineRule="auto"/>
        <w:jc w:val="both"/>
      </w:pPr>
      <w:r>
        <w:t xml:space="preserve">The </w:t>
      </w:r>
      <w:r w:rsidR="004F1A3D">
        <w:t xml:space="preserve">Ministry analysed whether </w:t>
      </w:r>
      <w:r w:rsidR="003F6627">
        <w:t xml:space="preserve">amendment of the Regulations should proceed </w:t>
      </w:r>
      <w:r>
        <w:t>now</w:t>
      </w:r>
      <w:r w:rsidR="004F1A3D">
        <w:t xml:space="preserve"> or in conjunction with the implementation of the new therapeutic products regime.</w:t>
      </w:r>
      <w:r w:rsidR="003F6627">
        <w:t xml:space="preserve"> The Ministry concluded that </w:t>
      </w:r>
      <w:r w:rsidR="003F6627">
        <w:rPr>
          <w:rFonts w:cs="Arial"/>
          <w:color w:val="000000"/>
          <w:szCs w:val="22"/>
          <w:lang w:val="en-NZ" w:eastAsia="en-NZ"/>
        </w:rPr>
        <w:t>a</w:t>
      </w:r>
      <w:r w:rsidR="003F6627" w:rsidRPr="00547B77">
        <w:rPr>
          <w:rFonts w:cs="Arial"/>
          <w:szCs w:val="22"/>
        </w:rPr>
        <w:t>mending the Regulations in advance of the wider review of therapeutic products legislation will provide immediate gains for patient care and will not compromise the wider review.</w:t>
      </w:r>
    </w:p>
    <w:p w:rsidR="003A2839" w:rsidRPr="000527EC" w:rsidRDefault="003A2839" w:rsidP="00D0229C">
      <w:pPr>
        <w:pStyle w:val="Heading2"/>
        <w:rPr>
          <w:rFonts w:cs="Arial"/>
          <w:lang w:eastAsia="en-US"/>
        </w:rPr>
      </w:pPr>
      <w:bookmarkStart w:id="30" w:name="_Toc362368104"/>
      <w:bookmarkStart w:id="31" w:name="_Toc362434945"/>
      <w:bookmarkStart w:id="32" w:name="_Toc362589331"/>
      <w:bookmarkStart w:id="33" w:name="_Toc362619031"/>
      <w:bookmarkStart w:id="34" w:name="_Toc362940595"/>
      <w:bookmarkStart w:id="35" w:name="_Toc363047103"/>
      <w:r w:rsidRPr="000527EC">
        <w:t>Status quo and problem definition</w:t>
      </w:r>
      <w:bookmarkEnd w:id="30"/>
      <w:bookmarkEnd w:id="31"/>
      <w:bookmarkEnd w:id="32"/>
      <w:bookmarkEnd w:id="33"/>
      <w:bookmarkEnd w:id="34"/>
      <w:bookmarkEnd w:id="35"/>
    </w:p>
    <w:p w:rsidR="00110120" w:rsidRPr="00E32A49" w:rsidRDefault="00110120" w:rsidP="00CF3795">
      <w:pPr>
        <w:numPr>
          <w:ilvl w:val="0"/>
          <w:numId w:val="5"/>
        </w:numPr>
        <w:autoSpaceDE w:val="0"/>
        <w:autoSpaceDN w:val="0"/>
        <w:adjustRightInd w:val="0"/>
        <w:spacing w:line="240" w:lineRule="auto"/>
        <w:jc w:val="both"/>
        <w:rPr>
          <w:rFonts w:eastAsia="Calibri" w:cs="Arial"/>
          <w:szCs w:val="22"/>
          <w:lang w:val="en-NZ" w:eastAsia="en-NZ"/>
        </w:rPr>
      </w:pPr>
      <w:r w:rsidRPr="0063143C">
        <w:rPr>
          <w:rFonts w:eastAsia="Calibri" w:cs="Arial"/>
          <w:szCs w:val="22"/>
          <w:lang w:val="en-NZ" w:eastAsia="en-NZ"/>
        </w:rPr>
        <w:t>Standing orders</w:t>
      </w:r>
      <w:r w:rsidR="0045787A">
        <w:rPr>
          <w:rFonts w:eastAsia="Calibri" w:cs="Arial"/>
          <w:szCs w:val="22"/>
          <w:lang w:val="en-NZ" w:eastAsia="en-NZ"/>
        </w:rPr>
        <w:t xml:space="preserve"> </w:t>
      </w:r>
      <w:r w:rsidRPr="0063143C">
        <w:rPr>
          <w:rFonts w:eastAsia="Calibri" w:cs="Arial"/>
          <w:szCs w:val="22"/>
          <w:lang w:val="en-NZ" w:eastAsia="en-NZ"/>
        </w:rPr>
        <w:t>are</w:t>
      </w:r>
      <w:r>
        <w:rPr>
          <w:rFonts w:eastAsia="Calibri" w:cs="Arial"/>
          <w:szCs w:val="22"/>
          <w:lang w:val="en-NZ" w:eastAsia="en-NZ"/>
        </w:rPr>
        <w:t xml:space="preserve"> a well-established mechanism, </w:t>
      </w:r>
      <w:r w:rsidRPr="0063143C">
        <w:rPr>
          <w:rFonts w:eastAsia="Calibri" w:cs="Arial"/>
          <w:szCs w:val="22"/>
          <w:lang w:val="en-NZ" w:eastAsia="en-NZ"/>
        </w:rPr>
        <w:t>widely used to enable the supply and administration of med</w:t>
      </w:r>
      <w:r>
        <w:rPr>
          <w:rFonts w:eastAsia="Calibri" w:cs="Arial"/>
          <w:szCs w:val="22"/>
          <w:lang w:val="en-NZ" w:eastAsia="en-NZ"/>
        </w:rPr>
        <w:t>icines without a prescription i</w:t>
      </w:r>
      <w:r w:rsidRPr="0063143C">
        <w:rPr>
          <w:rFonts w:eastAsia="Calibri" w:cs="Arial"/>
          <w:szCs w:val="22"/>
          <w:lang w:val="en-NZ" w:eastAsia="en-NZ"/>
        </w:rPr>
        <w:t>n priority</w:t>
      </w:r>
      <w:r>
        <w:rPr>
          <w:rFonts w:eastAsia="Calibri" w:cs="Arial"/>
          <w:szCs w:val="22"/>
          <w:lang w:val="en-NZ" w:eastAsia="en-NZ"/>
        </w:rPr>
        <w:t xml:space="preserve"> health care</w:t>
      </w:r>
      <w:r w:rsidRPr="0063143C">
        <w:rPr>
          <w:rFonts w:eastAsia="Calibri" w:cs="Arial"/>
          <w:szCs w:val="22"/>
          <w:lang w:val="en-NZ" w:eastAsia="en-NZ"/>
        </w:rPr>
        <w:t xml:space="preserve"> settings</w:t>
      </w:r>
      <w:r>
        <w:rPr>
          <w:rFonts w:eastAsia="Calibri" w:cs="Arial"/>
          <w:szCs w:val="22"/>
          <w:lang w:val="en-NZ" w:eastAsia="en-NZ"/>
        </w:rPr>
        <w:t xml:space="preserve"> such as </w:t>
      </w:r>
      <w:r w:rsidRPr="0063143C">
        <w:rPr>
          <w:rFonts w:eastAsia="Calibri" w:cs="Arial"/>
          <w:szCs w:val="22"/>
          <w:lang w:val="en-NZ" w:eastAsia="en-NZ"/>
        </w:rPr>
        <w:t xml:space="preserve">aged care, </w:t>
      </w:r>
      <w:r>
        <w:rPr>
          <w:rFonts w:eastAsia="Calibri" w:cs="Arial"/>
          <w:szCs w:val="22"/>
          <w:lang w:val="en-NZ" w:eastAsia="en-NZ"/>
        </w:rPr>
        <w:t xml:space="preserve">rural health, </w:t>
      </w:r>
      <w:r w:rsidRPr="0063143C">
        <w:rPr>
          <w:rFonts w:eastAsia="Calibri" w:cs="Arial"/>
          <w:szCs w:val="22"/>
          <w:lang w:val="en-NZ" w:eastAsia="en-NZ"/>
        </w:rPr>
        <w:t>primary care, sexual health and family planning.</w:t>
      </w:r>
      <w:r>
        <w:rPr>
          <w:rFonts w:eastAsia="Calibri" w:cs="Arial"/>
          <w:szCs w:val="22"/>
          <w:lang w:val="en-NZ" w:eastAsia="en-NZ"/>
        </w:rPr>
        <w:t xml:space="preserve"> </w:t>
      </w:r>
    </w:p>
    <w:p w:rsidR="00110120" w:rsidRPr="008E0500" w:rsidRDefault="00110120" w:rsidP="00CF3795">
      <w:pPr>
        <w:numPr>
          <w:ilvl w:val="0"/>
          <w:numId w:val="5"/>
        </w:numPr>
        <w:spacing w:line="240" w:lineRule="auto"/>
        <w:jc w:val="both"/>
        <w:rPr>
          <w:rFonts w:cs="Arial"/>
        </w:rPr>
      </w:pPr>
      <w:r>
        <w:rPr>
          <w:rFonts w:cs="Arial"/>
          <w:bCs/>
          <w:szCs w:val="22"/>
          <w:lang w:eastAsia="en-US"/>
        </w:rPr>
        <w:t xml:space="preserve">The </w:t>
      </w:r>
      <w:r w:rsidR="0045787A">
        <w:rPr>
          <w:rFonts w:cs="Arial"/>
          <w:bCs/>
          <w:szCs w:val="22"/>
          <w:lang w:eastAsia="en-US"/>
        </w:rPr>
        <w:t xml:space="preserve">Medicines </w:t>
      </w:r>
      <w:r w:rsidR="00011C23">
        <w:rPr>
          <w:rFonts w:cs="Arial"/>
          <w:bCs/>
          <w:szCs w:val="22"/>
          <w:lang w:eastAsia="en-US"/>
        </w:rPr>
        <w:t>Amendment Act</w:t>
      </w:r>
      <w:r w:rsidR="0045787A">
        <w:rPr>
          <w:rFonts w:cs="Arial"/>
          <w:bCs/>
          <w:szCs w:val="22"/>
          <w:lang w:eastAsia="en-US"/>
        </w:rPr>
        <w:t xml:space="preserve"> 2013</w:t>
      </w:r>
      <w:r w:rsidR="00761AC3">
        <w:rPr>
          <w:rFonts w:cs="Arial"/>
          <w:bCs/>
          <w:szCs w:val="22"/>
          <w:lang w:eastAsia="en-US"/>
        </w:rPr>
        <w:t xml:space="preserve"> made</w:t>
      </w:r>
      <w:r w:rsidRPr="008E0500">
        <w:rPr>
          <w:rFonts w:cs="Arial"/>
          <w:bCs/>
          <w:szCs w:val="22"/>
          <w:lang w:eastAsia="en-US"/>
        </w:rPr>
        <w:t xml:space="preserve"> nurse practitioners and </w:t>
      </w:r>
      <w:r w:rsidR="00E13880">
        <w:rPr>
          <w:rFonts w:cs="Arial"/>
          <w:bCs/>
          <w:szCs w:val="22"/>
          <w:lang w:eastAsia="en-US"/>
        </w:rPr>
        <w:t>prescribing optometrist</w:t>
      </w:r>
      <w:r w:rsidRPr="008E0500">
        <w:rPr>
          <w:rFonts w:cs="Arial"/>
          <w:bCs/>
          <w:szCs w:val="22"/>
          <w:lang w:eastAsia="en-US"/>
        </w:rPr>
        <w:t xml:space="preserve">s authorised prescribers and amended the definition of a standing order so that nurse practitioners, </w:t>
      </w:r>
      <w:r w:rsidR="00E13880">
        <w:rPr>
          <w:rFonts w:cs="Arial"/>
          <w:bCs/>
          <w:szCs w:val="22"/>
          <w:lang w:eastAsia="en-US"/>
        </w:rPr>
        <w:t>prescribing optometrist</w:t>
      </w:r>
      <w:r w:rsidRPr="008E0500">
        <w:rPr>
          <w:rFonts w:cs="Arial"/>
          <w:bCs/>
          <w:szCs w:val="22"/>
          <w:lang w:eastAsia="en-US"/>
        </w:rPr>
        <w:t>s and midwives could issue standing orders under regulations</w:t>
      </w:r>
      <w:r w:rsidR="0045787A">
        <w:rPr>
          <w:rStyle w:val="FootnoteReference"/>
          <w:rFonts w:cs="Arial"/>
        </w:rPr>
        <w:footnoteReference w:id="1"/>
      </w:r>
      <w:r>
        <w:rPr>
          <w:rFonts w:cs="Arial"/>
          <w:bCs/>
          <w:szCs w:val="22"/>
          <w:lang w:eastAsia="en-US"/>
        </w:rPr>
        <w:t xml:space="preserve">. </w:t>
      </w:r>
    </w:p>
    <w:p w:rsidR="003A2839" w:rsidRDefault="003A2839" w:rsidP="00CF3795">
      <w:pPr>
        <w:numPr>
          <w:ilvl w:val="0"/>
          <w:numId w:val="5"/>
        </w:numPr>
        <w:spacing w:line="240" w:lineRule="auto"/>
        <w:jc w:val="both"/>
        <w:rPr>
          <w:rFonts w:cs="Arial"/>
        </w:rPr>
      </w:pPr>
      <w:r>
        <w:rPr>
          <w:rFonts w:cs="Arial"/>
        </w:rPr>
        <w:t>T</w:t>
      </w:r>
      <w:r w:rsidRPr="008B1647">
        <w:rPr>
          <w:rFonts w:cs="Arial"/>
        </w:rPr>
        <w:t>he Regulation</w:t>
      </w:r>
      <w:r>
        <w:rPr>
          <w:rFonts w:cs="Arial"/>
        </w:rPr>
        <w:t>s</w:t>
      </w:r>
      <w:r w:rsidRPr="008B1647">
        <w:rPr>
          <w:rFonts w:cs="Arial"/>
        </w:rPr>
        <w:t xml:space="preserve"> currently only allow practitioners, defined as medical practitioners and dentists</w:t>
      </w:r>
      <w:r w:rsidR="00011C23">
        <w:rPr>
          <w:rFonts w:cs="Arial"/>
        </w:rPr>
        <w:t>,</w:t>
      </w:r>
      <w:r w:rsidR="00110120">
        <w:rPr>
          <w:rFonts w:cs="Arial"/>
        </w:rPr>
        <w:t xml:space="preserve"> to issue standing orders</w:t>
      </w:r>
      <w:r w:rsidRPr="008B1647">
        <w:rPr>
          <w:rFonts w:cs="Arial"/>
        </w:rPr>
        <w:t>.</w:t>
      </w:r>
    </w:p>
    <w:p w:rsidR="003A2839" w:rsidRPr="004F1A3D" w:rsidRDefault="003A2839" w:rsidP="003A2839">
      <w:pPr>
        <w:numPr>
          <w:ilvl w:val="0"/>
          <w:numId w:val="5"/>
        </w:numPr>
        <w:spacing w:line="240" w:lineRule="auto"/>
        <w:rPr>
          <w:rFonts w:cs="Arial"/>
        </w:rPr>
      </w:pPr>
      <w:r>
        <w:rPr>
          <w:lang w:eastAsia="en-US"/>
        </w:rPr>
        <w:t xml:space="preserve">In some </w:t>
      </w:r>
      <w:r w:rsidRPr="00873740">
        <w:rPr>
          <w:lang w:eastAsia="en-US"/>
        </w:rPr>
        <w:t xml:space="preserve">clinical </w:t>
      </w:r>
      <w:r>
        <w:rPr>
          <w:lang w:eastAsia="en-US"/>
        </w:rPr>
        <w:t>setting</w:t>
      </w:r>
      <w:r w:rsidR="006243A9">
        <w:rPr>
          <w:lang w:eastAsia="en-US"/>
        </w:rPr>
        <w:t>s</w:t>
      </w:r>
      <w:r>
        <w:rPr>
          <w:lang w:eastAsia="en-US"/>
        </w:rPr>
        <w:t xml:space="preserve"> this leads to:</w:t>
      </w:r>
    </w:p>
    <w:p w:rsidR="003A2839" w:rsidRPr="004F1A3D" w:rsidRDefault="003A2839" w:rsidP="00CF3795">
      <w:pPr>
        <w:numPr>
          <w:ilvl w:val="1"/>
          <w:numId w:val="5"/>
        </w:numPr>
        <w:spacing w:line="240" w:lineRule="auto"/>
        <w:jc w:val="both"/>
        <w:rPr>
          <w:rFonts w:cs="Arial"/>
        </w:rPr>
      </w:pPr>
      <w:r>
        <w:rPr>
          <w:lang w:eastAsia="en-US"/>
        </w:rPr>
        <w:t>people being unable to receive timely treatment</w:t>
      </w:r>
      <w:r w:rsidR="00D233AB">
        <w:rPr>
          <w:lang w:eastAsia="en-US"/>
        </w:rPr>
        <w:t xml:space="preserve">, when prescribers are not </w:t>
      </w:r>
      <w:r w:rsidR="00761AC3">
        <w:rPr>
          <w:lang w:eastAsia="en-US"/>
        </w:rPr>
        <w:t>immediately</w:t>
      </w:r>
      <w:r w:rsidR="00D233AB">
        <w:rPr>
          <w:lang w:eastAsia="en-US"/>
        </w:rPr>
        <w:t xml:space="preserve"> available</w:t>
      </w:r>
      <w:r>
        <w:rPr>
          <w:lang w:eastAsia="en-US"/>
        </w:rPr>
        <w:t>;</w:t>
      </w:r>
    </w:p>
    <w:p w:rsidR="003A2839" w:rsidRPr="005A18B9" w:rsidRDefault="003A2839" w:rsidP="00CF3795">
      <w:pPr>
        <w:numPr>
          <w:ilvl w:val="1"/>
          <w:numId w:val="5"/>
        </w:numPr>
        <w:spacing w:line="240" w:lineRule="auto"/>
        <w:jc w:val="both"/>
        <w:rPr>
          <w:rFonts w:cs="Arial"/>
        </w:rPr>
      </w:pPr>
      <w:r>
        <w:rPr>
          <w:lang w:eastAsia="en-US"/>
        </w:rPr>
        <w:lastRenderedPageBreak/>
        <w:t xml:space="preserve">nurse practitioners </w:t>
      </w:r>
      <w:r w:rsidRPr="005A18B9">
        <w:rPr>
          <w:lang w:eastAsia="en-US"/>
        </w:rPr>
        <w:t xml:space="preserve">and </w:t>
      </w:r>
      <w:r w:rsidR="00E13880">
        <w:rPr>
          <w:lang w:eastAsia="en-US"/>
        </w:rPr>
        <w:t>prescribing optometrist</w:t>
      </w:r>
      <w:r w:rsidRPr="005A18B9">
        <w:rPr>
          <w:lang w:eastAsia="en-US"/>
        </w:rPr>
        <w:t xml:space="preserve">s being inhibited from working </w:t>
      </w:r>
      <w:r>
        <w:rPr>
          <w:lang w:eastAsia="en-US"/>
        </w:rPr>
        <w:t xml:space="preserve">to the full extent allowed by </w:t>
      </w:r>
      <w:r w:rsidR="00D871F0">
        <w:rPr>
          <w:lang w:eastAsia="en-US"/>
        </w:rPr>
        <w:t xml:space="preserve">the primary legislation and </w:t>
      </w:r>
      <w:r>
        <w:rPr>
          <w:lang w:eastAsia="en-US"/>
        </w:rPr>
        <w:t>their scopes of practice</w:t>
      </w:r>
      <w:r w:rsidR="00D871F0">
        <w:rPr>
          <w:lang w:eastAsia="en-US"/>
        </w:rPr>
        <w:t>;</w:t>
      </w:r>
    </w:p>
    <w:p w:rsidR="003A2839" w:rsidRPr="00761AC3" w:rsidRDefault="003A2839" w:rsidP="003A2839">
      <w:pPr>
        <w:numPr>
          <w:ilvl w:val="1"/>
          <w:numId w:val="5"/>
        </w:numPr>
        <w:spacing w:line="240" w:lineRule="auto"/>
        <w:rPr>
          <w:rFonts w:cs="Arial"/>
        </w:rPr>
      </w:pPr>
      <w:r w:rsidRPr="005A18B9">
        <w:rPr>
          <w:lang w:eastAsia="en-US"/>
        </w:rPr>
        <w:t>inefficient use of medical practitioners</w:t>
      </w:r>
      <w:r>
        <w:rPr>
          <w:lang w:eastAsia="en-US"/>
        </w:rPr>
        <w:t>’</w:t>
      </w:r>
      <w:r w:rsidRPr="005A18B9">
        <w:rPr>
          <w:lang w:eastAsia="en-US"/>
        </w:rPr>
        <w:t xml:space="preserve"> time.</w:t>
      </w:r>
    </w:p>
    <w:p w:rsidR="008D5CD9" w:rsidRPr="00082653" w:rsidRDefault="008D5CD9" w:rsidP="00414D03">
      <w:pPr>
        <w:pStyle w:val="Heading2"/>
        <w:ind w:left="0" w:firstLine="0"/>
      </w:pPr>
      <w:bookmarkStart w:id="36" w:name="_Toc244580364"/>
      <w:bookmarkStart w:id="37" w:name="_Toc244587040"/>
      <w:bookmarkStart w:id="38" w:name="_Toc244857274"/>
      <w:bookmarkStart w:id="39" w:name="_Toc244912539"/>
      <w:bookmarkStart w:id="40" w:name="_Toc244916996"/>
      <w:bookmarkStart w:id="41" w:name="_Toc362368105"/>
      <w:bookmarkStart w:id="42" w:name="_Toc362434946"/>
      <w:bookmarkStart w:id="43" w:name="_Toc362589332"/>
      <w:bookmarkStart w:id="44" w:name="_Toc362619032"/>
      <w:bookmarkStart w:id="45" w:name="_Toc362940596"/>
      <w:bookmarkStart w:id="46" w:name="_Toc363047104"/>
      <w:r w:rsidRPr="00082653">
        <w:t>Objectives</w:t>
      </w:r>
      <w:bookmarkEnd w:id="36"/>
      <w:bookmarkEnd w:id="37"/>
      <w:bookmarkEnd w:id="38"/>
      <w:bookmarkEnd w:id="39"/>
      <w:bookmarkEnd w:id="40"/>
      <w:bookmarkEnd w:id="41"/>
      <w:bookmarkEnd w:id="42"/>
      <w:bookmarkEnd w:id="43"/>
      <w:bookmarkEnd w:id="44"/>
      <w:bookmarkEnd w:id="45"/>
      <w:bookmarkEnd w:id="46"/>
    </w:p>
    <w:p w:rsidR="00110120" w:rsidRDefault="00110120" w:rsidP="00CF3795">
      <w:pPr>
        <w:numPr>
          <w:ilvl w:val="0"/>
          <w:numId w:val="5"/>
        </w:numPr>
        <w:autoSpaceDE w:val="0"/>
        <w:autoSpaceDN w:val="0"/>
        <w:adjustRightInd w:val="0"/>
        <w:spacing w:line="240" w:lineRule="auto"/>
        <w:jc w:val="both"/>
      </w:pPr>
      <w:r>
        <w:t xml:space="preserve">The proposed amendment to the </w:t>
      </w:r>
      <w:r w:rsidRPr="00F3027D">
        <w:rPr>
          <w:rFonts w:cs="Arial"/>
          <w:szCs w:val="22"/>
        </w:rPr>
        <w:t>Regulation</w:t>
      </w:r>
      <w:r>
        <w:rPr>
          <w:rFonts w:cs="Arial"/>
          <w:szCs w:val="22"/>
        </w:rPr>
        <w:t>s</w:t>
      </w:r>
      <w:r w:rsidRPr="00F3027D">
        <w:rPr>
          <w:rFonts w:cs="Arial"/>
          <w:szCs w:val="22"/>
        </w:rPr>
        <w:t xml:space="preserve"> </w:t>
      </w:r>
      <w:r>
        <w:t xml:space="preserve">so that nurse practitioners and </w:t>
      </w:r>
      <w:r w:rsidR="00E13880">
        <w:t>prescribing optometrist</w:t>
      </w:r>
      <w:r>
        <w:t>s can issue standing orders has three objectives:</w:t>
      </w:r>
    </w:p>
    <w:p w:rsidR="00110120" w:rsidRDefault="00110120" w:rsidP="00110120">
      <w:pPr>
        <w:numPr>
          <w:ilvl w:val="1"/>
          <w:numId w:val="5"/>
        </w:numPr>
        <w:autoSpaceDE w:val="0"/>
        <w:autoSpaceDN w:val="0"/>
        <w:adjustRightInd w:val="0"/>
        <w:spacing w:line="240" w:lineRule="auto"/>
      </w:pPr>
      <w:r>
        <w:t>to improve people’s access to appropriate and effective treatment;</w:t>
      </w:r>
    </w:p>
    <w:p w:rsidR="00110120" w:rsidRDefault="00110120" w:rsidP="00CF3795">
      <w:pPr>
        <w:numPr>
          <w:ilvl w:val="1"/>
          <w:numId w:val="5"/>
        </w:numPr>
        <w:autoSpaceDE w:val="0"/>
        <w:autoSpaceDN w:val="0"/>
        <w:adjustRightInd w:val="0"/>
        <w:spacing w:line="240" w:lineRule="auto"/>
        <w:jc w:val="both"/>
      </w:pPr>
      <w:r>
        <w:t xml:space="preserve">to enable nurse practitioners </w:t>
      </w:r>
      <w:r w:rsidRPr="00535A12">
        <w:t xml:space="preserve">and </w:t>
      </w:r>
      <w:r w:rsidR="00E13880">
        <w:t>prescribing optometrist</w:t>
      </w:r>
      <w:r w:rsidRPr="00535A12">
        <w:t>s</w:t>
      </w:r>
      <w:r>
        <w:t xml:space="preserve"> to work more efficiently with appropriately trained staff in health care teams;</w:t>
      </w:r>
    </w:p>
    <w:p w:rsidR="00110120" w:rsidRDefault="00110120" w:rsidP="00CF3795">
      <w:pPr>
        <w:numPr>
          <w:ilvl w:val="1"/>
          <w:numId w:val="5"/>
        </w:numPr>
        <w:autoSpaceDE w:val="0"/>
        <w:autoSpaceDN w:val="0"/>
        <w:adjustRightInd w:val="0"/>
        <w:spacing w:line="240" w:lineRule="auto"/>
        <w:jc w:val="both"/>
      </w:pPr>
      <w:r>
        <w:t xml:space="preserve">to give effect to the potential of the Medicine Amendment Act 2013 which enabled nurse practitioners </w:t>
      </w:r>
      <w:r w:rsidRPr="00535A12">
        <w:t xml:space="preserve">and </w:t>
      </w:r>
      <w:r w:rsidR="00E13880">
        <w:t>prescribing optometrist</w:t>
      </w:r>
      <w:r w:rsidRPr="00535A12">
        <w:t>s</w:t>
      </w:r>
      <w:r>
        <w:t xml:space="preserve"> to issue standing orders in accordance with any applicable regulations.</w:t>
      </w:r>
    </w:p>
    <w:p w:rsidR="0090463C" w:rsidRDefault="0090463C" w:rsidP="0090463C">
      <w:pPr>
        <w:pStyle w:val="Heading2"/>
      </w:pPr>
      <w:r>
        <w:t xml:space="preserve">Options and Impact analysis </w:t>
      </w:r>
    </w:p>
    <w:p w:rsidR="006F59B8" w:rsidRPr="00FC4E10" w:rsidRDefault="0090463C" w:rsidP="00CF3795">
      <w:pPr>
        <w:numPr>
          <w:ilvl w:val="0"/>
          <w:numId w:val="5"/>
        </w:numPr>
        <w:spacing w:line="240" w:lineRule="auto"/>
        <w:jc w:val="both"/>
        <w:rPr>
          <w:rFonts w:cs="Arial"/>
          <w:szCs w:val="22"/>
        </w:rPr>
      </w:pPr>
      <w:r>
        <w:t xml:space="preserve">In its </w:t>
      </w:r>
      <w:r w:rsidR="003342C5">
        <w:t>analysis of the options</w:t>
      </w:r>
      <w:r>
        <w:t xml:space="preserve"> the Ministry </w:t>
      </w:r>
      <w:r w:rsidR="003A2839">
        <w:t>considered</w:t>
      </w:r>
      <w:r>
        <w:t xml:space="preserve"> </w:t>
      </w:r>
      <w:r w:rsidR="006243A9">
        <w:t xml:space="preserve">whether an </w:t>
      </w:r>
      <w:r w:rsidR="00761AC3">
        <w:t>amendment</w:t>
      </w:r>
      <w:r w:rsidR="00D871F0">
        <w:t>,</w:t>
      </w:r>
      <w:r w:rsidR="00761AC3">
        <w:t xml:space="preserve"> to include nurse practitioners and </w:t>
      </w:r>
      <w:r w:rsidR="00E13880">
        <w:t>prescribing optometrist</w:t>
      </w:r>
      <w:r w:rsidR="00761AC3">
        <w:t>s as issuers of standing orders in the Regulations</w:t>
      </w:r>
      <w:r w:rsidR="00D871F0">
        <w:t>,</w:t>
      </w:r>
      <w:r>
        <w:t xml:space="preserve"> should happen immediately or in </w:t>
      </w:r>
      <w:r w:rsidRPr="00FC4E10">
        <w:t xml:space="preserve">conjunction with the implementation </w:t>
      </w:r>
      <w:r w:rsidR="006B4407">
        <w:t>of</w:t>
      </w:r>
      <w:r w:rsidRPr="00FC4E10">
        <w:t xml:space="preserve"> the </w:t>
      </w:r>
      <w:r w:rsidR="006B4407">
        <w:t xml:space="preserve">regulatory regime for </w:t>
      </w:r>
      <w:r w:rsidRPr="00FC4E10">
        <w:t>new therapeutic products</w:t>
      </w:r>
      <w:r w:rsidR="006B4407">
        <w:t xml:space="preserve"> </w:t>
      </w:r>
      <w:r w:rsidR="00FF685D">
        <w:t>expected in 2018</w:t>
      </w:r>
      <w:r w:rsidRPr="00FC4E10">
        <w:t xml:space="preserve">. </w:t>
      </w:r>
    </w:p>
    <w:p w:rsidR="00110120" w:rsidRPr="00C427EA" w:rsidRDefault="00110120" w:rsidP="00D0229C">
      <w:pPr>
        <w:pStyle w:val="Heading3"/>
      </w:pPr>
      <w:r w:rsidRPr="004212EE">
        <w:t xml:space="preserve">Option 1: </w:t>
      </w:r>
      <w:r>
        <w:t xml:space="preserve"> </w:t>
      </w:r>
      <w:r w:rsidR="00D871F0">
        <w:t xml:space="preserve">Amend the </w:t>
      </w:r>
      <w:r w:rsidR="00D871F0" w:rsidRPr="00D0229C">
        <w:t>R</w:t>
      </w:r>
      <w:r w:rsidRPr="00D0229C">
        <w:t>egulations</w:t>
      </w:r>
      <w:r w:rsidRPr="00C427EA">
        <w:t xml:space="preserve"> as part of the implementation of the new therapeutic products regime  </w:t>
      </w:r>
    </w:p>
    <w:p w:rsidR="00110120" w:rsidRDefault="00110120" w:rsidP="00CF3795">
      <w:pPr>
        <w:numPr>
          <w:ilvl w:val="0"/>
          <w:numId w:val="5"/>
        </w:numPr>
        <w:spacing w:line="240" w:lineRule="auto"/>
        <w:jc w:val="both"/>
      </w:pPr>
      <w:r w:rsidRPr="006F59B8">
        <w:rPr>
          <w:rFonts w:cs="Arial"/>
          <w:szCs w:val="22"/>
        </w:rPr>
        <w:t>The</w:t>
      </w:r>
      <w:r w:rsidRPr="006F59B8">
        <w:rPr>
          <w:rFonts w:cs="Arial"/>
          <w:color w:val="000000"/>
          <w:szCs w:val="22"/>
          <w:lang w:val="en-NZ" w:eastAsia="en-NZ"/>
        </w:rPr>
        <w:t xml:space="preserve"> Ministry of Health is undertaking a review of the regulatory regime for therapeutic products. </w:t>
      </w:r>
      <w:r>
        <w:t xml:space="preserve">The therapeutic products review aims to develop a more flexible regulatory regime. </w:t>
      </w:r>
    </w:p>
    <w:p w:rsidR="00761AC3" w:rsidRDefault="00761AC3" w:rsidP="00CF3795">
      <w:pPr>
        <w:numPr>
          <w:ilvl w:val="0"/>
          <w:numId w:val="5"/>
        </w:numPr>
        <w:autoSpaceDE w:val="0"/>
        <w:autoSpaceDN w:val="0"/>
        <w:adjustRightInd w:val="0"/>
        <w:spacing w:line="240" w:lineRule="auto"/>
        <w:jc w:val="both"/>
        <w:rPr>
          <w:rFonts w:cs="Arial"/>
          <w:color w:val="000000"/>
          <w:szCs w:val="22"/>
          <w:lang w:val="en-NZ" w:eastAsia="en-NZ"/>
        </w:rPr>
      </w:pPr>
      <w:r w:rsidRPr="006F59B8">
        <w:rPr>
          <w:rFonts w:cs="Arial"/>
          <w:color w:val="000000"/>
          <w:szCs w:val="22"/>
          <w:lang w:val="en-NZ" w:eastAsia="en-NZ"/>
        </w:rPr>
        <w:t xml:space="preserve">The new legislation is expected to come into force in 2017, with regulations likely to be enacted in 2018. </w:t>
      </w:r>
    </w:p>
    <w:p w:rsidR="00110120" w:rsidRPr="007135C9" w:rsidRDefault="00110120" w:rsidP="00CF3795">
      <w:pPr>
        <w:numPr>
          <w:ilvl w:val="0"/>
          <w:numId w:val="5"/>
        </w:numPr>
        <w:autoSpaceDE w:val="0"/>
        <w:autoSpaceDN w:val="0"/>
        <w:adjustRightInd w:val="0"/>
        <w:spacing w:line="240" w:lineRule="auto"/>
        <w:jc w:val="both"/>
        <w:rPr>
          <w:rFonts w:cs="Arial"/>
          <w:color w:val="000000"/>
          <w:szCs w:val="22"/>
          <w:lang w:val="en-NZ" w:eastAsia="en-NZ"/>
        </w:rPr>
      </w:pPr>
      <w:r w:rsidRPr="006F59B8">
        <w:rPr>
          <w:rFonts w:cs="Arial"/>
          <w:color w:val="000000"/>
          <w:szCs w:val="22"/>
          <w:lang w:val="en-NZ" w:eastAsia="en-NZ"/>
        </w:rPr>
        <w:t xml:space="preserve">Prescribing frameworks and the role of standing orders, including whether they are fit for purpose, </w:t>
      </w:r>
      <w:r>
        <w:rPr>
          <w:rFonts w:cs="Arial"/>
          <w:color w:val="000000"/>
          <w:szCs w:val="22"/>
          <w:lang w:val="en-NZ" w:eastAsia="en-NZ"/>
        </w:rPr>
        <w:t>are</w:t>
      </w:r>
      <w:r w:rsidRPr="006F59B8">
        <w:rPr>
          <w:rFonts w:cs="Arial"/>
          <w:color w:val="000000"/>
          <w:szCs w:val="22"/>
          <w:lang w:val="en-NZ" w:eastAsia="en-NZ"/>
        </w:rPr>
        <w:t xml:space="preserve"> part of </w:t>
      </w:r>
      <w:r>
        <w:rPr>
          <w:rFonts w:cs="Arial"/>
          <w:color w:val="000000"/>
          <w:szCs w:val="22"/>
          <w:lang w:val="en-NZ" w:eastAsia="en-NZ"/>
        </w:rPr>
        <w:t>the review</w:t>
      </w:r>
      <w:r w:rsidRPr="006F59B8">
        <w:rPr>
          <w:rFonts w:cs="Arial"/>
          <w:color w:val="000000"/>
          <w:szCs w:val="22"/>
          <w:lang w:val="en-NZ" w:eastAsia="en-NZ"/>
        </w:rPr>
        <w:t xml:space="preserve"> policy work. The review will consider if </w:t>
      </w:r>
      <w:r>
        <w:rPr>
          <w:rFonts w:cs="Arial"/>
          <w:color w:val="000000"/>
          <w:szCs w:val="22"/>
          <w:lang w:val="en-NZ" w:eastAsia="en-NZ"/>
        </w:rPr>
        <w:t>changes are needed</w:t>
      </w:r>
      <w:r w:rsidRPr="006F59B8">
        <w:rPr>
          <w:rFonts w:cs="Arial"/>
          <w:color w:val="000000"/>
          <w:szCs w:val="22"/>
          <w:lang w:val="en-NZ" w:eastAsia="en-NZ"/>
        </w:rPr>
        <w:t xml:space="preserve"> to the current regime for monitoring and audit of standing orders. </w:t>
      </w:r>
    </w:p>
    <w:p w:rsidR="00761AC3" w:rsidRPr="00257F0D" w:rsidRDefault="00761AC3" w:rsidP="00CF3795">
      <w:pPr>
        <w:numPr>
          <w:ilvl w:val="0"/>
          <w:numId w:val="5"/>
        </w:numPr>
        <w:spacing w:line="240" w:lineRule="auto"/>
        <w:jc w:val="both"/>
      </w:pPr>
      <w:r w:rsidRPr="00257F0D">
        <w:t>Early indications are there will be little change to the arrangements for standing orders</w:t>
      </w:r>
      <w:r>
        <w:t xml:space="preserve"> under the new Act. P</w:t>
      </w:r>
      <w:r w:rsidRPr="00257F0D">
        <w:t xml:space="preserve">ractitioners </w:t>
      </w:r>
      <w:r>
        <w:t xml:space="preserve">authorised to prescribe are likely to be </w:t>
      </w:r>
      <w:r w:rsidRPr="00257F0D">
        <w:t>able to co</w:t>
      </w:r>
      <w:r>
        <w:t>ntinue to issue standing orders</w:t>
      </w:r>
      <w:r w:rsidRPr="00257F0D">
        <w:t xml:space="preserve">. </w:t>
      </w:r>
    </w:p>
    <w:p w:rsidR="00761AC3" w:rsidRPr="00761AC3" w:rsidRDefault="00761AC3" w:rsidP="00CF3795">
      <w:pPr>
        <w:numPr>
          <w:ilvl w:val="0"/>
          <w:numId w:val="5"/>
        </w:numPr>
        <w:spacing w:line="240" w:lineRule="auto"/>
        <w:jc w:val="both"/>
      </w:pPr>
      <w:r>
        <w:t xml:space="preserve">If there are unforeseen delays in the implementation of the new therapeutic products regime, the current barriers to making the best use of the workforce to improve health outcomes will remain. </w:t>
      </w:r>
    </w:p>
    <w:p w:rsidR="0090463C" w:rsidRPr="004212EE" w:rsidRDefault="00110120" w:rsidP="00D0229C">
      <w:pPr>
        <w:pStyle w:val="Heading3"/>
      </w:pPr>
      <w:r w:rsidRPr="00C427EA">
        <w:t xml:space="preserve">Option 2: </w:t>
      </w:r>
      <w:r>
        <w:t xml:space="preserve"> </w:t>
      </w:r>
      <w:r w:rsidR="0090463C" w:rsidRPr="004212EE">
        <w:t xml:space="preserve">Amend the </w:t>
      </w:r>
      <w:r w:rsidR="00FC3505">
        <w:t>Regulations</w:t>
      </w:r>
      <w:r w:rsidR="0090463C" w:rsidRPr="004212EE">
        <w:t xml:space="preserve"> prior to the implementation of the new therapeutic products regime (preferred option)</w:t>
      </w:r>
    </w:p>
    <w:p w:rsidR="00D233AB" w:rsidRPr="00E17436" w:rsidRDefault="00D233AB" w:rsidP="00CF3795">
      <w:pPr>
        <w:numPr>
          <w:ilvl w:val="0"/>
          <w:numId w:val="5"/>
        </w:numPr>
        <w:autoSpaceDE w:val="0"/>
        <w:autoSpaceDN w:val="0"/>
        <w:adjustRightInd w:val="0"/>
        <w:spacing w:line="240" w:lineRule="auto"/>
        <w:jc w:val="both"/>
      </w:pPr>
      <w:r>
        <w:rPr>
          <w:rFonts w:cs="Arial"/>
          <w:szCs w:val="22"/>
        </w:rPr>
        <w:t xml:space="preserve">The Ministry considers that </w:t>
      </w:r>
      <w:r w:rsidR="00761AC3">
        <w:rPr>
          <w:rFonts w:cs="Arial"/>
          <w:szCs w:val="22"/>
        </w:rPr>
        <w:t xml:space="preserve">a relatively minor </w:t>
      </w:r>
      <w:r>
        <w:rPr>
          <w:rFonts w:cs="Arial"/>
          <w:szCs w:val="22"/>
        </w:rPr>
        <w:t xml:space="preserve">amendment of the Regulations, in advance of the wider review of therapeutic products legislation, will provide immediate gains for patient care, and will not compromise the wider review. </w:t>
      </w:r>
      <w:r w:rsidRPr="00E17436">
        <w:rPr>
          <w:rFonts w:cs="Arial"/>
          <w:szCs w:val="22"/>
        </w:rPr>
        <w:t xml:space="preserve">More people could receive more </w:t>
      </w:r>
      <w:r>
        <w:rPr>
          <w:rFonts w:cs="Arial"/>
          <w:szCs w:val="22"/>
        </w:rPr>
        <w:t>timely and effective treatment earlier and barriers to the most effective use of the workforce will be removed.</w:t>
      </w:r>
    </w:p>
    <w:p w:rsidR="0063143C" w:rsidRPr="00FF685D" w:rsidRDefault="00D233AB" w:rsidP="00CF3795">
      <w:pPr>
        <w:numPr>
          <w:ilvl w:val="0"/>
          <w:numId w:val="5"/>
        </w:numPr>
        <w:spacing w:line="240" w:lineRule="auto"/>
        <w:jc w:val="both"/>
        <w:rPr>
          <w:b/>
        </w:rPr>
      </w:pPr>
      <w:r>
        <w:rPr>
          <w:rFonts w:cs="Arial"/>
          <w:szCs w:val="22"/>
        </w:rPr>
        <w:lastRenderedPageBreak/>
        <w:t>Targeted c</w:t>
      </w:r>
      <w:r w:rsidR="0063143C" w:rsidRPr="00FF685D">
        <w:rPr>
          <w:rFonts w:cs="Arial"/>
          <w:szCs w:val="22"/>
        </w:rPr>
        <w:t xml:space="preserve">onsultation </w:t>
      </w:r>
      <w:r>
        <w:rPr>
          <w:rFonts w:cs="Arial"/>
          <w:szCs w:val="22"/>
        </w:rPr>
        <w:t xml:space="preserve">in Oct 2015 and Feb 2016 </w:t>
      </w:r>
      <w:r w:rsidR="0063143C" w:rsidRPr="00FF685D">
        <w:rPr>
          <w:rFonts w:cs="Arial"/>
          <w:szCs w:val="22"/>
        </w:rPr>
        <w:t xml:space="preserve">undertaken by the Ministry indicates that there is general agreement that nurse practitioners and </w:t>
      </w:r>
      <w:r w:rsidR="00E13880">
        <w:rPr>
          <w:rFonts w:cs="Arial"/>
          <w:szCs w:val="22"/>
        </w:rPr>
        <w:t>prescribing optometrist</w:t>
      </w:r>
      <w:r w:rsidR="0063143C" w:rsidRPr="00FF685D">
        <w:rPr>
          <w:rFonts w:cs="Arial"/>
          <w:szCs w:val="22"/>
        </w:rPr>
        <w:t>s should be able to issue standing orders</w:t>
      </w:r>
      <w:r>
        <w:rPr>
          <w:rFonts w:cs="Arial"/>
          <w:szCs w:val="22"/>
        </w:rPr>
        <w:t>.</w:t>
      </w:r>
      <w:r w:rsidR="004F1A3D" w:rsidRPr="00FF685D">
        <w:rPr>
          <w:rFonts w:cs="Arial"/>
          <w:szCs w:val="22"/>
        </w:rPr>
        <w:t xml:space="preserve"> </w:t>
      </w:r>
      <w:r w:rsidR="005207FA">
        <w:rPr>
          <w:rFonts w:cs="Arial"/>
          <w:szCs w:val="22"/>
        </w:rPr>
        <w:t xml:space="preserve">Stakeholders overall </w:t>
      </w:r>
      <w:r>
        <w:rPr>
          <w:rFonts w:cs="Arial"/>
          <w:szCs w:val="22"/>
        </w:rPr>
        <w:t xml:space="preserve">agreed </w:t>
      </w:r>
      <w:r w:rsidR="005207FA">
        <w:rPr>
          <w:rFonts w:cs="Arial"/>
          <w:szCs w:val="22"/>
        </w:rPr>
        <w:t xml:space="preserve">that the amendment will </w:t>
      </w:r>
      <w:r>
        <w:rPr>
          <w:rFonts w:cs="Arial"/>
          <w:szCs w:val="22"/>
        </w:rPr>
        <w:t xml:space="preserve">improve access, improve efficiency and make best use of NPs and </w:t>
      </w:r>
      <w:r w:rsidR="00E13880">
        <w:rPr>
          <w:rFonts w:cs="Arial"/>
          <w:szCs w:val="22"/>
        </w:rPr>
        <w:t>prescribing optometrist</w:t>
      </w:r>
      <w:r>
        <w:rPr>
          <w:rFonts w:cs="Arial"/>
          <w:szCs w:val="22"/>
        </w:rPr>
        <w:t>s</w:t>
      </w:r>
      <w:r w:rsidR="005207FA">
        <w:rPr>
          <w:rFonts w:cs="Arial"/>
          <w:szCs w:val="22"/>
        </w:rPr>
        <w:t>.</w:t>
      </w:r>
    </w:p>
    <w:p w:rsidR="003342C5" w:rsidRDefault="00761AC3" w:rsidP="003342C5">
      <w:pPr>
        <w:pStyle w:val="ListParagraph"/>
        <w:numPr>
          <w:ilvl w:val="0"/>
          <w:numId w:val="5"/>
        </w:numPr>
        <w:autoSpaceDE w:val="0"/>
        <w:autoSpaceDN w:val="0"/>
        <w:adjustRightInd w:val="0"/>
        <w:spacing w:line="240" w:lineRule="auto"/>
        <w:jc w:val="both"/>
        <w:rPr>
          <w:rFonts w:cs="Arial"/>
        </w:rPr>
      </w:pPr>
      <w:r w:rsidRPr="00761AC3">
        <w:rPr>
          <w:rFonts w:cs="Arial"/>
        </w:rPr>
        <w:t>The proposed amendment aligns with other recent activity to remove legislative barriers to innovation and making the bes</w:t>
      </w:r>
      <w:r w:rsidR="003342C5">
        <w:rPr>
          <w:rFonts w:cs="Arial"/>
        </w:rPr>
        <w:t>t use for the health workforce:</w:t>
      </w:r>
    </w:p>
    <w:p w:rsidR="003342C5" w:rsidRDefault="00761AC3" w:rsidP="003342C5">
      <w:pPr>
        <w:pStyle w:val="ListParagraph"/>
        <w:numPr>
          <w:ilvl w:val="1"/>
          <w:numId w:val="5"/>
        </w:numPr>
        <w:autoSpaceDE w:val="0"/>
        <w:autoSpaceDN w:val="0"/>
        <w:adjustRightInd w:val="0"/>
        <w:spacing w:line="240" w:lineRule="auto"/>
        <w:jc w:val="both"/>
        <w:rPr>
          <w:rFonts w:cs="Arial"/>
        </w:rPr>
      </w:pPr>
      <w:r w:rsidRPr="003342C5">
        <w:rPr>
          <w:rFonts w:cs="Arial"/>
        </w:rPr>
        <w:t>The omnibus Health Practitioners (Replacement of Statutory References to Medical Practitioners) Bill will be presented to the House for its second reading in 2016. Seven acts are amended so that suitably qualified health practitioners can undertake certain statutory functions currently limited to doctors.</w:t>
      </w:r>
    </w:p>
    <w:p w:rsidR="00C427EA" w:rsidRPr="003342C5" w:rsidRDefault="00761AC3" w:rsidP="003342C5">
      <w:pPr>
        <w:pStyle w:val="ListParagraph"/>
        <w:numPr>
          <w:ilvl w:val="1"/>
          <w:numId w:val="5"/>
        </w:numPr>
        <w:autoSpaceDE w:val="0"/>
        <w:autoSpaceDN w:val="0"/>
        <w:adjustRightInd w:val="0"/>
        <w:spacing w:line="240" w:lineRule="auto"/>
        <w:jc w:val="both"/>
        <w:rPr>
          <w:rFonts w:cs="Arial"/>
        </w:rPr>
      </w:pPr>
      <w:r w:rsidRPr="003342C5">
        <w:rPr>
          <w:rFonts w:cs="Arial"/>
        </w:rPr>
        <w:t xml:space="preserve">Regulations were </w:t>
      </w:r>
      <w:r w:rsidR="006243A9" w:rsidRPr="003342C5">
        <w:rPr>
          <w:rFonts w:cs="Arial"/>
        </w:rPr>
        <w:t xml:space="preserve">made </w:t>
      </w:r>
      <w:r w:rsidRPr="003342C5">
        <w:rPr>
          <w:rFonts w:cs="Arial"/>
        </w:rPr>
        <w:t>in 2013 to allow Pharmacists to prescribe medicines as designated prescribers and Cabinet agreed in 2015 to the making of regulations for designated registered nurse prescribing which will be enacted before the end of 2016.</w:t>
      </w:r>
    </w:p>
    <w:p w:rsidR="0090463C" w:rsidRPr="00B83611" w:rsidRDefault="0090463C" w:rsidP="00D0229C">
      <w:pPr>
        <w:pStyle w:val="Heading3"/>
      </w:pPr>
      <w:r w:rsidRPr="00B83611">
        <w:t xml:space="preserve">Risks </w:t>
      </w:r>
      <w:r>
        <w:t xml:space="preserve">and </w:t>
      </w:r>
      <w:r w:rsidR="00110120">
        <w:t>Mitigating</w:t>
      </w:r>
      <w:r w:rsidR="00D233AB">
        <w:t xml:space="preserve"> factors </w:t>
      </w:r>
      <w:r>
        <w:t>of</w:t>
      </w:r>
      <w:r w:rsidRPr="00B83611">
        <w:t xml:space="preserve"> </w:t>
      </w:r>
      <w:r>
        <w:t xml:space="preserve">amending the </w:t>
      </w:r>
      <w:r w:rsidR="00FC3505">
        <w:t>Regulations</w:t>
      </w:r>
      <w:r w:rsidR="00C427EA">
        <w:t xml:space="preserve"> </w:t>
      </w:r>
    </w:p>
    <w:p w:rsidR="0090463C" w:rsidRPr="00C427EA" w:rsidRDefault="0090463C" w:rsidP="00CF3795">
      <w:pPr>
        <w:numPr>
          <w:ilvl w:val="0"/>
          <w:numId w:val="5"/>
        </w:numPr>
        <w:spacing w:line="240" w:lineRule="auto"/>
        <w:jc w:val="both"/>
        <w:rPr>
          <w:rFonts w:cs="Arial"/>
          <w:i/>
          <w:szCs w:val="22"/>
        </w:rPr>
      </w:pPr>
      <w:r>
        <w:rPr>
          <w:rFonts w:cs="Arial"/>
          <w:szCs w:val="22"/>
        </w:rPr>
        <w:t xml:space="preserve">The table below outlines the </w:t>
      </w:r>
      <w:r w:rsidR="006B4407">
        <w:rPr>
          <w:rFonts w:cs="Arial"/>
          <w:szCs w:val="22"/>
        </w:rPr>
        <w:t xml:space="preserve">potential </w:t>
      </w:r>
      <w:r>
        <w:rPr>
          <w:rFonts w:cs="Arial"/>
          <w:szCs w:val="22"/>
        </w:rPr>
        <w:t xml:space="preserve">risks of amending the </w:t>
      </w:r>
      <w:r w:rsidR="003154F9">
        <w:rPr>
          <w:rFonts w:cs="Arial"/>
          <w:szCs w:val="22"/>
        </w:rPr>
        <w:t>Regulations</w:t>
      </w:r>
      <w:r>
        <w:rPr>
          <w:rFonts w:cs="Arial"/>
          <w:szCs w:val="22"/>
        </w:rPr>
        <w:t xml:space="preserve"> to authorise nurse practitioners </w:t>
      </w:r>
      <w:r w:rsidRPr="00F1723D">
        <w:rPr>
          <w:rFonts w:cs="Arial"/>
          <w:szCs w:val="22"/>
        </w:rPr>
        <w:t xml:space="preserve">and </w:t>
      </w:r>
      <w:r w:rsidR="00E13880">
        <w:rPr>
          <w:rFonts w:cs="Arial"/>
          <w:szCs w:val="22"/>
        </w:rPr>
        <w:t>prescribing optometrist</w:t>
      </w:r>
      <w:r w:rsidR="005B113B" w:rsidRPr="00F1723D">
        <w:rPr>
          <w:rFonts w:cs="Arial"/>
          <w:szCs w:val="22"/>
        </w:rPr>
        <w:t xml:space="preserve">s </w:t>
      </w:r>
      <w:r w:rsidRPr="00F1723D">
        <w:rPr>
          <w:rFonts w:cs="Arial"/>
          <w:szCs w:val="22"/>
        </w:rPr>
        <w:t>to</w:t>
      </w:r>
      <w:r>
        <w:rPr>
          <w:rFonts w:cs="Arial"/>
          <w:szCs w:val="22"/>
        </w:rPr>
        <w:t xml:space="preserve"> issue standing orde</w:t>
      </w:r>
      <w:r w:rsidR="006B4407">
        <w:rPr>
          <w:rFonts w:cs="Arial"/>
          <w:szCs w:val="22"/>
        </w:rPr>
        <w:t>rs.</w:t>
      </w:r>
    </w:p>
    <w:p w:rsidR="0090463C" w:rsidRDefault="0090463C" w:rsidP="0090463C">
      <w:pPr>
        <w:pStyle w:val="NormalWeb"/>
        <w:spacing w:before="0" w:after="0"/>
        <w:rPr>
          <w:rFonts w:ascii="Arial" w:hAnsi="Arial" w:cs="Arial"/>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982"/>
      </w:tblGrid>
      <w:tr w:rsidR="0090463C" w:rsidRPr="00257F0D" w:rsidTr="00E13880">
        <w:tc>
          <w:tcPr>
            <w:tcW w:w="4537" w:type="dxa"/>
            <w:tcBorders>
              <w:top w:val="single" w:sz="4" w:space="0" w:color="auto"/>
              <w:left w:val="single" w:sz="4" w:space="0" w:color="auto"/>
              <w:bottom w:val="single" w:sz="4" w:space="0" w:color="auto"/>
              <w:right w:val="single" w:sz="4" w:space="0" w:color="auto"/>
            </w:tcBorders>
          </w:tcPr>
          <w:p w:rsidR="0090463C" w:rsidRPr="00E72C36" w:rsidRDefault="0090463C" w:rsidP="000B0F07">
            <w:pPr>
              <w:pStyle w:val="NormalWeb"/>
              <w:spacing w:before="120" w:after="120"/>
              <w:rPr>
                <w:rFonts w:ascii="Arial" w:hAnsi="Arial" w:cs="Arial"/>
                <w:b/>
                <w:color w:val="auto"/>
                <w:sz w:val="20"/>
                <w:szCs w:val="20"/>
              </w:rPr>
            </w:pPr>
            <w:r w:rsidRPr="00E72C36">
              <w:rPr>
                <w:rFonts w:ascii="Arial" w:hAnsi="Arial" w:cs="Arial"/>
                <w:b/>
                <w:color w:val="auto"/>
                <w:sz w:val="20"/>
                <w:szCs w:val="20"/>
              </w:rPr>
              <w:t>Potential Risk</w:t>
            </w:r>
          </w:p>
        </w:tc>
        <w:tc>
          <w:tcPr>
            <w:tcW w:w="5982" w:type="dxa"/>
            <w:tcBorders>
              <w:top w:val="single" w:sz="4" w:space="0" w:color="auto"/>
              <w:left w:val="single" w:sz="4" w:space="0" w:color="auto"/>
              <w:bottom w:val="single" w:sz="4" w:space="0" w:color="auto"/>
              <w:right w:val="single" w:sz="4" w:space="0" w:color="auto"/>
            </w:tcBorders>
          </w:tcPr>
          <w:p w:rsidR="0090463C" w:rsidRPr="00E72C36" w:rsidRDefault="00110120" w:rsidP="000B0F07">
            <w:pPr>
              <w:pStyle w:val="NormalWeb"/>
              <w:spacing w:before="120" w:after="120"/>
              <w:rPr>
                <w:rFonts w:ascii="Arial" w:hAnsi="Arial" w:cs="Arial"/>
                <w:b/>
                <w:color w:val="auto"/>
                <w:sz w:val="20"/>
                <w:szCs w:val="20"/>
              </w:rPr>
            </w:pPr>
            <w:r w:rsidRPr="00D233AB">
              <w:rPr>
                <w:rFonts w:ascii="Arial" w:hAnsi="Arial" w:cs="Arial"/>
                <w:b/>
                <w:color w:val="auto"/>
                <w:sz w:val="20"/>
                <w:szCs w:val="20"/>
              </w:rPr>
              <w:t>Mitigating</w:t>
            </w:r>
            <w:r w:rsidR="00D233AB" w:rsidRPr="00D233AB">
              <w:rPr>
                <w:rFonts w:ascii="Arial" w:hAnsi="Arial" w:cs="Arial"/>
                <w:b/>
                <w:color w:val="auto"/>
                <w:sz w:val="20"/>
                <w:szCs w:val="20"/>
              </w:rPr>
              <w:t xml:space="preserve"> factors</w:t>
            </w:r>
          </w:p>
        </w:tc>
      </w:tr>
      <w:tr w:rsidR="0090463C" w:rsidRPr="00257F0D" w:rsidTr="00E13880">
        <w:tc>
          <w:tcPr>
            <w:tcW w:w="4537" w:type="dxa"/>
            <w:tcBorders>
              <w:top w:val="single" w:sz="4" w:space="0" w:color="auto"/>
              <w:left w:val="single" w:sz="4" w:space="0" w:color="auto"/>
              <w:bottom w:val="single" w:sz="4" w:space="0" w:color="auto"/>
              <w:right w:val="single" w:sz="4" w:space="0" w:color="auto"/>
            </w:tcBorders>
          </w:tcPr>
          <w:p w:rsidR="0090463C" w:rsidRPr="00E72C36" w:rsidRDefault="0090463C" w:rsidP="00CF3795">
            <w:pPr>
              <w:pStyle w:val="ListParagraph"/>
              <w:spacing w:before="120" w:after="120" w:line="240" w:lineRule="auto"/>
              <w:ind w:left="0"/>
              <w:rPr>
                <w:rFonts w:cs="Arial"/>
                <w:sz w:val="20"/>
              </w:rPr>
            </w:pPr>
            <w:r w:rsidRPr="00E72C36">
              <w:rPr>
                <w:rFonts w:cs="Arial"/>
                <w:sz w:val="20"/>
              </w:rPr>
              <w:t xml:space="preserve">Nurse practitioners (NPs) </w:t>
            </w:r>
            <w:r w:rsidR="00C427EA" w:rsidRPr="00E72C36">
              <w:rPr>
                <w:rFonts w:cs="Arial"/>
                <w:sz w:val="20"/>
              </w:rPr>
              <w:t xml:space="preserve">and </w:t>
            </w:r>
            <w:r w:rsidR="00E13880">
              <w:rPr>
                <w:rFonts w:cs="Arial"/>
                <w:sz w:val="20"/>
              </w:rPr>
              <w:t>prescribing optometrist</w:t>
            </w:r>
            <w:r w:rsidR="00C427EA" w:rsidRPr="00E72C36">
              <w:rPr>
                <w:rFonts w:cs="Arial"/>
                <w:sz w:val="20"/>
              </w:rPr>
              <w:t xml:space="preserve">s </w:t>
            </w:r>
            <w:r w:rsidRPr="00E72C36">
              <w:rPr>
                <w:rFonts w:cs="Arial"/>
                <w:sz w:val="20"/>
              </w:rPr>
              <w:t>do not have sufficient diagnostic, prescribing or pharmacology knowledge to safely issue standing orders.</w:t>
            </w:r>
          </w:p>
        </w:tc>
        <w:tc>
          <w:tcPr>
            <w:tcW w:w="5982" w:type="dxa"/>
            <w:tcBorders>
              <w:top w:val="single" w:sz="4" w:space="0" w:color="auto"/>
              <w:left w:val="single" w:sz="4" w:space="0" w:color="auto"/>
              <w:bottom w:val="single" w:sz="4" w:space="0" w:color="auto"/>
              <w:right w:val="single" w:sz="4" w:space="0" w:color="auto"/>
            </w:tcBorders>
          </w:tcPr>
          <w:p w:rsidR="00110120" w:rsidRDefault="00110120" w:rsidP="00CF3795">
            <w:pPr>
              <w:pStyle w:val="NormalWeb"/>
              <w:numPr>
                <w:ilvl w:val="0"/>
                <w:numId w:val="6"/>
              </w:numPr>
              <w:spacing w:before="100" w:beforeAutospacing="1" w:after="0"/>
              <w:ind w:left="357" w:hanging="357"/>
              <w:rPr>
                <w:rFonts w:ascii="Arial" w:hAnsi="Arial" w:cs="Arial"/>
                <w:color w:val="auto"/>
                <w:sz w:val="20"/>
                <w:szCs w:val="20"/>
              </w:rPr>
            </w:pPr>
            <w:r>
              <w:rPr>
                <w:rFonts w:ascii="Arial" w:hAnsi="Arial" w:cs="Arial"/>
                <w:color w:val="auto"/>
                <w:sz w:val="20"/>
                <w:szCs w:val="20"/>
              </w:rPr>
              <w:t xml:space="preserve">NPs have been prescribing since 2004. </w:t>
            </w:r>
            <w:r w:rsidR="00E13880">
              <w:rPr>
                <w:rFonts w:ascii="Arial" w:hAnsi="Arial" w:cs="Arial"/>
                <w:color w:val="auto"/>
                <w:sz w:val="20"/>
                <w:szCs w:val="20"/>
              </w:rPr>
              <w:t>Prescribing optometrist</w:t>
            </w:r>
            <w:r>
              <w:rPr>
                <w:rFonts w:ascii="Arial" w:hAnsi="Arial" w:cs="Arial"/>
                <w:color w:val="auto"/>
                <w:sz w:val="20"/>
                <w:szCs w:val="20"/>
              </w:rPr>
              <w:t>s have been prescribing since 2005.</w:t>
            </w:r>
          </w:p>
          <w:p w:rsidR="00257F0D" w:rsidRPr="00E72C36" w:rsidRDefault="00257F0D" w:rsidP="00D871F0">
            <w:pPr>
              <w:pStyle w:val="NormalWeb"/>
              <w:numPr>
                <w:ilvl w:val="0"/>
                <w:numId w:val="6"/>
              </w:numPr>
              <w:spacing w:before="100" w:beforeAutospacing="1" w:after="0"/>
              <w:ind w:left="357" w:hanging="357"/>
              <w:rPr>
                <w:rFonts w:ascii="Arial" w:hAnsi="Arial" w:cs="Arial"/>
                <w:color w:val="auto"/>
                <w:sz w:val="20"/>
                <w:szCs w:val="20"/>
              </w:rPr>
            </w:pPr>
            <w:r w:rsidRPr="00E72C36">
              <w:rPr>
                <w:rFonts w:ascii="Arial" w:hAnsi="Arial" w:cs="Arial"/>
                <w:color w:val="auto"/>
                <w:sz w:val="20"/>
                <w:szCs w:val="20"/>
              </w:rPr>
              <w:t xml:space="preserve">The Nursing Council and the </w:t>
            </w:r>
            <w:r w:rsidR="00AF1E44">
              <w:rPr>
                <w:rFonts w:ascii="Arial" w:hAnsi="Arial" w:cs="Arial"/>
                <w:color w:val="auto"/>
                <w:sz w:val="20"/>
                <w:szCs w:val="20"/>
              </w:rPr>
              <w:t>Optometrists and Dispensing Opticians Board</w:t>
            </w:r>
            <w:r w:rsidRPr="00E72C36">
              <w:rPr>
                <w:rFonts w:ascii="Arial" w:hAnsi="Arial" w:cs="Arial"/>
                <w:color w:val="auto"/>
                <w:sz w:val="20"/>
                <w:szCs w:val="20"/>
              </w:rPr>
              <w:t xml:space="preserve"> are the responsible authorities </w:t>
            </w:r>
            <w:r w:rsidR="006B4407" w:rsidRPr="00E72C36">
              <w:rPr>
                <w:rFonts w:ascii="Arial" w:hAnsi="Arial" w:cs="Arial"/>
                <w:color w:val="auto"/>
                <w:sz w:val="20"/>
                <w:szCs w:val="20"/>
              </w:rPr>
              <w:t xml:space="preserve">under the Health Practitioners Competence Assurance Act 2003 and </w:t>
            </w:r>
            <w:r w:rsidR="00D233AB">
              <w:rPr>
                <w:rFonts w:ascii="Arial" w:hAnsi="Arial" w:cs="Arial"/>
                <w:color w:val="auto"/>
                <w:sz w:val="20"/>
                <w:szCs w:val="20"/>
              </w:rPr>
              <w:t>assure safe</w:t>
            </w:r>
            <w:r w:rsidRPr="00E72C36">
              <w:rPr>
                <w:rFonts w:ascii="Arial" w:hAnsi="Arial" w:cs="Arial"/>
                <w:color w:val="auto"/>
                <w:sz w:val="20"/>
                <w:szCs w:val="20"/>
              </w:rPr>
              <w:t xml:space="preserve"> practice</w:t>
            </w:r>
            <w:r w:rsidR="00D233AB">
              <w:rPr>
                <w:rFonts w:ascii="Arial" w:hAnsi="Arial" w:cs="Arial"/>
                <w:color w:val="auto"/>
                <w:sz w:val="20"/>
                <w:szCs w:val="20"/>
              </w:rPr>
              <w:t xml:space="preserve">, </w:t>
            </w:r>
            <w:r w:rsidR="003801E8">
              <w:rPr>
                <w:rFonts w:ascii="Arial" w:hAnsi="Arial" w:cs="Arial"/>
                <w:color w:val="auto"/>
                <w:sz w:val="20"/>
                <w:szCs w:val="20"/>
              </w:rPr>
              <w:t xml:space="preserve">including </w:t>
            </w:r>
            <w:r w:rsidR="003801E8" w:rsidRPr="00E72C36">
              <w:rPr>
                <w:rFonts w:ascii="Arial" w:hAnsi="Arial" w:cs="Arial"/>
                <w:color w:val="auto"/>
                <w:sz w:val="20"/>
                <w:szCs w:val="20"/>
              </w:rPr>
              <w:t>prescribing</w:t>
            </w:r>
            <w:r w:rsidR="00D233AB">
              <w:rPr>
                <w:rFonts w:ascii="Arial" w:hAnsi="Arial" w:cs="Arial"/>
                <w:color w:val="auto"/>
                <w:sz w:val="20"/>
                <w:szCs w:val="20"/>
              </w:rPr>
              <w:t>,</w:t>
            </w:r>
            <w:r w:rsidR="00D233AB" w:rsidRPr="00E72C36">
              <w:rPr>
                <w:rFonts w:ascii="Arial" w:hAnsi="Arial" w:cs="Arial"/>
                <w:color w:val="auto"/>
                <w:sz w:val="20"/>
                <w:szCs w:val="20"/>
              </w:rPr>
              <w:t xml:space="preserve"> </w:t>
            </w:r>
            <w:r w:rsidRPr="00E72C36">
              <w:rPr>
                <w:rFonts w:ascii="Arial" w:hAnsi="Arial" w:cs="Arial"/>
                <w:color w:val="auto"/>
                <w:sz w:val="20"/>
                <w:szCs w:val="20"/>
              </w:rPr>
              <w:t xml:space="preserve">for NPs and </w:t>
            </w:r>
            <w:r w:rsidR="00E13880">
              <w:rPr>
                <w:rFonts w:ascii="Arial" w:hAnsi="Arial" w:cs="Arial"/>
                <w:color w:val="auto"/>
                <w:sz w:val="20"/>
                <w:szCs w:val="20"/>
              </w:rPr>
              <w:t>prescribing optometrist</w:t>
            </w:r>
            <w:r w:rsidRPr="00E72C36">
              <w:rPr>
                <w:rFonts w:ascii="Arial" w:hAnsi="Arial" w:cs="Arial"/>
                <w:color w:val="auto"/>
                <w:sz w:val="20"/>
                <w:szCs w:val="20"/>
              </w:rPr>
              <w:t xml:space="preserve">s. </w:t>
            </w:r>
          </w:p>
          <w:p w:rsidR="006B4407" w:rsidRPr="00E72C36" w:rsidRDefault="0090463C" w:rsidP="00D871F0">
            <w:pPr>
              <w:pStyle w:val="NormalWeb"/>
              <w:numPr>
                <w:ilvl w:val="0"/>
                <w:numId w:val="6"/>
              </w:numPr>
              <w:spacing w:before="100" w:beforeAutospacing="1" w:after="0"/>
              <w:ind w:left="357" w:hanging="357"/>
              <w:rPr>
                <w:rFonts w:ascii="Arial" w:hAnsi="Arial" w:cs="Arial"/>
                <w:color w:val="auto"/>
                <w:sz w:val="20"/>
                <w:szCs w:val="20"/>
              </w:rPr>
            </w:pPr>
            <w:r w:rsidRPr="00E72C36">
              <w:rPr>
                <w:rFonts w:ascii="Arial" w:hAnsi="Arial" w:cs="Arial"/>
                <w:color w:val="auto"/>
                <w:sz w:val="20"/>
                <w:szCs w:val="20"/>
              </w:rPr>
              <w:t xml:space="preserve">NPs </w:t>
            </w:r>
            <w:r w:rsidR="00C427EA" w:rsidRPr="00E72C36">
              <w:rPr>
                <w:rFonts w:ascii="Arial" w:hAnsi="Arial" w:cs="Arial"/>
                <w:color w:val="auto"/>
                <w:sz w:val="20"/>
                <w:szCs w:val="20"/>
              </w:rPr>
              <w:t xml:space="preserve">and </w:t>
            </w:r>
            <w:r w:rsidR="00E13880">
              <w:rPr>
                <w:rFonts w:ascii="Arial" w:hAnsi="Arial" w:cs="Arial"/>
                <w:color w:val="auto"/>
                <w:sz w:val="20"/>
                <w:szCs w:val="20"/>
              </w:rPr>
              <w:t>prescribing optometrist</w:t>
            </w:r>
            <w:r w:rsidR="002A57E1" w:rsidRPr="00E72C36">
              <w:rPr>
                <w:rFonts w:ascii="Arial" w:hAnsi="Arial" w:cs="Arial"/>
                <w:color w:val="auto"/>
                <w:sz w:val="20"/>
                <w:szCs w:val="20"/>
              </w:rPr>
              <w:t xml:space="preserve">s </w:t>
            </w:r>
            <w:r w:rsidRPr="00E72C36">
              <w:rPr>
                <w:rFonts w:ascii="Arial" w:hAnsi="Arial" w:cs="Arial"/>
                <w:color w:val="auto"/>
                <w:sz w:val="20"/>
                <w:szCs w:val="20"/>
              </w:rPr>
              <w:t xml:space="preserve">work under the Health Practitioners Competence Assurance Act 2003. They are </w:t>
            </w:r>
            <w:r w:rsidR="00D233AB" w:rsidRPr="00E72C36">
              <w:rPr>
                <w:rFonts w:ascii="Arial" w:hAnsi="Arial" w:cs="Arial"/>
                <w:color w:val="auto"/>
                <w:sz w:val="20"/>
                <w:szCs w:val="20"/>
              </w:rPr>
              <w:t xml:space="preserve">professionally responsible to undertake activities </w:t>
            </w:r>
            <w:r w:rsidR="003801E8">
              <w:rPr>
                <w:rFonts w:ascii="Arial" w:hAnsi="Arial" w:cs="Arial"/>
                <w:color w:val="auto"/>
                <w:sz w:val="20"/>
                <w:szCs w:val="20"/>
              </w:rPr>
              <w:t>and bound</w:t>
            </w:r>
            <w:r w:rsidRPr="00E72C36">
              <w:rPr>
                <w:rFonts w:ascii="Arial" w:hAnsi="Arial" w:cs="Arial"/>
                <w:color w:val="auto"/>
                <w:sz w:val="20"/>
                <w:szCs w:val="20"/>
              </w:rPr>
              <w:t xml:space="preserve"> by scope</w:t>
            </w:r>
            <w:r w:rsidR="00D233AB">
              <w:rPr>
                <w:rFonts w:ascii="Arial" w:hAnsi="Arial" w:cs="Arial"/>
                <w:color w:val="auto"/>
                <w:sz w:val="20"/>
                <w:szCs w:val="20"/>
              </w:rPr>
              <w:t>s</w:t>
            </w:r>
            <w:r w:rsidRPr="00E72C36">
              <w:rPr>
                <w:rFonts w:ascii="Arial" w:hAnsi="Arial" w:cs="Arial"/>
                <w:color w:val="auto"/>
                <w:sz w:val="20"/>
                <w:szCs w:val="20"/>
              </w:rPr>
              <w:t xml:space="preserve"> of </w:t>
            </w:r>
            <w:r w:rsidR="003801E8" w:rsidRPr="00E72C36">
              <w:rPr>
                <w:rFonts w:ascii="Arial" w:hAnsi="Arial" w:cs="Arial"/>
                <w:color w:val="auto"/>
                <w:sz w:val="20"/>
                <w:szCs w:val="20"/>
              </w:rPr>
              <w:t>practice.</w:t>
            </w:r>
            <w:r w:rsidR="00D233AB">
              <w:rPr>
                <w:rFonts w:ascii="Arial" w:hAnsi="Arial" w:cs="Arial"/>
                <w:color w:val="auto"/>
                <w:sz w:val="20"/>
                <w:szCs w:val="20"/>
              </w:rPr>
              <w:t xml:space="preserve">  They must also be competent to practice</w:t>
            </w:r>
            <w:r w:rsidR="003801E8">
              <w:rPr>
                <w:rFonts w:ascii="Arial" w:hAnsi="Arial" w:cs="Arial"/>
                <w:color w:val="auto"/>
                <w:sz w:val="20"/>
                <w:szCs w:val="20"/>
              </w:rPr>
              <w:t xml:space="preserve"> with an annual declaration they are keeping up-to-date.</w:t>
            </w:r>
          </w:p>
          <w:p w:rsidR="0090463C" w:rsidRPr="00E72C36" w:rsidRDefault="0090463C" w:rsidP="00D871F0">
            <w:pPr>
              <w:pStyle w:val="NormalWeb"/>
              <w:numPr>
                <w:ilvl w:val="0"/>
                <w:numId w:val="6"/>
              </w:numPr>
              <w:spacing w:before="100" w:beforeAutospacing="1" w:after="0"/>
              <w:ind w:left="357" w:hanging="357"/>
              <w:rPr>
                <w:rFonts w:ascii="Arial" w:hAnsi="Arial" w:cs="Arial"/>
                <w:color w:val="auto"/>
                <w:sz w:val="20"/>
                <w:szCs w:val="20"/>
              </w:rPr>
            </w:pPr>
            <w:r w:rsidRPr="00E72C36">
              <w:rPr>
                <w:rFonts w:ascii="Arial" w:hAnsi="Arial" w:cs="Arial"/>
                <w:color w:val="auto"/>
                <w:sz w:val="20"/>
                <w:szCs w:val="20"/>
              </w:rPr>
              <w:t xml:space="preserve">NPs have a minimum of </w:t>
            </w:r>
            <w:r w:rsidR="0063143C" w:rsidRPr="00E72C36">
              <w:rPr>
                <w:rFonts w:ascii="Arial" w:hAnsi="Arial" w:cs="Arial"/>
                <w:color w:val="auto"/>
                <w:sz w:val="20"/>
                <w:szCs w:val="20"/>
              </w:rPr>
              <w:t>4</w:t>
            </w:r>
            <w:r w:rsidRPr="00E72C36">
              <w:rPr>
                <w:rFonts w:ascii="Arial" w:hAnsi="Arial" w:cs="Arial"/>
                <w:color w:val="auto"/>
                <w:sz w:val="20"/>
                <w:szCs w:val="20"/>
              </w:rPr>
              <w:t xml:space="preserve"> years nursing experience in their area of practice and a clinical master’s </w:t>
            </w:r>
            <w:r w:rsidR="00257F0D" w:rsidRPr="00E72C36">
              <w:rPr>
                <w:rFonts w:ascii="Arial" w:hAnsi="Arial" w:cs="Arial"/>
                <w:color w:val="auto"/>
                <w:sz w:val="20"/>
                <w:szCs w:val="20"/>
              </w:rPr>
              <w:t>degree that</w:t>
            </w:r>
            <w:r w:rsidR="00491D3B" w:rsidRPr="00E72C36">
              <w:rPr>
                <w:rFonts w:ascii="Arial" w:hAnsi="Arial" w:cs="Arial"/>
                <w:color w:val="auto"/>
                <w:sz w:val="20"/>
                <w:szCs w:val="20"/>
              </w:rPr>
              <w:t xml:space="preserve"> includes education in advanced assessment, pharmacology and a prescribing practicum</w:t>
            </w:r>
            <w:r w:rsidRPr="00E72C36">
              <w:rPr>
                <w:rFonts w:ascii="Arial" w:hAnsi="Arial" w:cs="Arial"/>
                <w:color w:val="auto"/>
                <w:sz w:val="20"/>
                <w:szCs w:val="20"/>
              </w:rPr>
              <w:t>.</w:t>
            </w:r>
          </w:p>
          <w:p w:rsidR="00D871F0" w:rsidRDefault="00110120" w:rsidP="00D871F0">
            <w:pPr>
              <w:pStyle w:val="NormalWeb"/>
              <w:numPr>
                <w:ilvl w:val="0"/>
                <w:numId w:val="6"/>
              </w:numPr>
              <w:spacing w:before="100" w:beforeAutospacing="1" w:after="0"/>
              <w:ind w:left="357" w:hanging="357"/>
              <w:rPr>
                <w:rFonts w:ascii="Arial" w:hAnsi="Arial" w:cs="Arial"/>
                <w:color w:val="auto"/>
                <w:sz w:val="20"/>
                <w:szCs w:val="20"/>
              </w:rPr>
            </w:pPr>
            <w:r>
              <w:rPr>
                <w:rFonts w:ascii="Arial" w:hAnsi="Arial" w:cs="Arial"/>
                <w:color w:val="auto"/>
                <w:sz w:val="20"/>
                <w:szCs w:val="20"/>
              </w:rPr>
              <w:t>Prescribing</w:t>
            </w:r>
            <w:r w:rsidR="00E13880">
              <w:rPr>
                <w:rFonts w:ascii="Arial" w:hAnsi="Arial" w:cs="Arial"/>
                <w:color w:val="auto"/>
                <w:sz w:val="20"/>
                <w:szCs w:val="20"/>
              </w:rPr>
              <w:t xml:space="preserve"> optometrist</w:t>
            </w:r>
            <w:r>
              <w:rPr>
                <w:rFonts w:ascii="Arial" w:hAnsi="Arial" w:cs="Arial"/>
                <w:color w:val="auto"/>
                <w:sz w:val="20"/>
                <w:szCs w:val="20"/>
              </w:rPr>
              <w:t>s</w:t>
            </w:r>
            <w:r w:rsidR="002A57E1" w:rsidRPr="00E72C36">
              <w:rPr>
                <w:rFonts w:ascii="Arial" w:hAnsi="Arial" w:cs="Arial"/>
                <w:color w:val="auto"/>
                <w:sz w:val="20"/>
                <w:szCs w:val="20"/>
              </w:rPr>
              <w:t xml:space="preserve"> pass a university programme in ocular therapeutics approved by the </w:t>
            </w:r>
            <w:r w:rsidR="00E13880">
              <w:rPr>
                <w:rFonts w:ascii="Arial" w:hAnsi="Arial" w:cs="Arial"/>
                <w:color w:val="auto"/>
                <w:sz w:val="20"/>
                <w:szCs w:val="20"/>
              </w:rPr>
              <w:t>Prescribing optometrist</w:t>
            </w:r>
            <w:r w:rsidR="002A57E1" w:rsidRPr="00E72C36">
              <w:rPr>
                <w:rFonts w:ascii="Arial" w:hAnsi="Arial" w:cs="Arial"/>
                <w:color w:val="auto"/>
                <w:sz w:val="20"/>
                <w:szCs w:val="20"/>
              </w:rPr>
              <w:t xml:space="preserve"> and Dispensing Optician Board.</w:t>
            </w:r>
          </w:p>
          <w:p w:rsidR="00C427EA" w:rsidRPr="00D871F0" w:rsidRDefault="003801E8" w:rsidP="00D871F0">
            <w:pPr>
              <w:pStyle w:val="NormalWeb"/>
              <w:numPr>
                <w:ilvl w:val="0"/>
                <w:numId w:val="6"/>
              </w:numPr>
              <w:spacing w:before="100" w:beforeAutospacing="1" w:after="0"/>
              <w:ind w:left="357" w:hanging="357"/>
              <w:rPr>
                <w:rFonts w:ascii="Arial" w:hAnsi="Arial" w:cs="Arial"/>
                <w:color w:val="auto"/>
                <w:sz w:val="20"/>
                <w:szCs w:val="20"/>
              </w:rPr>
            </w:pPr>
            <w:r w:rsidRPr="00D871F0">
              <w:rPr>
                <w:rFonts w:ascii="Arial" w:hAnsi="Arial" w:cs="Arial"/>
                <w:color w:val="auto"/>
                <w:sz w:val="20"/>
                <w:szCs w:val="20"/>
              </w:rPr>
              <w:t>R</w:t>
            </w:r>
            <w:r w:rsidR="00110120" w:rsidRPr="00D871F0">
              <w:rPr>
                <w:rFonts w:ascii="Arial" w:hAnsi="Arial" w:cs="Arial"/>
                <w:color w:val="auto"/>
                <w:sz w:val="20"/>
                <w:szCs w:val="20"/>
              </w:rPr>
              <w:t xml:space="preserve">esponsible Authorities </w:t>
            </w:r>
            <w:r w:rsidRPr="00D871F0">
              <w:rPr>
                <w:rFonts w:ascii="Arial" w:hAnsi="Arial" w:cs="Arial"/>
                <w:color w:val="auto"/>
                <w:sz w:val="20"/>
                <w:szCs w:val="20"/>
              </w:rPr>
              <w:t xml:space="preserve">report that </w:t>
            </w:r>
            <w:r w:rsidR="00E72C36" w:rsidRPr="00D871F0">
              <w:rPr>
                <w:rFonts w:ascii="Arial" w:hAnsi="Arial" w:cs="Arial"/>
                <w:color w:val="auto"/>
                <w:sz w:val="20"/>
                <w:szCs w:val="20"/>
              </w:rPr>
              <w:t xml:space="preserve">NPs and </w:t>
            </w:r>
            <w:r w:rsidR="00E13880">
              <w:rPr>
                <w:rFonts w:ascii="Arial" w:hAnsi="Arial" w:cs="Arial"/>
                <w:color w:val="auto"/>
                <w:sz w:val="20"/>
                <w:szCs w:val="20"/>
              </w:rPr>
              <w:t>prescribing optometrist</w:t>
            </w:r>
            <w:r w:rsidR="00E72C36" w:rsidRPr="00D871F0">
              <w:rPr>
                <w:rFonts w:ascii="Arial" w:hAnsi="Arial" w:cs="Arial"/>
                <w:color w:val="auto"/>
                <w:sz w:val="20"/>
                <w:szCs w:val="20"/>
              </w:rPr>
              <w:t xml:space="preserve">s </w:t>
            </w:r>
            <w:r w:rsidRPr="00D871F0">
              <w:rPr>
                <w:rFonts w:ascii="Arial" w:hAnsi="Arial" w:cs="Arial"/>
                <w:color w:val="auto"/>
                <w:sz w:val="20"/>
                <w:szCs w:val="20"/>
              </w:rPr>
              <w:t>are</w:t>
            </w:r>
            <w:r w:rsidR="00E72C36" w:rsidRPr="00D871F0">
              <w:rPr>
                <w:rFonts w:ascii="Arial" w:hAnsi="Arial" w:cs="Arial"/>
                <w:color w:val="auto"/>
                <w:sz w:val="20"/>
                <w:szCs w:val="20"/>
              </w:rPr>
              <w:t xml:space="preserve"> safe prescrib</w:t>
            </w:r>
            <w:r w:rsidRPr="00D871F0">
              <w:rPr>
                <w:rFonts w:ascii="Arial" w:hAnsi="Arial" w:cs="Arial"/>
                <w:color w:val="auto"/>
                <w:sz w:val="20"/>
                <w:szCs w:val="20"/>
              </w:rPr>
              <w:t>ers</w:t>
            </w:r>
            <w:r w:rsidR="00E72C36" w:rsidRPr="00D871F0">
              <w:rPr>
                <w:rFonts w:ascii="Arial" w:hAnsi="Arial" w:cs="Arial"/>
                <w:color w:val="auto"/>
                <w:sz w:val="20"/>
                <w:szCs w:val="20"/>
              </w:rPr>
              <w:t xml:space="preserve"> with no </w:t>
            </w:r>
            <w:r w:rsidR="00E72C36" w:rsidRPr="00D871F0">
              <w:rPr>
                <w:rFonts w:ascii="Arial" w:hAnsi="Arial" w:cs="Arial"/>
                <w:bCs/>
                <w:color w:val="auto"/>
                <w:sz w:val="20"/>
                <w:szCs w:val="22"/>
              </w:rPr>
              <w:t>adverse prescribing events requiring disciplinary action</w:t>
            </w:r>
            <w:r w:rsidR="00110120" w:rsidRPr="00D871F0">
              <w:rPr>
                <w:rFonts w:ascii="Arial" w:hAnsi="Arial" w:cs="Arial"/>
                <w:bCs/>
                <w:color w:val="auto"/>
                <w:sz w:val="20"/>
                <w:szCs w:val="22"/>
              </w:rPr>
              <w:t xml:space="preserve"> </w:t>
            </w:r>
            <w:r w:rsidR="00D871F0">
              <w:rPr>
                <w:rFonts w:ascii="Arial" w:hAnsi="Arial" w:cs="Arial"/>
                <w:bCs/>
                <w:color w:val="auto"/>
                <w:sz w:val="20"/>
                <w:szCs w:val="22"/>
              </w:rPr>
              <w:t>or competence reviews.</w:t>
            </w:r>
          </w:p>
        </w:tc>
      </w:tr>
      <w:tr w:rsidR="0090463C" w:rsidRPr="00257F0D" w:rsidTr="00E13880">
        <w:tc>
          <w:tcPr>
            <w:tcW w:w="4537" w:type="dxa"/>
            <w:tcBorders>
              <w:top w:val="single" w:sz="4" w:space="0" w:color="auto"/>
              <w:left w:val="single" w:sz="4" w:space="0" w:color="auto"/>
              <w:bottom w:val="single" w:sz="4" w:space="0" w:color="auto"/>
              <w:right w:val="single" w:sz="4" w:space="0" w:color="auto"/>
            </w:tcBorders>
          </w:tcPr>
          <w:p w:rsidR="0090463C" w:rsidRPr="00E72C36" w:rsidRDefault="00D871F0" w:rsidP="00E17436">
            <w:pPr>
              <w:pStyle w:val="NormalWeb"/>
              <w:spacing w:before="120" w:after="0"/>
              <w:rPr>
                <w:rFonts w:ascii="Arial" w:hAnsi="Arial" w:cs="Arial"/>
                <w:color w:val="auto"/>
                <w:sz w:val="20"/>
                <w:szCs w:val="20"/>
              </w:rPr>
            </w:pPr>
            <w:r>
              <w:rPr>
                <w:rFonts w:ascii="Arial" w:hAnsi="Arial" w:cs="Arial"/>
                <w:color w:val="auto"/>
                <w:sz w:val="20"/>
                <w:szCs w:val="20"/>
              </w:rPr>
              <w:t>N</w:t>
            </w:r>
            <w:r w:rsidR="0090463C" w:rsidRPr="00E72C36">
              <w:rPr>
                <w:rFonts w:ascii="Arial" w:hAnsi="Arial" w:cs="Arial"/>
                <w:color w:val="auto"/>
                <w:sz w:val="20"/>
                <w:szCs w:val="20"/>
              </w:rPr>
              <w:t xml:space="preserve">Ps </w:t>
            </w:r>
            <w:r w:rsidR="00C427EA" w:rsidRPr="00E72C36">
              <w:rPr>
                <w:rFonts w:ascii="Arial" w:hAnsi="Arial" w:cs="Arial"/>
                <w:color w:val="auto"/>
                <w:sz w:val="20"/>
                <w:szCs w:val="20"/>
              </w:rPr>
              <w:t xml:space="preserve">and </w:t>
            </w:r>
            <w:r w:rsidR="00E13880">
              <w:rPr>
                <w:rFonts w:ascii="Arial" w:hAnsi="Arial" w:cs="Arial"/>
                <w:color w:val="auto"/>
                <w:sz w:val="20"/>
                <w:szCs w:val="20"/>
              </w:rPr>
              <w:t>prescribing optometrist</w:t>
            </w:r>
            <w:r w:rsidR="002A57E1" w:rsidRPr="00E72C36">
              <w:rPr>
                <w:rFonts w:ascii="Arial" w:hAnsi="Arial" w:cs="Arial"/>
                <w:color w:val="auto"/>
                <w:sz w:val="20"/>
                <w:szCs w:val="20"/>
              </w:rPr>
              <w:t xml:space="preserve">s </w:t>
            </w:r>
            <w:r w:rsidR="00E17436" w:rsidRPr="00E72C36">
              <w:rPr>
                <w:rFonts w:ascii="Arial" w:hAnsi="Arial" w:cs="Arial"/>
                <w:color w:val="auto"/>
                <w:sz w:val="20"/>
                <w:szCs w:val="20"/>
              </w:rPr>
              <w:t>issuing</w:t>
            </w:r>
            <w:r w:rsidR="0090463C" w:rsidRPr="00E72C36">
              <w:rPr>
                <w:rFonts w:ascii="Arial" w:hAnsi="Arial" w:cs="Arial"/>
                <w:color w:val="auto"/>
                <w:sz w:val="20"/>
                <w:szCs w:val="20"/>
              </w:rPr>
              <w:t xml:space="preserve"> standing orders for administration by registered nurses (RNs) </w:t>
            </w:r>
            <w:r w:rsidR="00C427EA" w:rsidRPr="00E72C36">
              <w:rPr>
                <w:rFonts w:ascii="Arial" w:hAnsi="Arial" w:cs="Arial"/>
                <w:color w:val="auto"/>
                <w:sz w:val="20"/>
                <w:szCs w:val="20"/>
              </w:rPr>
              <w:t xml:space="preserve">and non-prescribing </w:t>
            </w:r>
            <w:r w:rsidR="00E13880">
              <w:rPr>
                <w:rFonts w:ascii="Arial" w:hAnsi="Arial" w:cs="Arial"/>
                <w:color w:val="auto"/>
                <w:sz w:val="20"/>
                <w:szCs w:val="20"/>
              </w:rPr>
              <w:t>prescribing optometrist</w:t>
            </w:r>
            <w:r w:rsidR="00C427EA" w:rsidRPr="00E72C36">
              <w:rPr>
                <w:rFonts w:ascii="Arial" w:hAnsi="Arial" w:cs="Arial"/>
                <w:color w:val="auto"/>
                <w:sz w:val="20"/>
                <w:szCs w:val="20"/>
              </w:rPr>
              <w:t>s</w:t>
            </w:r>
            <w:r w:rsidR="00257F0D" w:rsidRPr="00E72C36">
              <w:rPr>
                <w:rFonts w:ascii="Arial" w:hAnsi="Arial" w:cs="Arial"/>
                <w:color w:val="auto"/>
                <w:sz w:val="20"/>
                <w:szCs w:val="20"/>
              </w:rPr>
              <w:t xml:space="preserve"> or unregulated health care staff</w:t>
            </w:r>
            <w:r w:rsidR="00E17436" w:rsidRPr="00E72C36">
              <w:rPr>
                <w:rFonts w:ascii="Arial" w:hAnsi="Arial" w:cs="Arial"/>
                <w:color w:val="auto"/>
                <w:sz w:val="20"/>
                <w:szCs w:val="20"/>
              </w:rPr>
              <w:t xml:space="preserve"> will pose a greater risk than the current authorised prescribers.</w:t>
            </w:r>
          </w:p>
        </w:tc>
        <w:tc>
          <w:tcPr>
            <w:tcW w:w="5982" w:type="dxa"/>
            <w:tcBorders>
              <w:top w:val="single" w:sz="4" w:space="0" w:color="auto"/>
              <w:left w:val="single" w:sz="4" w:space="0" w:color="auto"/>
              <w:bottom w:val="single" w:sz="4" w:space="0" w:color="auto"/>
              <w:right w:val="single" w:sz="4" w:space="0" w:color="auto"/>
            </w:tcBorders>
          </w:tcPr>
          <w:p w:rsidR="006B4407" w:rsidRPr="00E72C36" w:rsidRDefault="003801E8" w:rsidP="00D871F0">
            <w:pPr>
              <w:pStyle w:val="NormalWeb"/>
              <w:numPr>
                <w:ilvl w:val="0"/>
                <w:numId w:val="7"/>
              </w:numPr>
              <w:spacing w:before="100" w:beforeAutospacing="1" w:after="0"/>
              <w:ind w:left="357" w:hanging="357"/>
              <w:rPr>
                <w:rFonts w:ascii="Arial" w:hAnsi="Arial" w:cs="Arial"/>
                <w:color w:val="auto"/>
                <w:sz w:val="20"/>
                <w:szCs w:val="20"/>
              </w:rPr>
            </w:pPr>
            <w:r>
              <w:rPr>
                <w:rFonts w:ascii="Arial" w:hAnsi="Arial" w:cs="Arial"/>
                <w:color w:val="auto"/>
                <w:sz w:val="20"/>
                <w:szCs w:val="20"/>
              </w:rPr>
              <w:t xml:space="preserve">All </w:t>
            </w:r>
            <w:r w:rsidRPr="00E72C36">
              <w:rPr>
                <w:rFonts w:ascii="Arial" w:hAnsi="Arial" w:cs="Arial"/>
                <w:color w:val="auto"/>
                <w:sz w:val="20"/>
                <w:szCs w:val="20"/>
              </w:rPr>
              <w:t xml:space="preserve">authorised prescribers </w:t>
            </w:r>
            <w:r w:rsidR="00E72C36">
              <w:rPr>
                <w:rFonts w:ascii="Arial" w:hAnsi="Arial" w:cs="Arial"/>
                <w:color w:val="auto"/>
                <w:sz w:val="20"/>
                <w:szCs w:val="20"/>
              </w:rPr>
              <w:t xml:space="preserve">are </w:t>
            </w:r>
            <w:r>
              <w:rPr>
                <w:rFonts w:ascii="Arial" w:hAnsi="Arial" w:cs="Arial"/>
                <w:color w:val="auto"/>
                <w:sz w:val="20"/>
                <w:szCs w:val="20"/>
              </w:rPr>
              <w:t xml:space="preserve">legally </w:t>
            </w:r>
            <w:r w:rsidR="00E72C36">
              <w:rPr>
                <w:rFonts w:ascii="Arial" w:hAnsi="Arial" w:cs="Arial"/>
                <w:color w:val="auto"/>
                <w:sz w:val="20"/>
                <w:szCs w:val="20"/>
              </w:rPr>
              <w:t>accountable</w:t>
            </w:r>
            <w:r w:rsidR="00110120">
              <w:rPr>
                <w:rFonts w:ascii="Arial" w:hAnsi="Arial" w:cs="Arial"/>
                <w:color w:val="auto"/>
                <w:sz w:val="20"/>
                <w:szCs w:val="20"/>
              </w:rPr>
              <w:t xml:space="preserve"> for their practice under the Health Practitioners Competence Assurance Act 2003. </w:t>
            </w:r>
          </w:p>
          <w:p w:rsidR="0090463C" w:rsidRPr="00E72C36" w:rsidRDefault="006B4407" w:rsidP="00D871F0">
            <w:pPr>
              <w:pStyle w:val="NormalWeb"/>
              <w:numPr>
                <w:ilvl w:val="0"/>
                <w:numId w:val="7"/>
              </w:numPr>
              <w:spacing w:before="100" w:beforeAutospacing="1" w:after="0"/>
              <w:ind w:left="357" w:hanging="357"/>
              <w:rPr>
                <w:rFonts w:ascii="Arial" w:hAnsi="Arial" w:cs="Arial"/>
                <w:color w:val="auto"/>
                <w:sz w:val="20"/>
                <w:szCs w:val="20"/>
              </w:rPr>
            </w:pPr>
            <w:r w:rsidRPr="00E72C36">
              <w:rPr>
                <w:rFonts w:ascii="Arial" w:hAnsi="Arial" w:cs="Arial"/>
                <w:color w:val="auto"/>
                <w:sz w:val="20"/>
                <w:szCs w:val="20"/>
              </w:rPr>
              <w:t xml:space="preserve">NPs and </w:t>
            </w:r>
            <w:r w:rsidR="00E13880">
              <w:rPr>
                <w:rFonts w:ascii="Arial" w:hAnsi="Arial" w:cs="Arial"/>
                <w:color w:val="auto"/>
                <w:sz w:val="20"/>
                <w:szCs w:val="20"/>
              </w:rPr>
              <w:t>prescribing optometrist</w:t>
            </w:r>
            <w:r w:rsidRPr="00E72C36">
              <w:rPr>
                <w:rFonts w:ascii="Arial" w:hAnsi="Arial" w:cs="Arial"/>
                <w:color w:val="auto"/>
                <w:sz w:val="20"/>
                <w:szCs w:val="20"/>
              </w:rPr>
              <w:t>s are known (anecdotally and through research evidence) to be safe and cautious prescribers.</w:t>
            </w:r>
          </w:p>
        </w:tc>
      </w:tr>
      <w:tr w:rsidR="0090463C" w:rsidRPr="00257F0D" w:rsidTr="00E13880">
        <w:tc>
          <w:tcPr>
            <w:tcW w:w="4537" w:type="dxa"/>
            <w:tcBorders>
              <w:top w:val="single" w:sz="4" w:space="0" w:color="auto"/>
              <w:left w:val="single" w:sz="4" w:space="0" w:color="auto"/>
              <w:bottom w:val="single" w:sz="4" w:space="0" w:color="auto"/>
              <w:right w:val="single" w:sz="4" w:space="0" w:color="auto"/>
            </w:tcBorders>
          </w:tcPr>
          <w:p w:rsidR="0090463C" w:rsidRPr="00E72C36" w:rsidRDefault="0090463C" w:rsidP="0045787A">
            <w:pPr>
              <w:pStyle w:val="ListParagraph"/>
              <w:spacing w:before="120" w:after="120" w:line="240" w:lineRule="auto"/>
              <w:ind w:left="0"/>
              <w:rPr>
                <w:rFonts w:cs="Arial"/>
                <w:sz w:val="20"/>
              </w:rPr>
            </w:pPr>
            <w:r w:rsidRPr="00E72C36">
              <w:rPr>
                <w:rFonts w:cs="Arial"/>
                <w:sz w:val="20"/>
              </w:rPr>
              <w:t xml:space="preserve">Standing orders are </w:t>
            </w:r>
            <w:r w:rsidR="0063143C" w:rsidRPr="00E72C36">
              <w:rPr>
                <w:rFonts w:cs="Arial"/>
                <w:sz w:val="20"/>
              </w:rPr>
              <w:t xml:space="preserve">used </w:t>
            </w:r>
            <w:r w:rsidRPr="00E72C36">
              <w:rPr>
                <w:rFonts w:cs="Arial"/>
                <w:sz w:val="20"/>
              </w:rPr>
              <w:t>widely</w:t>
            </w:r>
            <w:r w:rsidR="0045787A">
              <w:rPr>
                <w:rFonts w:cs="Arial"/>
                <w:sz w:val="20"/>
              </w:rPr>
              <w:t xml:space="preserve">, </w:t>
            </w:r>
            <w:r w:rsidRPr="00E72C36">
              <w:rPr>
                <w:rFonts w:cs="Arial"/>
                <w:sz w:val="20"/>
              </w:rPr>
              <w:t>and may in some cases be inappropriately used</w:t>
            </w:r>
            <w:r w:rsidR="0045787A">
              <w:rPr>
                <w:rFonts w:cs="Arial"/>
                <w:sz w:val="20"/>
              </w:rPr>
              <w:t xml:space="preserve">; </w:t>
            </w:r>
            <w:r w:rsidRPr="00E72C36">
              <w:rPr>
                <w:rFonts w:cs="Arial"/>
                <w:sz w:val="20"/>
              </w:rPr>
              <w:t>a</w:t>
            </w:r>
            <w:r w:rsidR="0045787A">
              <w:rPr>
                <w:rFonts w:cs="Arial"/>
                <w:sz w:val="20"/>
              </w:rPr>
              <w:t>llowing</w:t>
            </w:r>
            <w:r w:rsidRPr="00E72C36">
              <w:rPr>
                <w:rFonts w:cs="Arial"/>
                <w:sz w:val="20"/>
              </w:rPr>
              <w:t xml:space="preserve"> nurse practitioners </w:t>
            </w:r>
            <w:r w:rsidR="00C427EA" w:rsidRPr="00E72C36">
              <w:rPr>
                <w:rFonts w:cs="Arial"/>
                <w:sz w:val="20"/>
              </w:rPr>
              <w:t xml:space="preserve">and </w:t>
            </w:r>
            <w:r w:rsidR="00E13880">
              <w:rPr>
                <w:rFonts w:cs="Arial"/>
                <w:sz w:val="20"/>
              </w:rPr>
              <w:t>prescribing optometrist</w:t>
            </w:r>
            <w:r w:rsidR="00D252AB" w:rsidRPr="00E72C36">
              <w:rPr>
                <w:rFonts w:cs="Arial"/>
                <w:sz w:val="20"/>
              </w:rPr>
              <w:t xml:space="preserve">s </w:t>
            </w:r>
            <w:r w:rsidR="0045787A">
              <w:rPr>
                <w:rFonts w:cs="Arial"/>
                <w:sz w:val="20"/>
              </w:rPr>
              <w:lastRenderedPageBreak/>
              <w:t>to issue standing orders</w:t>
            </w:r>
            <w:r w:rsidRPr="00E72C36">
              <w:rPr>
                <w:rFonts w:cs="Arial"/>
                <w:sz w:val="20"/>
              </w:rPr>
              <w:t xml:space="preserve"> could increase the unsafe use of standing orders. </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D871F0" w:rsidRPr="00D871F0" w:rsidRDefault="003801E8" w:rsidP="00D871F0">
            <w:pPr>
              <w:pStyle w:val="NormalWeb"/>
              <w:numPr>
                <w:ilvl w:val="0"/>
                <w:numId w:val="8"/>
              </w:numPr>
              <w:spacing w:before="100" w:beforeAutospacing="1" w:after="0"/>
              <w:ind w:left="357" w:hanging="357"/>
              <w:rPr>
                <w:rFonts w:ascii="Arial" w:hAnsi="Arial" w:cs="Arial"/>
                <w:color w:val="auto"/>
                <w:sz w:val="20"/>
                <w:szCs w:val="20"/>
              </w:rPr>
            </w:pPr>
            <w:r w:rsidRPr="00B100A4">
              <w:rPr>
                <w:rFonts w:ascii="Arial" w:hAnsi="Arial" w:cs="Arial"/>
                <w:color w:val="auto"/>
                <w:sz w:val="20"/>
                <w:szCs w:val="20"/>
              </w:rPr>
              <w:lastRenderedPageBreak/>
              <w:t xml:space="preserve"> NPs and </w:t>
            </w:r>
            <w:r w:rsidR="00E13880">
              <w:rPr>
                <w:rFonts w:ascii="Arial" w:hAnsi="Arial" w:cs="Arial"/>
                <w:color w:val="auto"/>
                <w:sz w:val="20"/>
                <w:szCs w:val="20"/>
              </w:rPr>
              <w:t>prescribing optometrist</w:t>
            </w:r>
            <w:r w:rsidRPr="00B100A4">
              <w:rPr>
                <w:rFonts w:ascii="Arial" w:hAnsi="Arial" w:cs="Arial"/>
                <w:color w:val="auto"/>
                <w:sz w:val="20"/>
                <w:szCs w:val="20"/>
              </w:rPr>
              <w:t xml:space="preserve">s </w:t>
            </w:r>
            <w:r w:rsidR="00110120" w:rsidRPr="00B100A4">
              <w:rPr>
                <w:rFonts w:ascii="Arial" w:hAnsi="Arial" w:cs="Arial"/>
                <w:color w:val="auto"/>
                <w:sz w:val="20"/>
                <w:szCs w:val="20"/>
              </w:rPr>
              <w:t>would have the same legal accountability as medical practitioners and dentists</w:t>
            </w:r>
            <w:r w:rsidRPr="00B100A4">
              <w:rPr>
                <w:rFonts w:ascii="Arial" w:hAnsi="Arial" w:cs="Arial"/>
                <w:color w:val="auto"/>
                <w:sz w:val="20"/>
                <w:szCs w:val="20"/>
              </w:rPr>
              <w:t xml:space="preserve"> </w:t>
            </w:r>
            <w:r w:rsidR="00110120" w:rsidRPr="00B100A4">
              <w:rPr>
                <w:rFonts w:ascii="Arial" w:hAnsi="Arial" w:cs="Arial"/>
                <w:color w:val="auto"/>
                <w:sz w:val="20"/>
                <w:szCs w:val="20"/>
              </w:rPr>
              <w:t>to</w:t>
            </w:r>
            <w:r w:rsidRPr="00B100A4">
              <w:rPr>
                <w:rFonts w:ascii="Arial" w:hAnsi="Arial" w:cs="Arial"/>
                <w:color w:val="auto"/>
                <w:sz w:val="20"/>
                <w:szCs w:val="20"/>
              </w:rPr>
              <w:t xml:space="preserve"> </w:t>
            </w:r>
            <w:r w:rsidRPr="00B100A4">
              <w:rPr>
                <w:rFonts w:ascii="Arial" w:hAnsi="Arial" w:cs="Arial"/>
                <w:color w:val="auto"/>
                <w:sz w:val="20"/>
              </w:rPr>
              <w:t>comply with the regulatory requirements for monitoring and audit of</w:t>
            </w:r>
            <w:r w:rsidR="00D871F0">
              <w:rPr>
                <w:rFonts w:ascii="Arial" w:hAnsi="Arial" w:cs="Arial"/>
                <w:color w:val="auto"/>
                <w:sz w:val="20"/>
              </w:rPr>
              <w:t xml:space="preserve"> the standing orders they issue.</w:t>
            </w:r>
          </w:p>
          <w:p w:rsidR="0090463C" w:rsidRPr="00D871F0" w:rsidRDefault="00BC34C5" w:rsidP="00D871F0">
            <w:pPr>
              <w:pStyle w:val="NormalWeb"/>
              <w:numPr>
                <w:ilvl w:val="0"/>
                <w:numId w:val="8"/>
              </w:numPr>
              <w:spacing w:before="100" w:beforeAutospacing="1" w:after="0"/>
              <w:ind w:left="357" w:hanging="357"/>
              <w:rPr>
                <w:rFonts w:ascii="Arial" w:hAnsi="Arial" w:cs="Arial"/>
                <w:color w:val="auto"/>
                <w:sz w:val="20"/>
                <w:szCs w:val="20"/>
              </w:rPr>
            </w:pPr>
            <w:r w:rsidRPr="00D871F0">
              <w:rPr>
                <w:rFonts w:ascii="Arial" w:hAnsi="Arial" w:cs="Arial"/>
                <w:color w:val="auto"/>
                <w:sz w:val="20"/>
              </w:rPr>
              <w:lastRenderedPageBreak/>
              <w:t>To ensure the accountability, consistency and legality of standing orders, the Regulations set minimum requirements for the content, review, audit and use of standing orders. This includes the accountability of health practitioners issuing the standing orders and defines the responsibilities of those administering or supplying medicine</w:t>
            </w:r>
            <w:r w:rsidR="00D871F0">
              <w:rPr>
                <w:rFonts w:ascii="Arial" w:hAnsi="Arial" w:cs="Arial"/>
                <w:color w:val="auto"/>
                <w:sz w:val="20"/>
              </w:rPr>
              <w:t>s</w:t>
            </w:r>
            <w:r w:rsidRPr="00D871F0">
              <w:rPr>
                <w:rFonts w:ascii="Arial" w:hAnsi="Arial" w:cs="Arial"/>
                <w:color w:val="auto"/>
                <w:sz w:val="20"/>
              </w:rPr>
              <w:t xml:space="preserve"> under the standing order.</w:t>
            </w:r>
          </w:p>
        </w:tc>
      </w:tr>
    </w:tbl>
    <w:p w:rsidR="00AF1E44" w:rsidRDefault="00AF1E44" w:rsidP="0090463C">
      <w:pPr>
        <w:pStyle w:val="NormalWeb"/>
        <w:spacing w:before="0" w:after="240"/>
        <w:rPr>
          <w:rFonts w:ascii="Arial" w:hAnsi="Arial" w:cs="Arial"/>
          <w:b/>
          <w:color w:val="auto"/>
          <w:sz w:val="22"/>
          <w:szCs w:val="20"/>
        </w:rPr>
      </w:pPr>
    </w:p>
    <w:p w:rsidR="0090463C" w:rsidRPr="003A2839" w:rsidRDefault="0090463C" w:rsidP="00D0229C">
      <w:pPr>
        <w:pStyle w:val="Heading3"/>
      </w:pPr>
      <w:r w:rsidRPr="003A2839">
        <w:t>Impacts</w:t>
      </w:r>
      <w:r w:rsidR="00C427EA" w:rsidRPr="003A2839">
        <w:t xml:space="preserve"> of amending the </w:t>
      </w:r>
      <w:r w:rsidR="00D233AB">
        <w:t>Regulations</w:t>
      </w:r>
      <w:r w:rsidR="00C427EA" w:rsidRPr="003A2839">
        <w:t xml:space="preserve"> </w:t>
      </w:r>
    </w:p>
    <w:p w:rsidR="0090463C" w:rsidRPr="00257F0D" w:rsidRDefault="0090463C" w:rsidP="00CF3795">
      <w:pPr>
        <w:numPr>
          <w:ilvl w:val="0"/>
          <w:numId w:val="5"/>
        </w:numPr>
        <w:spacing w:line="240" w:lineRule="auto"/>
        <w:jc w:val="both"/>
      </w:pPr>
      <w:r w:rsidRPr="00257F0D">
        <w:t xml:space="preserve">There are unlikely to be any additional fiscal impacts </w:t>
      </w:r>
      <w:r w:rsidR="003A2839">
        <w:t>from the amendment</w:t>
      </w:r>
      <w:r w:rsidRPr="00257F0D">
        <w:t xml:space="preserve">. It is likely that any costs incurred through the administration or supply of medicines under standing orders issued by nurse practitioners or </w:t>
      </w:r>
      <w:r w:rsidR="00E13880">
        <w:t>prescribing optometrist</w:t>
      </w:r>
      <w:r w:rsidR="005B113B" w:rsidRPr="00257F0D">
        <w:t xml:space="preserve">s </w:t>
      </w:r>
      <w:r w:rsidRPr="00257F0D">
        <w:t>will be off-set by a decrease in the administration or supply of medicines under standing orders issued by a medical practitioner.</w:t>
      </w:r>
    </w:p>
    <w:p w:rsidR="0090463C" w:rsidRPr="00257F0D" w:rsidRDefault="003A2839" w:rsidP="005A18B9">
      <w:pPr>
        <w:numPr>
          <w:ilvl w:val="0"/>
          <w:numId w:val="5"/>
        </w:numPr>
        <w:spacing w:line="240" w:lineRule="auto"/>
      </w:pPr>
      <w:r>
        <w:t>Positive health impacts are expected</w:t>
      </w:r>
      <w:r w:rsidR="009B2D2A" w:rsidRPr="00257F0D">
        <w:t>:</w:t>
      </w:r>
    </w:p>
    <w:p w:rsidR="007A33EF" w:rsidRPr="00257F0D" w:rsidRDefault="00D871F0" w:rsidP="005A18B9">
      <w:pPr>
        <w:numPr>
          <w:ilvl w:val="1"/>
          <w:numId w:val="5"/>
        </w:numPr>
        <w:autoSpaceDE w:val="0"/>
        <w:autoSpaceDN w:val="0"/>
        <w:adjustRightInd w:val="0"/>
        <w:spacing w:line="240" w:lineRule="auto"/>
      </w:pPr>
      <w:r>
        <w:t>improved</w:t>
      </w:r>
      <w:r w:rsidR="007A33EF" w:rsidRPr="00257F0D">
        <w:t xml:space="preserve"> access to appropriate and effective treatment;</w:t>
      </w:r>
    </w:p>
    <w:p w:rsidR="003A2839" w:rsidRDefault="00D871F0" w:rsidP="0090463C">
      <w:pPr>
        <w:numPr>
          <w:ilvl w:val="1"/>
          <w:numId w:val="5"/>
        </w:numPr>
        <w:autoSpaceDE w:val="0"/>
        <w:autoSpaceDN w:val="0"/>
        <w:adjustRightInd w:val="0"/>
        <w:spacing w:line="240" w:lineRule="auto"/>
      </w:pPr>
      <w:r>
        <w:t>improved efficiency in health care teams</w:t>
      </w:r>
      <w:r w:rsidR="008E0500">
        <w:t>.</w:t>
      </w:r>
    </w:p>
    <w:p w:rsidR="0090463C" w:rsidRPr="00257F0D" w:rsidRDefault="0090463C" w:rsidP="00D0229C">
      <w:pPr>
        <w:pStyle w:val="Heading3"/>
      </w:pPr>
      <w:r w:rsidRPr="00257F0D">
        <w:t>Comparison of the two options</w:t>
      </w:r>
    </w:p>
    <w:p w:rsidR="0090463C" w:rsidRPr="00257F0D" w:rsidRDefault="0090463C" w:rsidP="00CF3795">
      <w:pPr>
        <w:numPr>
          <w:ilvl w:val="0"/>
          <w:numId w:val="5"/>
        </w:numPr>
        <w:spacing w:line="240" w:lineRule="auto"/>
        <w:jc w:val="both"/>
      </w:pPr>
      <w:r w:rsidRPr="00257F0D">
        <w:t>The preferred option is for the regulatory change to occur prior to the implementation of the new therapeutic products regime</w:t>
      </w:r>
      <w:r w:rsidR="004A45DB" w:rsidRPr="00257F0D">
        <w:t xml:space="preserve">. </w:t>
      </w:r>
      <w:r w:rsidR="00822175">
        <w:t>I</w:t>
      </w:r>
      <w:r w:rsidR="009B2D2A" w:rsidRPr="00257F0D">
        <w:t xml:space="preserve">mmediate </w:t>
      </w:r>
      <w:r w:rsidR="004A45DB" w:rsidRPr="00257F0D">
        <w:t xml:space="preserve">benefits </w:t>
      </w:r>
      <w:r w:rsidR="0063143C" w:rsidRPr="00257F0D">
        <w:t xml:space="preserve">will </w:t>
      </w:r>
      <w:r w:rsidR="009B2D2A" w:rsidRPr="00257F0D">
        <w:t xml:space="preserve">accrue </w:t>
      </w:r>
      <w:r w:rsidR="004A45DB" w:rsidRPr="00257F0D">
        <w:t>to health consumers</w:t>
      </w:r>
      <w:r w:rsidR="00822175">
        <w:t xml:space="preserve"> and best use can be made of the qualifications, skills and experience of </w:t>
      </w:r>
      <w:r w:rsidR="00AF1E44">
        <w:t>nurse practitioner</w:t>
      </w:r>
      <w:r w:rsidR="00822175">
        <w:t xml:space="preserve">s and </w:t>
      </w:r>
      <w:r w:rsidR="00E13880">
        <w:t>prescribing optometrist</w:t>
      </w:r>
      <w:r w:rsidR="00822175">
        <w:t>s.</w:t>
      </w:r>
    </w:p>
    <w:p w:rsidR="0063143C" w:rsidRDefault="0063143C" w:rsidP="00D0229C">
      <w:pPr>
        <w:pStyle w:val="Heading3"/>
      </w:pPr>
      <w:r>
        <w:t>Retaining the Status quo</w:t>
      </w:r>
    </w:p>
    <w:p w:rsidR="0063143C" w:rsidRDefault="0063143C" w:rsidP="00CF3795">
      <w:pPr>
        <w:numPr>
          <w:ilvl w:val="0"/>
          <w:numId w:val="5"/>
        </w:numPr>
        <w:spacing w:line="240" w:lineRule="auto"/>
        <w:jc w:val="both"/>
        <w:rPr>
          <w:rFonts w:cs="Arial"/>
          <w:szCs w:val="22"/>
        </w:rPr>
      </w:pPr>
      <w:r w:rsidRPr="0063143C">
        <w:t xml:space="preserve">Retaining the status quo </w:t>
      </w:r>
      <w:r w:rsidR="00822175">
        <w:t xml:space="preserve">option </w:t>
      </w:r>
      <w:r w:rsidRPr="0063143C">
        <w:t xml:space="preserve">was also considered </w:t>
      </w:r>
      <w:r w:rsidR="00822175">
        <w:t xml:space="preserve">and </w:t>
      </w:r>
      <w:r w:rsidRPr="0063143C">
        <w:t>rejected</w:t>
      </w:r>
      <w:r>
        <w:t xml:space="preserve"> because it does not facilitate the </w:t>
      </w:r>
      <w:r>
        <w:rPr>
          <w:rFonts w:cs="Arial"/>
          <w:szCs w:val="22"/>
        </w:rPr>
        <w:t xml:space="preserve">improvement of </w:t>
      </w:r>
      <w:r w:rsidRPr="0063143C">
        <w:rPr>
          <w:rFonts w:cs="Arial"/>
          <w:szCs w:val="22"/>
        </w:rPr>
        <w:t>the public’s access to appropriate treatment</w:t>
      </w:r>
      <w:r w:rsidR="00822175">
        <w:rPr>
          <w:rFonts w:cs="Arial"/>
          <w:szCs w:val="22"/>
        </w:rPr>
        <w:t>. Status quo does not</w:t>
      </w:r>
      <w:r>
        <w:rPr>
          <w:rFonts w:cs="Arial"/>
          <w:szCs w:val="22"/>
        </w:rPr>
        <w:t>:</w:t>
      </w:r>
    </w:p>
    <w:p w:rsidR="0063143C" w:rsidRDefault="00822175" w:rsidP="005A18B9">
      <w:pPr>
        <w:numPr>
          <w:ilvl w:val="1"/>
          <w:numId w:val="5"/>
        </w:numPr>
        <w:spacing w:line="240" w:lineRule="auto"/>
        <w:rPr>
          <w:rFonts w:cs="Arial"/>
          <w:szCs w:val="22"/>
        </w:rPr>
      </w:pPr>
      <w:r w:rsidRPr="0063143C">
        <w:rPr>
          <w:rFonts w:cs="Arial"/>
          <w:szCs w:val="22"/>
        </w:rPr>
        <w:t>remov</w:t>
      </w:r>
      <w:r>
        <w:rPr>
          <w:rFonts w:cs="Arial"/>
          <w:szCs w:val="22"/>
        </w:rPr>
        <w:t>e</w:t>
      </w:r>
      <w:r w:rsidRPr="0063143C">
        <w:rPr>
          <w:rFonts w:cs="Arial"/>
          <w:szCs w:val="22"/>
        </w:rPr>
        <w:t xml:space="preserve"> </w:t>
      </w:r>
      <w:r w:rsidR="0063143C" w:rsidRPr="0063143C">
        <w:rPr>
          <w:rFonts w:cs="Arial"/>
          <w:szCs w:val="22"/>
        </w:rPr>
        <w:t>barriers to innovation,</w:t>
      </w:r>
    </w:p>
    <w:p w:rsidR="00462A62" w:rsidRDefault="00822175" w:rsidP="005A18B9">
      <w:pPr>
        <w:numPr>
          <w:ilvl w:val="1"/>
          <w:numId w:val="5"/>
        </w:numPr>
        <w:spacing w:line="240" w:lineRule="auto"/>
        <w:rPr>
          <w:rFonts w:cs="Arial"/>
          <w:szCs w:val="22"/>
        </w:rPr>
      </w:pPr>
      <w:r w:rsidRPr="0063143C">
        <w:rPr>
          <w:rFonts w:cs="Arial"/>
          <w:szCs w:val="22"/>
        </w:rPr>
        <w:t>enabl</w:t>
      </w:r>
      <w:r>
        <w:rPr>
          <w:rFonts w:cs="Arial"/>
          <w:szCs w:val="22"/>
        </w:rPr>
        <w:t>e</w:t>
      </w:r>
      <w:r w:rsidRPr="0063143C">
        <w:rPr>
          <w:rFonts w:cs="Arial"/>
          <w:szCs w:val="22"/>
        </w:rPr>
        <w:t xml:space="preserve"> </w:t>
      </w:r>
      <w:r w:rsidR="0063143C" w:rsidRPr="0063143C">
        <w:rPr>
          <w:rFonts w:cs="Arial"/>
          <w:szCs w:val="22"/>
        </w:rPr>
        <w:t>best use of the available workforce to respond to health needs</w:t>
      </w:r>
    </w:p>
    <w:p w:rsidR="005207FA" w:rsidRPr="003A2839" w:rsidRDefault="00761AC3" w:rsidP="0090463C">
      <w:pPr>
        <w:numPr>
          <w:ilvl w:val="1"/>
          <w:numId w:val="5"/>
        </w:numPr>
        <w:spacing w:line="240" w:lineRule="auto"/>
        <w:rPr>
          <w:rFonts w:cs="Arial"/>
          <w:szCs w:val="22"/>
        </w:rPr>
      </w:pPr>
      <w:r>
        <w:rPr>
          <w:rFonts w:cs="Arial"/>
          <w:szCs w:val="22"/>
        </w:rPr>
        <w:t>improve peoples’</w:t>
      </w:r>
      <w:r w:rsidR="00462A62">
        <w:rPr>
          <w:rFonts w:cs="Arial"/>
          <w:szCs w:val="22"/>
        </w:rPr>
        <w:t xml:space="preserve"> timely access to </w:t>
      </w:r>
      <w:r w:rsidR="00F1723D">
        <w:rPr>
          <w:rFonts w:cs="Arial"/>
          <w:szCs w:val="22"/>
        </w:rPr>
        <w:t>treatment</w:t>
      </w:r>
      <w:r w:rsidR="00462A62">
        <w:rPr>
          <w:rFonts w:cs="Arial"/>
          <w:szCs w:val="22"/>
        </w:rPr>
        <w:t>.</w:t>
      </w:r>
    </w:p>
    <w:p w:rsidR="0090463C" w:rsidRDefault="00110120" w:rsidP="00D0229C">
      <w:pPr>
        <w:pStyle w:val="Heading3"/>
      </w:pPr>
      <w:r>
        <w:t>Additional</w:t>
      </w:r>
      <w:r w:rsidR="00FC3505">
        <w:t xml:space="preserve"> options</w:t>
      </w:r>
      <w:r>
        <w:t xml:space="preserve"> considered </w:t>
      </w:r>
    </w:p>
    <w:p w:rsidR="003342C5" w:rsidRPr="008B1804" w:rsidRDefault="00F1723D" w:rsidP="009B2D2A">
      <w:pPr>
        <w:numPr>
          <w:ilvl w:val="0"/>
          <w:numId w:val="5"/>
        </w:numPr>
        <w:spacing w:line="240" w:lineRule="auto"/>
        <w:jc w:val="both"/>
        <w:rPr>
          <w:i/>
        </w:rPr>
      </w:pPr>
      <w:r w:rsidRPr="008B1804">
        <w:t xml:space="preserve">The Ministry considered (and rejected) two other </w:t>
      </w:r>
      <w:r w:rsidR="00FC3505" w:rsidRPr="008B1804">
        <w:t xml:space="preserve">options that could </w:t>
      </w:r>
      <w:r w:rsidRPr="008B1804">
        <w:t>p</w:t>
      </w:r>
      <w:r w:rsidR="00707A17" w:rsidRPr="008B1804">
        <w:t>artially achieve the objective.</w:t>
      </w:r>
    </w:p>
    <w:p w:rsidR="0090463C" w:rsidRPr="008B1804" w:rsidRDefault="0090463C" w:rsidP="008B1804">
      <w:pPr>
        <w:numPr>
          <w:ilvl w:val="0"/>
          <w:numId w:val="18"/>
        </w:numPr>
        <w:spacing w:line="240" w:lineRule="auto"/>
      </w:pPr>
      <w:r w:rsidRPr="008B1804">
        <w:t>Develop (as part of the implementation of the new therapeutic products regime) new regulations for delegated prescribers</w:t>
      </w:r>
      <w:r w:rsidR="008B1804" w:rsidRPr="008B1804">
        <w:t>;</w:t>
      </w:r>
      <w:r w:rsidRPr="008B1804">
        <w:t xml:space="preserve"> </w:t>
      </w:r>
    </w:p>
    <w:p w:rsidR="008B1804" w:rsidRPr="008B1804" w:rsidRDefault="008B1804" w:rsidP="008B1804">
      <w:pPr>
        <w:numPr>
          <w:ilvl w:val="0"/>
          <w:numId w:val="18"/>
        </w:numPr>
        <w:spacing w:line="240" w:lineRule="auto"/>
      </w:pPr>
      <w:r w:rsidRPr="008B1804">
        <w:t>Wait for registered nurse designated prescribing to take effect;</w:t>
      </w:r>
    </w:p>
    <w:p w:rsidR="008B1804" w:rsidRDefault="008B1804" w:rsidP="008B1804">
      <w:pPr>
        <w:spacing w:line="240" w:lineRule="auto"/>
        <w:ind w:left="720"/>
      </w:pPr>
    </w:p>
    <w:p w:rsidR="008B1804" w:rsidRPr="008B1804" w:rsidRDefault="008B1804" w:rsidP="00D0229C">
      <w:pPr>
        <w:pStyle w:val="Heading4"/>
        <w:rPr>
          <w:color w:val="FF0000"/>
        </w:rPr>
      </w:pPr>
      <w:r w:rsidRPr="008B1804">
        <w:t xml:space="preserve">Develop (as part of the </w:t>
      </w:r>
      <w:r w:rsidRPr="00D0229C">
        <w:t>implementation</w:t>
      </w:r>
      <w:r w:rsidRPr="008B1804">
        <w:t xml:space="preserve"> of the new therapeutic products regime) new regulations for delegated prescribers</w:t>
      </w:r>
    </w:p>
    <w:p w:rsidR="0090463C" w:rsidRPr="008B1804" w:rsidRDefault="00761AC3" w:rsidP="00CF3795">
      <w:pPr>
        <w:numPr>
          <w:ilvl w:val="0"/>
          <w:numId w:val="5"/>
        </w:numPr>
        <w:spacing w:line="240" w:lineRule="auto"/>
        <w:jc w:val="both"/>
        <w:rPr>
          <w:b/>
        </w:rPr>
      </w:pPr>
      <w:r w:rsidRPr="008B1804">
        <w:lastRenderedPageBreak/>
        <w:t>The Act</w:t>
      </w:r>
      <w:r w:rsidR="004A45DB" w:rsidRPr="008B1804">
        <w:t xml:space="preserve"> </w:t>
      </w:r>
      <w:r w:rsidR="00822175" w:rsidRPr="008B1804">
        <w:t xml:space="preserve">allows </w:t>
      </w:r>
      <w:r w:rsidR="004A45DB" w:rsidRPr="008B1804">
        <w:t>delegated prescribing</w:t>
      </w:r>
      <w:r w:rsidR="00822175" w:rsidRPr="008B1804">
        <w:t>, but no regulations for delegated prescribers currently exist.</w:t>
      </w:r>
      <w:r w:rsidR="0090463C" w:rsidRPr="008B1804">
        <w:t xml:space="preserve"> </w:t>
      </w:r>
      <w:r w:rsidR="00822175" w:rsidRPr="008B1804">
        <w:t>D</w:t>
      </w:r>
      <w:r w:rsidR="0090463C" w:rsidRPr="008B1804">
        <w:t xml:space="preserve">elegated prescribing </w:t>
      </w:r>
      <w:r w:rsidR="00822175" w:rsidRPr="008B1804">
        <w:t>r</w:t>
      </w:r>
      <w:r w:rsidR="0090463C" w:rsidRPr="008B1804">
        <w:t xml:space="preserve">egulations </w:t>
      </w:r>
      <w:r w:rsidR="00822175" w:rsidRPr="008B1804">
        <w:t xml:space="preserve">allow delegation to a health practitioner </w:t>
      </w:r>
      <w:r w:rsidR="0090463C" w:rsidRPr="008B1804">
        <w:t>by an authorised prescriber,</w:t>
      </w:r>
      <w:r w:rsidR="00822175" w:rsidRPr="008B1804">
        <w:t xml:space="preserve"> to</w:t>
      </w:r>
      <w:r w:rsidR="0090463C" w:rsidRPr="008B1804">
        <w:t xml:space="preserve"> </w:t>
      </w:r>
      <w:r w:rsidR="00822175" w:rsidRPr="008B1804">
        <w:t xml:space="preserve">prescribe specified </w:t>
      </w:r>
      <w:r w:rsidR="0090463C" w:rsidRPr="008B1804">
        <w:t>prescription medicines.</w:t>
      </w:r>
    </w:p>
    <w:p w:rsidR="0090463C" w:rsidRPr="008B1804" w:rsidRDefault="0090463C" w:rsidP="005A18B9">
      <w:pPr>
        <w:numPr>
          <w:ilvl w:val="0"/>
          <w:numId w:val="5"/>
        </w:numPr>
        <w:spacing w:line="240" w:lineRule="auto"/>
        <w:rPr>
          <w:b/>
        </w:rPr>
      </w:pPr>
      <w:r w:rsidRPr="008B1804">
        <w:t xml:space="preserve">The Ministry did not believe this option was viable </w:t>
      </w:r>
      <w:r w:rsidR="00861084" w:rsidRPr="008B1804">
        <w:t>because</w:t>
      </w:r>
      <w:r w:rsidRPr="008B1804">
        <w:t>:</w:t>
      </w:r>
    </w:p>
    <w:p w:rsidR="00822175" w:rsidRPr="008B1804" w:rsidRDefault="00822175" w:rsidP="00861084">
      <w:pPr>
        <w:numPr>
          <w:ilvl w:val="1"/>
          <w:numId w:val="17"/>
        </w:numPr>
        <w:spacing w:line="240" w:lineRule="auto"/>
        <w:jc w:val="both"/>
        <w:rPr>
          <w:b/>
        </w:rPr>
      </w:pPr>
      <w:r w:rsidRPr="008B1804">
        <w:t>There are currently no regulations for delegated prescribers. It would take considerable time to develop regulations for delegated prescribing, and to develop the education and monitoring systems needed to implement delegated prescriber roles. In the meantime access to medicines could be more quickly improved if the Regulations is amended.</w:t>
      </w:r>
    </w:p>
    <w:p w:rsidR="00D871F0" w:rsidRPr="008B1804" w:rsidRDefault="0090463C" w:rsidP="00861084">
      <w:pPr>
        <w:numPr>
          <w:ilvl w:val="1"/>
          <w:numId w:val="17"/>
        </w:numPr>
        <w:spacing w:line="240" w:lineRule="auto"/>
        <w:jc w:val="both"/>
        <w:rPr>
          <w:b/>
        </w:rPr>
      </w:pPr>
      <w:r w:rsidRPr="008B1804">
        <w:t>The Nursing Council and the wider nursing profession have not supported the development of registered nurses as delegated prescribers</w:t>
      </w:r>
      <w:r w:rsidR="00822175" w:rsidRPr="008B1804">
        <w:t xml:space="preserve"> with the authorised prescriber taking the </w:t>
      </w:r>
      <w:r w:rsidR="00761AC3" w:rsidRPr="008B1804">
        <w:t>responsibility</w:t>
      </w:r>
      <w:r w:rsidR="00822175" w:rsidRPr="008B1804">
        <w:t xml:space="preserve"> for the prescribing decision.  It is </w:t>
      </w:r>
      <w:r w:rsidRPr="008B1804">
        <w:t>preferr</w:t>
      </w:r>
      <w:r w:rsidR="00822175" w:rsidRPr="008B1804">
        <w:t>ed</w:t>
      </w:r>
      <w:r w:rsidRPr="008B1804">
        <w:t xml:space="preserve"> that registered nurse prescribers meet competency and education standards set by the Nursing Council to become </w:t>
      </w:r>
      <w:r w:rsidR="00822175" w:rsidRPr="008B1804">
        <w:t xml:space="preserve">independent </w:t>
      </w:r>
      <w:r w:rsidRPr="008B1804">
        <w:t>prescribers</w:t>
      </w:r>
      <w:r w:rsidR="00822175" w:rsidRPr="008B1804">
        <w:t>, with full accountability</w:t>
      </w:r>
      <w:r w:rsidRPr="008B1804">
        <w:t xml:space="preserve">. </w:t>
      </w:r>
    </w:p>
    <w:p w:rsidR="008B1804" w:rsidRPr="008B1804" w:rsidRDefault="008B1804" w:rsidP="00D0229C">
      <w:pPr>
        <w:pStyle w:val="Heading4"/>
        <w:rPr>
          <w:b/>
        </w:rPr>
      </w:pPr>
      <w:r w:rsidRPr="008B1804">
        <w:t>Wait for registered nurse designated prescribing to take effect</w:t>
      </w:r>
    </w:p>
    <w:p w:rsidR="0090463C" w:rsidRPr="008B1804" w:rsidRDefault="0090463C" w:rsidP="00CF3795">
      <w:pPr>
        <w:numPr>
          <w:ilvl w:val="0"/>
          <w:numId w:val="5"/>
        </w:numPr>
        <w:spacing w:line="240" w:lineRule="auto"/>
        <w:jc w:val="both"/>
      </w:pPr>
      <w:r w:rsidRPr="008B1804">
        <w:t xml:space="preserve">It is expected that regulations to enable registered nurse to be designated prescribers will be enacted by the middle of 2016. There are approximately 48,000 registered nurses in New Zealand, and the New Zealand Nursing Council estimates there may be up to 1,000 registered nurse </w:t>
      </w:r>
      <w:r w:rsidR="00AF46F2" w:rsidRPr="008B1804">
        <w:t xml:space="preserve">designated </w:t>
      </w:r>
      <w:r w:rsidRPr="008B1804">
        <w:t xml:space="preserve">prescribers within five years. </w:t>
      </w:r>
    </w:p>
    <w:p w:rsidR="0090463C" w:rsidRPr="008B1804" w:rsidRDefault="0090463C" w:rsidP="00CF3795">
      <w:pPr>
        <w:numPr>
          <w:ilvl w:val="0"/>
          <w:numId w:val="5"/>
        </w:numPr>
        <w:spacing w:line="240" w:lineRule="auto"/>
        <w:jc w:val="both"/>
      </w:pPr>
      <w:r w:rsidRPr="008B1804">
        <w:t xml:space="preserve">The Ministry did not consider that </w:t>
      </w:r>
      <w:r w:rsidR="00822175" w:rsidRPr="008B1804">
        <w:t>waiting</w:t>
      </w:r>
      <w:r w:rsidR="0045787A" w:rsidRPr="008B1804">
        <w:t xml:space="preserve"> for registered nurse prescribing</w:t>
      </w:r>
      <w:r w:rsidR="00822175" w:rsidRPr="008B1804">
        <w:t xml:space="preserve"> </w:t>
      </w:r>
      <w:r w:rsidRPr="008B1804">
        <w:t>was a viable option because:</w:t>
      </w:r>
    </w:p>
    <w:p w:rsidR="0090463C" w:rsidRPr="008B1804" w:rsidRDefault="004A45DB" w:rsidP="00861084">
      <w:pPr>
        <w:numPr>
          <w:ilvl w:val="1"/>
          <w:numId w:val="16"/>
        </w:numPr>
        <w:spacing w:line="240" w:lineRule="auto"/>
        <w:jc w:val="both"/>
      </w:pPr>
      <w:r w:rsidRPr="008B1804">
        <w:t>This</w:t>
      </w:r>
      <w:r w:rsidR="0090463C" w:rsidRPr="008B1804">
        <w:t xml:space="preserve"> number of registered nurse designated prescribers is unlikely to significantly change the </w:t>
      </w:r>
      <w:r w:rsidR="00822175" w:rsidRPr="008B1804">
        <w:t>need for</w:t>
      </w:r>
      <w:r w:rsidR="00D871F0" w:rsidRPr="008B1804">
        <w:t>,</w:t>
      </w:r>
      <w:r w:rsidR="00822175" w:rsidRPr="008B1804">
        <w:t xml:space="preserve"> and the </w:t>
      </w:r>
      <w:r w:rsidR="0090463C" w:rsidRPr="008B1804">
        <w:t>current reliance</w:t>
      </w:r>
      <w:r w:rsidR="00822175" w:rsidRPr="008B1804">
        <w:t xml:space="preserve"> </w:t>
      </w:r>
      <w:r w:rsidR="0090463C" w:rsidRPr="008B1804">
        <w:t>on</w:t>
      </w:r>
      <w:r w:rsidR="00D871F0" w:rsidRPr="008B1804">
        <w:t>,</w:t>
      </w:r>
      <w:r w:rsidR="0090463C" w:rsidRPr="008B1804">
        <w:t xml:space="preserve"> standing orders.</w:t>
      </w:r>
    </w:p>
    <w:p w:rsidR="0090463C" w:rsidRPr="008B1804" w:rsidRDefault="00281DFD" w:rsidP="00861084">
      <w:pPr>
        <w:numPr>
          <w:ilvl w:val="1"/>
          <w:numId w:val="16"/>
        </w:numPr>
        <w:jc w:val="both"/>
      </w:pPr>
      <w:r w:rsidRPr="008B1804">
        <w:t>Even with registered nurse prescribing there would still be many circumstances and setting</w:t>
      </w:r>
      <w:r w:rsidR="00D871F0" w:rsidRPr="008B1804">
        <w:t>s</w:t>
      </w:r>
      <w:r w:rsidRPr="008B1804">
        <w:t xml:space="preserve"> where </w:t>
      </w:r>
      <w:r w:rsidR="00F1723D" w:rsidRPr="008B1804">
        <w:t>standing orders</w:t>
      </w:r>
      <w:r w:rsidRPr="008B1804">
        <w:t xml:space="preserve"> </w:t>
      </w:r>
      <w:r w:rsidR="00822175" w:rsidRPr="008B1804">
        <w:t>would</w:t>
      </w:r>
      <w:r w:rsidRPr="008B1804">
        <w:t xml:space="preserve"> improve access to treatment.</w:t>
      </w:r>
    </w:p>
    <w:p w:rsidR="00E13880" w:rsidRPr="00D0229C" w:rsidRDefault="00E13880" w:rsidP="00D0229C">
      <w:pPr>
        <w:pStyle w:val="Heading3"/>
        <w:rPr>
          <w:i/>
        </w:rPr>
      </w:pPr>
      <w:r w:rsidRPr="00D0229C">
        <w:rPr>
          <w:i/>
        </w:rPr>
        <w:t>Inclusion of midwives in the proposal</w:t>
      </w:r>
    </w:p>
    <w:p w:rsidR="00110120" w:rsidRPr="00110120" w:rsidRDefault="00110120" w:rsidP="00CF3795">
      <w:pPr>
        <w:numPr>
          <w:ilvl w:val="0"/>
          <w:numId w:val="5"/>
        </w:numPr>
        <w:autoSpaceDE w:val="0"/>
        <w:autoSpaceDN w:val="0"/>
        <w:adjustRightInd w:val="0"/>
        <w:spacing w:line="240" w:lineRule="auto"/>
        <w:jc w:val="both"/>
        <w:rPr>
          <w:rFonts w:cs="Arial"/>
        </w:rPr>
      </w:pPr>
      <w:r>
        <w:rPr>
          <w:rFonts w:cs="Arial"/>
          <w:szCs w:val="22"/>
        </w:rPr>
        <w:t>The Ministry also considered and rejected the option of including mi</w:t>
      </w:r>
      <w:r w:rsidR="00D871F0">
        <w:rPr>
          <w:rFonts w:cs="Arial"/>
          <w:szCs w:val="22"/>
        </w:rPr>
        <w:t>dwives in the amendment of the R</w:t>
      </w:r>
      <w:r>
        <w:rPr>
          <w:rFonts w:cs="Arial"/>
          <w:szCs w:val="22"/>
        </w:rPr>
        <w:t>egulations.</w:t>
      </w:r>
    </w:p>
    <w:p w:rsidR="00110120" w:rsidRPr="007135C9" w:rsidRDefault="00110120" w:rsidP="00CF3795">
      <w:pPr>
        <w:numPr>
          <w:ilvl w:val="0"/>
          <w:numId w:val="5"/>
        </w:numPr>
        <w:autoSpaceDE w:val="0"/>
        <w:autoSpaceDN w:val="0"/>
        <w:adjustRightInd w:val="0"/>
        <w:spacing w:line="240" w:lineRule="auto"/>
        <w:jc w:val="both"/>
        <w:rPr>
          <w:rFonts w:cs="Arial"/>
        </w:rPr>
      </w:pPr>
      <w:r w:rsidRPr="0081333C">
        <w:rPr>
          <w:rFonts w:cs="Arial"/>
          <w:szCs w:val="22"/>
        </w:rPr>
        <w:t xml:space="preserve">Midwives </w:t>
      </w:r>
      <w:r>
        <w:rPr>
          <w:rFonts w:cs="Arial"/>
          <w:szCs w:val="22"/>
        </w:rPr>
        <w:t xml:space="preserve">are also authorised prescribers allowed to issue standing orders under the Act in accordance with regulations but are not named as issuers of standing orders in the Regulations. </w:t>
      </w:r>
    </w:p>
    <w:p w:rsidR="00110120" w:rsidRPr="007135C9" w:rsidRDefault="00110120" w:rsidP="00CF3795">
      <w:pPr>
        <w:numPr>
          <w:ilvl w:val="0"/>
          <w:numId w:val="5"/>
        </w:numPr>
        <w:autoSpaceDE w:val="0"/>
        <w:autoSpaceDN w:val="0"/>
        <w:adjustRightInd w:val="0"/>
        <w:spacing w:line="240" w:lineRule="auto"/>
        <w:jc w:val="both"/>
        <w:rPr>
          <w:rFonts w:cs="Arial"/>
        </w:rPr>
      </w:pPr>
      <w:r>
        <w:rPr>
          <w:rFonts w:cs="Arial"/>
          <w:szCs w:val="22"/>
        </w:rPr>
        <w:t xml:space="preserve">The midwifery scope of practice is limited to the care of women in pregnancy, labour and childbirth and the post-natal period, and their babies. Midwives prescribe a limited range of medicines specific to the care of pregnant women and </w:t>
      </w:r>
      <w:r w:rsidR="00761AC3">
        <w:rPr>
          <w:rFonts w:cs="Arial"/>
          <w:szCs w:val="22"/>
        </w:rPr>
        <w:t>new-born</w:t>
      </w:r>
      <w:r>
        <w:rPr>
          <w:rFonts w:cs="Arial"/>
          <w:szCs w:val="22"/>
        </w:rPr>
        <w:t xml:space="preserve"> infants. </w:t>
      </w:r>
    </w:p>
    <w:p w:rsidR="00110120" w:rsidRPr="00110120" w:rsidRDefault="00110120" w:rsidP="00CF3795">
      <w:pPr>
        <w:pStyle w:val="ListParagraph"/>
        <w:numPr>
          <w:ilvl w:val="0"/>
          <w:numId w:val="5"/>
        </w:numPr>
        <w:spacing w:line="240" w:lineRule="auto"/>
        <w:jc w:val="both"/>
        <w:rPr>
          <w:rFonts w:cs="Arial"/>
          <w:szCs w:val="22"/>
        </w:rPr>
      </w:pPr>
      <w:r>
        <w:rPr>
          <w:rFonts w:cs="Arial"/>
          <w:szCs w:val="22"/>
        </w:rPr>
        <w:t>Following discussion with the Midwifery Council of New Zealand and the College of Midwives the Ministry concluded</w:t>
      </w:r>
      <w:r w:rsidRPr="00110120">
        <w:rPr>
          <w:rFonts w:cs="Arial"/>
          <w:szCs w:val="22"/>
        </w:rPr>
        <w:t xml:space="preserve"> </w:t>
      </w:r>
      <w:r>
        <w:rPr>
          <w:rFonts w:cs="Arial"/>
          <w:szCs w:val="22"/>
        </w:rPr>
        <w:t xml:space="preserve">midwives </w:t>
      </w:r>
      <w:r w:rsidRPr="00110120">
        <w:rPr>
          <w:rFonts w:cs="Arial"/>
          <w:szCs w:val="22"/>
        </w:rPr>
        <w:t>do not usually work in situations where the use of standing orders would improve access to medicines</w:t>
      </w:r>
      <w:r>
        <w:rPr>
          <w:rFonts w:cs="Arial"/>
          <w:szCs w:val="22"/>
        </w:rPr>
        <w:t>.</w:t>
      </w:r>
    </w:p>
    <w:p w:rsidR="008D5CD9" w:rsidRPr="00082653" w:rsidRDefault="008D5CD9" w:rsidP="00761AC3">
      <w:pPr>
        <w:pStyle w:val="Heading2"/>
        <w:ind w:left="0" w:firstLine="0"/>
      </w:pPr>
      <w:bookmarkStart w:id="47" w:name="_Toc244580366"/>
      <w:bookmarkStart w:id="48" w:name="_Toc244587042"/>
      <w:bookmarkStart w:id="49" w:name="_Toc244857276"/>
      <w:bookmarkStart w:id="50" w:name="_Toc244912541"/>
      <w:bookmarkStart w:id="51" w:name="_Toc244916998"/>
      <w:bookmarkStart w:id="52" w:name="_Toc362368107"/>
      <w:bookmarkStart w:id="53" w:name="_Toc362434948"/>
      <w:bookmarkStart w:id="54" w:name="_Toc362589334"/>
      <w:bookmarkStart w:id="55" w:name="_Toc362619034"/>
      <w:bookmarkStart w:id="56" w:name="_Toc362940598"/>
      <w:bookmarkStart w:id="57" w:name="_Toc363047106"/>
      <w:r w:rsidRPr="00082653">
        <w:t>Consultation</w:t>
      </w:r>
      <w:bookmarkEnd w:id="47"/>
      <w:bookmarkEnd w:id="48"/>
      <w:bookmarkEnd w:id="49"/>
      <w:bookmarkEnd w:id="50"/>
      <w:bookmarkEnd w:id="51"/>
      <w:bookmarkEnd w:id="52"/>
      <w:bookmarkEnd w:id="53"/>
      <w:bookmarkEnd w:id="54"/>
      <w:bookmarkEnd w:id="55"/>
      <w:bookmarkEnd w:id="56"/>
      <w:bookmarkEnd w:id="57"/>
    </w:p>
    <w:p w:rsidR="00FF3220" w:rsidRDefault="00AF46F2" w:rsidP="00CF3795">
      <w:pPr>
        <w:numPr>
          <w:ilvl w:val="0"/>
          <w:numId w:val="5"/>
        </w:numPr>
        <w:spacing w:line="240" w:lineRule="auto"/>
        <w:jc w:val="both"/>
        <w:rPr>
          <w:rFonts w:cs="Arial"/>
          <w:szCs w:val="22"/>
        </w:rPr>
      </w:pPr>
      <w:r>
        <w:rPr>
          <w:rFonts w:cs="Arial"/>
          <w:szCs w:val="22"/>
        </w:rPr>
        <w:t>The Ministry conducted</w:t>
      </w:r>
      <w:r w:rsidRPr="0065624C">
        <w:rPr>
          <w:rFonts w:cs="Arial"/>
          <w:szCs w:val="22"/>
        </w:rPr>
        <w:t xml:space="preserve"> targeted consultation </w:t>
      </w:r>
      <w:r w:rsidR="00F1723D">
        <w:rPr>
          <w:rFonts w:cs="Arial"/>
          <w:szCs w:val="22"/>
        </w:rPr>
        <w:t xml:space="preserve">in November 2015 </w:t>
      </w:r>
      <w:r w:rsidR="00182262" w:rsidRPr="00DA49C6">
        <w:rPr>
          <w:rFonts w:cs="Arial"/>
          <w:szCs w:val="22"/>
        </w:rPr>
        <w:t xml:space="preserve">on </w:t>
      </w:r>
      <w:r w:rsidR="00F1723D">
        <w:rPr>
          <w:rFonts w:cs="Arial"/>
          <w:szCs w:val="22"/>
        </w:rPr>
        <w:t xml:space="preserve">the timing of </w:t>
      </w:r>
      <w:r w:rsidR="00182262" w:rsidRPr="00DA49C6">
        <w:rPr>
          <w:rFonts w:cs="Arial"/>
          <w:szCs w:val="22"/>
        </w:rPr>
        <w:t xml:space="preserve">an amendment to the Regulations </w:t>
      </w:r>
      <w:r w:rsidR="00F1723D">
        <w:rPr>
          <w:rFonts w:cs="Arial"/>
          <w:szCs w:val="22"/>
        </w:rPr>
        <w:t>to allow</w:t>
      </w:r>
      <w:r w:rsidR="00182262" w:rsidRPr="00DA49C6">
        <w:rPr>
          <w:rFonts w:cs="Arial"/>
          <w:szCs w:val="22"/>
        </w:rPr>
        <w:t xml:space="preserve"> nurse practitioners</w:t>
      </w:r>
      <w:r w:rsidR="00F1723D">
        <w:rPr>
          <w:rFonts w:cs="Arial"/>
          <w:szCs w:val="22"/>
        </w:rPr>
        <w:t xml:space="preserve"> to issue standing orders</w:t>
      </w:r>
      <w:r w:rsidR="00182262" w:rsidRPr="00DA49C6">
        <w:rPr>
          <w:rFonts w:cs="Arial"/>
          <w:szCs w:val="22"/>
        </w:rPr>
        <w:t xml:space="preserve">. </w:t>
      </w:r>
      <w:r w:rsidR="00FF3220">
        <w:rPr>
          <w:rFonts w:cs="Arial"/>
          <w:szCs w:val="22"/>
        </w:rPr>
        <w:lastRenderedPageBreak/>
        <w:t>Eighteen submissions were received from nursing, medical, pharmacy and opt</w:t>
      </w:r>
      <w:r w:rsidR="00D871F0">
        <w:rPr>
          <w:rFonts w:cs="Arial"/>
          <w:szCs w:val="22"/>
        </w:rPr>
        <w:t>ometry</w:t>
      </w:r>
      <w:r w:rsidR="00FF3220">
        <w:rPr>
          <w:rFonts w:cs="Arial"/>
          <w:szCs w:val="22"/>
        </w:rPr>
        <w:t xml:space="preserve"> stakeholders.</w:t>
      </w:r>
    </w:p>
    <w:p w:rsidR="00182262" w:rsidRPr="00DA49C6" w:rsidRDefault="00182262" w:rsidP="00CF3795">
      <w:pPr>
        <w:numPr>
          <w:ilvl w:val="0"/>
          <w:numId w:val="5"/>
        </w:numPr>
        <w:spacing w:line="240" w:lineRule="auto"/>
        <w:jc w:val="both"/>
        <w:rPr>
          <w:rFonts w:cs="Arial"/>
          <w:szCs w:val="22"/>
        </w:rPr>
      </w:pPr>
      <w:r>
        <w:rPr>
          <w:rFonts w:cs="Arial"/>
          <w:szCs w:val="22"/>
        </w:rPr>
        <w:t xml:space="preserve">The majority of </w:t>
      </w:r>
      <w:r w:rsidR="00FF3220">
        <w:rPr>
          <w:rFonts w:cs="Arial"/>
          <w:szCs w:val="22"/>
        </w:rPr>
        <w:t>stakeholders</w:t>
      </w:r>
      <w:r w:rsidRPr="00DA49C6">
        <w:rPr>
          <w:rFonts w:cs="Arial"/>
          <w:szCs w:val="22"/>
        </w:rPr>
        <w:t xml:space="preserve"> </w:t>
      </w:r>
      <w:r w:rsidR="008E027F">
        <w:rPr>
          <w:rFonts w:cs="Arial"/>
          <w:szCs w:val="22"/>
        </w:rPr>
        <w:t>supported making</w:t>
      </w:r>
      <w:r w:rsidRPr="00DA49C6">
        <w:rPr>
          <w:rFonts w:cs="Arial"/>
          <w:szCs w:val="22"/>
        </w:rPr>
        <w:t xml:space="preserve"> the amendment now rather than as part of the wider review of the regulatory regime for therapeutic products</w:t>
      </w:r>
      <w:r w:rsidR="00822175">
        <w:rPr>
          <w:rFonts w:cs="Arial"/>
          <w:szCs w:val="22"/>
        </w:rPr>
        <w:t>.  No risks were</w:t>
      </w:r>
      <w:r w:rsidRPr="00DA49C6">
        <w:rPr>
          <w:rFonts w:cs="Arial"/>
          <w:szCs w:val="22"/>
        </w:rPr>
        <w:t xml:space="preserve"> </w:t>
      </w:r>
      <w:r w:rsidR="00761AC3" w:rsidRPr="00DA49C6">
        <w:rPr>
          <w:rFonts w:cs="Arial"/>
          <w:szCs w:val="22"/>
        </w:rPr>
        <w:t>identif</w:t>
      </w:r>
      <w:r w:rsidR="00761AC3">
        <w:rPr>
          <w:rFonts w:cs="Arial"/>
          <w:szCs w:val="22"/>
        </w:rPr>
        <w:t>ied</w:t>
      </w:r>
      <w:r w:rsidR="00822175">
        <w:rPr>
          <w:rFonts w:cs="Arial"/>
          <w:szCs w:val="22"/>
        </w:rPr>
        <w:t xml:space="preserve"> by submitters </w:t>
      </w:r>
      <w:r w:rsidRPr="00DA49C6">
        <w:rPr>
          <w:rFonts w:cs="Arial"/>
          <w:szCs w:val="22"/>
        </w:rPr>
        <w:t>with proceeding now.</w:t>
      </w:r>
    </w:p>
    <w:p w:rsidR="00182262" w:rsidRPr="00FF3220" w:rsidRDefault="00182262" w:rsidP="00CF3795">
      <w:pPr>
        <w:numPr>
          <w:ilvl w:val="0"/>
          <w:numId w:val="5"/>
        </w:numPr>
        <w:spacing w:line="240" w:lineRule="auto"/>
        <w:jc w:val="both"/>
        <w:rPr>
          <w:rFonts w:cs="Arial"/>
          <w:szCs w:val="22"/>
        </w:rPr>
      </w:pPr>
      <w:r w:rsidRPr="00FF3220">
        <w:rPr>
          <w:rFonts w:cs="Arial"/>
          <w:szCs w:val="22"/>
        </w:rPr>
        <w:t>The Nursing Council of New Zealand</w:t>
      </w:r>
      <w:r w:rsidR="00CA1744">
        <w:rPr>
          <w:rFonts w:cs="Arial"/>
          <w:szCs w:val="22"/>
        </w:rPr>
        <w:t>, the New Zealand Association of Optometrists</w:t>
      </w:r>
      <w:r w:rsidRPr="00FF3220">
        <w:rPr>
          <w:rFonts w:cs="Arial"/>
          <w:szCs w:val="22"/>
        </w:rPr>
        <w:t xml:space="preserve"> and the </w:t>
      </w:r>
      <w:r w:rsidR="00AF1E44">
        <w:rPr>
          <w:rFonts w:cs="Arial"/>
          <w:szCs w:val="22"/>
        </w:rPr>
        <w:t>Optometrists and Dispensing Opticians Board</w:t>
      </w:r>
      <w:r w:rsidRPr="00FF3220">
        <w:rPr>
          <w:rFonts w:cs="Arial"/>
          <w:szCs w:val="22"/>
        </w:rPr>
        <w:t xml:space="preserve"> support</w:t>
      </w:r>
      <w:r w:rsidR="00F1723D" w:rsidRPr="00FF3220">
        <w:rPr>
          <w:rFonts w:cs="Arial"/>
          <w:szCs w:val="22"/>
        </w:rPr>
        <w:t>ed</w:t>
      </w:r>
      <w:r w:rsidRPr="00FF3220">
        <w:rPr>
          <w:rFonts w:cs="Arial"/>
          <w:szCs w:val="22"/>
        </w:rPr>
        <w:t xml:space="preserve"> </w:t>
      </w:r>
      <w:r w:rsidR="00FF3220">
        <w:rPr>
          <w:rFonts w:cs="Arial"/>
          <w:szCs w:val="22"/>
        </w:rPr>
        <w:t xml:space="preserve">the proposed </w:t>
      </w:r>
      <w:r w:rsidRPr="00FF3220">
        <w:rPr>
          <w:rFonts w:cs="Arial"/>
          <w:szCs w:val="22"/>
        </w:rPr>
        <w:t>amendment to the Regulations</w:t>
      </w:r>
      <w:r w:rsidR="00F1723D" w:rsidRPr="00FF3220">
        <w:rPr>
          <w:rFonts w:cs="Arial"/>
          <w:szCs w:val="22"/>
        </w:rPr>
        <w:t xml:space="preserve"> and asked the Ministry to include </w:t>
      </w:r>
      <w:r w:rsidR="00E13880">
        <w:rPr>
          <w:rFonts w:cs="Arial"/>
          <w:szCs w:val="22"/>
        </w:rPr>
        <w:t>prescribing optometrist</w:t>
      </w:r>
      <w:r w:rsidR="00F1723D" w:rsidRPr="00FF3220">
        <w:rPr>
          <w:rFonts w:cs="Arial"/>
          <w:szCs w:val="22"/>
        </w:rPr>
        <w:t>s in any such amendment</w:t>
      </w:r>
      <w:r w:rsidRPr="00FF3220">
        <w:rPr>
          <w:rFonts w:cs="Arial"/>
          <w:szCs w:val="22"/>
        </w:rPr>
        <w:t xml:space="preserve">. </w:t>
      </w:r>
      <w:r w:rsidR="00A5070A" w:rsidRPr="00FF3220">
        <w:rPr>
          <w:rFonts w:cs="Arial"/>
          <w:szCs w:val="22"/>
          <w:lang w:val="en-NZ"/>
        </w:rPr>
        <w:t xml:space="preserve">A </w:t>
      </w:r>
      <w:r w:rsidRPr="00FF3220">
        <w:rPr>
          <w:rFonts w:cs="Arial"/>
          <w:szCs w:val="22"/>
        </w:rPr>
        <w:t>further targeted consultation</w:t>
      </w:r>
      <w:r w:rsidR="00354D4D">
        <w:rPr>
          <w:rFonts w:cs="Arial"/>
          <w:szCs w:val="22"/>
        </w:rPr>
        <w:t xml:space="preserve"> in February 2016</w:t>
      </w:r>
      <w:r w:rsidRPr="00FF3220">
        <w:rPr>
          <w:rFonts w:cs="Arial"/>
          <w:szCs w:val="22"/>
        </w:rPr>
        <w:t xml:space="preserve"> </w:t>
      </w:r>
      <w:r w:rsidR="00354D4D">
        <w:rPr>
          <w:rFonts w:cs="Arial"/>
          <w:szCs w:val="22"/>
        </w:rPr>
        <w:t>was sent to</w:t>
      </w:r>
      <w:r w:rsidR="00B72D17">
        <w:rPr>
          <w:rFonts w:cs="Arial"/>
          <w:szCs w:val="22"/>
        </w:rPr>
        <w:t xml:space="preserve"> </w:t>
      </w:r>
      <w:r w:rsidR="003A2839">
        <w:rPr>
          <w:rFonts w:cs="Arial"/>
          <w:szCs w:val="22"/>
        </w:rPr>
        <w:t>organisation</w:t>
      </w:r>
      <w:r w:rsidR="00D871F0">
        <w:rPr>
          <w:rFonts w:cs="Arial"/>
          <w:szCs w:val="22"/>
        </w:rPr>
        <w:t>s</w:t>
      </w:r>
      <w:r w:rsidR="003A2839">
        <w:rPr>
          <w:rFonts w:cs="Arial"/>
          <w:szCs w:val="22"/>
        </w:rPr>
        <w:t xml:space="preserve"> that responded</w:t>
      </w:r>
      <w:r w:rsidR="00B72D17">
        <w:rPr>
          <w:rFonts w:cs="Arial"/>
          <w:szCs w:val="22"/>
        </w:rPr>
        <w:t xml:space="preserve"> to the</w:t>
      </w:r>
      <w:r w:rsidR="003A2839">
        <w:rPr>
          <w:rFonts w:cs="Arial"/>
          <w:szCs w:val="22"/>
        </w:rPr>
        <w:t xml:space="preserve"> November 2015</w:t>
      </w:r>
      <w:r w:rsidR="00B72D17">
        <w:rPr>
          <w:rFonts w:cs="Arial"/>
          <w:szCs w:val="22"/>
        </w:rPr>
        <w:t xml:space="preserve"> consultation</w:t>
      </w:r>
      <w:r w:rsidR="00354D4D">
        <w:rPr>
          <w:rFonts w:cs="Arial"/>
          <w:szCs w:val="22"/>
        </w:rPr>
        <w:t>. Stakeholders were asked for</w:t>
      </w:r>
      <w:r w:rsidR="00B72D17">
        <w:rPr>
          <w:rFonts w:cs="Arial"/>
          <w:szCs w:val="22"/>
        </w:rPr>
        <w:t xml:space="preserve"> feedback on the proposal to extend</w:t>
      </w:r>
      <w:r w:rsidR="00AA075B">
        <w:rPr>
          <w:rFonts w:cs="Arial"/>
          <w:szCs w:val="22"/>
        </w:rPr>
        <w:t xml:space="preserve"> the amendment </w:t>
      </w:r>
      <w:r w:rsidR="00354D4D">
        <w:rPr>
          <w:rFonts w:cs="Arial"/>
          <w:szCs w:val="22"/>
        </w:rPr>
        <w:t>of</w:t>
      </w:r>
      <w:r w:rsidR="00AA075B">
        <w:rPr>
          <w:rFonts w:cs="Arial"/>
          <w:szCs w:val="22"/>
        </w:rPr>
        <w:t xml:space="preserve"> the Regulations to allow</w:t>
      </w:r>
      <w:r w:rsidRPr="00FF3220">
        <w:rPr>
          <w:rFonts w:cs="Arial"/>
          <w:szCs w:val="22"/>
        </w:rPr>
        <w:t xml:space="preserve"> </w:t>
      </w:r>
      <w:r w:rsidR="00E13880">
        <w:rPr>
          <w:rFonts w:cs="Arial"/>
          <w:szCs w:val="22"/>
        </w:rPr>
        <w:t>prescribing optometrist</w:t>
      </w:r>
      <w:r w:rsidRPr="00FF3220">
        <w:rPr>
          <w:rFonts w:cs="Arial"/>
          <w:szCs w:val="22"/>
        </w:rPr>
        <w:t>s</w:t>
      </w:r>
      <w:r w:rsidR="00A5070A" w:rsidRPr="00FF3220">
        <w:rPr>
          <w:rFonts w:cs="Arial"/>
          <w:szCs w:val="22"/>
        </w:rPr>
        <w:t xml:space="preserve"> </w:t>
      </w:r>
      <w:r w:rsidR="00AA075B">
        <w:rPr>
          <w:rFonts w:cs="Arial"/>
          <w:szCs w:val="22"/>
        </w:rPr>
        <w:t>to issue standing orders</w:t>
      </w:r>
      <w:r w:rsidRPr="00FF3220">
        <w:rPr>
          <w:rFonts w:cs="Arial"/>
          <w:szCs w:val="22"/>
        </w:rPr>
        <w:t xml:space="preserve">. </w:t>
      </w:r>
    </w:p>
    <w:p w:rsidR="00354D4D" w:rsidRPr="008D042F" w:rsidRDefault="00354D4D" w:rsidP="00CF3795">
      <w:pPr>
        <w:numPr>
          <w:ilvl w:val="0"/>
          <w:numId w:val="5"/>
        </w:numPr>
        <w:spacing w:line="240" w:lineRule="auto"/>
        <w:jc w:val="both"/>
        <w:rPr>
          <w:rFonts w:cs="Arial"/>
          <w:szCs w:val="22"/>
        </w:rPr>
      </w:pPr>
      <w:r>
        <w:rPr>
          <w:rFonts w:cs="Arial"/>
          <w:szCs w:val="22"/>
          <w:lang w:val="en-NZ"/>
        </w:rPr>
        <w:t xml:space="preserve">The New Zealand Association of </w:t>
      </w:r>
      <w:r w:rsidR="00CA1744">
        <w:rPr>
          <w:rFonts w:cs="Arial"/>
          <w:szCs w:val="22"/>
          <w:lang w:val="en-NZ"/>
        </w:rPr>
        <w:t>O</w:t>
      </w:r>
      <w:r w:rsidR="00E13880">
        <w:rPr>
          <w:rFonts w:cs="Arial"/>
          <w:szCs w:val="22"/>
          <w:lang w:val="en-NZ"/>
        </w:rPr>
        <w:t>ptometrist</w:t>
      </w:r>
      <w:r>
        <w:rPr>
          <w:rFonts w:cs="Arial"/>
          <w:szCs w:val="22"/>
          <w:lang w:val="en-NZ"/>
        </w:rPr>
        <w:t xml:space="preserve">s and the </w:t>
      </w:r>
      <w:r w:rsidR="00AF1E44">
        <w:rPr>
          <w:rFonts w:cs="Arial"/>
          <w:szCs w:val="22"/>
          <w:lang w:val="en-NZ"/>
        </w:rPr>
        <w:t>Optometrists and Dispensing Opticians Board</w:t>
      </w:r>
      <w:r>
        <w:rPr>
          <w:rFonts w:cs="Arial"/>
          <w:szCs w:val="22"/>
          <w:lang w:val="en-NZ"/>
        </w:rPr>
        <w:t xml:space="preserve"> </w:t>
      </w:r>
      <w:r w:rsidR="00822175">
        <w:rPr>
          <w:rFonts w:cs="Arial"/>
          <w:szCs w:val="22"/>
          <w:lang w:val="en-NZ"/>
        </w:rPr>
        <w:t>strongly</w:t>
      </w:r>
      <w:r>
        <w:rPr>
          <w:rFonts w:cs="Arial"/>
          <w:szCs w:val="22"/>
          <w:lang w:val="en-NZ"/>
        </w:rPr>
        <w:t xml:space="preserve"> supported the proposal.</w:t>
      </w:r>
    </w:p>
    <w:p w:rsidR="00FF3220" w:rsidRPr="00FF3220" w:rsidRDefault="00182262" w:rsidP="00CF3795">
      <w:pPr>
        <w:numPr>
          <w:ilvl w:val="0"/>
          <w:numId w:val="5"/>
        </w:numPr>
        <w:spacing w:line="240" w:lineRule="auto"/>
        <w:jc w:val="both"/>
        <w:rPr>
          <w:rFonts w:cs="Arial"/>
          <w:szCs w:val="22"/>
        </w:rPr>
      </w:pPr>
      <w:r w:rsidRPr="00FF3220">
        <w:rPr>
          <w:rFonts w:cs="Arial"/>
          <w:szCs w:val="22"/>
          <w:lang w:val="en-NZ"/>
        </w:rPr>
        <w:t xml:space="preserve">The </w:t>
      </w:r>
      <w:r w:rsidR="00FF3220">
        <w:rPr>
          <w:rFonts w:cs="Arial"/>
          <w:szCs w:val="22"/>
          <w:lang w:val="en-NZ"/>
        </w:rPr>
        <w:t xml:space="preserve">majority of </w:t>
      </w:r>
      <w:r w:rsidR="00354D4D">
        <w:rPr>
          <w:rFonts w:cs="Arial"/>
          <w:szCs w:val="22"/>
          <w:lang w:val="en-NZ"/>
        </w:rPr>
        <w:t xml:space="preserve">other </w:t>
      </w:r>
      <w:r w:rsidR="00FF3220">
        <w:rPr>
          <w:rFonts w:cs="Arial"/>
          <w:szCs w:val="22"/>
          <w:lang w:val="en-NZ"/>
        </w:rPr>
        <w:t>respondents</w:t>
      </w:r>
      <w:r w:rsidRPr="00FF3220">
        <w:rPr>
          <w:rFonts w:cs="Arial"/>
          <w:szCs w:val="22"/>
          <w:lang w:val="en-NZ"/>
        </w:rPr>
        <w:t xml:space="preserve"> agree</w:t>
      </w:r>
      <w:r w:rsidR="00CC31D7">
        <w:rPr>
          <w:rFonts w:cs="Arial"/>
          <w:szCs w:val="22"/>
          <w:lang w:val="en-NZ"/>
        </w:rPr>
        <w:t>d</w:t>
      </w:r>
      <w:r w:rsidRPr="00FF3220">
        <w:rPr>
          <w:rFonts w:cs="Arial"/>
          <w:szCs w:val="22"/>
          <w:lang w:val="en-NZ"/>
        </w:rPr>
        <w:t xml:space="preserve"> that enabling </w:t>
      </w:r>
      <w:r w:rsidR="00E13880">
        <w:rPr>
          <w:rFonts w:cs="Arial"/>
          <w:szCs w:val="22"/>
          <w:lang w:val="en-NZ"/>
        </w:rPr>
        <w:t>prescribing optometrist</w:t>
      </w:r>
      <w:r w:rsidRPr="00FF3220">
        <w:rPr>
          <w:rFonts w:cs="Arial"/>
          <w:szCs w:val="22"/>
          <w:lang w:val="en-NZ"/>
        </w:rPr>
        <w:t xml:space="preserve">s to issue standing orders could improve the timeliness and efficiency of providing eye health in some settings and would make the best use of the available workforce. </w:t>
      </w:r>
      <w:r w:rsidR="00CC31D7">
        <w:rPr>
          <w:rFonts w:cs="Arial"/>
          <w:szCs w:val="22"/>
          <w:lang w:val="en-NZ"/>
        </w:rPr>
        <w:t xml:space="preserve">Submitters supported amendment now ahead of the wider review </w:t>
      </w:r>
      <w:r w:rsidR="00AA075B">
        <w:rPr>
          <w:rFonts w:cs="Arial"/>
          <w:szCs w:val="22"/>
          <w:lang w:val="en-NZ"/>
        </w:rPr>
        <w:t xml:space="preserve">of the </w:t>
      </w:r>
      <w:r w:rsidR="00822175">
        <w:rPr>
          <w:rFonts w:cs="Arial"/>
          <w:szCs w:val="22"/>
          <w:lang w:val="en-NZ"/>
        </w:rPr>
        <w:t>regulatory</w:t>
      </w:r>
      <w:r w:rsidR="00AA075B">
        <w:rPr>
          <w:rFonts w:cs="Arial"/>
          <w:szCs w:val="22"/>
          <w:lang w:val="en-NZ"/>
        </w:rPr>
        <w:t xml:space="preserve"> regime for </w:t>
      </w:r>
      <w:r w:rsidR="00822175">
        <w:rPr>
          <w:rFonts w:cs="Arial"/>
          <w:szCs w:val="22"/>
          <w:lang w:val="en-NZ"/>
        </w:rPr>
        <w:t>therapeutic</w:t>
      </w:r>
      <w:r w:rsidR="00AA075B">
        <w:rPr>
          <w:rFonts w:cs="Arial"/>
          <w:szCs w:val="22"/>
          <w:lang w:val="en-NZ"/>
        </w:rPr>
        <w:t xml:space="preserve"> products</w:t>
      </w:r>
      <w:r w:rsidR="00CC31D7">
        <w:rPr>
          <w:rFonts w:cs="Arial"/>
          <w:szCs w:val="22"/>
          <w:lang w:val="en-NZ"/>
        </w:rPr>
        <w:t>.</w:t>
      </w:r>
    </w:p>
    <w:p w:rsidR="00FF3220" w:rsidRPr="00FF3220" w:rsidRDefault="008D042F" w:rsidP="00CF3795">
      <w:pPr>
        <w:numPr>
          <w:ilvl w:val="0"/>
          <w:numId w:val="5"/>
        </w:numPr>
        <w:spacing w:line="240" w:lineRule="auto"/>
        <w:jc w:val="both"/>
        <w:rPr>
          <w:rFonts w:cs="Arial"/>
          <w:szCs w:val="22"/>
        </w:rPr>
      </w:pPr>
      <w:r>
        <w:rPr>
          <w:rFonts w:cs="Arial"/>
          <w:szCs w:val="22"/>
          <w:lang w:val="en-NZ"/>
        </w:rPr>
        <w:t>The Royal New Zealand College of General Practitioners supported the amendment for nurse practitioners and more reservedly suppo</w:t>
      </w:r>
      <w:r w:rsidR="00CC31D7">
        <w:rPr>
          <w:rFonts w:cs="Arial"/>
          <w:szCs w:val="22"/>
          <w:lang w:val="en-NZ"/>
        </w:rPr>
        <w:t>rted includin</w:t>
      </w:r>
      <w:r>
        <w:rPr>
          <w:rFonts w:cs="Arial"/>
          <w:szCs w:val="22"/>
          <w:lang w:val="en-NZ"/>
        </w:rPr>
        <w:t xml:space="preserve">g </w:t>
      </w:r>
      <w:r w:rsidR="00E13880">
        <w:rPr>
          <w:rFonts w:cs="Arial"/>
          <w:szCs w:val="22"/>
          <w:lang w:val="en-NZ"/>
        </w:rPr>
        <w:t>prescribing optometrist</w:t>
      </w:r>
      <w:r>
        <w:rPr>
          <w:rFonts w:cs="Arial"/>
          <w:szCs w:val="22"/>
          <w:lang w:val="en-NZ"/>
        </w:rPr>
        <w:t xml:space="preserve">s in the amendment. The caution about </w:t>
      </w:r>
      <w:r w:rsidR="00E13880">
        <w:rPr>
          <w:rFonts w:cs="Arial"/>
          <w:szCs w:val="22"/>
          <w:lang w:val="en-NZ"/>
        </w:rPr>
        <w:t>prescribing optometrist</w:t>
      </w:r>
      <w:r>
        <w:rPr>
          <w:rFonts w:cs="Arial"/>
          <w:szCs w:val="22"/>
          <w:lang w:val="en-NZ"/>
        </w:rPr>
        <w:t xml:space="preserve">s was related to the potential risks in a commercial setting where </w:t>
      </w:r>
      <w:r w:rsidR="00E13880">
        <w:rPr>
          <w:rFonts w:cs="Arial"/>
          <w:szCs w:val="22"/>
          <w:lang w:val="en-NZ"/>
        </w:rPr>
        <w:t>prescribing optometrist</w:t>
      </w:r>
      <w:r>
        <w:rPr>
          <w:rFonts w:cs="Arial"/>
          <w:szCs w:val="22"/>
          <w:lang w:val="en-NZ"/>
        </w:rPr>
        <w:t xml:space="preserve">s may have </w:t>
      </w:r>
      <w:r w:rsidR="00CC31D7">
        <w:rPr>
          <w:rFonts w:cs="Arial"/>
          <w:szCs w:val="22"/>
          <w:lang w:val="en-NZ"/>
        </w:rPr>
        <w:t>less contact with people if medi</w:t>
      </w:r>
      <w:r>
        <w:rPr>
          <w:rFonts w:cs="Arial"/>
          <w:szCs w:val="22"/>
          <w:lang w:val="en-NZ"/>
        </w:rPr>
        <w:t>c</w:t>
      </w:r>
      <w:r w:rsidR="00CC31D7">
        <w:rPr>
          <w:rFonts w:cs="Arial"/>
          <w:szCs w:val="22"/>
          <w:lang w:val="en-NZ"/>
        </w:rPr>
        <w:t>i</w:t>
      </w:r>
      <w:r>
        <w:rPr>
          <w:rFonts w:cs="Arial"/>
          <w:szCs w:val="22"/>
          <w:lang w:val="en-NZ"/>
        </w:rPr>
        <w:t xml:space="preserve">nes could be provided by other </w:t>
      </w:r>
      <w:r w:rsidR="00822175">
        <w:rPr>
          <w:rFonts w:cs="Arial"/>
          <w:szCs w:val="22"/>
          <w:lang w:val="en-NZ"/>
        </w:rPr>
        <w:t>non-prescribing</w:t>
      </w:r>
      <w:r>
        <w:rPr>
          <w:rFonts w:cs="Arial"/>
          <w:szCs w:val="22"/>
          <w:lang w:val="en-NZ"/>
        </w:rPr>
        <w:t xml:space="preserve"> staff w</w:t>
      </w:r>
      <w:r w:rsidR="00D871F0">
        <w:rPr>
          <w:rFonts w:cs="Arial"/>
          <w:szCs w:val="22"/>
          <w:lang w:val="en-NZ"/>
        </w:rPr>
        <w:t>ith</w:t>
      </w:r>
      <w:r>
        <w:rPr>
          <w:rFonts w:cs="Arial"/>
          <w:szCs w:val="22"/>
          <w:lang w:val="en-NZ"/>
        </w:rPr>
        <w:t xml:space="preserve"> the </w:t>
      </w:r>
      <w:r w:rsidR="00E13880">
        <w:rPr>
          <w:rFonts w:cs="Arial"/>
          <w:szCs w:val="22"/>
          <w:lang w:val="en-NZ"/>
        </w:rPr>
        <w:t>prescribing optometrist</w:t>
      </w:r>
      <w:r>
        <w:rPr>
          <w:rFonts w:cs="Arial"/>
          <w:szCs w:val="22"/>
          <w:lang w:val="en-NZ"/>
        </w:rPr>
        <w:t xml:space="preserve"> overseeing the </w:t>
      </w:r>
      <w:r w:rsidR="00822175">
        <w:rPr>
          <w:rFonts w:cs="Arial"/>
          <w:szCs w:val="22"/>
          <w:lang w:val="en-NZ"/>
        </w:rPr>
        <w:t>standing</w:t>
      </w:r>
      <w:r>
        <w:rPr>
          <w:rFonts w:cs="Arial"/>
          <w:szCs w:val="22"/>
          <w:lang w:val="en-NZ"/>
        </w:rPr>
        <w:t xml:space="preserve"> order at a distance. In addition there was concern that non</w:t>
      </w:r>
      <w:r w:rsidR="00822175">
        <w:rPr>
          <w:rFonts w:cs="Arial"/>
          <w:szCs w:val="22"/>
          <w:lang w:val="en-NZ"/>
        </w:rPr>
        <w:t>-</w:t>
      </w:r>
      <w:r>
        <w:rPr>
          <w:rFonts w:cs="Arial"/>
          <w:szCs w:val="22"/>
          <w:lang w:val="en-NZ"/>
        </w:rPr>
        <w:t xml:space="preserve">prescribing </w:t>
      </w:r>
      <w:r w:rsidR="00761AC3">
        <w:rPr>
          <w:rFonts w:cs="Arial"/>
          <w:szCs w:val="22"/>
          <w:lang w:val="en-NZ"/>
        </w:rPr>
        <w:t>optometry</w:t>
      </w:r>
      <w:r>
        <w:rPr>
          <w:rFonts w:cs="Arial"/>
          <w:szCs w:val="22"/>
          <w:lang w:val="en-NZ"/>
        </w:rPr>
        <w:t xml:space="preserve"> st</w:t>
      </w:r>
      <w:r w:rsidR="00CC31D7">
        <w:rPr>
          <w:rFonts w:cs="Arial"/>
          <w:szCs w:val="22"/>
          <w:lang w:val="en-NZ"/>
        </w:rPr>
        <w:t>aff may not be encouraged to undertake furt</w:t>
      </w:r>
      <w:r>
        <w:rPr>
          <w:rFonts w:cs="Arial"/>
          <w:szCs w:val="22"/>
          <w:lang w:val="en-NZ"/>
        </w:rPr>
        <w:t>her education to become prescribers if standing orders improved access to medicines</w:t>
      </w:r>
      <w:r w:rsidR="00CC31D7">
        <w:rPr>
          <w:rFonts w:cs="Arial"/>
          <w:szCs w:val="22"/>
          <w:lang w:val="en-NZ"/>
        </w:rPr>
        <w:t xml:space="preserve"> in the ab</w:t>
      </w:r>
      <w:r>
        <w:rPr>
          <w:rFonts w:cs="Arial"/>
          <w:szCs w:val="22"/>
          <w:lang w:val="en-NZ"/>
        </w:rPr>
        <w:t>sence of a prescriber.</w:t>
      </w:r>
      <w:r w:rsidR="00110120">
        <w:rPr>
          <w:rFonts w:cs="Arial"/>
          <w:szCs w:val="22"/>
          <w:lang w:val="en-NZ"/>
        </w:rPr>
        <w:t xml:space="preserve"> Analysis of the submissions from optometry stakeholders provide a reasoned case and examples to describe the situations where </w:t>
      </w:r>
      <w:r w:rsidR="00E13880">
        <w:rPr>
          <w:rFonts w:cs="Arial"/>
          <w:szCs w:val="22"/>
          <w:lang w:val="en-NZ"/>
        </w:rPr>
        <w:t>prescribing optometrist</w:t>
      </w:r>
      <w:r w:rsidR="00110120">
        <w:rPr>
          <w:rFonts w:cs="Arial"/>
          <w:szCs w:val="22"/>
          <w:lang w:val="en-NZ"/>
        </w:rPr>
        <w:t>s would issue standing orders. There is no indication that the concerns expressed by medical practitioners will impact patient safety or limit professional development for other ophthalmology staff.</w:t>
      </w:r>
    </w:p>
    <w:p w:rsidR="00FF3220" w:rsidRPr="00FF3220" w:rsidRDefault="00FF3220" w:rsidP="00CF3795">
      <w:pPr>
        <w:numPr>
          <w:ilvl w:val="0"/>
          <w:numId w:val="5"/>
        </w:numPr>
        <w:spacing w:line="240" w:lineRule="auto"/>
        <w:jc w:val="both"/>
        <w:rPr>
          <w:rFonts w:cs="Arial"/>
          <w:szCs w:val="22"/>
        </w:rPr>
      </w:pPr>
      <w:r>
        <w:rPr>
          <w:rFonts w:cs="Arial"/>
          <w:szCs w:val="22"/>
          <w:lang w:val="en-NZ"/>
        </w:rPr>
        <w:t xml:space="preserve">The New Zealand Medical Association, the Royal Australian and New Zealand College of Ophthalmologists and the Pharmacy Council were in favour of deferring any amendment to be considered as part of the wider review of the regulatory regime for </w:t>
      </w:r>
      <w:r w:rsidR="00822175">
        <w:rPr>
          <w:rFonts w:cs="Arial"/>
          <w:szCs w:val="22"/>
          <w:lang w:val="en-NZ"/>
        </w:rPr>
        <w:t>therapeutic</w:t>
      </w:r>
      <w:r>
        <w:rPr>
          <w:rFonts w:cs="Arial"/>
          <w:szCs w:val="22"/>
          <w:lang w:val="en-NZ"/>
        </w:rPr>
        <w:t xml:space="preserve"> products</w:t>
      </w:r>
      <w:r w:rsidR="00D871F0">
        <w:rPr>
          <w:rFonts w:cs="Arial"/>
          <w:szCs w:val="22"/>
          <w:lang w:val="en-NZ"/>
        </w:rPr>
        <w:t>. These groups</w:t>
      </w:r>
      <w:r>
        <w:rPr>
          <w:rFonts w:cs="Arial"/>
          <w:szCs w:val="22"/>
          <w:lang w:val="en-NZ"/>
        </w:rPr>
        <w:t xml:space="preserve"> </w:t>
      </w:r>
      <w:r w:rsidR="008D042F">
        <w:rPr>
          <w:rFonts w:cs="Arial"/>
          <w:szCs w:val="22"/>
          <w:lang w:val="en-NZ"/>
        </w:rPr>
        <w:t>were concerned</w:t>
      </w:r>
      <w:r>
        <w:rPr>
          <w:rFonts w:cs="Arial"/>
          <w:szCs w:val="22"/>
          <w:lang w:val="en-NZ"/>
        </w:rPr>
        <w:t xml:space="preserve"> there was not a sufficient case for amending the Regulations now. These </w:t>
      </w:r>
      <w:r w:rsidR="00D871F0">
        <w:rPr>
          <w:rFonts w:cs="Arial"/>
          <w:szCs w:val="22"/>
          <w:lang w:val="en-NZ"/>
        </w:rPr>
        <w:t>submitters</w:t>
      </w:r>
      <w:r>
        <w:rPr>
          <w:rFonts w:cs="Arial"/>
          <w:szCs w:val="22"/>
          <w:lang w:val="en-NZ"/>
        </w:rPr>
        <w:t xml:space="preserve"> </w:t>
      </w:r>
      <w:r w:rsidR="008D042F">
        <w:rPr>
          <w:rFonts w:cs="Arial"/>
          <w:szCs w:val="22"/>
          <w:lang w:val="en-NZ"/>
        </w:rPr>
        <w:t>were also cautious</w:t>
      </w:r>
      <w:r>
        <w:rPr>
          <w:rFonts w:cs="Arial"/>
          <w:szCs w:val="22"/>
          <w:lang w:val="en-NZ"/>
        </w:rPr>
        <w:t xml:space="preserve"> about the safety of other practitioners issuing standing orders</w:t>
      </w:r>
      <w:r w:rsidR="00CC31D7">
        <w:rPr>
          <w:rFonts w:cs="Arial"/>
          <w:szCs w:val="22"/>
          <w:lang w:val="en-NZ"/>
        </w:rPr>
        <w:t>, with the New Zealand Medical Association recommending implementation of delegated prescribing</w:t>
      </w:r>
      <w:r w:rsidR="00AA075B">
        <w:rPr>
          <w:rFonts w:cs="Arial"/>
          <w:szCs w:val="22"/>
          <w:lang w:val="en-NZ"/>
        </w:rPr>
        <w:t xml:space="preserve"> instead of extending authority through standing orders</w:t>
      </w:r>
      <w:r w:rsidR="00CC31D7">
        <w:rPr>
          <w:rFonts w:cs="Arial"/>
          <w:szCs w:val="22"/>
          <w:lang w:val="en-NZ"/>
        </w:rPr>
        <w:t xml:space="preserve"> and the Royal Australian and New Zealand College of Ophthalmologists suggesting limitations through guidelines to support any regulatory change.</w:t>
      </w:r>
      <w:r w:rsidR="00822175">
        <w:rPr>
          <w:rFonts w:cs="Arial"/>
          <w:szCs w:val="22"/>
          <w:lang w:val="en-NZ"/>
        </w:rPr>
        <w:t xml:space="preserve"> The</w:t>
      </w:r>
      <w:r w:rsidR="00110120">
        <w:rPr>
          <w:rFonts w:cs="Arial"/>
          <w:szCs w:val="22"/>
          <w:lang w:val="en-NZ"/>
        </w:rPr>
        <w:t xml:space="preserve"> Regulations clearly set out the requirements for safe use of standing orders. The Ministry publication the Standing Order Guideline (2012) provides further interpretation of the regulatory requirements which apply to all issuers of standing orders.</w:t>
      </w:r>
    </w:p>
    <w:p w:rsidR="00110120" w:rsidRDefault="00110120" w:rsidP="00CF3795">
      <w:pPr>
        <w:numPr>
          <w:ilvl w:val="0"/>
          <w:numId w:val="5"/>
        </w:numPr>
        <w:spacing w:line="240" w:lineRule="auto"/>
        <w:jc w:val="both"/>
        <w:rPr>
          <w:rFonts w:cs="Arial"/>
          <w:szCs w:val="22"/>
        </w:rPr>
      </w:pPr>
      <w:r>
        <w:rPr>
          <w:rFonts w:cs="Arial"/>
          <w:szCs w:val="22"/>
        </w:rPr>
        <w:t xml:space="preserve">We believe the risks identified by submitters opposed to the amendment apply equally to </w:t>
      </w:r>
      <w:r w:rsidR="00761AC3">
        <w:rPr>
          <w:rFonts w:cs="Arial"/>
          <w:szCs w:val="22"/>
        </w:rPr>
        <w:t xml:space="preserve">the </w:t>
      </w:r>
      <w:r>
        <w:rPr>
          <w:rFonts w:cs="Arial"/>
          <w:szCs w:val="22"/>
        </w:rPr>
        <w:t xml:space="preserve">practitioners currently </w:t>
      </w:r>
      <w:r w:rsidR="00761AC3">
        <w:rPr>
          <w:rFonts w:cs="Arial"/>
          <w:szCs w:val="22"/>
        </w:rPr>
        <w:t>permitted to issue</w:t>
      </w:r>
      <w:r>
        <w:rPr>
          <w:rFonts w:cs="Arial"/>
          <w:szCs w:val="22"/>
        </w:rPr>
        <w:t xml:space="preserve"> standing orders. The Health Practitioners Competence Assurance Act 2003 and the Regulations provide sufficient protection for public safety.</w:t>
      </w:r>
    </w:p>
    <w:p w:rsidR="00FF3220" w:rsidRPr="00E72C36" w:rsidRDefault="00110120" w:rsidP="00CF3795">
      <w:pPr>
        <w:numPr>
          <w:ilvl w:val="0"/>
          <w:numId w:val="5"/>
        </w:numPr>
        <w:spacing w:line="240" w:lineRule="auto"/>
        <w:jc w:val="both"/>
        <w:rPr>
          <w:rFonts w:cs="Arial"/>
          <w:szCs w:val="22"/>
        </w:rPr>
      </w:pPr>
      <w:r>
        <w:rPr>
          <w:rFonts w:cs="Arial"/>
          <w:szCs w:val="22"/>
          <w:lang w:val="en-NZ"/>
        </w:rPr>
        <w:lastRenderedPageBreak/>
        <w:t>The Ministry concludes</w:t>
      </w:r>
      <w:r w:rsidR="00FF3220">
        <w:rPr>
          <w:rFonts w:cs="Arial"/>
          <w:szCs w:val="22"/>
          <w:lang w:val="en-NZ"/>
        </w:rPr>
        <w:t xml:space="preserve"> there</w:t>
      </w:r>
      <w:r>
        <w:rPr>
          <w:rFonts w:cs="Arial"/>
          <w:szCs w:val="22"/>
          <w:lang w:val="en-NZ"/>
        </w:rPr>
        <w:t xml:space="preserve"> are benefits which outweigh any risks </w:t>
      </w:r>
      <w:r w:rsidR="00FF3220">
        <w:rPr>
          <w:rFonts w:cs="Arial"/>
          <w:szCs w:val="22"/>
          <w:lang w:val="en-NZ"/>
        </w:rPr>
        <w:t>for both nurs</w:t>
      </w:r>
      <w:r w:rsidR="00AA075B">
        <w:rPr>
          <w:rFonts w:cs="Arial"/>
          <w:szCs w:val="22"/>
          <w:lang w:val="en-NZ"/>
        </w:rPr>
        <w:t>e practitioners</w:t>
      </w:r>
      <w:r>
        <w:rPr>
          <w:rFonts w:cs="Arial"/>
          <w:szCs w:val="22"/>
          <w:lang w:val="en-NZ"/>
        </w:rPr>
        <w:t xml:space="preserve"> and </w:t>
      </w:r>
      <w:r w:rsidR="00E13880">
        <w:rPr>
          <w:rFonts w:cs="Arial"/>
          <w:szCs w:val="22"/>
          <w:lang w:val="en-NZ"/>
        </w:rPr>
        <w:t>prescribing optometrist</w:t>
      </w:r>
      <w:r>
        <w:rPr>
          <w:rFonts w:cs="Arial"/>
          <w:szCs w:val="22"/>
          <w:lang w:val="en-NZ"/>
        </w:rPr>
        <w:t>s</w:t>
      </w:r>
      <w:r w:rsidR="00AA075B">
        <w:rPr>
          <w:rFonts w:cs="Arial"/>
          <w:szCs w:val="22"/>
          <w:lang w:val="en-NZ"/>
        </w:rPr>
        <w:t xml:space="preserve"> to issue standing</w:t>
      </w:r>
      <w:r w:rsidR="00FF3220">
        <w:rPr>
          <w:rFonts w:cs="Arial"/>
          <w:szCs w:val="22"/>
          <w:lang w:val="en-NZ"/>
        </w:rPr>
        <w:t xml:space="preserve"> orders</w:t>
      </w:r>
      <w:r>
        <w:rPr>
          <w:rFonts w:cs="Arial"/>
          <w:szCs w:val="22"/>
          <w:lang w:val="en-NZ"/>
        </w:rPr>
        <w:t>. There is</w:t>
      </w:r>
      <w:r w:rsidR="00FF3220">
        <w:rPr>
          <w:rFonts w:cs="Arial"/>
          <w:szCs w:val="22"/>
          <w:lang w:val="en-NZ"/>
        </w:rPr>
        <w:t xml:space="preserve"> </w:t>
      </w:r>
      <w:r w:rsidR="00E72C36">
        <w:rPr>
          <w:rFonts w:cs="Arial"/>
          <w:szCs w:val="22"/>
          <w:lang w:val="en-NZ"/>
        </w:rPr>
        <w:t xml:space="preserve">sufficient </w:t>
      </w:r>
      <w:r w:rsidR="00FF3220">
        <w:rPr>
          <w:rFonts w:cs="Arial"/>
          <w:szCs w:val="22"/>
          <w:lang w:val="en-NZ"/>
        </w:rPr>
        <w:t xml:space="preserve">stakeholder </w:t>
      </w:r>
      <w:r w:rsidR="00E72C36">
        <w:rPr>
          <w:rFonts w:cs="Arial"/>
          <w:szCs w:val="22"/>
          <w:lang w:val="en-NZ"/>
        </w:rPr>
        <w:t xml:space="preserve">agreement to support </w:t>
      </w:r>
      <w:r>
        <w:rPr>
          <w:rFonts w:cs="Arial"/>
          <w:szCs w:val="22"/>
          <w:lang w:val="en-NZ"/>
        </w:rPr>
        <w:t>amending the Regulations</w:t>
      </w:r>
      <w:r w:rsidR="00FF3220">
        <w:rPr>
          <w:rFonts w:cs="Arial"/>
          <w:szCs w:val="22"/>
          <w:lang w:val="en-NZ"/>
        </w:rPr>
        <w:t xml:space="preserve"> now rather than as part of the wider review.</w:t>
      </w:r>
      <w:r w:rsidR="00822175">
        <w:rPr>
          <w:rFonts w:cs="Arial"/>
          <w:szCs w:val="22"/>
          <w:lang w:val="en-NZ"/>
        </w:rPr>
        <w:t xml:space="preserve"> </w:t>
      </w:r>
    </w:p>
    <w:p w:rsidR="008D5CD9" w:rsidRPr="00FF3220" w:rsidRDefault="008D5CD9" w:rsidP="004B4B2B">
      <w:pPr>
        <w:pStyle w:val="Heading2"/>
        <w:spacing w:before="0"/>
      </w:pPr>
      <w:bookmarkStart w:id="58" w:name="_Preferred_option_[optional]"/>
      <w:bookmarkStart w:id="59" w:name="_Toc244580367"/>
      <w:bookmarkStart w:id="60" w:name="_Toc244587043"/>
      <w:bookmarkStart w:id="61" w:name="_Toc244857277"/>
      <w:bookmarkStart w:id="62" w:name="_Toc244912542"/>
      <w:bookmarkStart w:id="63" w:name="_Toc244916999"/>
      <w:bookmarkStart w:id="64" w:name="_Toc362368108"/>
      <w:bookmarkStart w:id="65" w:name="_Toc362434949"/>
      <w:bookmarkStart w:id="66" w:name="_Toc362589335"/>
      <w:bookmarkStart w:id="67" w:name="_Toc362619035"/>
      <w:bookmarkStart w:id="68" w:name="_Toc362940599"/>
      <w:bookmarkStart w:id="69" w:name="_Toc363047107"/>
      <w:bookmarkEnd w:id="58"/>
      <w:r w:rsidRPr="00FF3220">
        <w:t>Conclusions and recommendations</w:t>
      </w:r>
      <w:bookmarkEnd w:id="59"/>
      <w:bookmarkEnd w:id="60"/>
      <w:bookmarkEnd w:id="61"/>
      <w:bookmarkEnd w:id="62"/>
      <w:bookmarkEnd w:id="63"/>
      <w:bookmarkEnd w:id="64"/>
      <w:bookmarkEnd w:id="65"/>
      <w:bookmarkEnd w:id="66"/>
      <w:bookmarkEnd w:id="67"/>
      <w:bookmarkEnd w:id="68"/>
      <w:bookmarkEnd w:id="69"/>
    </w:p>
    <w:p w:rsidR="00BC7F28" w:rsidRPr="00B23634" w:rsidRDefault="00BC7F28" w:rsidP="00CF3795">
      <w:pPr>
        <w:numPr>
          <w:ilvl w:val="0"/>
          <w:numId w:val="5"/>
        </w:numPr>
        <w:spacing w:line="240" w:lineRule="auto"/>
        <w:jc w:val="both"/>
      </w:pPr>
      <w:r w:rsidRPr="00FF3220">
        <w:t xml:space="preserve">The Ministry recommends that the Medicine (Standing Orders) </w:t>
      </w:r>
      <w:r w:rsidR="00FC3505" w:rsidRPr="00FF3220">
        <w:t>Regulations</w:t>
      </w:r>
      <w:r w:rsidRPr="00FF3220">
        <w:t xml:space="preserve"> 2002 be amended </w:t>
      </w:r>
      <w:r w:rsidR="00182262" w:rsidRPr="00FF3220">
        <w:t>now</w:t>
      </w:r>
      <w:r w:rsidR="0090463C" w:rsidRPr="00FF3220">
        <w:t xml:space="preserve"> </w:t>
      </w:r>
      <w:r w:rsidRPr="00FF3220">
        <w:t xml:space="preserve">to </w:t>
      </w:r>
      <w:r w:rsidR="00004436" w:rsidRPr="00FF3220">
        <w:t xml:space="preserve">enable </w:t>
      </w:r>
      <w:r w:rsidRPr="00FF3220">
        <w:t xml:space="preserve">nurse practitioners and </w:t>
      </w:r>
      <w:r w:rsidR="00E13880">
        <w:t>prescribing optometrist</w:t>
      </w:r>
      <w:r w:rsidR="005B113B" w:rsidRPr="00FF3220">
        <w:t xml:space="preserve">s </w:t>
      </w:r>
      <w:r w:rsidR="00B23634" w:rsidRPr="00FF3220">
        <w:t>to</w:t>
      </w:r>
      <w:r w:rsidRPr="00B23634">
        <w:t xml:space="preserve"> </w:t>
      </w:r>
      <w:r w:rsidR="00004436" w:rsidRPr="00B23634">
        <w:t>issue standing orders.</w:t>
      </w:r>
    </w:p>
    <w:p w:rsidR="008D5CD9" w:rsidRPr="005C7958" w:rsidRDefault="008D5CD9" w:rsidP="0088541D">
      <w:pPr>
        <w:pStyle w:val="Heading2"/>
      </w:pPr>
      <w:bookmarkStart w:id="70" w:name="_Toc244580368"/>
      <w:bookmarkStart w:id="71" w:name="_Toc244587044"/>
      <w:bookmarkStart w:id="72" w:name="_Toc244857278"/>
      <w:bookmarkStart w:id="73" w:name="_Toc244912543"/>
      <w:bookmarkStart w:id="74" w:name="_Toc244917000"/>
      <w:bookmarkStart w:id="75" w:name="_Toc362368109"/>
      <w:bookmarkStart w:id="76" w:name="_Toc362434950"/>
      <w:bookmarkStart w:id="77" w:name="_Toc362589336"/>
      <w:bookmarkStart w:id="78" w:name="_Toc362619036"/>
      <w:bookmarkStart w:id="79" w:name="_Toc362940600"/>
      <w:bookmarkStart w:id="80" w:name="_Toc363047108"/>
      <w:r w:rsidRPr="005C7958">
        <w:t>Implementation</w:t>
      </w:r>
      <w:bookmarkEnd w:id="70"/>
      <w:bookmarkEnd w:id="71"/>
      <w:bookmarkEnd w:id="72"/>
      <w:bookmarkEnd w:id="73"/>
      <w:bookmarkEnd w:id="74"/>
      <w:r w:rsidRPr="005C7958">
        <w:t xml:space="preserve"> plan</w:t>
      </w:r>
      <w:bookmarkEnd w:id="75"/>
      <w:bookmarkEnd w:id="76"/>
      <w:bookmarkEnd w:id="77"/>
      <w:bookmarkEnd w:id="78"/>
      <w:bookmarkEnd w:id="79"/>
      <w:bookmarkEnd w:id="80"/>
    </w:p>
    <w:p w:rsidR="00763058" w:rsidRPr="00763058" w:rsidRDefault="00822175" w:rsidP="00CF3795">
      <w:pPr>
        <w:numPr>
          <w:ilvl w:val="0"/>
          <w:numId w:val="5"/>
        </w:numPr>
        <w:spacing w:line="240" w:lineRule="auto"/>
        <w:jc w:val="both"/>
      </w:pPr>
      <w:r>
        <w:rPr>
          <w:lang w:val="en-US"/>
        </w:rPr>
        <w:t>We</w:t>
      </w:r>
      <w:r w:rsidR="00763058">
        <w:rPr>
          <w:lang w:val="en-US"/>
        </w:rPr>
        <w:t xml:space="preserve"> will work with the responsible authorities and professional organisations for nurse practitioners and </w:t>
      </w:r>
      <w:r w:rsidR="00E13880">
        <w:rPr>
          <w:lang w:val="en-US"/>
        </w:rPr>
        <w:t>prescribing optometrist</w:t>
      </w:r>
      <w:r w:rsidR="00763058">
        <w:rPr>
          <w:lang w:val="en-US"/>
        </w:rPr>
        <w:t xml:space="preserve">s and with representatives of other </w:t>
      </w:r>
      <w:r>
        <w:rPr>
          <w:lang w:val="en-US"/>
        </w:rPr>
        <w:t xml:space="preserve">professional </w:t>
      </w:r>
      <w:r w:rsidR="00763058">
        <w:rPr>
          <w:lang w:val="en-US"/>
        </w:rPr>
        <w:t>groups</w:t>
      </w:r>
      <w:r>
        <w:rPr>
          <w:lang w:val="en-US"/>
        </w:rPr>
        <w:t xml:space="preserve"> and the</w:t>
      </w:r>
      <w:r w:rsidR="00110120">
        <w:rPr>
          <w:lang w:val="en-US"/>
        </w:rPr>
        <w:t xml:space="preserve"> wider</w:t>
      </w:r>
      <w:r>
        <w:rPr>
          <w:lang w:val="en-US"/>
        </w:rPr>
        <w:t xml:space="preserve"> health sector</w:t>
      </w:r>
      <w:r w:rsidR="00110120">
        <w:rPr>
          <w:lang w:val="en-US"/>
        </w:rPr>
        <w:t xml:space="preserve"> </w:t>
      </w:r>
      <w:r w:rsidR="00763058">
        <w:rPr>
          <w:lang w:val="en-US"/>
        </w:rPr>
        <w:t>to communicate the change to the Regulations.</w:t>
      </w:r>
    </w:p>
    <w:p w:rsidR="005C7958" w:rsidRPr="005C7958" w:rsidRDefault="00763058" w:rsidP="00CF3795">
      <w:pPr>
        <w:numPr>
          <w:ilvl w:val="0"/>
          <w:numId w:val="5"/>
        </w:numPr>
        <w:spacing w:line="240" w:lineRule="auto"/>
        <w:jc w:val="both"/>
      </w:pPr>
      <w:r>
        <w:rPr>
          <w:lang w:val="en-US"/>
        </w:rPr>
        <w:t xml:space="preserve">The Ministry will revise and republish </w:t>
      </w:r>
      <w:r w:rsidR="00E13880">
        <w:rPr>
          <w:lang w:val="en-US"/>
        </w:rPr>
        <w:t>relevant guidelines</w:t>
      </w:r>
      <w:r>
        <w:rPr>
          <w:lang w:val="en-US"/>
        </w:rPr>
        <w:t xml:space="preserve"> to clarify the regulatory change</w:t>
      </w:r>
      <w:r w:rsidR="001616AF">
        <w:rPr>
          <w:lang w:val="en-US"/>
        </w:rPr>
        <w:t xml:space="preserve"> and provide a reference point for all practitioners working with standing orders</w:t>
      </w:r>
      <w:r>
        <w:rPr>
          <w:lang w:val="en-US"/>
        </w:rPr>
        <w:t xml:space="preserve">. </w:t>
      </w:r>
    </w:p>
    <w:p w:rsidR="005C7958" w:rsidRPr="00763058" w:rsidRDefault="005C7958" w:rsidP="00CF3795">
      <w:pPr>
        <w:numPr>
          <w:ilvl w:val="0"/>
          <w:numId w:val="5"/>
        </w:numPr>
        <w:tabs>
          <w:tab w:val="num" w:pos="720"/>
        </w:tabs>
        <w:spacing w:line="240" w:lineRule="auto"/>
        <w:jc w:val="both"/>
      </w:pPr>
      <w:r w:rsidRPr="00763058">
        <w:t xml:space="preserve">The Nursing Council of New Zealand and the </w:t>
      </w:r>
      <w:r w:rsidR="00AF1E44">
        <w:t>Optometrists and Dispensing Opticians Board</w:t>
      </w:r>
      <w:r w:rsidRPr="00763058">
        <w:t xml:space="preserve"> are the responsible authorities for nurse practitioners and </w:t>
      </w:r>
      <w:r w:rsidR="00E13880">
        <w:t>prescribing optometrist</w:t>
      </w:r>
      <w:r w:rsidR="00070718" w:rsidRPr="00763058">
        <w:t xml:space="preserve">s </w:t>
      </w:r>
      <w:r w:rsidRPr="00763058">
        <w:t xml:space="preserve">respectively. It will be part of the accountability of the responsible authorities to ensure that nurse practitioners and </w:t>
      </w:r>
      <w:r w:rsidR="00E13880">
        <w:t>prescribing optometrist</w:t>
      </w:r>
      <w:r w:rsidR="005B113B" w:rsidRPr="00763058">
        <w:t xml:space="preserve">s </w:t>
      </w:r>
      <w:r w:rsidRPr="00763058">
        <w:t xml:space="preserve">have the </w:t>
      </w:r>
      <w:r w:rsidR="00B04872" w:rsidRPr="00763058">
        <w:t xml:space="preserve">competence and understand their accountability to issue </w:t>
      </w:r>
      <w:r w:rsidRPr="00763058">
        <w:t>standing orders</w:t>
      </w:r>
      <w:r w:rsidR="00B04872" w:rsidRPr="00763058">
        <w:t>.</w:t>
      </w:r>
      <w:r w:rsidRPr="00763058">
        <w:t xml:space="preserve"> </w:t>
      </w:r>
    </w:p>
    <w:p w:rsidR="008D5CD9" w:rsidRPr="00763058" w:rsidRDefault="008D5CD9" w:rsidP="0088541D">
      <w:pPr>
        <w:pStyle w:val="Heading2"/>
      </w:pPr>
      <w:bookmarkStart w:id="81" w:name="_Toc244580369"/>
      <w:bookmarkStart w:id="82" w:name="_Toc244587045"/>
      <w:bookmarkStart w:id="83" w:name="_Toc244857279"/>
      <w:bookmarkStart w:id="84" w:name="_Toc244912544"/>
      <w:bookmarkStart w:id="85" w:name="_Toc244917001"/>
      <w:bookmarkStart w:id="86" w:name="_Toc362368110"/>
      <w:bookmarkStart w:id="87" w:name="_Toc362434951"/>
      <w:bookmarkStart w:id="88" w:name="_Toc362589337"/>
      <w:bookmarkStart w:id="89" w:name="_Toc362619037"/>
      <w:bookmarkStart w:id="90" w:name="_Toc362940601"/>
      <w:bookmarkStart w:id="91" w:name="_Toc363047109"/>
      <w:r w:rsidRPr="00763058">
        <w:t>Monitoring, evaluation and review</w:t>
      </w:r>
      <w:bookmarkEnd w:id="81"/>
      <w:bookmarkEnd w:id="82"/>
      <w:bookmarkEnd w:id="83"/>
      <w:bookmarkEnd w:id="84"/>
      <w:bookmarkEnd w:id="85"/>
      <w:bookmarkEnd w:id="86"/>
      <w:bookmarkEnd w:id="87"/>
      <w:bookmarkEnd w:id="88"/>
      <w:bookmarkEnd w:id="89"/>
      <w:bookmarkEnd w:id="90"/>
      <w:bookmarkEnd w:id="91"/>
    </w:p>
    <w:bookmarkEnd w:id="8"/>
    <w:bookmarkEnd w:id="9"/>
    <w:bookmarkEnd w:id="10"/>
    <w:bookmarkEnd w:id="11"/>
    <w:bookmarkEnd w:id="12"/>
    <w:bookmarkEnd w:id="13"/>
    <w:bookmarkEnd w:id="14"/>
    <w:bookmarkEnd w:id="15"/>
    <w:bookmarkEnd w:id="16"/>
    <w:bookmarkEnd w:id="17"/>
    <w:p w:rsidR="00B62A9E" w:rsidRPr="00763058" w:rsidRDefault="00FC3505" w:rsidP="00CF3795">
      <w:pPr>
        <w:numPr>
          <w:ilvl w:val="0"/>
          <w:numId w:val="5"/>
        </w:numPr>
        <w:spacing w:line="240" w:lineRule="auto"/>
        <w:jc w:val="both"/>
      </w:pPr>
      <w:r w:rsidRPr="00763058">
        <w:t xml:space="preserve">The Nursing Council of New Zealand and the </w:t>
      </w:r>
      <w:r w:rsidR="00AF1E44">
        <w:t>Optometrists and Dispensing Opticians Board</w:t>
      </w:r>
      <w:r w:rsidRPr="00763058">
        <w:t xml:space="preserve"> </w:t>
      </w:r>
      <w:r w:rsidR="00110120">
        <w:t>are</w:t>
      </w:r>
      <w:r w:rsidRPr="00763058">
        <w:t xml:space="preserve"> responsible for monitoring </w:t>
      </w:r>
      <w:r w:rsidR="00822175">
        <w:t>safe</w:t>
      </w:r>
      <w:r w:rsidR="001616AF">
        <w:t xml:space="preserve"> practice</w:t>
      </w:r>
      <w:r w:rsidR="00822175">
        <w:t xml:space="preserve"> including prescribing</w:t>
      </w:r>
      <w:r w:rsidR="001616AF">
        <w:t xml:space="preserve">, </w:t>
      </w:r>
      <w:r w:rsidR="00D871F0">
        <w:t>and in</w:t>
      </w:r>
      <w:r w:rsidR="001616AF">
        <w:t xml:space="preserve"> future the</w:t>
      </w:r>
      <w:r w:rsidRPr="00763058">
        <w:t xml:space="preserve"> use of standing orders</w:t>
      </w:r>
      <w:r w:rsidR="001616AF">
        <w:t>,</w:t>
      </w:r>
      <w:r w:rsidRPr="00763058">
        <w:t xml:space="preserve"> by nurse practitioners and </w:t>
      </w:r>
      <w:r w:rsidR="00E13880">
        <w:t>prescribing optometrist</w:t>
      </w:r>
      <w:r w:rsidRPr="00763058">
        <w:t>s.</w:t>
      </w:r>
      <w:r w:rsidR="001616AF">
        <w:t xml:space="preserve"> </w:t>
      </w:r>
      <w:r w:rsidR="001616AF">
        <w:rPr>
          <w:lang w:val="en-US"/>
        </w:rPr>
        <w:t xml:space="preserve">The responsible authorities </w:t>
      </w:r>
      <w:r w:rsidR="00822175">
        <w:rPr>
          <w:lang w:val="en-US"/>
        </w:rPr>
        <w:t xml:space="preserve">must </w:t>
      </w:r>
      <w:r w:rsidR="001616AF">
        <w:rPr>
          <w:lang w:val="en-US"/>
        </w:rPr>
        <w:t xml:space="preserve">investigate </w:t>
      </w:r>
      <w:r w:rsidR="00822175">
        <w:rPr>
          <w:lang w:val="en-US"/>
        </w:rPr>
        <w:t xml:space="preserve">and if necessary act on </w:t>
      </w:r>
      <w:r w:rsidR="00761AC3">
        <w:rPr>
          <w:lang w:val="en-US"/>
        </w:rPr>
        <w:t>complaints regarding</w:t>
      </w:r>
      <w:r w:rsidR="00822175">
        <w:rPr>
          <w:lang w:val="en-US"/>
        </w:rPr>
        <w:t xml:space="preserve"> competence, health or professional misconduct</w:t>
      </w:r>
      <w:r w:rsidR="00D871F0">
        <w:rPr>
          <w:lang w:val="en-US"/>
        </w:rPr>
        <w:t xml:space="preserve"> of health practitioners</w:t>
      </w:r>
      <w:r w:rsidR="00822175">
        <w:rPr>
          <w:lang w:val="en-US"/>
        </w:rPr>
        <w:t xml:space="preserve">. </w:t>
      </w:r>
    </w:p>
    <w:p w:rsidR="00181C72" w:rsidRPr="00182262" w:rsidRDefault="00181C72" w:rsidP="00CF3795">
      <w:pPr>
        <w:numPr>
          <w:ilvl w:val="0"/>
          <w:numId w:val="5"/>
        </w:numPr>
        <w:tabs>
          <w:tab w:val="num" w:pos="720"/>
        </w:tabs>
        <w:autoSpaceDE w:val="0"/>
        <w:autoSpaceDN w:val="0"/>
        <w:adjustRightInd w:val="0"/>
        <w:spacing w:line="240" w:lineRule="auto"/>
        <w:jc w:val="both"/>
      </w:pPr>
      <w:r w:rsidRPr="00182262">
        <w:rPr>
          <w:rFonts w:cs="Arial"/>
          <w:szCs w:val="22"/>
        </w:rPr>
        <w:t>The Regulations and Ministry of Health guidelines</w:t>
      </w:r>
      <w:r w:rsidR="00D871F0">
        <w:rPr>
          <w:rFonts w:cs="Arial"/>
          <w:szCs w:val="22"/>
        </w:rPr>
        <w:t xml:space="preserve"> se</w:t>
      </w:r>
      <w:r w:rsidRPr="00182262">
        <w:rPr>
          <w:rFonts w:cs="Arial"/>
          <w:szCs w:val="22"/>
        </w:rPr>
        <w:t>t out requirements for the legitimate and safe use of standing orders, including monitoring and audit.</w:t>
      </w:r>
      <w:r w:rsidR="001616AF">
        <w:rPr>
          <w:rFonts w:cs="Arial"/>
          <w:szCs w:val="22"/>
        </w:rPr>
        <w:t xml:space="preserve"> </w:t>
      </w:r>
    </w:p>
    <w:sectPr w:rsidR="00181C72" w:rsidRPr="00182262" w:rsidSect="000C645A">
      <w:headerReference w:type="default" r:id="rId8"/>
      <w:footerReference w:type="even" r:id="rId9"/>
      <w:footerReference w:type="default" r:id="rId10"/>
      <w:footerReference w:type="first" r:id="rId11"/>
      <w:pgSz w:w="11907" w:h="16840" w:code="9"/>
      <w:pgMar w:top="1418" w:right="1418" w:bottom="113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79" w:rsidRDefault="00F64179" w:rsidP="00F72085">
      <w:r>
        <w:separator/>
      </w:r>
    </w:p>
  </w:endnote>
  <w:endnote w:type="continuationSeparator" w:id="0">
    <w:p w:rsidR="00F64179" w:rsidRDefault="00F64179"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7" w:rsidRPr="00C73AEA" w:rsidRDefault="00DB6923" w:rsidP="006372A3">
    <w:pPr>
      <w:pStyle w:val="EvenFooter"/>
      <w:rPr>
        <w:caps/>
      </w:rPr>
    </w:pPr>
    <w:r>
      <w:fldChar w:fldCharType="begin"/>
    </w:r>
    <w:r>
      <w:instrText xml:space="preserve">PAGE  </w:instrText>
    </w:r>
    <w:r>
      <w:fldChar w:fldCharType="separate"/>
    </w:r>
    <w:r w:rsidR="00B72D17">
      <w:t>8</w:t>
    </w:r>
    <w:r>
      <w:fldChar w:fldCharType="end"/>
    </w:r>
    <w:r w:rsidR="00B72D17" w:rsidRPr="00281580">
      <w:t xml:space="preserve"> </w:t>
    </w:r>
    <w:r w:rsidR="00B72D17">
      <w:t xml:space="preserve"> </w:t>
    </w:r>
    <w:r w:rsidR="00B72D17" w:rsidRPr="00281580">
      <w:t xml:space="preserve"> | </w:t>
    </w:r>
    <w:r w:rsidR="00B72D17">
      <w:t xml:space="preserve"> </w:t>
    </w:r>
    <w:r w:rsidR="00B72D17" w:rsidRPr="00281580">
      <w:t xml:space="preserve"> </w:t>
    </w:r>
    <w:r w:rsidR="00B72D17" w:rsidRPr="005D2127">
      <w:t>Regulator</w:t>
    </w:r>
    <w:r w:rsidR="00B72D17">
      <w:t xml:space="preserve">y Impact Analysis: Regulatory Impact Statement - Overview of Required Information - Template </w:t>
    </w:r>
    <w:r w:rsidR="00B72D17" w:rsidRPr="00B9122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7" w:rsidRPr="00C73AEA" w:rsidRDefault="00B72D17" w:rsidP="006372A3">
    <w:pPr>
      <w:pStyle w:val="Footer"/>
    </w:pPr>
    <w:r>
      <w:t>Draft – Not Government Policy</w:t>
    </w:r>
    <w:r>
      <w:tab/>
    </w:r>
    <w:r w:rsidR="00DB6923">
      <w:fldChar w:fldCharType="begin"/>
    </w:r>
    <w:r w:rsidR="00DB6923">
      <w:instrText xml:space="preserve"> PAGE </w:instrText>
    </w:r>
    <w:r w:rsidR="00DB6923">
      <w:fldChar w:fldCharType="separate"/>
    </w:r>
    <w:r w:rsidR="00D0229C">
      <w:t>1</w:t>
    </w:r>
    <w:r w:rsidR="00DB692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7" w:rsidRDefault="00B72D17" w:rsidP="006372A3">
    <w:pPr>
      <w:pStyle w:val="Footer"/>
    </w:pPr>
    <w:r>
      <w:tab/>
    </w:r>
    <w:r w:rsidRPr="005D2127">
      <w:t>Regulator</w:t>
    </w:r>
    <w:r>
      <w:t xml:space="preserve">y Impact Analysis: Regulatory Impact Statement - Overview of Required Information - Template </w:t>
    </w:r>
    <w:r w:rsidRPr="00B91224">
      <w:t xml:space="preserve">  |</w:t>
    </w:r>
    <w:r>
      <w:t xml:space="preserve"> </w:t>
    </w:r>
    <w:r w:rsidRPr="00B91224">
      <w:t xml:space="preserve">  </w:t>
    </w:r>
    <w:r w:rsidR="00DB6923">
      <w:fldChar w:fldCharType="begin"/>
    </w:r>
    <w:r w:rsidR="00DB6923">
      <w:instrText xml:space="preserve"> PAGE </w:instrText>
    </w:r>
    <w:r w:rsidR="00DB6923">
      <w:fldChar w:fldCharType="separate"/>
    </w:r>
    <w:r>
      <w:t>1</w:t>
    </w:r>
    <w:r w:rsidR="00DB69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79" w:rsidRDefault="00F64179" w:rsidP="00F72085">
      <w:r>
        <w:separator/>
      </w:r>
    </w:p>
  </w:footnote>
  <w:footnote w:type="continuationSeparator" w:id="0">
    <w:p w:rsidR="00F64179" w:rsidRDefault="00F64179" w:rsidP="00F72085">
      <w:r>
        <w:continuationSeparator/>
      </w:r>
    </w:p>
  </w:footnote>
  <w:footnote w:id="1">
    <w:p w:rsidR="0045787A" w:rsidRPr="00110120" w:rsidRDefault="0045787A" w:rsidP="0045787A">
      <w:pPr>
        <w:autoSpaceDE w:val="0"/>
        <w:autoSpaceDN w:val="0"/>
        <w:adjustRightInd w:val="0"/>
        <w:rPr>
          <w:rFonts w:eastAsia="Calibri" w:cs="Arial"/>
          <w:szCs w:val="22"/>
          <w:highlight w:val="yellow"/>
        </w:rPr>
      </w:pPr>
      <w:r>
        <w:rPr>
          <w:rStyle w:val="FootnoteReference"/>
        </w:rPr>
        <w:footnoteRef/>
      </w:r>
      <w:r>
        <w:t xml:space="preserve"> </w:t>
      </w:r>
      <w:r w:rsidRPr="00761AC3">
        <w:rPr>
          <w:rFonts w:eastAsia="Calibri" w:cs="Arial"/>
          <w:sz w:val="18"/>
          <w:szCs w:val="18"/>
          <w:lang w:val="en-NZ" w:eastAsia="en-NZ"/>
        </w:rPr>
        <w:t xml:space="preserve">A standing order is defined in the </w:t>
      </w:r>
      <w:r w:rsidRPr="0045787A">
        <w:rPr>
          <w:rFonts w:cs="Arial"/>
          <w:sz w:val="18"/>
          <w:szCs w:val="18"/>
        </w:rPr>
        <w:t>Medicines Act 1981</w:t>
      </w:r>
      <w:r>
        <w:rPr>
          <w:rFonts w:cs="Arial"/>
        </w:rPr>
        <w:t xml:space="preserve"> </w:t>
      </w:r>
      <w:r w:rsidRPr="00761AC3">
        <w:rPr>
          <w:rFonts w:eastAsia="Calibri" w:cs="Arial"/>
          <w:sz w:val="18"/>
          <w:szCs w:val="18"/>
          <w:lang w:val="en-NZ" w:eastAsia="en-NZ"/>
        </w:rPr>
        <w:t>as “</w:t>
      </w:r>
      <w:r w:rsidRPr="00761AC3">
        <w:rPr>
          <w:rFonts w:eastAsia="Calibri" w:cs="Arial"/>
          <w:sz w:val="18"/>
          <w:szCs w:val="18"/>
        </w:rPr>
        <w:t xml:space="preserve">a written instruction issued by a practitioner, registered midwife, nurse practitioner or </w:t>
      </w:r>
      <w:r>
        <w:rPr>
          <w:rFonts w:eastAsia="Calibri" w:cs="Arial"/>
          <w:sz w:val="18"/>
          <w:szCs w:val="18"/>
        </w:rPr>
        <w:t>prescribing optometrist</w:t>
      </w:r>
      <w:r w:rsidRPr="00761AC3">
        <w:rPr>
          <w:rFonts w:eastAsia="Calibri" w:cs="Arial"/>
          <w:sz w:val="18"/>
          <w:szCs w:val="18"/>
        </w:rPr>
        <w:t>, in accordance with any applicable regulations, authorising any specified class of persons engaged in the delivery of health services to supply and administer any specified class of prescription medicines or controlled drugs to any specified class of persons, in circumstances specified in the instruction, without a prescription”.</w:t>
      </w:r>
      <w:r w:rsidRPr="00761AC3">
        <w:rPr>
          <w:rFonts w:eastAsia="Calibri" w:cs="Arial"/>
          <w:szCs w:val="22"/>
        </w:rPr>
        <w:t xml:space="preserve"> </w:t>
      </w:r>
    </w:p>
    <w:p w:rsidR="0045787A" w:rsidRPr="00761AC3" w:rsidRDefault="0045787A" w:rsidP="0045787A">
      <w:pPr>
        <w:pStyle w:val="FootnoteText"/>
        <w:rPr>
          <w:lang w:val="en-N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7" w:rsidRDefault="00B72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FF5"/>
    <w:multiLevelType w:val="hybridMultilevel"/>
    <w:tmpl w:val="ACACB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7D068C"/>
    <w:multiLevelType w:val="hybridMultilevel"/>
    <w:tmpl w:val="8F6C9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395851"/>
    <w:multiLevelType w:val="hybridMultilevel"/>
    <w:tmpl w:val="B6AA49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DC22F9A"/>
    <w:multiLevelType w:val="hybridMultilevel"/>
    <w:tmpl w:val="3B70A46C"/>
    <w:lvl w:ilvl="0" w:tplc="14090017">
      <w:start w:val="1"/>
      <w:numFmt w:val="lowerLetter"/>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2397E68"/>
    <w:multiLevelType w:val="hybridMultilevel"/>
    <w:tmpl w:val="5C886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Aria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Arial"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A1C6084"/>
    <w:multiLevelType w:val="hybridMultilevel"/>
    <w:tmpl w:val="F3E085E0"/>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17">
      <w:start w:val="1"/>
      <w:numFmt w:val="lowerLetter"/>
      <w:lvlText w:val="%2)"/>
      <w:lvlJc w:val="left"/>
      <w:pPr>
        <w:tabs>
          <w:tab w:val="num" w:pos="1080"/>
        </w:tabs>
        <w:ind w:left="1080" w:hanging="360"/>
      </w:pPr>
      <w:rPr>
        <w:rFonts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525A0AF2"/>
    <w:multiLevelType w:val="hybridMultilevel"/>
    <w:tmpl w:val="39A28184"/>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5C33C8"/>
    <w:multiLevelType w:val="hybridMultilevel"/>
    <w:tmpl w:val="981C1A32"/>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17">
      <w:start w:val="1"/>
      <w:numFmt w:val="lowerLetter"/>
      <w:lvlText w:val="%2)"/>
      <w:lvlJc w:val="left"/>
      <w:pPr>
        <w:tabs>
          <w:tab w:val="num" w:pos="1080"/>
        </w:tabs>
        <w:ind w:left="1080" w:hanging="360"/>
      </w:pPr>
      <w:rPr>
        <w:rFonts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D5C5C01"/>
    <w:multiLevelType w:val="hybridMultilevel"/>
    <w:tmpl w:val="B36CAAC0"/>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13">
      <w:start w:val="1"/>
      <w:numFmt w:val="upperRoman"/>
      <w:lvlText w:val="%2."/>
      <w:lvlJc w:val="right"/>
      <w:pPr>
        <w:tabs>
          <w:tab w:val="num" w:pos="1080"/>
        </w:tabs>
        <w:ind w:left="1080" w:hanging="360"/>
      </w:pPr>
      <w:rPr>
        <w:rFonts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5FED471A"/>
    <w:multiLevelType w:val="hybridMultilevel"/>
    <w:tmpl w:val="FE0C9F0E"/>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67910417"/>
    <w:multiLevelType w:val="multilevel"/>
    <w:tmpl w:val="AD38E6A6"/>
    <w:lvl w:ilvl="0">
      <w:start w:val="3"/>
      <w:numFmt w:val="decimal"/>
      <w:lvlText w:val="%1"/>
      <w:lvlJc w:val="left"/>
      <w:pPr>
        <w:ind w:left="644" w:hanging="360"/>
      </w:pPr>
      <w:rPr>
        <w:rFonts w:ascii="Arial" w:eastAsia="Calibri" w:hAnsi="Arial" w:cs="Symbol" w:hint="default"/>
        <w:b w:val="0"/>
        <w:sz w:val="22"/>
      </w:rPr>
    </w:lvl>
    <w:lvl w:ilvl="1">
      <w:start w:val="1"/>
      <w:numFmt w:val="decimal"/>
      <w:lvlText w:val="%1.%2"/>
      <w:lvlJc w:val="left"/>
      <w:pPr>
        <w:ind w:left="1440" w:hanging="360"/>
      </w:pPr>
      <w:rPr>
        <w:rFonts w:eastAsia="Calibri" w:hint="default"/>
        <w:b w:val="0"/>
        <w:sz w:val="22"/>
      </w:rPr>
    </w:lvl>
    <w:lvl w:ilvl="2">
      <w:start w:val="1"/>
      <w:numFmt w:val="decimal"/>
      <w:lvlText w:val="%1.%2.%3"/>
      <w:lvlJc w:val="left"/>
      <w:pPr>
        <w:ind w:left="2880" w:hanging="720"/>
      </w:pPr>
      <w:rPr>
        <w:rFonts w:eastAsia="Calibri" w:hint="default"/>
        <w:b/>
        <w:sz w:val="22"/>
      </w:rPr>
    </w:lvl>
    <w:lvl w:ilvl="3">
      <w:start w:val="1"/>
      <w:numFmt w:val="decimal"/>
      <w:lvlText w:val="%1.%2.%3.%4"/>
      <w:lvlJc w:val="left"/>
      <w:pPr>
        <w:ind w:left="4320" w:hanging="1080"/>
      </w:pPr>
      <w:rPr>
        <w:rFonts w:eastAsia="Calibri" w:hint="default"/>
        <w:b/>
        <w:sz w:val="22"/>
      </w:rPr>
    </w:lvl>
    <w:lvl w:ilvl="4">
      <w:start w:val="1"/>
      <w:numFmt w:val="decimal"/>
      <w:lvlText w:val="%1.%2.%3.%4.%5"/>
      <w:lvlJc w:val="left"/>
      <w:pPr>
        <w:ind w:left="5400" w:hanging="1080"/>
      </w:pPr>
      <w:rPr>
        <w:rFonts w:eastAsia="Calibri" w:hint="default"/>
        <w:b/>
        <w:sz w:val="22"/>
      </w:rPr>
    </w:lvl>
    <w:lvl w:ilvl="5">
      <w:start w:val="1"/>
      <w:numFmt w:val="decimal"/>
      <w:lvlText w:val="%1.%2.%3.%4.%5.%6"/>
      <w:lvlJc w:val="left"/>
      <w:pPr>
        <w:ind w:left="6840" w:hanging="1440"/>
      </w:pPr>
      <w:rPr>
        <w:rFonts w:eastAsia="Calibri" w:hint="default"/>
        <w:b/>
        <w:sz w:val="22"/>
      </w:rPr>
    </w:lvl>
    <w:lvl w:ilvl="6">
      <w:start w:val="1"/>
      <w:numFmt w:val="decimal"/>
      <w:lvlText w:val="%1.%2.%3.%4.%5.%6.%7"/>
      <w:lvlJc w:val="left"/>
      <w:pPr>
        <w:ind w:left="7920" w:hanging="1440"/>
      </w:pPr>
      <w:rPr>
        <w:rFonts w:eastAsia="Calibri" w:hint="default"/>
        <w:b/>
        <w:sz w:val="22"/>
      </w:rPr>
    </w:lvl>
    <w:lvl w:ilvl="7">
      <w:start w:val="1"/>
      <w:numFmt w:val="decimal"/>
      <w:lvlText w:val="%1.%2.%3.%4.%5.%6.%7.%8"/>
      <w:lvlJc w:val="left"/>
      <w:pPr>
        <w:ind w:left="9360" w:hanging="1800"/>
      </w:pPr>
      <w:rPr>
        <w:rFonts w:eastAsia="Calibri" w:hint="default"/>
        <w:b/>
        <w:sz w:val="22"/>
      </w:rPr>
    </w:lvl>
    <w:lvl w:ilvl="8">
      <w:start w:val="1"/>
      <w:numFmt w:val="decimal"/>
      <w:lvlText w:val="%1.%2.%3.%4.%5.%6.%7.%8.%9"/>
      <w:lvlJc w:val="left"/>
      <w:pPr>
        <w:ind w:left="10440" w:hanging="1800"/>
      </w:pPr>
      <w:rPr>
        <w:rFonts w:eastAsia="Calibri" w:hint="default"/>
        <w:b/>
        <w:sz w:val="22"/>
      </w:rPr>
    </w:lvl>
  </w:abstractNum>
  <w:abstractNum w:abstractNumId="14">
    <w:nsid w:val="6BE040CE"/>
    <w:multiLevelType w:val="hybridMultilevel"/>
    <w:tmpl w:val="AC10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103E1"/>
    <w:multiLevelType w:val="hybridMultilevel"/>
    <w:tmpl w:val="61602E88"/>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F60022A">
      <w:start w:val="1"/>
      <w:numFmt w:val="lowerLetter"/>
      <w:lvlText w:val="%2."/>
      <w:lvlJc w:val="left"/>
      <w:pPr>
        <w:tabs>
          <w:tab w:val="num" w:pos="1080"/>
        </w:tabs>
        <w:ind w:left="1080" w:hanging="360"/>
      </w:pPr>
      <w:rPr>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EE601CD"/>
    <w:multiLevelType w:val="hybridMultilevel"/>
    <w:tmpl w:val="6BAC173C"/>
    <w:lvl w:ilvl="0" w:tplc="D4D6C8B0">
      <w:start w:val="1"/>
      <w:numFmt w:val="decimal"/>
      <w:lvlText w:val="%1."/>
      <w:lvlJc w:val="left"/>
      <w:pPr>
        <w:tabs>
          <w:tab w:val="num" w:pos="360"/>
        </w:tabs>
        <w:ind w:left="360" w:hanging="360"/>
      </w:pPr>
      <w:rPr>
        <w:rFonts w:ascii="Arial" w:hAnsi="Arial" w:cs="Symbol" w:hint="default"/>
        <w:b w:val="0"/>
        <w:i w:val="0"/>
        <w:sz w:val="22"/>
        <w:szCs w:val="22"/>
      </w:rPr>
    </w:lvl>
    <w:lvl w:ilvl="1" w:tplc="14090013">
      <w:start w:val="1"/>
      <w:numFmt w:val="upperRoman"/>
      <w:lvlText w:val="%2."/>
      <w:lvlJc w:val="right"/>
      <w:pPr>
        <w:tabs>
          <w:tab w:val="num" w:pos="1080"/>
        </w:tabs>
        <w:ind w:left="1080" w:hanging="360"/>
      </w:pPr>
      <w:rPr>
        <w:rFonts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6"/>
  </w:num>
  <w:num w:numId="3">
    <w:abstractNumId w:val="5"/>
  </w:num>
  <w:num w:numId="4">
    <w:abstractNumId w:val="16"/>
  </w:num>
  <w:num w:numId="5">
    <w:abstractNumId w:val="15"/>
  </w:num>
  <w:num w:numId="6">
    <w:abstractNumId w:val="0"/>
  </w:num>
  <w:num w:numId="7">
    <w:abstractNumId w:val="1"/>
  </w:num>
  <w:num w:numId="8">
    <w:abstractNumId w:val="4"/>
  </w:num>
  <w:num w:numId="9">
    <w:abstractNumId w:val="13"/>
  </w:num>
  <w:num w:numId="10">
    <w:abstractNumId w:val="14"/>
  </w:num>
  <w:num w:numId="11">
    <w:abstractNumId w:val="3"/>
  </w:num>
  <w:num w:numId="12">
    <w:abstractNumId w:val="8"/>
  </w:num>
  <w:num w:numId="13">
    <w:abstractNumId w:val="12"/>
  </w:num>
  <w:num w:numId="14">
    <w:abstractNumId w:val="17"/>
  </w:num>
  <w:num w:numId="15">
    <w:abstractNumId w:val="11"/>
  </w:num>
  <w:num w:numId="16">
    <w:abstractNumId w:val="10"/>
  </w:num>
  <w:num w:numId="17">
    <w:abstractNumId w:val="7"/>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7"/>
    <w:rsid w:val="00001539"/>
    <w:rsid w:val="00002433"/>
    <w:rsid w:val="000037F4"/>
    <w:rsid w:val="00004436"/>
    <w:rsid w:val="00004A8A"/>
    <w:rsid w:val="00005DC9"/>
    <w:rsid w:val="00010986"/>
    <w:rsid w:val="00010F7D"/>
    <w:rsid w:val="00011C23"/>
    <w:rsid w:val="000133B7"/>
    <w:rsid w:val="00013A18"/>
    <w:rsid w:val="00014196"/>
    <w:rsid w:val="000147DC"/>
    <w:rsid w:val="00015072"/>
    <w:rsid w:val="00016722"/>
    <w:rsid w:val="0002068B"/>
    <w:rsid w:val="000232EB"/>
    <w:rsid w:val="00023BAB"/>
    <w:rsid w:val="00023EA6"/>
    <w:rsid w:val="0002568E"/>
    <w:rsid w:val="00025954"/>
    <w:rsid w:val="00030DEA"/>
    <w:rsid w:val="00033950"/>
    <w:rsid w:val="000343E7"/>
    <w:rsid w:val="00035185"/>
    <w:rsid w:val="00036A3D"/>
    <w:rsid w:val="00036EE4"/>
    <w:rsid w:val="00041469"/>
    <w:rsid w:val="000435AD"/>
    <w:rsid w:val="00045AFC"/>
    <w:rsid w:val="00046F46"/>
    <w:rsid w:val="00047559"/>
    <w:rsid w:val="00051270"/>
    <w:rsid w:val="000523FC"/>
    <w:rsid w:val="000526E4"/>
    <w:rsid w:val="000527EC"/>
    <w:rsid w:val="0005434D"/>
    <w:rsid w:val="0005503E"/>
    <w:rsid w:val="00055373"/>
    <w:rsid w:val="00056263"/>
    <w:rsid w:val="00056F77"/>
    <w:rsid w:val="00057AC4"/>
    <w:rsid w:val="000606D4"/>
    <w:rsid w:val="00060AAB"/>
    <w:rsid w:val="00060CD3"/>
    <w:rsid w:val="000616E8"/>
    <w:rsid w:val="000655B2"/>
    <w:rsid w:val="00070193"/>
    <w:rsid w:val="00070718"/>
    <w:rsid w:val="0007295E"/>
    <w:rsid w:val="00073A19"/>
    <w:rsid w:val="00073F31"/>
    <w:rsid w:val="00074118"/>
    <w:rsid w:val="00074B13"/>
    <w:rsid w:val="00074D02"/>
    <w:rsid w:val="00080CE0"/>
    <w:rsid w:val="00080DE3"/>
    <w:rsid w:val="00082ABC"/>
    <w:rsid w:val="00083ADB"/>
    <w:rsid w:val="00086007"/>
    <w:rsid w:val="000863E2"/>
    <w:rsid w:val="00086898"/>
    <w:rsid w:val="0008712F"/>
    <w:rsid w:val="00087A25"/>
    <w:rsid w:val="00087C41"/>
    <w:rsid w:val="00096BFA"/>
    <w:rsid w:val="000A20D1"/>
    <w:rsid w:val="000A39F4"/>
    <w:rsid w:val="000A43F8"/>
    <w:rsid w:val="000A4419"/>
    <w:rsid w:val="000B005C"/>
    <w:rsid w:val="000B01CC"/>
    <w:rsid w:val="000B0480"/>
    <w:rsid w:val="000B0615"/>
    <w:rsid w:val="000B0C12"/>
    <w:rsid w:val="000B0D42"/>
    <w:rsid w:val="000B0F07"/>
    <w:rsid w:val="000B16BF"/>
    <w:rsid w:val="000B5B1E"/>
    <w:rsid w:val="000C0912"/>
    <w:rsid w:val="000C26E9"/>
    <w:rsid w:val="000C3EB5"/>
    <w:rsid w:val="000C43B6"/>
    <w:rsid w:val="000C645A"/>
    <w:rsid w:val="000C684B"/>
    <w:rsid w:val="000C6EED"/>
    <w:rsid w:val="000D0FA0"/>
    <w:rsid w:val="000D2A6B"/>
    <w:rsid w:val="000D5E01"/>
    <w:rsid w:val="000D6393"/>
    <w:rsid w:val="000D7A39"/>
    <w:rsid w:val="000D7C12"/>
    <w:rsid w:val="000E0036"/>
    <w:rsid w:val="000E3979"/>
    <w:rsid w:val="000E3CE1"/>
    <w:rsid w:val="000E730B"/>
    <w:rsid w:val="000E73FF"/>
    <w:rsid w:val="000E7C1C"/>
    <w:rsid w:val="000F03B0"/>
    <w:rsid w:val="000F3333"/>
    <w:rsid w:val="000F4A1A"/>
    <w:rsid w:val="000F6F99"/>
    <w:rsid w:val="000F7020"/>
    <w:rsid w:val="001015C8"/>
    <w:rsid w:val="00101A24"/>
    <w:rsid w:val="0010206F"/>
    <w:rsid w:val="001027B9"/>
    <w:rsid w:val="00110120"/>
    <w:rsid w:val="00113146"/>
    <w:rsid w:val="00114F56"/>
    <w:rsid w:val="00116006"/>
    <w:rsid w:val="00116B51"/>
    <w:rsid w:val="0012410B"/>
    <w:rsid w:val="00125812"/>
    <w:rsid w:val="00126CD1"/>
    <w:rsid w:val="00127757"/>
    <w:rsid w:val="00130E8F"/>
    <w:rsid w:val="001336E3"/>
    <w:rsid w:val="001339BB"/>
    <w:rsid w:val="00136EED"/>
    <w:rsid w:val="00141B20"/>
    <w:rsid w:val="00141D2D"/>
    <w:rsid w:val="00141D39"/>
    <w:rsid w:val="00142051"/>
    <w:rsid w:val="00143437"/>
    <w:rsid w:val="00144369"/>
    <w:rsid w:val="00144ADC"/>
    <w:rsid w:val="00144BBB"/>
    <w:rsid w:val="00146FC1"/>
    <w:rsid w:val="00147532"/>
    <w:rsid w:val="00150932"/>
    <w:rsid w:val="00152D49"/>
    <w:rsid w:val="001534B3"/>
    <w:rsid w:val="00157E18"/>
    <w:rsid w:val="00161022"/>
    <w:rsid w:val="00161358"/>
    <w:rsid w:val="001616AF"/>
    <w:rsid w:val="001620EB"/>
    <w:rsid w:val="00163412"/>
    <w:rsid w:val="0016538E"/>
    <w:rsid w:val="00166A7A"/>
    <w:rsid w:val="00166C49"/>
    <w:rsid w:val="001674EB"/>
    <w:rsid w:val="00167EE1"/>
    <w:rsid w:val="001705C4"/>
    <w:rsid w:val="00171162"/>
    <w:rsid w:val="00171281"/>
    <w:rsid w:val="001712D6"/>
    <w:rsid w:val="001726B0"/>
    <w:rsid w:val="00174A13"/>
    <w:rsid w:val="00175644"/>
    <w:rsid w:val="001767C7"/>
    <w:rsid w:val="001800AF"/>
    <w:rsid w:val="00180A3B"/>
    <w:rsid w:val="00180BD5"/>
    <w:rsid w:val="00180D17"/>
    <w:rsid w:val="00181C72"/>
    <w:rsid w:val="00182262"/>
    <w:rsid w:val="00183D99"/>
    <w:rsid w:val="00183EB1"/>
    <w:rsid w:val="00184219"/>
    <w:rsid w:val="00184308"/>
    <w:rsid w:val="00185884"/>
    <w:rsid w:val="001901C1"/>
    <w:rsid w:val="00190331"/>
    <w:rsid w:val="0019141D"/>
    <w:rsid w:val="00191B67"/>
    <w:rsid w:val="00191EEC"/>
    <w:rsid w:val="00194CF9"/>
    <w:rsid w:val="00197273"/>
    <w:rsid w:val="001A13C8"/>
    <w:rsid w:val="001A1C61"/>
    <w:rsid w:val="001A1DFB"/>
    <w:rsid w:val="001A2110"/>
    <w:rsid w:val="001A5694"/>
    <w:rsid w:val="001A5BEE"/>
    <w:rsid w:val="001A6C15"/>
    <w:rsid w:val="001B0726"/>
    <w:rsid w:val="001B0DF0"/>
    <w:rsid w:val="001B1A87"/>
    <w:rsid w:val="001B1BDF"/>
    <w:rsid w:val="001B24D5"/>
    <w:rsid w:val="001B2869"/>
    <w:rsid w:val="001B3F6D"/>
    <w:rsid w:val="001B3F81"/>
    <w:rsid w:val="001B41EF"/>
    <w:rsid w:val="001B4E6C"/>
    <w:rsid w:val="001B7122"/>
    <w:rsid w:val="001C0CF6"/>
    <w:rsid w:val="001C0FCA"/>
    <w:rsid w:val="001C1D6B"/>
    <w:rsid w:val="001C2214"/>
    <w:rsid w:val="001C2523"/>
    <w:rsid w:val="001C2524"/>
    <w:rsid w:val="001C41C2"/>
    <w:rsid w:val="001C4555"/>
    <w:rsid w:val="001D0A46"/>
    <w:rsid w:val="001D22ED"/>
    <w:rsid w:val="001D3440"/>
    <w:rsid w:val="001D37FB"/>
    <w:rsid w:val="001D53A8"/>
    <w:rsid w:val="001D7325"/>
    <w:rsid w:val="001E1A8F"/>
    <w:rsid w:val="001E1F3D"/>
    <w:rsid w:val="001F020B"/>
    <w:rsid w:val="001F0DD3"/>
    <w:rsid w:val="001F21CB"/>
    <w:rsid w:val="001F492F"/>
    <w:rsid w:val="001F6750"/>
    <w:rsid w:val="00200311"/>
    <w:rsid w:val="002008D1"/>
    <w:rsid w:val="0020298F"/>
    <w:rsid w:val="002036AA"/>
    <w:rsid w:val="00203789"/>
    <w:rsid w:val="00205334"/>
    <w:rsid w:val="00213A98"/>
    <w:rsid w:val="00213B41"/>
    <w:rsid w:val="00216DB5"/>
    <w:rsid w:val="00216F08"/>
    <w:rsid w:val="00217263"/>
    <w:rsid w:val="00222CA5"/>
    <w:rsid w:val="00224A1F"/>
    <w:rsid w:val="002258FC"/>
    <w:rsid w:val="00226226"/>
    <w:rsid w:val="00226FD2"/>
    <w:rsid w:val="00227D78"/>
    <w:rsid w:val="00227FE4"/>
    <w:rsid w:val="002317B4"/>
    <w:rsid w:val="002331A0"/>
    <w:rsid w:val="00233DC9"/>
    <w:rsid w:val="0023447D"/>
    <w:rsid w:val="002362B8"/>
    <w:rsid w:val="0023708B"/>
    <w:rsid w:val="00237318"/>
    <w:rsid w:val="00237FE9"/>
    <w:rsid w:val="00245DA0"/>
    <w:rsid w:val="00247ADA"/>
    <w:rsid w:val="00251406"/>
    <w:rsid w:val="00253488"/>
    <w:rsid w:val="00257836"/>
    <w:rsid w:val="00257F0D"/>
    <w:rsid w:val="00264EEE"/>
    <w:rsid w:val="0026530E"/>
    <w:rsid w:val="00265DED"/>
    <w:rsid w:val="00265E6C"/>
    <w:rsid w:val="00266A30"/>
    <w:rsid w:val="0026794D"/>
    <w:rsid w:val="00267FAB"/>
    <w:rsid w:val="002712C8"/>
    <w:rsid w:val="002719ED"/>
    <w:rsid w:val="00271EB7"/>
    <w:rsid w:val="00272E82"/>
    <w:rsid w:val="00273732"/>
    <w:rsid w:val="00273D5C"/>
    <w:rsid w:val="00273ECF"/>
    <w:rsid w:val="00275209"/>
    <w:rsid w:val="0027527B"/>
    <w:rsid w:val="00275B26"/>
    <w:rsid w:val="0027706F"/>
    <w:rsid w:val="00281580"/>
    <w:rsid w:val="00281582"/>
    <w:rsid w:val="00281DFD"/>
    <w:rsid w:val="00282DD1"/>
    <w:rsid w:val="00283AFA"/>
    <w:rsid w:val="00287942"/>
    <w:rsid w:val="00292EDB"/>
    <w:rsid w:val="0029399F"/>
    <w:rsid w:val="00293E21"/>
    <w:rsid w:val="00295264"/>
    <w:rsid w:val="00296404"/>
    <w:rsid w:val="0029649F"/>
    <w:rsid w:val="002A05D3"/>
    <w:rsid w:val="002A06C6"/>
    <w:rsid w:val="002A535E"/>
    <w:rsid w:val="002A57E1"/>
    <w:rsid w:val="002A5881"/>
    <w:rsid w:val="002A5E7A"/>
    <w:rsid w:val="002A78E9"/>
    <w:rsid w:val="002B0025"/>
    <w:rsid w:val="002B0801"/>
    <w:rsid w:val="002B4D10"/>
    <w:rsid w:val="002B5324"/>
    <w:rsid w:val="002B56E7"/>
    <w:rsid w:val="002C0074"/>
    <w:rsid w:val="002C00BF"/>
    <w:rsid w:val="002C0166"/>
    <w:rsid w:val="002C097E"/>
    <w:rsid w:val="002C2315"/>
    <w:rsid w:val="002C301D"/>
    <w:rsid w:val="002C4A38"/>
    <w:rsid w:val="002C6298"/>
    <w:rsid w:val="002C65B8"/>
    <w:rsid w:val="002C734D"/>
    <w:rsid w:val="002C744C"/>
    <w:rsid w:val="002D01BF"/>
    <w:rsid w:val="002D0FAA"/>
    <w:rsid w:val="002D3E81"/>
    <w:rsid w:val="002D4AC3"/>
    <w:rsid w:val="002D52A0"/>
    <w:rsid w:val="002D6691"/>
    <w:rsid w:val="002D68CC"/>
    <w:rsid w:val="002D6F38"/>
    <w:rsid w:val="002E062E"/>
    <w:rsid w:val="002E1D30"/>
    <w:rsid w:val="002E28C6"/>
    <w:rsid w:val="002E4DB3"/>
    <w:rsid w:val="002E79A6"/>
    <w:rsid w:val="002E7E73"/>
    <w:rsid w:val="002F10BF"/>
    <w:rsid w:val="002F110D"/>
    <w:rsid w:val="002F32BD"/>
    <w:rsid w:val="002F4407"/>
    <w:rsid w:val="002F5A1A"/>
    <w:rsid w:val="002F6E67"/>
    <w:rsid w:val="002F70A1"/>
    <w:rsid w:val="002F71F1"/>
    <w:rsid w:val="002F7C03"/>
    <w:rsid w:val="002F7E72"/>
    <w:rsid w:val="0030111A"/>
    <w:rsid w:val="003020F3"/>
    <w:rsid w:val="003038AC"/>
    <w:rsid w:val="00305726"/>
    <w:rsid w:val="00306E9B"/>
    <w:rsid w:val="003072A9"/>
    <w:rsid w:val="003076FA"/>
    <w:rsid w:val="00310D70"/>
    <w:rsid w:val="0031214B"/>
    <w:rsid w:val="00312AEE"/>
    <w:rsid w:val="00313880"/>
    <w:rsid w:val="00313F3E"/>
    <w:rsid w:val="00315307"/>
    <w:rsid w:val="003154F9"/>
    <w:rsid w:val="00315D17"/>
    <w:rsid w:val="003176BB"/>
    <w:rsid w:val="00317E1A"/>
    <w:rsid w:val="00320FEA"/>
    <w:rsid w:val="003237B0"/>
    <w:rsid w:val="0032503F"/>
    <w:rsid w:val="003258CB"/>
    <w:rsid w:val="00326109"/>
    <w:rsid w:val="003262CE"/>
    <w:rsid w:val="003264ED"/>
    <w:rsid w:val="003308B4"/>
    <w:rsid w:val="00333209"/>
    <w:rsid w:val="00333410"/>
    <w:rsid w:val="003342C5"/>
    <w:rsid w:val="00334A4E"/>
    <w:rsid w:val="003352EF"/>
    <w:rsid w:val="003424A8"/>
    <w:rsid w:val="003425F7"/>
    <w:rsid w:val="00343012"/>
    <w:rsid w:val="00343233"/>
    <w:rsid w:val="00343B25"/>
    <w:rsid w:val="003441E3"/>
    <w:rsid w:val="003445EA"/>
    <w:rsid w:val="00351EC0"/>
    <w:rsid w:val="00352990"/>
    <w:rsid w:val="00352C18"/>
    <w:rsid w:val="00353113"/>
    <w:rsid w:val="00353518"/>
    <w:rsid w:val="00353671"/>
    <w:rsid w:val="00354D4D"/>
    <w:rsid w:val="003613F4"/>
    <w:rsid w:val="00361819"/>
    <w:rsid w:val="00362FE1"/>
    <w:rsid w:val="00363DCE"/>
    <w:rsid w:val="00364E9D"/>
    <w:rsid w:val="00365680"/>
    <w:rsid w:val="00366A1A"/>
    <w:rsid w:val="00367B6E"/>
    <w:rsid w:val="00370B2E"/>
    <w:rsid w:val="00372D68"/>
    <w:rsid w:val="0037447C"/>
    <w:rsid w:val="0037458C"/>
    <w:rsid w:val="00374E9A"/>
    <w:rsid w:val="003801E8"/>
    <w:rsid w:val="00381B8A"/>
    <w:rsid w:val="00381DB8"/>
    <w:rsid w:val="003826A0"/>
    <w:rsid w:val="00383462"/>
    <w:rsid w:val="00385683"/>
    <w:rsid w:val="00386DD1"/>
    <w:rsid w:val="00387CA4"/>
    <w:rsid w:val="00395750"/>
    <w:rsid w:val="0039581F"/>
    <w:rsid w:val="00396861"/>
    <w:rsid w:val="0039783E"/>
    <w:rsid w:val="003A0009"/>
    <w:rsid w:val="003A0ADF"/>
    <w:rsid w:val="003A2839"/>
    <w:rsid w:val="003A4360"/>
    <w:rsid w:val="003A697F"/>
    <w:rsid w:val="003A76E4"/>
    <w:rsid w:val="003B09F2"/>
    <w:rsid w:val="003B1384"/>
    <w:rsid w:val="003B35B8"/>
    <w:rsid w:val="003B4A9D"/>
    <w:rsid w:val="003B4B13"/>
    <w:rsid w:val="003B4D2C"/>
    <w:rsid w:val="003B53A6"/>
    <w:rsid w:val="003C0785"/>
    <w:rsid w:val="003C1764"/>
    <w:rsid w:val="003C3AD0"/>
    <w:rsid w:val="003C56BA"/>
    <w:rsid w:val="003C722C"/>
    <w:rsid w:val="003C7985"/>
    <w:rsid w:val="003C7CAC"/>
    <w:rsid w:val="003D20ED"/>
    <w:rsid w:val="003D4ED7"/>
    <w:rsid w:val="003D6531"/>
    <w:rsid w:val="003D7ABD"/>
    <w:rsid w:val="003E017A"/>
    <w:rsid w:val="003E1FAF"/>
    <w:rsid w:val="003E20B9"/>
    <w:rsid w:val="003E3836"/>
    <w:rsid w:val="003E39B9"/>
    <w:rsid w:val="003E3B21"/>
    <w:rsid w:val="003E4AC8"/>
    <w:rsid w:val="003E4BB4"/>
    <w:rsid w:val="003E68FB"/>
    <w:rsid w:val="003E7F60"/>
    <w:rsid w:val="003F14AC"/>
    <w:rsid w:val="003F27A7"/>
    <w:rsid w:val="003F2D09"/>
    <w:rsid w:val="003F34BF"/>
    <w:rsid w:val="003F37EA"/>
    <w:rsid w:val="003F47F5"/>
    <w:rsid w:val="003F59CC"/>
    <w:rsid w:val="003F5E57"/>
    <w:rsid w:val="003F5F9D"/>
    <w:rsid w:val="003F6627"/>
    <w:rsid w:val="003F7652"/>
    <w:rsid w:val="003F7EDA"/>
    <w:rsid w:val="00401D87"/>
    <w:rsid w:val="00402BF8"/>
    <w:rsid w:val="00403755"/>
    <w:rsid w:val="00406227"/>
    <w:rsid w:val="00407D3B"/>
    <w:rsid w:val="00414D03"/>
    <w:rsid w:val="00415CC4"/>
    <w:rsid w:val="00415FD6"/>
    <w:rsid w:val="0041696F"/>
    <w:rsid w:val="00420D4C"/>
    <w:rsid w:val="0042318B"/>
    <w:rsid w:val="00423B79"/>
    <w:rsid w:val="004240D2"/>
    <w:rsid w:val="004246A7"/>
    <w:rsid w:val="00424ADF"/>
    <w:rsid w:val="004303B8"/>
    <w:rsid w:val="004312B1"/>
    <w:rsid w:val="00431677"/>
    <w:rsid w:val="00433183"/>
    <w:rsid w:val="00433AED"/>
    <w:rsid w:val="00435F4A"/>
    <w:rsid w:val="00437C49"/>
    <w:rsid w:val="0044117C"/>
    <w:rsid w:val="004418F2"/>
    <w:rsid w:val="00443662"/>
    <w:rsid w:val="00444BCD"/>
    <w:rsid w:val="00444E78"/>
    <w:rsid w:val="004455A5"/>
    <w:rsid w:val="00445911"/>
    <w:rsid w:val="00445929"/>
    <w:rsid w:val="00445F4D"/>
    <w:rsid w:val="00446050"/>
    <w:rsid w:val="00446FC1"/>
    <w:rsid w:val="00447C26"/>
    <w:rsid w:val="00447F1A"/>
    <w:rsid w:val="0045085A"/>
    <w:rsid w:val="00450CBA"/>
    <w:rsid w:val="0045110A"/>
    <w:rsid w:val="00455363"/>
    <w:rsid w:val="0045572B"/>
    <w:rsid w:val="00455FE0"/>
    <w:rsid w:val="00456B8F"/>
    <w:rsid w:val="004574C4"/>
    <w:rsid w:val="0045787A"/>
    <w:rsid w:val="00457A91"/>
    <w:rsid w:val="004604E9"/>
    <w:rsid w:val="00460A55"/>
    <w:rsid w:val="0046180A"/>
    <w:rsid w:val="00462A62"/>
    <w:rsid w:val="00462BC6"/>
    <w:rsid w:val="00463FEB"/>
    <w:rsid w:val="00466836"/>
    <w:rsid w:val="00470C11"/>
    <w:rsid w:val="00470F14"/>
    <w:rsid w:val="00471759"/>
    <w:rsid w:val="0047175C"/>
    <w:rsid w:val="004721E0"/>
    <w:rsid w:val="00472F9C"/>
    <w:rsid w:val="00473803"/>
    <w:rsid w:val="00476857"/>
    <w:rsid w:val="00476B4E"/>
    <w:rsid w:val="0047782F"/>
    <w:rsid w:val="004828C6"/>
    <w:rsid w:val="00484675"/>
    <w:rsid w:val="00484F33"/>
    <w:rsid w:val="004869CF"/>
    <w:rsid w:val="00487545"/>
    <w:rsid w:val="00490239"/>
    <w:rsid w:val="00490B1D"/>
    <w:rsid w:val="004911B9"/>
    <w:rsid w:val="00491D3B"/>
    <w:rsid w:val="00491DC5"/>
    <w:rsid w:val="00492871"/>
    <w:rsid w:val="004929EC"/>
    <w:rsid w:val="004935F6"/>
    <w:rsid w:val="00493B10"/>
    <w:rsid w:val="00493F24"/>
    <w:rsid w:val="00494A7F"/>
    <w:rsid w:val="00495017"/>
    <w:rsid w:val="0049615F"/>
    <w:rsid w:val="004971EF"/>
    <w:rsid w:val="004A04FF"/>
    <w:rsid w:val="004A2043"/>
    <w:rsid w:val="004A45DB"/>
    <w:rsid w:val="004A6D51"/>
    <w:rsid w:val="004B03BE"/>
    <w:rsid w:val="004B1950"/>
    <w:rsid w:val="004B2839"/>
    <w:rsid w:val="004B300A"/>
    <w:rsid w:val="004B3C51"/>
    <w:rsid w:val="004B4B2B"/>
    <w:rsid w:val="004B4E7B"/>
    <w:rsid w:val="004B7418"/>
    <w:rsid w:val="004B780C"/>
    <w:rsid w:val="004C0FBA"/>
    <w:rsid w:val="004C1080"/>
    <w:rsid w:val="004C118D"/>
    <w:rsid w:val="004C2B29"/>
    <w:rsid w:val="004C3F7B"/>
    <w:rsid w:val="004C78C4"/>
    <w:rsid w:val="004D2338"/>
    <w:rsid w:val="004D2B88"/>
    <w:rsid w:val="004D2EB8"/>
    <w:rsid w:val="004D3A3F"/>
    <w:rsid w:val="004D512D"/>
    <w:rsid w:val="004D58A1"/>
    <w:rsid w:val="004D5F74"/>
    <w:rsid w:val="004D6ED4"/>
    <w:rsid w:val="004E1004"/>
    <w:rsid w:val="004E10E0"/>
    <w:rsid w:val="004E198A"/>
    <w:rsid w:val="004E2A32"/>
    <w:rsid w:val="004E3F7E"/>
    <w:rsid w:val="004E67E6"/>
    <w:rsid w:val="004E759F"/>
    <w:rsid w:val="004F19CD"/>
    <w:rsid w:val="004F1A3D"/>
    <w:rsid w:val="004F1F6E"/>
    <w:rsid w:val="004F245D"/>
    <w:rsid w:val="004F5E93"/>
    <w:rsid w:val="004F603D"/>
    <w:rsid w:val="004F6545"/>
    <w:rsid w:val="004F6D32"/>
    <w:rsid w:val="004F6FC8"/>
    <w:rsid w:val="004F7F29"/>
    <w:rsid w:val="0050046F"/>
    <w:rsid w:val="00500EEF"/>
    <w:rsid w:val="005015CE"/>
    <w:rsid w:val="00501BD9"/>
    <w:rsid w:val="005041A7"/>
    <w:rsid w:val="00504E3C"/>
    <w:rsid w:val="00506456"/>
    <w:rsid w:val="00506825"/>
    <w:rsid w:val="00506FA2"/>
    <w:rsid w:val="00507196"/>
    <w:rsid w:val="005103B1"/>
    <w:rsid w:val="00514A45"/>
    <w:rsid w:val="00515680"/>
    <w:rsid w:val="00516410"/>
    <w:rsid w:val="005173F5"/>
    <w:rsid w:val="00517D7F"/>
    <w:rsid w:val="00517E7D"/>
    <w:rsid w:val="00520779"/>
    <w:rsid w:val="005207FA"/>
    <w:rsid w:val="00523AAC"/>
    <w:rsid w:val="00523CF5"/>
    <w:rsid w:val="005246FD"/>
    <w:rsid w:val="00525A4C"/>
    <w:rsid w:val="00525C51"/>
    <w:rsid w:val="00530417"/>
    <w:rsid w:val="00530B0F"/>
    <w:rsid w:val="005321B7"/>
    <w:rsid w:val="005328C3"/>
    <w:rsid w:val="0053379A"/>
    <w:rsid w:val="005337D5"/>
    <w:rsid w:val="00535A12"/>
    <w:rsid w:val="0053679A"/>
    <w:rsid w:val="0054067C"/>
    <w:rsid w:val="00541C62"/>
    <w:rsid w:val="00542F3D"/>
    <w:rsid w:val="00543754"/>
    <w:rsid w:val="005437B7"/>
    <w:rsid w:val="00543E03"/>
    <w:rsid w:val="00545F4F"/>
    <w:rsid w:val="00545F60"/>
    <w:rsid w:val="00547754"/>
    <w:rsid w:val="0054782B"/>
    <w:rsid w:val="0055051C"/>
    <w:rsid w:val="00550BD7"/>
    <w:rsid w:val="005520E3"/>
    <w:rsid w:val="005536BC"/>
    <w:rsid w:val="00554B2A"/>
    <w:rsid w:val="00554B2F"/>
    <w:rsid w:val="005568AD"/>
    <w:rsid w:val="00557118"/>
    <w:rsid w:val="005612C1"/>
    <w:rsid w:val="00561CB5"/>
    <w:rsid w:val="0056357E"/>
    <w:rsid w:val="00563B07"/>
    <w:rsid w:val="00564874"/>
    <w:rsid w:val="00564E26"/>
    <w:rsid w:val="00566834"/>
    <w:rsid w:val="005668F0"/>
    <w:rsid w:val="005677E2"/>
    <w:rsid w:val="0057019F"/>
    <w:rsid w:val="005704E5"/>
    <w:rsid w:val="00570549"/>
    <w:rsid w:val="00571BA5"/>
    <w:rsid w:val="00573B85"/>
    <w:rsid w:val="00574342"/>
    <w:rsid w:val="0057489A"/>
    <w:rsid w:val="005754DE"/>
    <w:rsid w:val="00576798"/>
    <w:rsid w:val="00577C67"/>
    <w:rsid w:val="00580450"/>
    <w:rsid w:val="00580CDE"/>
    <w:rsid w:val="005824BD"/>
    <w:rsid w:val="00582DC6"/>
    <w:rsid w:val="00585F5E"/>
    <w:rsid w:val="00586DC7"/>
    <w:rsid w:val="00590BD9"/>
    <w:rsid w:val="00590D92"/>
    <w:rsid w:val="00593561"/>
    <w:rsid w:val="005940A1"/>
    <w:rsid w:val="00596392"/>
    <w:rsid w:val="00597DFE"/>
    <w:rsid w:val="00597EC6"/>
    <w:rsid w:val="00597FAF"/>
    <w:rsid w:val="005A13E7"/>
    <w:rsid w:val="005A18B9"/>
    <w:rsid w:val="005A196E"/>
    <w:rsid w:val="005A3D06"/>
    <w:rsid w:val="005A3DA9"/>
    <w:rsid w:val="005A6CC1"/>
    <w:rsid w:val="005A6CCD"/>
    <w:rsid w:val="005A6E76"/>
    <w:rsid w:val="005A7107"/>
    <w:rsid w:val="005B113B"/>
    <w:rsid w:val="005B174D"/>
    <w:rsid w:val="005B29AF"/>
    <w:rsid w:val="005B39D2"/>
    <w:rsid w:val="005B3B36"/>
    <w:rsid w:val="005B545C"/>
    <w:rsid w:val="005B55F8"/>
    <w:rsid w:val="005B5924"/>
    <w:rsid w:val="005B6561"/>
    <w:rsid w:val="005C0453"/>
    <w:rsid w:val="005C10C5"/>
    <w:rsid w:val="005C21D1"/>
    <w:rsid w:val="005C24B6"/>
    <w:rsid w:val="005C29FA"/>
    <w:rsid w:val="005C6EDB"/>
    <w:rsid w:val="005C7958"/>
    <w:rsid w:val="005D0763"/>
    <w:rsid w:val="005D0FD8"/>
    <w:rsid w:val="005D2127"/>
    <w:rsid w:val="005D3791"/>
    <w:rsid w:val="005D3DE0"/>
    <w:rsid w:val="005D47A3"/>
    <w:rsid w:val="005D4C84"/>
    <w:rsid w:val="005D57F3"/>
    <w:rsid w:val="005D67EA"/>
    <w:rsid w:val="005D73BF"/>
    <w:rsid w:val="005E0B96"/>
    <w:rsid w:val="005E4156"/>
    <w:rsid w:val="005E61BD"/>
    <w:rsid w:val="005E7559"/>
    <w:rsid w:val="005F2C40"/>
    <w:rsid w:val="005F3844"/>
    <w:rsid w:val="005F4DCE"/>
    <w:rsid w:val="0060184B"/>
    <w:rsid w:val="00601A52"/>
    <w:rsid w:val="00602E73"/>
    <w:rsid w:val="00603627"/>
    <w:rsid w:val="006036A6"/>
    <w:rsid w:val="00603E2B"/>
    <w:rsid w:val="00603FA8"/>
    <w:rsid w:val="006050DD"/>
    <w:rsid w:val="006057D8"/>
    <w:rsid w:val="006062EF"/>
    <w:rsid w:val="0061025C"/>
    <w:rsid w:val="00612D19"/>
    <w:rsid w:val="0061317B"/>
    <w:rsid w:val="00613972"/>
    <w:rsid w:val="006141B0"/>
    <w:rsid w:val="006159F2"/>
    <w:rsid w:val="00615E70"/>
    <w:rsid w:val="006160AF"/>
    <w:rsid w:val="006170F2"/>
    <w:rsid w:val="00617398"/>
    <w:rsid w:val="0061761D"/>
    <w:rsid w:val="006207E9"/>
    <w:rsid w:val="0062093D"/>
    <w:rsid w:val="00621E70"/>
    <w:rsid w:val="006243A9"/>
    <w:rsid w:val="00626B7E"/>
    <w:rsid w:val="0063143C"/>
    <w:rsid w:val="00632BA7"/>
    <w:rsid w:val="00632C89"/>
    <w:rsid w:val="00632E8C"/>
    <w:rsid w:val="00634F11"/>
    <w:rsid w:val="006359F5"/>
    <w:rsid w:val="00635A18"/>
    <w:rsid w:val="006362C2"/>
    <w:rsid w:val="006372A3"/>
    <w:rsid w:val="006377D3"/>
    <w:rsid w:val="00637BB7"/>
    <w:rsid w:val="00642ADD"/>
    <w:rsid w:val="0064402C"/>
    <w:rsid w:val="006445A2"/>
    <w:rsid w:val="0064511C"/>
    <w:rsid w:val="00645C45"/>
    <w:rsid w:val="00646179"/>
    <w:rsid w:val="006464FD"/>
    <w:rsid w:val="0064671E"/>
    <w:rsid w:val="0064763A"/>
    <w:rsid w:val="006544DB"/>
    <w:rsid w:val="00656647"/>
    <w:rsid w:val="0065713B"/>
    <w:rsid w:val="0065713C"/>
    <w:rsid w:val="0065773E"/>
    <w:rsid w:val="00660B1F"/>
    <w:rsid w:val="00662194"/>
    <w:rsid w:val="00663B17"/>
    <w:rsid w:val="00666A40"/>
    <w:rsid w:val="00671103"/>
    <w:rsid w:val="00671424"/>
    <w:rsid w:val="00671A52"/>
    <w:rsid w:val="00671F5A"/>
    <w:rsid w:val="006755C1"/>
    <w:rsid w:val="006772A7"/>
    <w:rsid w:val="006772CA"/>
    <w:rsid w:val="00677EE9"/>
    <w:rsid w:val="006822DA"/>
    <w:rsid w:val="00682473"/>
    <w:rsid w:val="006829A8"/>
    <w:rsid w:val="00682FBC"/>
    <w:rsid w:val="00683A57"/>
    <w:rsid w:val="0068449E"/>
    <w:rsid w:val="00684A4C"/>
    <w:rsid w:val="006873EA"/>
    <w:rsid w:val="00690109"/>
    <w:rsid w:val="00692162"/>
    <w:rsid w:val="00693024"/>
    <w:rsid w:val="00694ABE"/>
    <w:rsid w:val="00694E49"/>
    <w:rsid w:val="006A0E74"/>
    <w:rsid w:val="006A0FE1"/>
    <w:rsid w:val="006A218F"/>
    <w:rsid w:val="006A3137"/>
    <w:rsid w:val="006A3F76"/>
    <w:rsid w:val="006A4054"/>
    <w:rsid w:val="006A40A1"/>
    <w:rsid w:val="006A5C00"/>
    <w:rsid w:val="006A6165"/>
    <w:rsid w:val="006A6392"/>
    <w:rsid w:val="006A7E28"/>
    <w:rsid w:val="006B04BD"/>
    <w:rsid w:val="006B2116"/>
    <w:rsid w:val="006B2982"/>
    <w:rsid w:val="006B4407"/>
    <w:rsid w:val="006B4903"/>
    <w:rsid w:val="006B72BF"/>
    <w:rsid w:val="006C0A4C"/>
    <w:rsid w:val="006C1B43"/>
    <w:rsid w:val="006C1D7C"/>
    <w:rsid w:val="006C5DBE"/>
    <w:rsid w:val="006C6FA2"/>
    <w:rsid w:val="006C7000"/>
    <w:rsid w:val="006C7763"/>
    <w:rsid w:val="006D012B"/>
    <w:rsid w:val="006D0D8E"/>
    <w:rsid w:val="006D12A7"/>
    <w:rsid w:val="006D2BD5"/>
    <w:rsid w:val="006D3ECE"/>
    <w:rsid w:val="006D4E45"/>
    <w:rsid w:val="006D5350"/>
    <w:rsid w:val="006E0317"/>
    <w:rsid w:val="006E0511"/>
    <w:rsid w:val="006E12C1"/>
    <w:rsid w:val="006E5580"/>
    <w:rsid w:val="006E7DC2"/>
    <w:rsid w:val="006F0263"/>
    <w:rsid w:val="006F0D73"/>
    <w:rsid w:val="006F1342"/>
    <w:rsid w:val="006F3D80"/>
    <w:rsid w:val="006F3EF5"/>
    <w:rsid w:val="006F49F0"/>
    <w:rsid w:val="006F59B8"/>
    <w:rsid w:val="0070061F"/>
    <w:rsid w:val="00702D5F"/>
    <w:rsid w:val="00702E8D"/>
    <w:rsid w:val="0070360B"/>
    <w:rsid w:val="00704726"/>
    <w:rsid w:val="007053E7"/>
    <w:rsid w:val="00705884"/>
    <w:rsid w:val="00705BD1"/>
    <w:rsid w:val="007063F2"/>
    <w:rsid w:val="00706E77"/>
    <w:rsid w:val="00707A17"/>
    <w:rsid w:val="00707B2E"/>
    <w:rsid w:val="00710B00"/>
    <w:rsid w:val="00711471"/>
    <w:rsid w:val="00711B7D"/>
    <w:rsid w:val="007135C9"/>
    <w:rsid w:val="00716DEA"/>
    <w:rsid w:val="0072105B"/>
    <w:rsid w:val="00723508"/>
    <w:rsid w:val="007276CD"/>
    <w:rsid w:val="00730196"/>
    <w:rsid w:val="0073286C"/>
    <w:rsid w:val="007328CC"/>
    <w:rsid w:val="00732DE6"/>
    <w:rsid w:val="007330DF"/>
    <w:rsid w:val="0073381F"/>
    <w:rsid w:val="00735070"/>
    <w:rsid w:val="00735AD3"/>
    <w:rsid w:val="007404F6"/>
    <w:rsid w:val="00742222"/>
    <w:rsid w:val="00743EA9"/>
    <w:rsid w:val="0074529C"/>
    <w:rsid w:val="00747ECC"/>
    <w:rsid w:val="00750BF8"/>
    <w:rsid w:val="00750E2F"/>
    <w:rsid w:val="007515BC"/>
    <w:rsid w:val="00753328"/>
    <w:rsid w:val="00753433"/>
    <w:rsid w:val="00754E11"/>
    <w:rsid w:val="00756097"/>
    <w:rsid w:val="00757666"/>
    <w:rsid w:val="00760764"/>
    <w:rsid w:val="00761AC3"/>
    <w:rsid w:val="00763058"/>
    <w:rsid w:val="00763379"/>
    <w:rsid w:val="00764F3A"/>
    <w:rsid w:val="00765683"/>
    <w:rsid w:val="00765CC1"/>
    <w:rsid w:val="007669BA"/>
    <w:rsid w:val="007712EA"/>
    <w:rsid w:val="00773ACD"/>
    <w:rsid w:val="007768C5"/>
    <w:rsid w:val="007773BD"/>
    <w:rsid w:val="00777B72"/>
    <w:rsid w:val="00777EEE"/>
    <w:rsid w:val="007811C0"/>
    <w:rsid w:val="007819CF"/>
    <w:rsid w:val="00783657"/>
    <w:rsid w:val="00784745"/>
    <w:rsid w:val="00786840"/>
    <w:rsid w:val="00791304"/>
    <w:rsid w:val="00791677"/>
    <w:rsid w:val="00791C8F"/>
    <w:rsid w:val="00791E8E"/>
    <w:rsid w:val="007931A9"/>
    <w:rsid w:val="00794E52"/>
    <w:rsid w:val="00794E6C"/>
    <w:rsid w:val="007952A7"/>
    <w:rsid w:val="00796982"/>
    <w:rsid w:val="007A02C7"/>
    <w:rsid w:val="007A1334"/>
    <w:rsid w:val="007A2C70"/>
    <w:rsid w:val="007A33EF"/>
    <w:rsid w:val="007A375D"/>
    <w:rsid w:val="007A4CBF"/>
    <w:rsid w:val="007A5456"/>
    <w:rsid w:val="007A5826"/>
    <w:rsid w:val="007A657A"/>
    <w:rsid w:val="007B249F"/>
    <w:rsid w:val="007B4330"/>
    <w:rsid w:val="007B435A"/>
    <w:rsid w:val="007B5D7E"/>
    <w:rsid w:val="007C17B1"/>
    <w:rsid w:val="007C43BB"/>
    <w:rsid w:val="007C6ED9"/>
    <w:rsid w:val="007D1D13"/>
    <w:rsid w:val="007D36F2"/>
    <w:rsid w:val="007D3B6C"/>
    <w:rsid w:val="007D3F11"/>
    <w:rsid w:val="007D57DC"/>
    <w:rsid w:val="007E00A1"/>
    <w:rsid w:val="007E2BB1"/>
    <w:rsid w:val="007E2F2D"/>
    <w:rsid w:val="007E3A3A"/>
    <w:rsid w:val="007E6D47"/>
    <w:rsid w:val="007E71C7"/>
    <w:rsid w:val="007F0096"/>
    <w:rsid w:val="007F08D7"/>
    <w:rsid w:val="007F2BB3"/>
    <w:rsid w:val="007F3138"/>
    <w:rsid w:val="007F35FA"/>
    <w:rsid w:val="007F3724"/>
    <w:rsid w:val="007F4330"/>
    <w:rsid w:val="007F45A7"/>
    <w:rsid w:val="007F4BBC"/>
    <w:rsid w:val="007F4C1B"/>
    <w:rsid w:val="007F62A9"/>
    <w:rsid w:val="00800109"/>
    <w:rsid w:val="008007C3"/>
    <w:rsid w:val="008022F1"/>
    <w:rsid w:val="0080288A"/>
    <w:rsid w:val="00802E2A"/>
    <w:rsid w:val="00803569"/>
    <w:rsid w:val="00804219"/>
    <w:rsid w:val="008049CE"/>
    <w:rsid w:val="00807058"/>
    <w:rsid w:val="0080739F"/>
    <w:rsid w:val="0080758E"/>
    <w:rsid w:val="0081025E"/>
    <w:rsid w:val="008124E6"/>
    <w:rsid w:val="00812B72"/>
    <w:rsid w:val="0081333C"/>
    <w:rsid w:val="00813360"/>
    <w:rsid w:val="00813620"/>
    <w:rsid w:val="00815B4C"/>
    <w:rsid w:val="00816F3A"/>
    <w:rsid w:val="008171ED"/>
    <w:rsid w:val="00820A32"/>
    <w:rsid w:val="00820A94"/>
    <w:rsid w:val="00822175"/>
    <w:rsid w:val="008230AC"/>
    <w:rsid w:val="00823B52"/>
    <w:rsid w:val="00823B90"/>
    <w:rsid w:val="00831ACA"/>
    <w:rsid w:val="00831AD5"/>
    <w:rsid w:val="00831BAA"/>
    <w:rsid w:val="00831E32"/>
    <w:rsid w:val="00834C7B"/>
    <w:rsid w:val="00836367"/>
    <w:rsid w:val="00836920"/>
    <w:rsid w:val="008375CF"/>
    <w:rsid w:val="00841C49"/>
    <w:rsid w:val="00843D20"/>
    <w:rsid w:val="00844454"/>
    <w:rsid w:val="00847192"/>
    <w:rsid w:val="0084731D"/>
    <w:rsid w:val="00850142"/>
    <w:rsid w:val="008511D0"/>
    <w:rsid w:val="00855476"/>
    <w:rsid w:val="00857420"/>
    <w:rsid w:val="0085773A"/>
    <w:rsid w:val="008603F1"/>
    <w:rsid w:val="00860CCE"/>
    <w:rsid w:val="00861084"/>
    <w:rsid w:val="00862540"/>
    <w:rsid w:val="00862551"/>
    <w:rsid w:val="0086294E"/>
    <w:rsid w:val="00863459"/>
    <w:rsid w:val="008637E1"/>
    <w:rsid w:val="00864CE2"/>
    <w:rsid w:val="00867E68"/>
    <w:rsid w:val="00871BAB"/>
    <w:rsid w:val="00871C54"/>
    <w:rsid w:val="0087340F"/>
    <w:rsid w:val="00873740"/>
    <w:rsid w:val="00873D37"/>
    <w:rsid w:val="00876879"/>
    <w:rsid w:val="0088302D"/>
    <w:rsid w:val="008830FE"/>
    <w:rsid w:val="008831E9"/>
    <w:rsid w:val="008841C7"/>
    <w:rsid w:val="00885271"/>
    <w:rsid w:val="0088541D"/>
    <w:rsid w:val="00885C28"/>
    <w:rsid w:val="00885F6B"/>
    <w:rsid w:val="00887803"/>
    <w:rsid w:val="00891481"/>
    <w:rsid w:val="00893A34"/>
    <w:rsid w:val="00893F1F"/>
    <w:rsid w:val="00897964"/>
    <w:rsid w:val="008A2903"/>
    <w:rsid w:val="008A2ECB"/>
    <w:rsid w:val="008A41D1"/>
    <w:rsid w:val="008A6B32"/>
    <w:rsid w:val="008A7DEB"/>
    <w:rsid w:val="008B1647"/>
    <w:rsid w:val="008B1804"/>
    <w:rsid w:val="008B39F2"/>
    <w:rsid w:val="008B7CC7"/>
    <w:rsid w:val="008C0BAD"/>
    <w:rsid w:val="008C1654"/>
    <w:rsid w:val="008C2E66"/>
    <w:rsid w:val="008C3CF3"/>
    <w:rsid w:val="008C4059"/>
    <w:rsid w:val="008C5061"/>
    <w:rsid w:val="008D042F"/>
    <w:rsid w:val="008D1F08"/>
    <w:rsid w:val="008D321E"/>
    <w:rsid w:val="008D4069"/>
    <w:rsid w:val="008D4C74"/>
    <w:rsid w:val="008D578D"/>
    <w:rsid w:val="008D5CD9"/>
    <w:rsid w:val="008D607D"/>
    <w:rsid w:val="008E027F"/>
    <w:rsid w:val="008E0500"/>
    <w:rsid w:val="008E0799"/>
    <w:rsid w:val="008E144C"/>
    <w:rsid w:val="008E1524"/>
    <w:rsid w:val="008E1751"/>
    <w:rsid w:val="008E35D5"/>
    <w:rsid w:val="008E499D"/>
    <w:rsid w:val="008E523D"/>
    <w:rsid w:val="008F078B"/>
    <w:rsid w:val="008F1742"/>
    <w:rsid w:val="008F45DD"/>
    <w:rsid w:val="008F524F"/>
    <w:rsid w:val="008F546B"/>
    <w:rsid w:val="0090067F"/>
    <w:rsid w:val="009011FA"/>
    <w:rsid w:val="00903A46"/>
    <w:rsid w:val="0090463C"/>
    <w:rsid w:val="009062B0"/>
    <w:rsid w:val="00907276"/>
    <w:rsid w:val="00907EF1"/>
    <w:rsid w:val="009112D6"/>
    <w:rsid w:val="00911779"/>
    <w:rsid w:val="00912583"/>
    <w:rsid w:val="0091537A"/>
    <w:rsid w:val="0091613C"/>
    <w:rsid w:val="00917703"/>
    <w:rsid w:val="00921613"/>
    <w:rsid w:val="00921AD9"/>
    <w:rsid w:val="00922DFB"/>
    <w:rsid w:val="00924DAD"/>
    <w:rsid w:val="00924EF9"/>
    <w:rsid w:val="00926B17"/>
    <w:rsid w:val="00931139"/>
    <w:rsid w:val="00931186"/>
    <w:rsid w:val="00931C60"/>
    <w:rsid w:val="00932080"/>
    <w:rsid w:val="00932330"/>
    <w:rsid w:val="009366A0"/>
    <w:rsid w:val="009407EE"/>
    <w:rsid w:val="00941531"/>
    <w:rsid w:val="00943B26"/>
    <w:rsid w:val="00950357"/>
    <w:rsid w:val="00951D9B"/>
    <w:rsid w:val="0095200D"/>
    <w:rsid w:val="009542D3"/>
    <w:rsid w:val="00956DA6"/>
    <w:rsid w:val="009575E3"/>
    <w:rsid w:val="00957F52"/>
    <w:rsid w:val="00960387"/>
    <w:rsid w:val="00961C3D"/>
    <w:rsid w:val="00961DC0"/>
    <w:rsid w:val="00962484"/>
    <w:rsid w:val="0096278C"/>
    <w:rsid w:val="009643C4"/>
    <w:rsid w:val="00967BAA"/>
    <w:rsid w:val="00970DF3"/>
    <w:rsid w:val="00972B5F"/>
    <w:rsid w:val="00975870"/>
    <w:rsid w:val="00975CDC"/>
    <w:rsid w:val="009768F2"/>
    <w:rsid w:val="00981A56"/>
    <w:rsid w:val="00983242"/>
    <w:rsid w:val="00984467"/>
    <w:rsid w:val="009853C5"/>
    <w:rsid w:val="0098563C"/>
    <w:rsid w:val="0098603E"/>
    <w:rsid w:val="00986F53"/>
    <w:rsid w:val="0099053A"/>
    <w:rsid w:val="009918E8"/>
    <w:rsid w:val="00991ACC"/>
    <w:rsid w:val="00992345"/>
    <w:rsid w:val="0099604A"/>
    <w:rsid w:val="009962FE"/>
    <w:rsid w:val="00997E46"/>
    <w:rsid w:val="009A0E5A"/>
    <w:rsid w:val="009A131E"/>
    <w:rsid w:val="009A2C24"/>
    <w:rsid w:val="009A4DE4"/>
    <w:rsid w:val="009A6068"/>
    <w:rsid w:val="009B1209"/>
    <w:rsid w:val="009B2714"/>
    <w:rsid w:val="009B2D2A"/>
    <w:rsid w:val="009B3F9B"/>
    <w:rsid w:val="009B4464"/>
    <w:rsid w:val="009B5ED9"/>
    <w:rsid w:val="009B687E"/>
    <w:rsid w:val="009B78C5"/>
    <w:rsid w:val="009C4DC5"/>
    <w:rsid w:val="009C5262"/>
    <w:rsid w:val="009C6B0A"/>
    <w:rsid w:val="009D5865"/>
    <w:rsid w:val="009D5E4C"/>
    <w:rsid w:val="009D6D25"/>
    <w:rsid w:val="009E03FB"/>
    <w:rsid w:val="009E17B9"/>
    <w:rsid w:val="009E31E7"/>
    <w:rsid w:val="009E56D2"/>
    <w:rsid w:val="009E5D63"/>
    <w:rsid w:val="009F09E6"/>
    <w:rsid w:val="009F39B2"/>
    <w:rsid w:val="009F630C"/>
    <w:rsid w:val="009F7F75"/>
    <w:rsid w:val="00A0358C"/>
    <w:rsid w:val="00A03704"/>
    <w:rsid w:val="00A05AD3"/>
    <w:rsid w:val="00A067D6"/>
    <w:rsid w:val="00A06AC7"/>
    <w:rsid w:val="00A11347"/>
    <w:rsid w:val="00A12961"/>
    <w:rsid w:val="00A136AC"/>
    <w:rsid w:val="00A13885"/>
    <w:rsid w:val="00A144CF"/>
    <w:rsid w:val="00A169B4"/>
    <w:rsid w:val="00A16CD8"/>
    <w:rsid w:val="00A178DF"/>
    <w:rsid w:val="00A20C92"/>
    <w:rsid w:val="00A227F2"/>
    <w:rsid w:val="00A23954"/>
    <w:rsid w:val="00A240B1"/>
    <w:rsid w:val="00A241BD"/>
    <w:rsid w:val="00A2777E"/>
    <w:rsid w:val="00A3103A"/>
    <w:rsid w:val="00A31268"/>
    <w:rsid w:val="00A31E8F"/>
    <w:rsid w:val="00A3580A"/>
    <w:rsid w:val="00A41E37"/>
    <w:rsid w:val="00A44973"/>
    <w:rsid w:val="00A44EB9"/>
    <w:rsid w:val="00A458F0"/>
    <w:rsid w:val="00A46A67"/>
    <w:rsid w:val="00A474F8"/>
    <w:rsid w:val="00A5070A"/>
    <w:rsid w:val="00A51CC9"/>
    <w:rsid w:val="00A51EF6"/>
    <w:rsid w:val="00A52763"/>
    <w:rsid w:val="00A52964"/>
    <w:rsid w:val="00A60849"/>
    <w:rsid w:val="00A65EA6"/>
    <w:rsid w:val="00A72D91"/>
    <w:rsid w:val="00A73D4B"/>
    <w:rsid w:val="00A761FA"/>
    <w:rsid w:val="00A771C0"/>
    <w:rsid w:val="00A80CA4"/>
    <w:rsid w:val="00A81192"/>
    <w:rsid w:val="00A81297"/>
    <w:rsid w:val="00A82A72"/>
    <w:rsid w:val="00A842B2"/>
    <w:rsid w:val="00A85A08"/>
    <w:rsid w:val="00A86724"/>
    <w:rsid w:val="00A8672D"/>
    <w:rsid w:val="00A90B93"/>
    <w:rsid w:val="00A92E1D"/>
    <w:rsid w:val="00A94F1D"/>
    <w:rsid w:val="00A95810"/>
    <w:rsid w:val="00A95DA6"/>
    <w:rsid w:val="00A97DC2"/>
    <w:rsid w:val="00AA0305"/>
    <w:rsid w:val="00AA075B"/>
    <w:rsid w:val="00AA1E55"/>
    <w:rsid w:val="00AA2A15"/>
    <w:rsid w:val="00AA2A96"/>
    <w:rsid w:val="00AA42A7"/>
    <w:rsid w:val="00AA714E"/>
    <w:rsid w:val="00AB1C8B"/>
    <w:rsid w:val="00AB4B80"/>
    <w:rsid w:val="00AB7678"/>
    <w:rsid w:val="00AC014E"/>
    <w:rsid w:val="00AC238D"/>
    <w:rsid w:val="00AC4391"/>
    <w:rsid w:val="00AC4B7F"/>
    <w:rsid w:val="00AC7238"/>
    <w:rsid w:val="00AC7BEB"/>
    <w:rsid w:val="00AC7C05"/>
    <w:rsid w:val="00AD162D"/>
    <w:rsid w:val="00AD16E4"/>
    <w:rsid w:val="00AD2189"/>
    <w:rsid w:val="00AD2C02"/>
    <w:rsid w:val="00AD31A9"/>
    <w:rsid w:val="00AD5287"/>
    <w:rsid w:val="00AD6CF5"/>
    <w:rsid w:val="00AD7847"/>
    <w:rsid w:val="00AE097A"/>
    <w:rsid w:val="00AE1B5A"/>
    <w:rsid w:val="00AE2151"/>
    <w:rsid w:val="00AE249D"/>
    <w:rsid w:val="00AE31B0"/>
    <w:rsid w:val="00AE3EC0"/>
    <w:rsid w:val="00AE6FC4"/>
    <w:rsid w:val="00AF0479"/>
    <w:rsid w:val="00AF1E44"/>
    <w:rsid w:val="00AF26A2"/>
    <w:rsid w:val="00AF3DFB"/>
    <w:rsid w:val="00AF411C"/>
    <w:rsid w:val="00AF46F2"/>
    <w:rsid w:val="00AF4B64"/>
    <w:rsid w:val="00AF7EC6"/>
    <w:rsid w:val="00B01B51"/>
    <w:rsid w:val="00B03333"/>
    <w:rsid w:val="00B033B6"/>
    <w:rsid w:val="00B0406A"/>
    <w:rsid w:val="00B04872"/>
    <w:rsid w:val="00B06841"/>
    <w:rsid w:val="00B06B03"/>
    <w:rsid w:val="00B07DB6"/>
    <w:rsid w:val="00B100A4"/>
    <w:rsid w:val="00B113E5"/>
    <w:rsid w:val="00B1162D"/>
    <w:rsid w:val="00B14C06"/>
    <w:rsid w:val="00B153F0"/>
    <w:rsid w:val="00B162A3"/>
    <w:rsid w:val="00B16D79"/>
    <w:rsid w:val="00B17ECC"/>
    <w:rsid w:val="00B23398"/>
    <w:rsid w:val="00B23634"/>
    <w:rsid w:val="00B245B0"/>
    <w:rsid w:val="00B26E56"/>
    <w:rsid w:val="00B31879"/>
    <w:rsid w:val="00B3311C"/>
    <w:rsid w:val="00B33125"/>
    <w:rsid w:val="00B34A3B"/>
    <w:rsid w:val="00B355C5"/>
    <w:rsid w:val="00B3673D"/>
    <w:rsid w:val="00B37809"/>
    <w:rsid w:val="00B43F15"/>
    <w:rsid w:val="00B44C6C"/>
    <w:rsid w:val="00B4757F"/>
    <w:rsid w:val="00B5187A"/>
    <w:rsid w:val="00B52E33"/>
    <w:rsid w:val="00B55CD1"/>
    <w:rsid w:val="00B56A4E"/>
    <w:rsid w:val="00B605F9"/>
    <w:rsid w:val="00B61C67"/>
    <w:rsid w:val="00B62A9E"/>
    <w:rsid w:val="00B6314D"/>
    <w:rsid w:val="00B64BD8"/>
    <w:rsid w:val="00B70EFF"/>
    <w:rsid w:val="00B713DA"/>
    <w:rsid w:val="00B71654"/>
    <w:rsid w:val="00B727C2"/>
    <w:rsid w:val="00B72D17"/>
    <w:rsid w:val="00B738C7"/>
    <w:rsid w:val="00B747AC"/>
    <w:rsid w:val="00B77124"/>
    <w:rsid w:val="00B8023E"/>
    <w:rsid w:val="00B82106"/>
    <w:rsid w:val="00B82526"/>
    <w:rsid w:val="00B82809"/>
    <w:rsid w:val="00B834EF"/>
    <w:rsid w:val="00B91224"/>
    <w:rsid w:val="00B91420"/>
    <w:rsid w:val="00B92DEC"/>
    <w:rsid w:val="00B9525A"/>
    <w:rsid w:val="00BA015D"/>
    <w:rsid w:val="00BA064C"/>
    <w:rsid w:val="00BA0C85"/>
    <w:rsid w:val="00BA1B22"/>
    <w:rsid w:val="00BA4091"/>
    <w:rsid w:val="00BA4735"/>
    <w:rsid w:val="00BB2DB8"/>
    <w:rsid w:val="00BB3A50"/>
    <w:rsid w:val="00BB4D9B"/>
    <w:rsid w:val="00BB61CE"/>
    <w:rsid w:val="00BB647C"/>
    <w:rsid w:val="00BB6C76"/>
    <w:rsid w:val="00BB7C10"/>
    <w:rsid w:val="00BB7C7D"/>
    <w:rsid w:val="00BC0C83"/>
    <w:rsid w:val="00BC33E7"/>
    <w:rsid w:val="00BC34C5"/>
    <w:rsid w:val="00BC4AD9"/>
    <w:rsid w:val="00BC61B1"/>
    <w:rsid w:val="00BC74B2"/>
    <w:rsid w:val="00BC7F28"/>
    <w:rsid w:val="00BD1F16"/>
    <w:rsid w:val="00BD201F"/>
    <w:rsid w:val="00BD55D3"/>
    <w:rsid w:val="00BD787F"/>
    <w:rsid w:val="00BD7E26"/>
    <w:rsid w:val="00BE00F2"/>
    <w:rsid w:val="00BE209A"/>
    <w:rsid w:val="00BE2293"/>
    <w:rsid w:val="00BE24AF"/>
    <w:rsid w:val="00BE37DF"/>
    <w:rsid w:val="00BE37E1"/>
    <w:rsid w:val="00BE4B28"/>
    <w:rsid w:val="00BE4ED0"/>
    <w:rsid w:val="00BE57F6"/>
    <w:rsid w:val="00BE7220"/>
    <w:rsid w:val="00BF021D"/>
    <w:rsid w:val="00BF2D80"/>
    <w:rsid w:val="00BF2DF2"/>
    <w:rsid w:val="00BF32A0"/>
    <w:rsid w:val="00BF34A5"/>
    <w:rsid w:val="00BF3828"/>
    <w:rsid w:val="00BF4F4D"/>
    <w:rsid w:val="00BF5144"/>
    <w:rsid w:val="00BF5E9D"/>
    <w:rsid w:val="00C00747"/>
    <w:rsid w:val="00C01116"/>
    <w:rsid w:val="00C02336"/>
    <w:rsid w:val="00C04254"/>
    <w:rsid w:val="00C043A7"/>
    <w:rsid w:val="00C044F1"/>
    <w:rsid w:val="00C050D3"/>
    <w:rsid w:val="00C10374"/>
    <w:rsid w:val="00C12840"/>
    <w:rsid w:val="00C1593D"/>
    <w:rsid w:val="00C16C27"/>
    <w:rsid w:val="00C172E3"/>
    <w:rsid w:val="00C217D7"/>
    <w:rsid w:val="00C21910"/>
    <w:rsid w:val="00C22372"/>
    <w:rsid w:val="00C22791"/>
    <w:rsid w:val="00C244FF"/>
    <w:rsid w:val="00C26A8B"/>
    <w:rsid w:val="00C27FC3"/>
    <w:rsid w:val="00C33D51"/>
    <w:rsid w:val="00C35BF3"/>
    <w:rsid w:val="00C3670D"/>
    <w:rsid w:val="00C407C6"/>
    <w:rsid w:val="00C41370"/>
    <w:rsid w:val="00C41EED"/>
    <w:rsid w:val="00C427EA"/>
    <w:rsid w:val="00C442B6"/>
    <w:rsid w:val="00C459A1"/>
    <w:rsid w:val="00C46CD1"/>
    <w:rsid w:val="00C5096F"/>
    <w:rsid w:val="00C525DC"/>
    <w:rsid w:val="00C52B10"/>
    <w:rsid w:val="00C5302D"/>
    <w:rsid w:val="00C53B40"/>
    <w:rsid w:val="00C5403F"/>
    <w:rsid w:val="00C55956"/>
    <w:rsid w:val="00C55CDD"/>
    <w:rsid w:val="00C5787F"/>
    <w:rsid w:val="00C57E44"/>
    <w:rsid w:val="00C60E71"/>
    <w:rsid w:val="00C611D0"/>
    <w:rsid w:val="00C61A6F"/>
    <w:rsid w:val="00C62F4A"/>
    <w:rsid w:val="00C6318D"/>
    <w:rsid w:val="00C634DB"/>
    <w:rsid w:val="00C63883"/>
    <w:rsid w:val="00C66506"/>
    <w:rsid w:val="00C70729"/>
    <w:rsid w:val="00C72EF0"/>
    <w:rsid w:val="00C7318D"/>
    <w:rsid w:val="00C73AEA"/>
    <w:rsid w:val="00C74CC2"/>
    <w:rsid w:val="00C76487"/>
    <w:rsid w:val="00C77322"/>
    <w:rsid w:val="00C77ACD"/>
    <w:rsid w:val="00C801F7"/>
    <w:rsid w:val="00C82FC1"/>
    <w:rsid w:val="00C83726"/>
    <w:rsid w:val="00C83C0E"/>
    <w:rsid w:val="00C85536"/>
    <w:rsid w:val="00C9240D"/>
    <w:rsid w:val="00C94560"/>
    <w:rsid w:val="00C955AD"/>
    <w:rsid w:val="00C95B92"/>
    <w:rsid w:val="00C96565"/>
    <w:rsid w:val="00C9766A"/>
    <w:rsid w:val="00C9795B"/>
    <w:rsid w:val="00CA1310"/>
    <w:rsid w:val="00CA1744"/>
    <w:rsid w:val="00CA27D5"/>
    <w:rsid w:val="00CA3336"/>
    <w:rsid w:val="00CA3630"/>
    <w:rsid w:val="00CA49A2"/>
    <w:rsid w:val="00CA4D80"/>
    <w:rsid w:val="00CA552A"/>
    <w:rsid w:val="00CA55AC"/>
    <w:rsid w:val="00CA5DA4"/>
    <w:rsid w:val="00CA6831"/>
    <w:rsid w:val="00CA683E"/>
    <w:rsid w:val="00CB0179"/>
    <w:rsid w:val="00CB0C87"/>
    <w:rsid w:val="00CB2278"/>
    <w:rsid w:val="00CB6BD8"/>
    <w:rsid w:val="00CB74C1"/>
    <w:rsid w:val="00CC0031"/>
    <w:rsid w:val="00CC1B2D"/>
    <w:rsid w:val="00CC2C4F"/>
    <w:rsid w:val="00CC31D7"/>
    <w:rsid w:val="00CC3350"/>
    <w:rsid w:val="00CC3FDF"/>
    <w:rsid w:val="00CC60B9"/>
    <w:rsid w:val="00CD1628"/>
    <w:rsid w:val="00CD2712"/>
    <w:rsid w:val="00CD41EE"/>
    <w:rsid w:val="00CD4482"/>
    <w:rsid w:val="00CD476F"/>
    <w:rsid w:val="00CD664F"/>
    <w:rsid w:val="00CD7C95"/>
    <w:rsid w:val="00CE3D5E"/>
    <w:rsid w:val="00CE4977"/>
    <w:rsid w:val="00CF0629"/>
    <w:rsid w:val="00CF32E9"/>
    <w:rsid w:val="00CF345C"/>
    <w:rsid w:val="00CF3795"/>
    <w:rsid w:val="00CF4E94"/>
    <w:rsid w:val="00CF56C1"/>
    <w:rsid w:val="00CF75BA"/>
    <w:rsid w:val="00D010E3"/>
    <w:rsid w:val="00D01A19"/>
    <w:rsid w:val="00D0229C"/>
    <w:rsid w:val="00D02E90"/>
    <w:rsid w:val="00D03138"/>
    <w:rsid w:val="00D05810"/>
    <w:rsid w:val="00D10925"/>
    <w:rsid w:val="00D12FE1"/>
    <w:rsid w:val="00D15ADE"/>
    <w:rsid w:val="00D202AA"/>
    <w:rsid w:val="00D20416"/>
    <w:rsid w:val="00D20CCF"/>
    <w:rsid w:val="00D21942"/>
    <w:rsid w:val="00D21F7E"/>
    <w:rsid w:val="00D22B65"/>
    <w:rsid w:val="00D233AB"/>
    <w:rsid w:val="00D23682"/>
    <w:rsid w:val="00D252AB"/>
    <w:rsid w:val="00D30C9F"/>
    <w:rsid w:val="00D3196B"/>
    <w:rsid w:val="00D324FC"/>
    <w:rsid w:val="00D35F36"/>
    <w:rsid w:val="00D378DF"/>
    <w:rsid w:val="00D402DA"/>
    <w:rsid w:val="00D41322"/>
    <w:rsid w:val="00D42B0C"/>
    <w:rsid w:val="00D47AC5"/>
    <w:rsid w:val="00D5113F"/>
    <w:rsid w:val="00D53CE6"/>
    <w:rsid w:val="00D53EF9"/>
    <w:rsid w:val="00D56336"/>
    <w:rsid w:val="00D56BA7"/>
    <w:rsid w:val="00D576E9"/>
    <w:rsid w:val="00D5781D"/>
    <w:rsid w:val="00D617EF"/>
    <w:rsid w:val="00D62ECD"/>
    <w:rsid w:val="00D65CF2"/>
    <w:rsid w:val="00D65EA9"/>
    <w:rsid w:val="00D6682C"/>
    <w:rsid w:val="00D66CF8"/>
    <w:rsid w:val="00D66DB5"/>
    <w:rsid w:val="00D67F9B"/>
    <w:rsid w:val="00D7008D"/>
    <w:rsid w:val="00D7086E"/>
    <w:rsid w:val="00D70C49"/>
    <w:rsid w:val="00D70F3A"/>
    <w:rsid w:val="00D72BEF"/>
    <w:rsid w:val="00D72C62"/>
    <w:rsid w:val="00D73886"/>
    <w:rsid w:val="00D76AB8"/>
    <w:rsid w:val="00D772B3"/>
    <w:rsid w:val="00D77A52"/>
    <w:rsid w:val="00D80545"/>
    <w:rsid w:val="00D81B58"/>
    <w:rsid w:val="00D81C14"/>
    <w:rsid w:val="00D832D5"/>
    <w:rsid w:val="00D83376"/>
    <w:rsid w:val="00D84B5D"/>
    <w:rsid w:val="00D85014"/>
    <w:rsid w:val="00D853FF"/>
    <w:rsid w:val="00D8705F"/>
    <w:rsid w:val="00D871F0"/>
    <w:rsid w:val="00D87A07"/>
    <w:rsid w:val="00D92A15"/>
    <w:rsid w:val="00D957C0"/>
    <w:rsid w:val="00D965FE"/>
    <w:rsid w:val="00DA03FB"/>
    <w:rsid w:val="00DA0546"/>
    <w:rsid w:val="00DA1332"/>
    <w:rsid w:val="00DA377B"/>
    <w:rsid w:val="00DA48F6"/>
    <w:rsid w:val="00DA5238"/>
    <w:rsid w:val="00DA53C1"/>
    <w:rsid w:val="00DA5621"/>
    <w:rsid w:val="00DA5B67"/>
    <w:rsid w:val="00DA7ECD"/>
    <w:rsid w:val="00DB09E4"/>
    <w:rsid w:val="00DB2D17"/>
    <w:rsid w:val="00DB5E4D"/>
    <w:rsid w:val="00DB5F9F"/>
    <w:rsid w:val="00DB6923"/>
    <w:rsid w:val="00DB6D1F"/>
    <w:rsid w:val="00DB78EA"/>
    <w:rsid w:val="00DC11CB"/>
    <w:rsid w:val="00DC13EA"/>
    <w:rsid w:val="00DC1BB7"/>
    <w:rsid w:val="00DC3ADA"/>
    <w:rsid w:val="00DC4A0B"/>
    <w:rsid w:val="00DC4D66"/>
    <w:rsid w:val="00DC6801"/>
    <w:rsid w:val="00DD026E"/>
    <w:rsid w:val="00DD1715"/>
    <w:rsid w:val="00DD2C4D"/>
    <w:rsid w:val="00DD35FE"/>
    <w:rsid w:val="00DD37BF"/>
    <w:rsid w:val="00DD44AD"/>
    <w:rsid w:val="00DD45F6"/>
    <w:rsid w:val="00DD5596"/>
    <w:rsid w:val="00DD5A7F"/>
    <w:rsid w:val="00DD6B23"/>
    <w:rsid w:val="00DE1E06"/>
    <w:rsid w:val="00DE24BA"/>
    <w:rsid w:val="00DE342A"/>
    <w:rsid w:val="00DE48C3"/>
    <w:rsid w:val="00DE493A"/>
    <w:rsid w:val="00DE5099"/>
    <w:rsid w:val="00DE58AE"/>
    <w:rsid w:val="00DE6792"/>
    <w:rsid w:val="00DE7190"/>
    <w:rsid w:val="00DF1157"/>
    <w:rsid w:val="00DF178D"/>
    <w:rsid w:val="00DF2E2D"/>
    <w:rsid w:val="00DF38C7"/>
    <w:rsid w:val="00DF3AE7"/>
    <w:rsid w:val="00DF4392"/>
    <w:rsid w:val="00DF4E1F"/>
    <w:rsid w:val="00DF69A1"/>
    <w:rsid w:val="00DF6DE1"/>
    <w:rsid w:val="00DF752E"/>
    <w:rsid w:val="00E0035B"/>
    <w:rsid w:val="00E00956"/>
    <w:rsid w:val="00E011B3"/>
    <w:rsid w:val="00E01A14"/>
    <w:rsid w:val="00E01A51"/>
    <w:rsid w:val="00E02EE2"/>
    <w:rsid w:val="00E04D61"/>
    <w:rsid w:val="00E05109"/>
    <w:rsid w:val="00E0515F"/>
    <w:rsid w:val="00E05894"/>
    <w:rsid w:val="00E0642C"/>
    <w:rsid w:val="00E06BD0"/>
    <w:rsid w:val="00E109E0"/>
    <w:rsid w:val="00E13880"/>
    <w:rsid w:val="00E14FA3"/>
    <w:rsid w:val="00E151B6"/>
    <w:rsid w:val="00E153CF"/>
    <w:rsid w:val="00E1543D"/>
    <w:rsid w:val="00E15D9B"/>
    <w:rsid w:val="00E17436"/>
    <w:rsid w:val="00E17572"/>
    <w:rsid w:val="00E176F6"/>
    <w:rsid w:val="00E177EE"/>
    <w:rsid w:val="00E17D53"/>
    <w:rsid w:val="00E204AA"/>
    <w:rsid w:val="00E245F0"/>
    <w:rsid w:val="00E247F0"/>
    <w:rsid w:val="00E2566D"/>
    <w:rsid w:val="00E25EF0"/>
    <w:rsid w:val="00E27820"/>
    <w:rsid w:val="00E304B3"/>
    <w:rsid w:val="00E30EC8"/>
    <w:rsid w:val="00E31996"/>
    <w:rsid w:val="00E329AF"/>
    <w:rsid w:val="00E32A49"/>
    <w:rsid w:val="00E342B0"/>
    <w:rsid w:val="00E350B7"/>
    <w:rsid w:val="00E356BA"/>
    <w:rsid w:val="00E37D1E"/>
    <w:rsid w:val="00E40979"/>
    <w:rsid w:val="00E435B7"/>
    <w:rsid w:val="00E43A26"/>
    <w:rsid w:val="00E466D8"/>
    <w:rsid w:val="00E46AF2"/>
    <w:rsid w:val="00E47557"/>
    <w:rsid w:val="00E503F7"/>
    <w:rsid w:val="00E50FE3"/>
    <w:rsid w:val="00E5543F"/>
    <w:rsid w:val="00E6140D"/>
    <w:rsid w:val="00E61F52"/>
    <w:rsid w:val="00E6414B"/>
    <w:rsid w:val="00E64851"/>
    <w:rsid w:val="00E67C51"/>
    <w:rsid w:val="00E70BD3"/>
    <w:rsid w:val="00E71783"/>
    <w:rsid w:val="00E7237E"/>
    <w:rsid w:val="00E72A5A"/>
    <w:rsid w:val="00E72C36"/>
    <w:rsid w:val="00E735B1"/>
    <w:rsid w:val="00E741ED"/>
    <w:rsid w:val="00E770AD"/>
    <w:rsid w:val="00E77FD2"/>
    <w:rsid w:val="00E81DCB"/>
    <w:rsid w:val="00E84F57"/>
    <w:rsid w:val="00E85206"/>
    <w:rsid w:val="00E90B31"/>
    <w:rsid w:val="00E90BDF"/>
    <w:rsid w:val="00E94F36"/>
    <w:rsid w:val="00E95883"/>
    <w:rsid w:val="00EA258A"/>
    <w:rsid w:val="00EA447E"/>
    <w:rsid w:val="00EA4DBC"/>
    <w:rsid w:val="00EB037F"/>
    <w:rsid w:val="00EB10EA"/>
    <w:rsid w:val="00EB31AB"/>
    <w:rsid w:val="00EB4305"/>
    <w:rsid w:val="00EB4EFE"/>
    <w:rsid w:val="00EB5751"/>
    <w:rsid w:val="00EB5E51"/>
    <w:rsid w:val="00EC175E"/>
    <w:rsid w:val="00EC22D7"/>
    <w:rsid w:val="00EC245A"/>
    <w:rsid w:val="00EC4771"/>
    <w:rsid w:val="00EC4BAE"/>
    <w:rsid w:val="00EC5D37"/>
    <w:rsid w:val="00EC62D0"/>
    <w:rsid w:val="00EC6A3F"/>
    <w:rsid w:val="00ED2391"/>
    <w:rsid w:val="00ED3DA3"/>
    <w:rsid w:val="00ED538E"/>
    <w:rsid w:val="00EE6411"/>
    <w:rsid w:val="00EE66C7"/>
    <w:rsid w:val="00EE6B2F"/>
    <w:rsid w:val="00EF02F8"/>
    <w:rsid w:val="00EF0400"/>
    <w:rsid w:val="00EF1737"/>
    <w:rsid w:val="00EF5C83"/>
    <w:rsid w:val="00EF7D7A"/>
    <w:rsid w:val="00F002B2"/>
    <w:rsid w:val="00F00AC2"/>
    <w:rsid w:val="00F01C27"/>
    <w:rsid w:val="00F0204B"/>
    <w:rsid w:val="00F0601A"/>
    <w:rsid w:val="00F0724E"/>
    <w:rsid w:val="00F105E2"/>
    <w:rsid w:val="00F12FA2"/>
    <w:rsid w:val="00F14C67"/>
    <w:rsid w:val="00F15518"/>
    <w:rsid w:val="00F1723D"/>
    <w:rsid w:val="00F17616"/>
    <w:rsid w:val="00F22E5F"/>
    <w:rsid w:val="00F233B0"/>
    <w:rsid w:val="00F24E5E"/>
    <w:rsid w:val="00F25D76"/>
    <w:rsid w:val="00F26DA9"/>
    <w:rsid w:val="00F31D64"/>
    <w:rsid w:val="00F33736"/>
    <w:rsid w:val="00F339C4"/>
    <w:rsid w:val="00F33B09"/>
    <w:rsid w:val="00F3434E"/>
    <w:rsid w:val="00F35873"/>
    <w:rsid w:val="00F358FC"/>
    <w:rsid w:val="00F36D4A"/>
    <w:rsid w:val="00F370DD"/>
    <w:rsid w:val="00F376EB"/>
    <w:rsid w:val="00F37FE5"/>
    <w:rsid w:val="00F40EC2"/>
    <w:rsid w:val="00F40EFA"/>
    <w:rsid w:val="00F41545"/>
    <w:rsid w:val="00F416D0"/>
    <w:rsid w:val="00F41EEA"/>
    <w:rsid w:val="00F4341D"/>
    <w:rsid w:val="00F4545C"/>
    <w:rsid w:val="00F45E80"/>
    <w:rsid w:val="00F50177"/>
    <w:rsid w:val="00F51132"/>
    <w:rsid w:val="00F51CC5"/>
    <w:rsid w:val="00F51F90"/>
    <w:rsid w:val="00F567BF"/>
    <w:rsid w:val="00F56AC0"/>
    <w:rsid w:val="00F56F0E"/>
    <w:rsid w:val="00F56F47"/>
    <w:rsid w:val="00F57335"/>
    <w:rsid w:val="00F57A39"/>
    <w:rsid w:val="00F61F72"/>
    <w:rsid w:val="00F62680"/>
    <w:rsid w:val="00F63723"/>
    <w:rsid w:val="00F63BA4"/>
    <w:rsid w:val="00F64101"/>
    <w:rsid w:val="00F64179"/>
    <w:rsid w:val="00F64C60"/>
    <w:rsid w:val="00F65E9E"/>
    <w:rsid w:val="00F7025D"/>
    <w:rsid w:val="00F72085"/>
    <w:rsid w:val="00F73FF5"/>
    <w:rsid w:val="00F74EFB"/>
    <w:rsid w:val="00F76F54"/>
    <w:rsid w:val="00F7712A"/>
    <w:rsid w:val="00F803F8"/>
    <w:rsid w:val="00F80E02"/>
    <w:rsid w:val="00F8144D"/>
    <w:rsid w:val="00F82B0E"/>
    <w:rsid w:val="00F8415B"/>
    <w:rsid w:val="00F84536"/>
    <w:rsid w:val="00F869F8"/>
    <w:rsid w:val="00F86BE3"/>
    <w:rsid w:val="00F90EFD"/>
    <w:rsid w:val="00F926D8"/>
    <w:rsid w:val="00F93340"/>
    <w:rsid w:val="00F939D4"/>
    <w:rsid w:val="00F93F4C"/>
    <w:rsid w:val="00F9535B"/>
    <w:rsid w:val="00F955E4"/>
    <w:rsid w:val="00F95DE8"/>
    <w:rsid w:val="00F962C7"/>
    <w:rsid w:val="00F96FD2"/>
    <w:rsid w:val="00F9780A"/>
    <w:rsid w:val="00FA0E40"/>
    <w:rsid w:val="00FA13F8"/>
    <w:rsid w:val="00FA1906"/>
    <w:rsid w:val="00FA2EC0"/>
    <w:rsid w:val="00FA31AD"/>
    <w:rsid w:val="00FA47E1"/>
    <w:rsid w:val="00FA4EA3"/>
    <w:rsid w:val="00FB13E0"/>
    <w:rsid w:val="00FB1D6D"/>
    <w:rsid w:val="00FB38D6"/>
    <w:rsid w:val="00FB48A7"/>
    <w:rsid w:val="00FB4CA8"/>
    <w:rsid w:val="00FB52ED"/>
    <w:rsid w:val="00FB5EBA"/>
    <w:rsid w:val="00FB6B34"/>
    <w:rsid w:val="00FC07C4"/>
    <w:rsid w:val="00FC1619"/>
    <w:rsid w:val="00FC19E8"/>
    <w:rsid w:val="00FC22CF"/>
    <w:rsid w:val="00FC30EB"/>
    <w:rsid w:val="00FC3505"/>
    <w:rsid w:val="00FC4541"/>
    <w:rsid w:val="00FC4E10"/>
    <w:rsid w:val="00FC5866"/>
    <w:rsid w:val="00FC5B63"/>
    <w:rsid w:val="00FC5E53"/>
    <w:rsid w:val="00FD0BDA"/>
    <w:rsid w:val="00FD3EB9"/>
    <w:rsid w:val="00FD4975"/>
    <w:rsid w:val="00FD4992"/>
    <w:rsid w:val="00FD79FF"/>
    <w:rsid w:val="00FE297B"/>
    <w:rsid w:val="00FE371A"/>
    <w:rsid w:val="00FE3880"/>
    <w:rsid w:val="00FE47DF"/>
    <w:rsid w:val="00FE7555"/>
    <w:rsid w:val="00FE75DD"/>
    <w:rsid w:val="00FF0C5F"/>
    <w:rsid w:val="00FF0CC1"/>
    <w:rsid w:val="00FF274C"/>
    <w:rsid w:val="00FF2B67"/>
    <w:rsid w:val="00FF3220"/>
    <w:rsid w:val="00FF354D"/>
    <w:rsid w:val="00FF61E2"/>
    <w:rsid w:val="00FF685D"/>
    <w:rsid w:val="00FF6B48"/>
    <w:rsid w:val="00FF7563"/>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opacity="0"/>
      <v:stroke on="f"/>
      <o:colormru v:ext="edit" colors="#ddd,#cfcfcf,#cacaca,#66f,blue,#ccd3e1,#002469,#335087"/>
    </o:shapedefaults>
    <o:shapelayout v:ext="edit">
      <o:idmap v:ext="edit" data="1"/>
    </o:shapelayout>
  </w:shapeDefaults>
  <w:decimalSymbol w:val="."/>
  <w:listSeparator w:val=","/>
  <w15:docId w15:val="{11F387FF-5BE4-4CAC-817A-85F0849D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3C"/>
    <w:pPr>
      <w:spacing w:after="240" w:line="280" w:lineRule="atLeast"/>
    </w:pPr>
    <w:rPr>
      <w:rFonts w:ascii="Arial" w:hAnsi="Arial"/>
      <w:sz w:val="22"/>
      <w:szCs w:val="24"/>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rPr>
  </w:style>
  <w:style w:type="paragraph" w:styleId="Heading3">
    <w:name w:val="heading 3"/>
    <w:basedOn w:val="Normal"/>
    <w:next w:val="Normal"/>
    <w:qFormat/>
    <w:rsid w:val="00D0229C"/>
    <w:pPr>
      <w:spacing w:line="240" w:lineRule="auto"/>
      <w:outlineLvl w:val="2"/>
    </w:pPr>
    <w:rPr>
      <w:b/>
    </w:rPr>
  </w:style>
  <w:style w:type="paragraph" w:styleId="Heading4">
    <w:name w:val="heading 4"/>
    <w:basedOn w:val="Normal"/>
    <w:next w:val="Normal"/>
    <w:qFormat/>
    <w:rsid w:val="00D0229C"/>
    <w:pPr>
      <w:spacing w:line="240" w:lineRule="auto"/>
      <w:outlineLvl w:val="3"/>
    </w:pPr>
    <w:rPr>
      <w:i/>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6372A3"/>
    <w:pPr>
      <w:tabs>
        <w:tab w:val="right" w:pos="9072"/>
      </w:tabs>
      <w:spacing w:after="0" w:line="240" w:lineRule="auto"/>
      <w:jc w:val="both"/>
    </w:pPr>
    <w:rPr>
      <w:noProof/>
      <w:color w:val="002469"/>
      <w:spacing w:val="6"/>
      <w:sz w:val="16"/>
      <w:szCs w:val="16"/>
    </w:rPr>
  </w:style>
  <w:style w:type="character" w:customStyle="1" w:styleId="FooterChar">
    <w:name w:val="Footer Char"/>
    <w:link w:val="Footer"/>
    <w:rsid w:val="006372A3"/>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rsid w:val="00504E3C"/>
    <w:pPr>
      <w:tabs>
        <w:tab w:val="left" w:pos="425"/>
      </w:tabs>
      <w:spacing w:after="60" w:line="240" w:lineRule="auto"/>
      <w:ind w:left="425" w:hanging="425"/>
    </w:pPr>
    <w:rPr>
      <w:sz w:val="18"/>
    </w:rPr>
  </w:style>
  <w:style w:type="character" w:customStyle="1" w:styleId="FootnoteTextChar">
    <w:name w:val="Footnote Text Char"/>
    <w:link w:val="FootnoteText"/>
    <w:rsid w:val="00E25EF0"/>
    <w:rPr>
      <w:rFonts w:ascii="Arial" w:hAnsi="Arial"/>
      <w:sz w:val="18"/>
      <w:lang w:val="en-GB" w:eastAsia="en-GB"/>
    </w:rPr>
  </w:style>
  <w:style w:type="character" w:styleId="FootnoteReference">
    <w:name w:val="footnote reference"/>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ind w:left="284" w:hanging="284"/>
    </w:pPr>
    <w:rPr>
      <w:rFonts w:ascii="Arial" w:hAnsi="Arial"/>
      <w:sz w:val="22"/>
      <w:szCs w:val="24"/>
      <w:lang w:val="en-AU" w:eastAsia="en-US"/>
    </w:rPr>
  </w:style>
  <w:style w:type="paragraph" w:customStyle="1" w:styleId="EvenFooter">
    <w:name w:val="Even Footer"/>
    <w:basedOn w:val="Footer"/>
    <w:rsid w:val="0054782B"/>
    <w:pPr>
      <w:jc w:val="left"/>
    </w:pPr>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character" w:styleId="Strong">
    <w:name w:val="Strong"/>
    <w:qFormat/>
    <w:rsid w:val="009B2714"/>
    <w:rPr>
      <w:b/>
      <w:bCs/>
    </w:rPr>
  </w:style>
  <w:style w:type="paragraph" w:styleId="NormalWeb">
    <w:name w:val="Normal (Web)"/>
    <w:basedOn w:val="Normal"/>
    <w:uiPriority w:val="99"/>
    <w:rsid w:val="009B2714"/>
    <w:pPr>
      <w:spacing w:before="144" w:after="288" w:line="240" w:lineRule="auto"/>
    </w:pPr>
    <w:rPr>
      <w:rFonts w:ascii="Times New Roman" w:hAnsi="Times New Roman"/>
      <w:color w:val="333333"/>
      <w:sz w:val="24"/>
    </w:rPr>
  </w:style>
  <w:style w:type="character" w:customStyle="1" w:styleId="tgc">
    <w:name w:val="_tgc"/>
    <w:rsid w:val="009A4DE4"/>
  </w:style>
  <w:style w:type="paragraph" w:styleId="EndnoteText">
    <w:name w:val="endnote text"/>
    <w:basedOn w:val="Normal"/>
    <w:link w:val="EndnoteTextChar"/>
    <w:rsid w:val="008B1647"/>
    <w:rPr>
      <w:sz w:val="20"/>
    </w:rPr>
  </w:style>
  <w:style w:type="character" w:customStyle="1" w:styleId="EndnoteTextChar">
    <w:name w:val="Endnote Text Char"/>
    <w:link w:val="EndnoteText"/>
    <w:rsid w:val="008B1647"/>
    <w:rPr>
      <w:rFonts w:ascii="Arial" w:hAnsi="Arial"/>
      <w:lang w:val="en-GB" w:eastAsia="en-GB"/>
    </w:rPr>
  </w:style>
  <w:style w:type="character" w:styleId="EndnoteReference">
    <w:name w:val="endnote reference"/>
    <w:rsid w:val="008B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3F75-66D2-4C9F-BE3B-92AF0BF9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Template>
  <TotalTime>1</TotalTime>
  <Pages>8</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Amending the Medicines (Standing Order) Regulations 2002</dc:title>
  <dc:creator>Ministry of Health</dc:creator>
  <cp:lastModifiedBy>Ministry of Health</cp:lastModifiedBy>
  <cp:revision>2</cp:revision>
  <cp:lastPrinted>2016-03-21T01:52:00Z</cp:lastPrinted>
  <dcterms:created xsi:type="dcterms:W3CDTF">2016-04-15T03:23:00Z</dcterms:created>
  <dcterms:modified xsi:type="dcterms:W3CDTF">2016-04-15T03:23:00Z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ies>
</file>