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926083" w:rsidRDefault="009859C6" w:rsidP="00926083">
      <w:pPr>
        <w:pStyle w:val="Title"/>
      </w:pPr>
      <w:r>
        <w:t>Referral Criteria for Direct Access Outpatient Colonoscopy or Computed Tomography Colonography</w:t>
      </w:r>
    </w:p>
    <w:p w:rsidR="00531E12" w:rsidRPr="00531E12" w:rsidRDefault="009859C6" w:rsidP="00531E12">
      <w:pPr>
        <w:pStyle w:val="Year"/>
      </w:pPr>
      <w:r>
        <w:t>2019</w:t>
      </w:r>
    </w:p>
    <w:p w:rsidR="00C05132" w:rsidRDefault="00C05132" w:rsidP="00A06BE4"/>
    <w:p w:rsidR="00142954" w:rsidRPr="00142954" w:rsidRDefault="00142954" w:rsidP="00142954">
      <w:pPr>
        <w:sectPr w:rsidR="00142954" w:rsidRPr="00142954" w:rsidSect="005A79E5">
          <w:headerReference w:type="default" r:id="rId8"/>
          <w:footerReference w:type="default" r:id="rId9"/>
          <w:pgSz w:w="11907" w:h="16834" w:code="9"/>
          <w:pgMar w:top="5670" w:right="1134" w:bottom="1134" w:left="1134" w:header="567" w:footer="851" w:gutter="0"/>
          <w:pgNumType w:start="1"/>
          <w:cols w:space="720"/>
        </w:sectPr>
      </w:pPr>
    </w:p>
    <w:p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DB15C5">
        <w:rPr>
          <w:rFonts w:cs="Segoe UI"/>
        </w:rPr>
        <w:t>2019</w:t>
      </w:r>
      <w:r w:rsidR="00442C1C" w:rsidRPr="00C05132">
        <w:rPr>
          <w:rFonts w:cs="Segoe UI"/>
        </w:rPr>
        <w:t xml:space="preserve">. </w:t>
      </w:r>
      <w:r w:rsidR="00DB15C5">
        <w:rPr>
          <w:rFonts w:cs="Segoe UI"/>
          <w:i/>
        </w:rPr>
        <w:t>Referral Criteria for Direct Access Outpatient Colonoscopy or Computed Tomography Colonography</w:t>
      </w:r>
      <w:r w:rsidR="00442C1C" w:rsidRPr="00C05132">
        <w:rPr>
          <w:rFonts w:cs="Segoe UI"/>
        </w:rPr>
        <w:t>. Wellington: Ministry of Health.</w:t>
      </w:r>
    </w:p>
    <w:p w:rsidR="00C86248" w:rsidRDefault="00C86248">
      <w:pPr>
        <w:pStyle w:val="Imprint"/>
      </w:pPr>
      <w:r>
        <w:t xml:space="preserve">Published in </w:t>
      </w:r>
      <w:r w:rsidR="002459C6" w:rsidRPr="00F576BB">
        <w:t>February</w:t>
      </w:r>
      <w:r w:rsidR="002459C6">
        <w:t xml:space="preserve"> 2019</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rsidR="00082CD6" w:rsidRPr="009C0F2D" w:rsidRDefault="009A42D5" w:rsidP="00082CD6">
      <w:pPr>
        <w:pStyle w:val="Imprint"/>
      </w:pPr>
      <w:r>
        <w:t xml:space="preserve">ISBN </w:t>
      </w:r>
      <w:r w:rsidR="00F576BB" w:rsidRPr="00F576BB">
        <w:t>978-1-98-856845-4</w:t>
      </w:r>
      <w:r w:rsidR="00F576BB">
        <w:t xml:space="preserve"> </w:t>
      </w:r>
      <w:r w:rsidR="00D863D0">
        <w:t>(</w:t>
      </w:r>
      <w:r w:rsidR="00442C1C">
        <w:t>online</w:t>
      </w:r>
      <w:r w:rsidR="00D863D0">
        <w:t>)</w:t>
      </w:r>
      <w:r w:rsidR="00082CD6">
        <w:br/>
      </w:r>
      <w:r w:rsidR="00082CD6" w:rsidRPr="009C0F2D">
        <w:t xml:space="preserve">HP </w:t>
      </w:r>
      <w:r w:rsidR="00F576BB">
        <w:t>7022</w:t>
      </w:r>
    </w:p>
    <w:p w:rsidR="00C86248" w:rsidRDefault="008C64C4" w:rsidP="00A63DFF">
      <w:r>
        <w:rPr>
          <w:noProof/>
          <w:lang w:eastAsia="en-NZ"/>
        </w:rPr>
        <w:drawing>
          <wp:inline distT="0" distB="0" distL="0" distR="0" wp14:anchorId="5BC96CAF" wp14:editId="595B52DC">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rsidTr="00A63DFF">
        <w:trPr>
          <w:cantSplit/>
        </w:trPr>
        <w:tc>
          <w:tcPr>
            <w:tcW w:w="1526" w:type="dxa"/>
          </w:tcPr>
          <w:p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1F86A13C" wp14:editId="0AE43013">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rsidR="007E74F1" w:rsidRPr="001F45A7" w:rsidRDefault="007E74F1" w:rsidP="00A63DFF"/>
    <w:p w:rsidR="00C86248" w:rsidRDefault="00C86248">
      <w:pPr>
        <w:jc w:val="center"/>
        <w:sectPr w:rsidR="00C86248" w:rsidSect="00C05132">
          <w:footerReference w:type="even" r:id="rId12"/>
          <w:footerReference w:type="default" r:id="rId13"/>
          <w:pgSz w:w="11907" w:h="16834" w:code="9"/>
          <w:pgMar w:top="1701" w:right="2268" w:bottom="1134" w:left="2268" w:header="0" w:footer="0" w:gutter="0"/>
          <w:cols w:space="720"/>
          <w:vAlign w:val="bottom"/>
        </w:sectPr>
      </w:pPr>
    </w:p>
    <w:p w:rsidR="00C86248" w:rsidRDefault="00C86248" w:rsidP="00025A6F">
      <w:pPr>
        <w:pStyle w:val="IntroHead"/>
      </w:pPr>
      <w:bookmarkStart w:id="0" w:name="_Toc405792991"/>
      <w:bookmarkStart w:id="1" w:name="_Toc405793224"/>
      <w:r>
        <w:lastRenderedPageBreak/>
        <w:t>Contents</w:t>
      </w:r>
      <w:bookmarkEnd w:id="0"/>
      <w:bookmarkEnd w:id="1"/>
    </w:p>
    <w:p w:rsidR="002260FD" w:rsidRDefault="002260FD">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2084567" w:history="1">
        <w:r w:rsidRPr="00D30FA6">
          <w:rPr>
            <w:rStyle w:val="Hyperlink"/>
            <w:noProof/>
          </w:rPr>
          <w:t>Purpose</w:t>
        </w:r>
        <w:r>
          <w:rPr>
            <w:noProof/>
            <w:webHidden/>
          </w:rPr>
          <w:tab/>
        </w:r>
        <w:r>
          <w:rPr>
            <w:noProof/>
            <w:webHidden/>
          </w:rPr>
          <w:fldChar w:fldCharType="begin"/>
        </w:r>
        <w:r>
          <w:rPr>
            <w:noProof/>
            <w:webHidden/>
          </w:rPr>
          <w:instrText xml:space="preserve"> PAGEREF _Toc2084567 \h </w:instrText>
        </w:r>
        <w:r>
          <w:rPr>
            <w:noProof/>
            <w:webHidden/>
          </w:rPr>
        </w:r>
        <w:r>
          <w:rPr>
            <w:noProof/>
            <w:webHidden/>
          </w:rPr>
          <w:fldChar w:fldCharType="separate"/>
        </w:r>
        <w:r>
          <w:rPr>
            <w:noProof/>
            <w:webHidden/>
          </w:rPr>
          <w:t>1</w:t>
        </w:r>
        <w:r>
          <w:rPr>
            <w:noProof/>
            <w:webHidden/>
          </w:rPr>
          <w:fldChar w:fldCharType="end"/>
        </w:r>
      </w:hyperlink>
    </w:p>
    <w:p w:rsidR="002260FD" w:rsidRDefault="00A040B9">
      <w:pPr>
        <w:pStyle w:val="TOC1"/>
        <w:rPr>
          <w:rFonts w:asciiTheme="minorHAnsi" w:eastAsiaTheme="minorEastAsia" w:hAnsiTheme="minorHAnsi" w:cstheme="minorBidi"/>
          <w:noProof/>
          <w:sz w:val="22"/>
          <w:szCs w:val="22"/>
          <w:lang w:eastAsia="en-NZ"/>
        </w:rPr>
      </w:pPr>
      <w:hyperlink w:anchor="_Toc2084568" w:history="1">
        <w:r w:rsidR="002260FD" w:rsidRPr="00D30FA6">
          <w:rPr>
            <w:rStyle w:val="Hyperlink"/>
            <w:noProof/>
          </w:rPr>
          <w:t>Referring a patient</w:t>
        </w:r>
        <w:r w:rsidR="002260FD">
          <w:rPr>
            <w:noProof/>
            <w:webHidden/>
          </w:rPr>
          <w:tab/>
        </w:r>
        <w:r w:rsidR="002260FD">
          <w:rPr>
            <w:noProof/>
            <w:webHidden/>
          </w:rPr>
          <w:fldChar w:fldCharType="begin"/>
        </w:r>
        <w:r w:rsidR="002260FD">
          <w:rPr>
            <w:noProof/>
            <w:webHidden/>
          </w:rPr>
          <w:instrText xml:space="preserve"> PAGEREF _Toc2084568 \h </w:instrText>
        </w:r>
        <w:r w:rsidR="002260FD">
          <w:rPr>
            <w:noProof/>
            <w:webHidden/>
          </w:rPr>
        </w:r>
        <w:r w:rsidR="002260FD">
          <w:rPr>
            <w:noProof/>
            <w:webHidden/>
          </w:rPr>
          <w:fldChar w:fldCharType="separate"/>
        </w:r>
        <w:r w:rsidR="002260FD">
          <w:rPr>
            <w:noProof/>
            <w:webHidden/>
          </w:rPr>
          <w:t>2</w:t>
        </w:r>
        <w:r w:rsidR="002260FD">
          <w:rPr>
            <w:noProof/>
            <w:webHidden/>
          </w:rPr>
          <w:fldChar w:fldCharType="end"/>
        </w:r>
      </w:hyperlink>
    </w:p>
    <w:p w:rsidR="002260FD" w:rsidRDefault="00A040B9">
      <w:pPr>
        <w:pStyle w:val="TOC1"/>
        <w:rPr>
          <w:rFonts w:asciiTheme="minorHAnsi" w:eastAsiaTheme="minorEastAsia" w:hAnsiTheme="minorHAnsi" w:cstheme="minorBidi"/>
          <w:noProof/>
          <w:sz w:val="22"/>
          <w:szCs w:val="22"/>
          <w:lang w:eastAsia="en-NZ"/>
        </w:rPr>
      </w:pPr>
      <w:hyperlink w:anchor="_Toc2084569" w:history="1">
        <w:r w:rsidR="002260FD" w:rsidRPr="00D30FA6">
          <w:rPr>
            <w:rStyle w:val="Hyperlink"/>
            <w:noProof/>
          </w:rPr>
          <w:t>How to manage patients who do not meet the referral criteria</w:t>
        </w:r>
        <w:r w:rsidR="002260FD">
          <w:rPr>
            <w:noProof/>
            <w:webHidden/>
          </w:rPr>
          <w:tab/>
        </w:r>
        <w:r w:rsidR="002260FD">
          <w:rPr>
            <w:noProof/>
            <w:webHidden/>
          </w:rPr>
          <w:fldChar w:fldCharType="begin"/>
        </w:r>
        <w:r w:rsidR="002260FD">
          <w:rPr>
            <w:noProof/>
            <w:webHidden/>
          </w:rPr>
          <w:instrText xml:space="preserve"> PAGEREF _Toc2084569 \h </w:instrText>
        </w:r>
        <w:r w:rsidR="002260FD">
          <w:rPr>
            <w:noProof/>
            <w:webHidden/>
          </w:rPr>
        </w:r>
        <w:r w:rsidR="002260FD">
          <w:rPr>
            <w:noProof/>
            <w:webHidden/>
          </w:rPr>
          <w:fldChar w:fldCharType="separate"/>
        </w:r>
        <w:r w:rsidR="002260FD">
          <w:rPr>
            <w:noProof/>
            <w:webHidden/>
          </w:rPr>
          <w:t>3</w:t>
        </w:r>
        <w:r w:rsidR="002260FD">
          <w:rPr>
            <w:noProof/>
            <w:webHidden/>
          </w:rPr>
          <w:fldChar w:fldCharType="end"/>
        </w:r>
      </w:hyperlink>
    </w:p>
    <w:p w:rsidR="002260FD" w:rsidRDefault="00A040B9">
      <w:pPr>
        <w:pStyle w:val="TOC1"/>
        <w:rPr>
          <w:rFonts w:asciiTheme="minorHAnsi" w:eastAsiaTheme="minorEastAsia" w:hAnsiTheme="minorHAnsi" w:cstheme="minorBidi"/>
          <w:noProof/>
          <w:sz w:val="22"/>
          <w:szCs w:val="22"/>
          <w:lang w:eastAsia="en-NZ"/>
        </w:rPr>
      </w:pPr>
      <w:hyperlink w:anchor="_Toc2084570" w:history="1">
        <w:r w:rsidR="002260FD" w:rsidRPr="00D30FA6">
          <w:rPr>
            <w:rStyle w:val="Hyperlink"/>
            <w:noProof/>
          </w:rPr>
          <w:t>Referral criteria</w:t>
        </w:r>
        <w:r w:rsidR="002260FD">
          <w:rPr>
            <w:noProof/>
            <w:webHidden/>
          </w:rPr>
          <w:tab/>
        </w:r>
        <w:r w:rsidR="002260FD">
          <w:rPr>
            <w:noProof/>
            <w:webHidden/>
          </w:rPr>
          <w:fldChar w:fldCharType="begin"/>
        </w:r>
        <w:r w:rsidR="002260FD">
          <w:rPr>
            <w:noProof/>
            <w:webHidden/>
          </w:rPr>
          <w:instrText xml:space="preserve"> PAGEREF _Toc2084570 \h </w:instrText>
        </w:r>
        <w:r w:rsidR="002260FD">
          <w:rPr>
            <w:noProof/>
            <w:webHidden/>
          </w:rPr>
        </w:r>
        <w:r w:rsidR="002260FD">
          <w:rPr>
            <w:noProof/>
            <w:webHidden/>
          </w:rPr>
          <w:fldChar w:fldCharType="separate"/>
        </w:r>
        <w:r w:rsidR="002260FD">
          <w:rPr>
            <w:noProof/>
            <w:webHidden/>
          </w:rPr>
          <w:t>4</w:t>
        </w:r>
        <w:r w:rsidR="002260FD">
          <w:rPr>
            <w:noProof/>
            <w:webHidden/>
          </w:rPr>
          <w:fldChar w:fldCharType="end"/>
        </w:r>
      </w:hyperlink>
    </w:p>
    <w:p w:rsidR="002260FD" w:rsidRDefault="00A040B9">
      <w:pPr>
        <w:pStyle w:val="TOC1"/>
        <w:rPr>
          <w:rFonts w:asciiTheme="minorHAnsi" w:eastAsiaTheme="minorEastAsia" w:hAnsiTheme="minorHAnsi" w:cstheme="minorBidi"/>
          <w:noProof/>
          <w:sz w:val="22"/>
          <w:szCs w:val="22"/>
          <w:lang w:eastAsia="en-NZ"/>
        </w:rPr>
      </w:pPr>
      <w:hyperlink w:anchor="_Toc2084571" w:history="1">
        <w:r w:rsidR="002260FD" w:rsidRPr="00D30FA6">
          <w:rPr>
            <w:rStyle w:val="Hyperlink"/>
            <w:noProof/>
          </w:rPr>
          <w:t>Surveillance notes</w:t>
        </w:r>
        <w:r w:rsidR="002260FD">
          <w:rPr>
            <w:noProof/>
            <w:webHidden/>
          </w:rPr>
          <w:tab/>
        </w:r>
        <w:r w:rsidR="002260FD">
          <w:rPr>
            <w:noProof/>
            <w:webHidden/>
          </w:rPr>
          <w:fldChar w:fldCharType="begin"/>
        </w:r>
        <w:r w:rsidR="002260FD">
          <w:rPr>
            <w:noProof/>
            <w:webHidden/>
          </w:rPr>
          <w:instrText xml:space="preserve"> PAGEREF _Toc2084571 \h </w:instrText>
        </w:r>
        <w:r w:rsidR="002260FD">
          <w:rPr>
            <w:noProof/>
            <w:webHidden/>
          </w:rPr>
        </w:r>
        <w:r w:rsidR="002260FD">
          <w:rPr>
            <w:noProof/>
            <w:webHidden/>
          </w:rPr>
          <w:fldChar w:fldCharType="separate"/>
        </w:r>
        <w:r w:rsidR="002260FD">
          <w:rPr>
            <w:noProof/>
            <w:webHidden/>
          </w:rPr>
          <w:t>5</w:t>
        </w:r>
        <w:r w:rsidR="002260FD">
          <w:rPr>
            <w:noProof/>
            <w:webHidden/>
          </w:rPr>
          <w:fldChar w:fldCharType="end"/>
        </w:r>
      </w:hyperlink>
    </w:p>
    <w:p w:rsidR="002260FD" w:rsidRDefault="00A040B9">
      <w:pPr>
        <w:pStyle w:val="TOC2"/>
        <w:rPr>
          <w:rFonts w:asciiTheme="minorHAnsi" w:eastAsiaTheme="minorEastAsia" w:hAnsiTheme="minorHAnsi" w:cstheme="minorBidi"/>
          <w:noProof/>
          <w:szCs w:val="22"/>
          <w:lang w:eastAsia="en-NZ"/>
        </w:rPr>
      </w:pPr>
      <w:hyperlink w:anchor="_Toc2084572" w:history="1">
        <w:r w:rsidR="002260FD" w:rsidRPr="00D30FA6">
          <w:rPr>
            <w:rStyle w:val="Hyperlink"/>
            <w:noProof/>
          </w:rPr>
          <w:t>Family history of colorectal cancer</w:t>
        </w:r>
        <w:r w:rsidR="002260FD">
          <w:rPr>
            <w:noProof/>
            <w:webHidden/>
          </w:rPr>
          <w:tab/>
        </w:r>
        <w:r w:rsidR="002260FD">
          <w:rPr>
            <w:noProof/>
            <w:webHidden/>
          </w:rPr>
          <w:fldChar w:fldCharType="begin"/>
        </w:r>
        <w:r w:rsidR="002260FD">
          <w:rPr>
            <w:noProof/>
            <w:webHidden/>
          </w:rPr>
          <w:instrText xml:space="preserve"> PAGEREF _Toc2084572 \h </w:instrText>
        </w:r>
        <w:r w:rsidR="002260FD">
          <w:rPr>
            <w:noProof/>
            <w:webHidden/>
          </w:rPr>
        </w:r>
        <w:r w:rsidR="002260FD">
          <w:rPr>
            <w:noProof/>
            <w:webHidden/>
          </w:rPr>
          <w:fldChar w:fldCharType="separate"/>
        </w:r>
        <w:r w:rsidR="002260FD">
          <w:rPr>
            <w:noProof/>
            <w:webHidden/>
          </w:rPr>
          <w:t>5</w:t>
        </w:r>
        <w:r w:rsidR="002260FD">
          <w:rPr>
            <w:noProof/>
            <w:webHidden/>
          </w:rPr>
          <w:fldChar w:fldCharType="end"/>
        </w:r>
      </w:hyperlink>
    </w:p>
    <w:p w:rsidR="002260FD" w:rsidRDefault="00A040B9">
      <w:pPr>
        <w:pStyle w:val="TOC2"/>
        <w:rPr>
          <w:rFonts w:asciiTheme="minorHAnsi" w:eastAsiaTheme="minorEastAsia" w:hAnsiTheme="minorHAnsi" w:cstheme="minorBidi"/>
          <w:noProof/>
          <w:szCs w:val="22"/>
          <w:lang w:eastAsia="en-NZ"/>
        </w:rPr>
      </w:pPr>
      <w:hyperlink w:anchor="_Toc2084573" w:history="1">
        <w:r w:rsidR="002260FD" w:rsidRPr="00D30FA6">
          <w:rPr>
            <w:rStyle w:val="Hyperlink"/>
            <w:noProof/>
          </w:rPr>
          <w:t>Personal history of low risk adenomas</w:t>
        </w:r>
        <w:r w:rsidR="002260FD">
          <w:rPr>
            <w:noProof/>
            <w:webHidden/>
          </w:rPr>
          <w:tab/>
        </w:r>
        <w:r w:rsidR="002260FD">
          <w:rPr>
            <w:noProof/>
            <w:webHidden/>
          </w:rPr>
          <w:fldChar w:fldCharType="begin"/>
        </w:r>
        <w:r w:rsidR="002260FD">
          <w:rPr>
            <w:noProof/>
            <w:webHidden/>
          </w:rPr>
          <w:instrText xml:space="preserve"> PAGEREF _Toc2084573 \h </w:instrText>
        </w:r>
        <w:r w:rsidR="002260FD">
          <w:rPr>
            <w:noProof/>
            <w:webHidden/>
          </w:rPr>
        </w:r>
        <w:r w:rsidR="002260FD">
          <w:rPr>
            <w:noProof/>
            <w:webHidden/>
          </w:rPr>
          <w:fldChar w:fldCharType="separate"/>
        </w:r>
        <w:r w:rsidR="002260FD">
          <w:rPr>
            <w:noProof/>
            <w:webHidden/>
          </w:rPr>
          <w:t>5</w:t>
        </w:r>
        <w:r w:rsidR="002260FD">
          <w:rPr>
            <w:noProof/>
            <w:webHidden/>
          </w:rPr>
          <w:fldChar w:fldCharType="end"/>
        </w:r>
      </w:hyperlink>
    </w:p>
    <w:p w:rsidR="002260FD" w:rsidRDefault="00A040B9">
      <w:pPr>
        <w:pStyle w:val="TOC1"/>
        <w:rPr>
          <w:rFonts w:asciiTheme="minorHAnsi" w:eastAsiaTheme="minorEastAsia" w:hAnsiTheme="minorHAnsi" w:cstheme="minorBidi"/>
          <w:noProof/>
          <w:sz w:val="22"/>
          <w:szCs w:val="22"/>
          <w:lang w:eastAsia="en-NZ"/>
        </w:rPr>
      </w:pPr>
      <w:hyperlink w:anchor="_Toc2084574" w:history="1">
        <w:r w:rsidR="002260FD" w:rsidRPr="00D30FA6">
          <w:rPr>
            <w:rStyle w:val="Hyperlink"/>
            <w:noProof/>
          </w:rPr>
          <w:t>Comments for services</w:t>
        </w:r>
        <w:r w:rsidR="002260FD">
          <w:rPr>
            <w:noProof/>
            <w:webHidden/>
          </w:rPr>
          <w:tab/>
        </w:r>
        <w:r w:rsidR="002260FD">
          <w:rPr>
            <w:noProof/>
            <w:webHidden/>
          </w:rPr>
          <w:fldChar w:fldCharType="begin"/>
        </w:r>
        <w:r w:rsidR="002260FD">
          <w:rPr>
            <w:noProof/>
            <w:webHidden/>
          </w:rPr>
          <w:instrText xml:space="preserve"> PAGEREF _Toc2084574 \h </w:instrText>
        </w:r>
        <w:r w:rsidR="002260FD">
          <w:rPr>
            <w:noProof/>
            <w:webHidden/>
          </w:rPr>
        </w:r>
        <w:r w:rsidR="002260FD">
          <w:rPr>
            <w:noProof/>
            <w:webHidden/>
          </w:rPr>
          <w:fldChar w:fldCharType="separate"/>
        </w:r>
        <w:r w:rsidR="002260FD">
          <w:rPr>
            <w:noProof/>
            <w:webHidden/>
          </w:rPr>
          <w:t>6</w:t>
        </w:r>
        <w:r w:rsidR="002260FD">
          <w:rPr>
            <w:noProof/>
            <w:webHidden/>
          </w:rPr>
          <w:fldChar w:fldCharType="end"/>
        </w:r>
      </w:hyperlink>
    </w:p>
    <w:p w:rsidR="002260FD" w:rsidRDefault="00A040B9">
      <w:pPr>
        <w:pStyle w:val="TOC1"/>
        <w:rPr>
          <w:rFonts w:asciiTheme="minorHAnsi" w:eastAsiaTheme="minorEastAsia" w:hAnsiTheme="minorHAnsi" w:cstheme="minorBidi"/>
          <w:noProof/>
          <w:sz w:val="22"/>
          <w:szCs w:val="22"/>
          <w:lang w:eastAsia="en-NZ"/>
        </w:rPr>
      </w:pPr>
      <w:hyperlink w:anchor="_Toc2084575" w:history="1">
        <w:r w:rsidR="002260FD" w:rsidRPr="00D30FA6">
          <w:rPr>
            <w:rStyle w:val="Hyperlink"/>
            <w:noProof/>
          </w:rPr>
          <w:t>References</w:t>
        </w:r>
        <w:r w:rsidR="002260FD">
          <w:rPr>
            <w:noProof/>
            <w:webHidden/>
          </w:rPr>
          <w:tab/>
        </w:r>
        <w:r w:rsidR="002260FD">
          <w:rPr>
            <w:noProof/>
            <w:webHidden/>
          </w:rPr>
          <w:fldChar w:fldCharType="begin"/>
        </w:r>
        <w:r w:rsidR="002260FD">
          <w:rPr>
            <w:noProof/>
            <w:webHidden/>
          </w:rPr>
          <w:instrText xml:space="preserve"> PAGEREF _Toc2084575 \h </w:instrText>
        </w:r>
        <w:r w:rsidR="002260FD">
          <w:rPr>
            <w:noProof/>
            <w:webHidden/>
          </w:rPr>
        </w:r>
        <w:r w:rsidR="002260FD">
          <w:rPr>
            <w:noProof/>
            <w:webHidden/>
          </w:rPr>
          <w:fldChar w:fldCharType="separate"/>
        </w:r>
        <w:r w:rsidR="002260FD">
          <w:rPr>
            <w:noProof/>
            <w:webHidden/>
          </w:rPr>
          <w:t>7</w:t>
        </w:r>
        <w:r w:rsidR="002260FD">
          <w:rPr>
            <w:noProof/>
            <w:webHidden/>
          </w:rPr>
          <w:fldChar w:fldCharType="end"/>
        </w:r>
      </w:hyperlink>
    </w:p>
    <w:p w:rsidR="00C86248" w:rsidRDefault="002260FD">
      <w:r>
        <w:rPr>
          <w:rFonts w:ascii="Segoe UI Semibold" w:hAnsi="Segoe UI Semibold"/>
          <w:b/>
          <w:sz w:val="24"/>
        </w:rPr>
        <w:fldChar w:fldCharType="end"/>
      </w:r>
    </w:p>
    <w:p w:rsidR="002B76A7" w:rsidRDefault="002B76A7" w:rsidP="003A5FEA"/>
    <w:p w:rsidR="001D3E4E" w:rsidRDefault="001D3E4E" w:rsidP="003A5FEA">
      <w:pPr>
        <w:sectPr w:rsidR="001D3E4E" w:rsidSect="0078658E">
          <w:headerReference w:type="even" r:id="rId14"/>
          <w:headerReference w:type="default" r:id="rId15"/>
          <w:footerReference w:type="even" r:id="rId16"/>
          <w:footerReference w:type="default" r:id="rId17"/>
          <w:pgSz w:w="11907" w:h="16840" w:code="9"/>
          <w:pgMar w:top="1418" w:right="1701" w:bottom="1134" w:left="1843" w:header="284" w:footer="425" w:gutter="284"/>
          <w:pgNumType w:fmt="lowerRoman"/>
          <w:cols w:space="720"/>
        </w:sectPr>
      </w:pPr>
    </w:p>
    <w:p w:rsidR="001D3E4E" w:rsidRDefault="001D3E4E" w:rsidP="003A5FEA"/>
    <w:p w:rsidR="001D3E4E" w:rsidRDefault="001D3E4E" w:rsidP="003A5FEA">
      <w:pPr>
        <w:sectPr w:rsidR="001D3E4E" w:rsidSect="0078658E">
          <w:footerReference w:type="even" r:id="rId18"/>
          <w:pgSz w:w="11907" w:h="16840" w:code="9"/>
          <w:pgMar w:top="1418" w:right="1701" w:bottom="1134" w:left="1843" w:header="284" w:footer="425" w:gutter="284"/>
          <w:pgNumType w:fmt="lowerRoman"/>
          <w:cols w:space="720"/>
        </w:sectPr>
      </w:pPr>
    </w:p>
    <w:p w:rsidR="008C2973" w:rsidRDefault="00DB15C5" w:rsidP="00DB15C5">
      <w:pPr>
        <w:pStyle w:val="Heading1"/>
        <w:rPr>
          <w:spacing w:val="0"/>
        </w:rPr>
      </w:pPr>
      <w:bookmarkStart w:id="2" w:name="_Toc2084567"/>
      <w:r>
        <w:rPr>
          <w:spacing w:val="0"/>
        </w:rPr>
        <w:lastRenderedPageBreak/>
        <w:t>Purpose</w:t>
      </w:r>
      <w:bookmarkEnd w:id="2"/>
    </w:p>
    <w:p w:rsidR="00DB15C5" w:rsidRPr="00DB15C5" w:rsidRDefault="00DB15C5" w:rsidP="00DB15C5">
      <w:r w:rsidRPr="00DB15C5">
        <w:t xml:space="preserve">These criteria are designed to cover the majority of indications for referral for bowel investigation (colonoscopy or </w:t>
      </w:r>
      <w:r w:rsidRPr="00200930">
        <w:rPr>
          <w:bCs/>
        </w:rPr>
        <w:t>computed tomography</w:t>
      </w:r>
      <w:r w:rsidRPr="00200930">
        <w:rPr>
          <w:color w:val="222222"/>
        </w:rPr>
        <w:t xml:space="preserve"> (</w:t>
      </w:r>
      <w:r w:rsidRPr="00DB15C5">
        <w:t>CT) colonography) by general practitioners and non-gastrointestinal specialists.</w:t>
      </w:r>
    </w:p>
    <w:p w:rsidR="00DB15C5" w:rsidRPr="00DB15C5" w:rsidRDefault="00DB15C5" w:rsidP="00DB15C5"/>
    <w:p w:rsidR="00DB15C5" w:rsidRPr="00DB15C5" w:rsidRDefault="00DB15C5" w:rsidP="00DB15C5">
      <w:r w:rsidRPr="00DB15C5">
        <w:t>District health board services should provide direct access to colonoscopy and CT colonography for appropriate patients. There should be a single point of entry and triage of referrals for bowel investigation by either colonoscopy or CT colonography.</w:t>
      </w:r>
    </w:p>
    <w:p w:rsidR="00DB15C5" w:rsidRPr="00DB15C5" w:rsidRDefault="00DB15C5" w:rsidP="00DB15C5"/>
    <w:p w:rsidR="00DB15C5" w:rsidRPr="00DB15C5" w:rsidRDefault="00DB15C5" w:rsidP="00DB15C5">
      <w:r w:rsidRPr="00DB15C5">
        <w:t>For patients falling outside these criteria, referrers should consider referral for a first specialist assessment (FSA).</w:t>
      </w:r>
    </w:p>
    <w:p w:rsidR="00DB15C5" w:rsidRPr="00DB15C5" w:rsidRDefault="00DB15C5" w:rsidP="00DB15C5"/>
    <w:p w:rsidR="00DB15C5" w:rsidRPr="00DB15C5" w:rsidRDefault="00DB15C5" w:rsidP="00DB15C5">
      <w:r w:rsidRPr="00DB15C5">
        <w:t xml:space="preserve">Referral for colonoscopy or CT colonography through the National Bowel Screening Programme is </w:t>
      </w:r>
      <w:r w:rsidRPr="00DB15C5">
        <w:rPr>
          <w:b/>
        </w:rPr>
        <w:t>not</w:t>
      </w:r>
      <w:r w:rsidRPr="00DB15C5">
        <w:t xml:space="preserve"> covered by these criteria.</w:t>
      </w:r>
    </w:p>
    <w:p w:rsidR="00DB15C5" w:rsidRPr="00DB15C5" w:rsidRDefault="00DB15C5" w:rsidP="00DB15C5"/>
    <w:p w:rsidR="00DB15C5" w:rsidRPr="00DB15C5" w:rsidRDefault="00DB15C5" w:rsidP="00DB15C5">
      <w:r w:rsidRPr="00DB15C5">
        <w:t>Notes:</w:t>
      </w:r>
    </w:p>
    <w:p w:rsidR="00DB15C5" w:rsidRPr="00DB15C5" w:rsidRDefault="00DB15C5" w:rsidP="00DB15C5">
      <w:pPr>
        <w:pStyle w:val="Bullet"/>
      </w:pPr>
      <w:r w:rsidRPr="00DB15C5">
        <w:t>Patients requiring urgent colonoscopy for suspicion or assessment of inflammatory bowel disease would usually be inpatients or under the care of a specialist.</w:t>
      </w:r>
    </w:p>
    <w:p w:rsidR="00DB15C5" w:rsidRPr="00DB15C5" w:rsidRDefault="00DB15C5" w:rsidP="00DB15C5">
      <w:pPr>
        <w:pStyle w:val="Bullet"/>
      </w:pPr>
      <w:r w:rsidRPr="00DB15C5">
        <w:t xml:space="preserve">Few symptoms in primary care practice have greater than </w:t>
      </w:r>
      <w:r>
        <w:t>5 </w:t>
      </w:r>
      <w:r w:rsidRPr="00DB15C5">
        <w:t>percent positive predictive value for colorectal cancer (CRC).</w:t>
      </w:r>
      <w:r w:rsidRPr="00DB15C5">
        <w:rPr>
          <w:rStyle w:val="FootnoteReference"/>
        </w:rPr>
        <w:footnoteReference w:id="1"/>
      </w:r>
    </w:p>
    <w:p w:rsidR="00DB15C5" w:rsidRPr="00DB15C5" w:rsidRDefault="00DB15C5" w:rsidP="00DB15C5">
      <w:pPr>
        <w:pStyle w:val="Bullet"/>
      </w:pPr>
      <w:r w:rsidRPr="00DB15C5">
        <w:t>A</w:t>
      </w:r>
      <w:r w:rsidRPr="00263A32">
        <w:t>ppropriate access for gastrointestinal (GI) endoscopy/GI investigation is highly ranked as a quality indicator</w:t>
      </w:r>
      <w:r>
        <w:t>.</w:t>
      </w:r>
    </w:p>
    <w:p w:rsidR="00DB15C5" w:rsidRPr="002D4B7E" w:rsidRDefault="00DB15C5" w:rsidP="00DB15C5">
      <w:pPr>
        <w:pStyle w:val="Bullet"/>
      </w:pPr>
      <w:r w:rsidRPr="00DB15C5">
        <w:t>Use of faecal occult blood tests (FIT) is not currently recommended in New Zealand outside of the National Bowel Screening Programme</w:t>
      </w:r>
      <w:r w:rsidRPr="002D4B7E">
        <w:t xml:space="preserve"> </w:t>
      </w:r>
      <w:r w:rsidRPr="00DB15C5">
        <w:t>and should not be encouraged.</w:t>
      </w:r>
      <w:r w:rsidRPr="00DB15C5">
        <w:rPr>
          <w:rStyle w:val="FootnoteReference"/>
        </w:rPr>
        <w:footnoteReference w:id="2"/>
      </w:r>
    </w:p>
    <w:p w:rsidR="00DB15C5" w:rsidRDefault="00DB15C5" w:rsidP="00DB15C5"/>
    <w:p w:rsidR="002459C6" w:rsidRPr="00DB15C5" w:rsidRDefault="002459C6" w:rsidP="002459C6">
      <w:pPr>
        <w:pStyle w:val="Heading1"/>
      </w:pPr>
      <w:bookmarkStart w:id="3" w:name="_Toc2084568"/>
      <w:r>
        <w:lastRenderedPageBreak/>
        <w:t>Referring a patient</w:t>
      </w:r>
      <w:bookmarkEnd w:id="3"/>
    </w:p>
    <w:p w:rsidR="00DB15C5" w:rsidRPr="00DB15C5" w:rsidRDefault="00DB15C5" w:rsidP="00DB15C5">
      <w:r w:rsidRPr="00DB15C5">
        <w:t>When referring a patient for a bowel investigation, the referrer should:</w:t>
      </w:r>
    </w:p>
    <w:p w:rsidR="00DB15C5" w:rsidRPr="00DB15C5" w:rsidRDefault="00DB15C5" w:rsidP="00392682">
      <w:pPr>
        <w:pStyle w:val="Bullet"/>
        <w:spacing w:before="120"/>
      </w:pPr>
      <w:r w:rsidRPr="00DB15C5">
        <w:t>inform the patient about the procedure</w:t>
      </w:r>
    </w:p>
    <w:p w:rsidR="00DB15C5" w:rsidRPr="00DB15C5" w:rsidRDefault="00DB15C5" w:rsidP="00392682">
      <w:pPr>
        <w:pStyle w:val="Bullet"/>
        <w:spacing w:before="120"/>
      </w:pPr>
      <w:r w:rsidRPr="00DB15C5">
        <w:t>ensure they are willing to undergo the procedure</w:t>
      </w:r>
    </w:p>
    <w:p w:rsidR="00DB15C5" w:rsidRPr="00DB15C5" w:rsidRDefault="00DB15C5" w:rsidP="00392682">
      <w:pPr>
        <w:pStyle w:val="Bullet"/>
        <w:spacing w:before="120"/>
      </w:pPr>
      <w:r w:rsidRPr="00DB15C5">
        <w:t>consider the ability of the patient to tolerate both the bowel preparation and the procedure</w:t>
      </w:r>
    </w:p>
    <w:p w:rsidR="00DB15C5" w:rsidRPr="00DB15C5" w:rsidRDefault="00DB15C5" w:rsidP="00392682">
      <w:pPr>
        <w:pStyle w:val="Bullet"/>
        <w:spacing w:before="120"/>
      </w:pPr>
      <w:r w:rsidRPr="00DB15C5">
        <w:t>consider whether the patient being referred will benefit if they are frail, have multiple co-morbidities or advanced malignancy (generally referral implies they are well enough to tolerate further treatment)</w:t>
      </w:r>
    </w:p>
    <w:p w:rsidR="00DB15C5" w:rsidRPr="00DB15C5" w:rsidRDefault="00DB15C5" w:rsidP="00392682">
      <w:pPr>
        <w:pStyle w:val="Bullet"/>
        <w:spacing w:before="120"/>
      </w:pPr>
      <w:r w:rsidRPr="00DB15C5">
        <w:t>if the patient has had a colonoscopy or CT colonography in the preceding five years, ensure that there is a clear indication to repeat the procedure (the ‘miss’ rate of lesions &gt;1</w:t>
      </w:r>
      <w:r>
        <w:t> </w:t>
      </w:r>
      <w:r w:rsidRPr="00DB15C5">
        <w:t xml:space="preserve">cm following a well performed colonoscopy or CT colonography is approximately </w:t>
      </w:r>
      <w:r>
        <w:t>6 </w:t>
      </w:r>
      <w:r w:rsidRPr="00DB15C5">
        <w:t>percent)</w:t>
      </w:r>
    </w:p>
    <w:p w:rsidR="00DB15C5" w:rsidRPr="00DB15C5" w:rsidRDefault="00DB15C5" w:rsidP="00392682">
      <w:pPr>
        <w:pStyle w:val="Bullet"/>
        <w:spacing w:before="120"/>
      </w:pPr>
      <w:r w:rsidRPr="00DB15C5">
        <w:t>be aware that colonoscopy is the appropriate investigation where:</w:t>
      </w:r>
    </w:p>
    <w:p w:rsidR="00DB15C5" w:rsidRPr="00DB15C5" w:rsidRDefault="00DB15C5" w:rsidP="00DB15C5">
      <w:pPr>
        <w:spacing w:before="60"/>
        <w:ind w:left="851" w:hanging="567"/>
      </w:pPr>
      <w:r>
        <w:t>a)</w:t>
      </w:r>
      <w:r>
        <w:tab/>
      </w:r>
      <w:r w:rsidRPr="00DB15C5">
        <w:t>*diarrhoea or rectal bleeding is the predominant indication</w:t>
      </w:r>
    </w:p>
    <w:p w:rsidR="00DB15C5" w:rsidRPr="00DB15C5" w:rsidRDefault="00DB15C5" w:rsidP="00DB15C5">
      <w:pPr>
        <w:spacing w:before="60"/>
        <w:ind w:left="851" w:hanging="567"/>
      </w:pPr>
      <w:r>
        <w:t>b)</w:t>
      </w:r>
      <w:r>
        <w:tab/>
      </w:r>
      <w:r w:rsidRPr="00DB15C5">
        <w:t>*a patient has a Category 2 or 3 family history of bowel cancer</w:t>
      </w:r>
    </w:p>
    <w:p w:rsidR="00DB15C5" w:rsidRPr="00DB15C5" w:rsidRDefault="00DB15C5" w:rsidP="00392682">
      <w:pPr>
        <w:pStyle w:val="Bullet"/>
        <w:spacing w:before="120"/>
      </w:pPr>
      <w:r w:rsidRPr="00DB15C5">
        <w:t>be aware that CT colonography is an appropriate investigation where the above* are not the predominant indication or the patient being referred is over 80 years and/or has significant co-morbidities.</w:t>
      </w:r>
    </w:p>
    <w:p w:rsidR="00DB15C5" w:rsidRPr="00DB15C5" w:rsidRDefault="00DB15C5" w:rsidP="00DB15C5"/>
    <w:p w:rsidR="00DB15C5" w:rsidRPr="002D4B7E" w:rsidRDefault="00DB15C5" w:rsidP="002459C6">
      <w:pPr>
        <w:pStyle w:val="Heading1"/>
      </w:pPr>
      <w:bookmarkStart w:id="4" w:name="_Toc2084569"/>
      <w:r w:rsidRPr="002D4B7E">
        <w:lastRenderedPageBreak/>
        <w:t>How to manage patients who do not meet the referral criteria</w:t>
      </w:r>
      <w:bookmarkEnd w:id="4"/>
    </w:p>
    <w:p w:rsidR="00DB15C5" w:rsidRDefault="00DB15C5" w:rsidP="00DB15C5">
      <w:r w:rsidRPr="002D4B7E">
        <w:t xml:space="preserve">While most patients who do not meet the direct access criteria will not have bowel cancer, it is appropriate to continue clinical monitoring until symptoms resolve. </w:t>
      </w:r>
      <w:r>
        <w:t>‘</w:t>
      </w:r>
      <w:r w:rsidRPr="002D4B7E">
        <w:t>Safety netting</w:t>
      </w:r>
      <w:r>
        <w:t>’</w:t>
      </w:r>
      <w:r w:rsidRPr="002D4B7E">
        <w:t xml:space="preserve"> practices may be required to ensure patients are appropriately monitored, eg, it may be appropriate to actively follow up if a patient does not book a future GP appointment.</w:t>
      </w:r>
    </w:p>
    <w:p w:rsidR="00DB15C5" w:rsidRPr="002D4B7E" w:rsidRDefault="00DB15C5" w:rsidP="00DB15C5"/>
    <w:p w:rsidR="00DB15C5" w:rsidRDefault="00DB15C5" w:rsidP="00DB15C5">
      <w:r w:rsidRPr="002D4B7E">
        <w:t>If symptoms persist, or the patient</w:t>
      </w:r>
      <w:r>
        <w:t>’</w:t>
      </w:r>
      <w:r w:rsidRPr="002D4B7E">
        <w:t>s clinical status changes, a referral for colonoscopy or specialist assessment might be indicated. Immediate referral for an FSA may also be appropriate.</w:t>
      </w:r>
    </w:p>
    <w:p w:rsidR="00DB15C5" w:rsidRDefault="00DB15C5" w:rsidP="00DB15C5"/>
    <w:p w:rsidR="00DB15C5" w:rsidRPr="00DB15C5" w:rsidRDefault="00DB15C5" w:rsidP="00DB15C5">
      <w:r w:rsidRPr="00DB15C5">
        <w:t>Monitoring should include continued review of symptoms, weight, haemoglobin and ferritin as well as</w:t>
      </w:r>
      <w:r>
        <w:t xml:space="preserve"> </w:t>
      </w:r>
      <w:r w:rsidRPr="00DB15C5">
        <w:t>regular clinical examination. Additional tests such as liver function tests, erythrocyte sedimentation rate (ESR) blood tests or C reactive protein (CRP) blood tests, coeliac screen, or other tests may be arranged if clinically appropriate. Although the monitoring interval will vary between patients, follow up every 2</w:t>
      </w:r>
      <w:r>
        <w:t>–</w:t>
      </w:r>
      <w:r w:rsidRPr="00DB15C5">
        <w:t xml:space="preserve">3 months </w:t>
      </w:r>
      <w:r w:rsidR="00C828BB">
        <w:t xml:space="preserve">is suitable for most </w:t>
      </w:r>
      <w:r w:rsidRPr="00DB15C5">
        <w:t>patients.</w:t>
      </w:r>
    </w:p>
    <w:p w:rsidR="00DB15C5" w:rsidRDefault="00DB15C5" w:rsidP="00DB15C5"/>
    <w:p w:rsidR="00FD1BE9" w:rsidRPr="002D4B7E" w:rsidRDefault="00FD1BE9" w:rsidP="00FD1BE9">
      <w:pPr>
        <w:pStyle w:val="Heading1"/>
      </w:pPr>
      <w:bookmarkStart w:id="5" w:name="_Toc2084570"/>
      <w:r>
        <w:lastRenderedPageBreak/>
        <w:t>R</w:t>
      </w:r>
      <w:r w:rsidRPr="002D4B7E">
        <w:t>eferral criteria</w:t>
      </w:r>
      <w:bookmarkEnd w:id="5"/>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FD1BE9" w:rsidRPr="00DC20BD" w:rsidTr="00FD1BE9">
        <w:trPr>
          <w:cantSplit/>
        </w:trPr>
        <w:tc>
          <w:tcPr>
            <w:tcW w:w="8080" w:type="dxa"/>
            <w:tcBorders>
              <w:top w:val="nil"/>
              <w:bottom w:val="nil"/>
            </w:tcBorders>
            <w:shd w:val="clear" w:color="auto" w:fill="D9D9D9" w:themeFill="background1" w:themeFillShade="D9"/>
          </w:tcPr>
          <w:p w:rsidR="00FD1BE9" w:rsidRPr="00DC20BD" w:rsidRDefault="00FD1BE9" w:rsidP="00FD1BE9">
            <w:pPr>
              <w:pStyle w:val="TableText"/>
              <w:keepNext/>
              <w:rPr>
                <w:b/>
              </w:rPr>
            </w:pPr>
            <w:r>
              <w:rPr>
                <w:b/>
              </w:rPr>
              <w:t>Two-week category</w:t>
            </w:r>
          </w:p>
        </w:tc>
      </w:tr>
      <w:tr w:rsidR="00FD1BE9" w:rsidRPr="00DC20BD" w:rsidTr="00FD1BE9">
        <w:trPr>
          <w:cantSplit/>
        </w:trPr>
        <w:tc>
          <w:tcPr>
            <w:tcW w:w="8080" w:type="dxa"/>
            <w:tcBorders>
              <w:top w:val="nil"/>
              <w:bottom w:val="single" w:sz="4" w:space="0" w:color="A6A6A6" w:themeColor="background1" w:themeShade="A6"/>
            </w:tcBorders>
          </w:tcPr>
          <w:p w:rsidR="00FD1BE9" w:rsidRPr="00813EC4" w:rsidRDefault="00FD1BE9" w:rsidP="00FD1BE9">
            <w:pPr>
              <w:pStyle w:val="TableText"/>
              <w:rPr>
                <w:sz w:val="16"/>
                <w:szCs w:val="16"/>
              </w:rPr>
            </w:pPr>
            <w:r w:rsidRPr="00813EC4">
              <w:rPr>
                <w:sz w:val="16"/>
                <w:szCs w:val="16"/>
              </w:rPr>
              <w:t>Known or suspected CRC (on imaging, or palpable, or visible on rectal examination), for pre</w:t>
            </w:r>
            <w:r w:rsidRPr="00813EC4">
              <w:rPr>
                <w:sz w:val="16"/>
                <w:szCs w:val="16"/>
              </w:rPr>
              <w:noBreakHyphen/>
              <w:t>operative procedure to rule out synchronous pathology</w:t>
            </w:r>
          </w:p>
        </w:tc>
      </w:tr>
      <w:tr w:rsidR="00FD1BE9" w:rsidRPr="00DC20BD" w:rsidTr="00FD1BE9">
        <w:trPr>
          <w:cantSplit/>
        </w:trPr>
        <w:tc>
          <w:tcPr>
            <w:tcW w:w="8080" w:type="dxa"/>
          </w:tcPr>
          <w:p w:rsidR="00FD1BE9" w:rsidRPr="00813EC4" w:rsidRDefault="00FD1BE9" w:rsidP="00FD1BE9">
            <w:pPr>
              <w:pStyle w:val="TableText"/>
              <w:rPr>
                <w:sz w:val="16"/>
                <w:szCs w:val="16"/>
              </w:rPr>
            </w:pPr>
            <w:r w:rsidRPr="00813EC4">
              <w:rPr>
                <w:sz w:val="16"/>
                <w:szCs w:val="16"/>
              </w:rPr>
              <w:t>Unexplained rectal bleeding (benign anal causes treated or excluded) with iron deficiency anaemia (haemoglobin below the local reference range)</w:t>
            </w:r>
            <w:r w:rsidRPr="00813EC4">
              <w:rPr>
                <w:rStyle w:val="FootnoteReference"/>
                <w:sz w:val="16"/>
                <w:szCs w:val="16"/>
              </w:rPr>
              <w:footnoteReference w:id="3"/>
            </w:r>
          </w:p>
        </w:tc>
      </w:tr>
      <w:tr w:rsidR="00FD1BE9" w:rsidRPr="00DC20BD" w:rsidTr="00FD1BE9">
        <w:trPr>
          <w:cantSplit/>
        </w:trPr>
        <w:tc>
          <w:tcPr>
            <w:tcW w:w="8080" w:type="dxa"/>
          </w:tcPr>
          <w:p w:rsidR="00FD1BE9" w:rsidRPr="00813EC4" w:rsidRDefault="00FD1BE9" w:rsidP="00FD1BE9">
            <w:pPr>
              <w:pStyle w:val="TableText"/>
              <w:rPr>
                <w:sz w:val="16"/>
                <w:szCs w:val="16"/>
              </w:rPr>
            </w:pPr>
            <w:r w:rsidRPr="00813EC4">
              <w:rPr>
                <w:sz w:val="16"/>
                <w:szCs w:val="16"/>
              </w:rPr>
              <w:t>Altered bowel habit (looser and/or more frequent) &gt; six weeks duration plus unexplained rectal bleeding (benign anal causes treated or excluded) aged ≥50 years</w:t>
            </w:r>
          </w:p>
        </w:tc>
      </w:tr>
    </w:tbl>
    <w:p w:rsidR="00FD1BE9" w:rsidRPr="00DB15C5" w:rsidRDefault="00FD1BE9" w:rsidP="00FD1BE9"/>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FD1BE9" w:rsidRPr="00DC20BD" w:rsidTr="00FD1BE9">
        <w:trPr>
          <w:cantSplit/>
        </w:trPr>
        <w:tc>
          <w:tcPr>
            <w:tcW w:w="8080" w:type="dxa"/>
            <w:tcBorders>
              <w:top w:val="nil"/>
              <w:bottom w:val="nil"/>
            </w:tcBorders>
            <w:shd w:val="clear" w:color="auto" w:fill="D9D9D9" w:themeFill="background1" w:themeFillShade="D9"/>
          </w:tcPr>
          <w:p w:rsidR="00FD1BE9" w:rsidRPr="00DC20BD" w:rsidRDefault="00FD1BE9" w:rsidP="00FD1BE9">
            <w:pPr>
              <w:pStyle w:val="TableText"/>
              <w:keepNext/>
              <w:rPr>
                <w:b/>
              </w:rPr>
            </w:pPr>
            <w:r>
              <w:rPr>
                <w:b/>
              </w:rPr>
              <w:t>Six-week category</w:t>
            </w:r>
          </w:p>
        </w:tc>
      </w:tr>
      <w:tr w:rsidR="00FD1BE9" w:rsidRPr="00DC20BD" w:rsidTr="00FD1BE9">
        <w:trPr>
          <w:cantSplit/>
        </w:trPr>
        <w:tc>
          <w:tcPr>
            <w:tcW w:w="8080" w:type="dxa"/>
            <w:tcBorders>
              <w:top w:val="nil"/>
              <w:bottom w:val="single" w:sz="4" w:space="0" w:color="A6A6A6" w:themeColor="background1" w:themeShade="A6"/>
            </w:tcBorders>
          </w:tcPr>
          <w:p w:rsidR="00FD1BE9" w:rsidRPr="00813EC4" w:rsidRDefault="00FD1BE9" w:rsidP="00FD1BE9">
            <w:pPr>
              <w:pStyle w:val="TableText"/>
              <w:keepNext/>
              <w:rPr>
                <w:sz w:val="16"/>
                <w:szCs w:val="16"/>
              </w:rPr>
            </w:pPr>
            <w:r w:rsidRPr="00813EC4">
              <w:rPr>
                <w:sz w:val="16"/>
                <w:szCs w:val="16"/>
              </w:rPr>
              <w:t>Altered bowel habit (looser and/or more frequent) &gt; six weeks’ duration, aged ≥50 years</w:t>
            </w:r>
          </w:p>
        </w:tc>
      </w:tr>
      <w:tr w:rsidR="00FD1BE9" w:rsidRPr="00DC20BD" w:rsidTr="00FD1BE9">
        <w:trPr>
          <w:cantSplit/>
        </w:trPr>
        <w:tc>
          <w:tcPr>
            <w:tcW w:w="8080" w:type="dxa"/>
          </w:tcPr>
          <w:p w:rsidR="00FD1BE9" w:rsidRPr="00813EC4" w:rsidRDefault="00FD1BE9" w:rsidP="00FD1BE9">
            <w:pPr>
              <w:pStyle w:val="TableText"/>
              <w:keepNext/>
              <w:rPr>
                <w:sz w:val="16"/>
                <w:szCs w:val="16"/>
              </w:rPr>
            </w:pPr>
            <w:r w:rsidRPr="00813EC4">
              <w:rPr>
                <w:sz w:val="16"/>
                <w:szCs w:val="16"/>
              </w:rPr>
              <w:t>Altered bowel habit (looser and/or more frequent) &gt; six weeks’ duration plus unexplained rectal bleeding (benign anal causes treated or excluded), aged 40–50 years</w:t>
            </w:r>
          </w:p>
        </w:tc>
      </w:tr>
      <w:tr w:rsidR="00FD1BE9" w:rsidRPr="00DC20BD" w:rsidTr="00FD1BE9">
        <w:trPr>
          <w:cantSplit/>
        </w:trPr>
        <w:tc>
          <w:tcPr>
            <w:tcW w:w="8080" w:type="dxa"/>
          </w:tcPr>
          <w:p w:rsidR="00FD1BE9" w:rsidRPr="00813EC4" w:rsidRDefault="00FD1BE9" w:rsidP="00FD1BE9">
            <w:pPr>
              <w:pStyle w:val="TableText"/>
              <w:keepNext/>
              <w:rPr>
                <w:sz w:val="16"/>
                <w:szCs w:val="16"/>
              </w:rPr>
            </w:pPr>
            <w:r w:rsidRPr="00813EC4">
              <w:rPr>
                <w:sz w:val="16"/>
                <w:szCs w:val="16"/>
              </w:rPr>
              <w:t>Unexplained rectal bleeding (benign anal causes treated or excluded) aged ≥50 years</w:t>
            </w:r>
          </w:p>
        </w:tc>
      </w:tr>
      <w:tr w:rsidR="00FD1BE9" w:rsidRPr="00DC20BD" w:rsidTr="00FD1BE9">
        <w:trPr>
          <w:cantSplit/>
        </w:trPr>
        <w:tc>
          <w:tcPr>
            <w:tcW w:w="8080" w:type="dxa"/>
          </w:tcPr>
          <w:p w:rsidR="00FD1BE9" w:rsidRPr="00813EC4" w:rsidRDefault="00FD1BE9" w:rsidP="00FD1BE9">
            <w:pPr>
              <w:pStyle w:val="TableText"/>
              <w:keepNext/>
              <w:rPr>
                <w:sz w:val="16"/>
                <w:szCs w:val="16"/>
              </w:rPr>
            </w:pPr>
            <w:r w:rsidRPr="00813EC4">
              <w:rPr>
                <w:sz w:val="16"/>
                <w:szCs w:val="16"/>
              </w:rPr>
              <w:t>Unexplained iron deficiency anaemia (haemoglobin below local reference range) (see Comments for Services section items 1 and 2)</w:t>
            </w:r>
          </w:p>
        </w:tc>
      </w:tr>
      <w:tr w:rsidR="00FD1BE9" w:rsidRPr="00DC20BD" w:rsidTr="00FD1BE9">
        <w:trPr>
          <w:cantSplit/>
        </w:trPr>
        <w:tc>
          <w:tcPr>
            <w:tcW w:w="8080" w:type="dxa"/>
          </w:tcPr>
          <w:p w:rsidR="00FD1BE9" w:rsidRPr="00813EC4" w:rsidRDefault="00FD1BE9" w:rsidP="00FD1BE9">
            <w:pPr>
              <w:pStyle w:val="TableText"/>
              <w:rPr>
                <w:sz w:val="16"/>
                <w:szCs w:val="16"/>
              </w:rPr>
            </w:pPr>
            <w:r w:rsidRPr="00813EC4">
              <w:rPr>
                <w:sz w:val="16"/>
                <w:szCs w:val="16"/>
              </w:rPr>
              <w:t>New Zealand Guidelines Group (NZGG) Category 2 family history plus one or more of altered bowel habit (looser and/or more frequent) &gt; six weeks’ duration plus unexplained rectal bleeding (benign and anal causes treated or excluded), aged ≥40 years</w:t>
            </w:r>
          </w:p>
        </w:tc>
      </w:tr>
      <w:tr w:rsidR="00FD1BE9" w:rsidRPr="00DC20BD" w:rsidTr="00FD1BE9">
        <w:trPr>
          <w:cantSplit/>
        </w:trPr>
        <w:tc>
          <w:tcPr>
            <w:tcW w:w="8080" w:type="dxa"/>
          </w:tcPr>
          <w:p w:rsidR="00FD1BE9" w:rsidRPr="00813EC4" w:rsidRDefault="00FD1BE9" w:rsidP="00FD1BE9">
            <w:pPr>
              <w:pStyle w:val="TableText"/>
              <w:rPr>
                <w:sz w:val="16"/>
                <w:szCs w:val="16"/>
              </w:rPr>
            </w:pPr>
            <w:r w:rsidRPr="00813EC4">
              <w:rPr>
                <w:sz w:val="16"/>
                <w:szCs w:val="16"/>
              </w:rPr>
              <w:t>NZGG Category 3 family history plus one or more of altered bowel habit (looser and/or more frequent) &gt; six weeks’ duration plus unexplained rectal bleeding (benign and anal causes treated or excluded), aged ≥25 years</w:t>
            </w:r>
          </w:p>
        </w:tc>
      </w:tr>
      <w:tr w:rsidR="00FD1BE9" w:rsidRPr="00DC20BD" w:rsidTr="00FD1BE9">
        <w:trPr>
          <w:cantSplit/>
        </w:trPr>
        <w:tc>
          <w:tcPr>
            <w:tcW w:w="8080" w:type="dxa"/>
          </w:tcPr>
          <w:p w:rsidR="00FD1BE9" w:rsidRPr="00813EC4" w:rsidRDefault="00FD1BE9" w:rsidP="00FD1BE9">
            <w:pPr>
              <w:pStyle w:val="TableText"/>
              <w:rPr>
                <w:sz w:val="16"/>
                <w:szCs w:val="16"/>
              </w:rPr>
            </w:pPr>
            <w:r w:rsidRPr="00813EC4">
              <w:rPr>
                <w:sz w:val="16"/>
                <w:szCs w:val="16"/>
              </w:rPr>
              <w:t>Suspected/assessment inflammatory bowel disease (consider FSA)</w:t>
            </w:r>
          </w:p>
        </w:tc>
      </w:tr>
      <w:tr w:rsidR="00FD1BE9" w:rsidRPr="00DC20BD" w:rsidTr="00FD1BE9">
        <w:trPr>
          <w:cantSplit/>
        </w:trPr>
        <w:tc>
          <w:tcPr>
            <w:tcW w:w="8080" w:type="dxa"/>
          </w:tcPr>
          <w:p w:rsidR="00FD1BE9" w:rsidRPr="00813EC4" w:rsidRDefault="00FD1BE9" w:rsidP="00FD1BE9">
            <w:pPr>
              <w:pStyle w:val="TableText"/>
              <w:rPr>
                <w:sz w:val="16"/>
                <w:szCs w:val="16"/>
              </w:rPr>
            </w:pPr>
            <w:r w:rsidRPr="00813EC4">
              <w:rPr>
                <w:sz w:val="16"/>
                <w:szCs w:val="16"/>
              </w:rPr>
              <w:t>Imaging reveals polyp &gt;5 mm</w:t>
            </w:r>
          </w:p>
        </w:tc>
      </w:tr>
    </w:tbl>
    <w:p w:rsidR="00FD1BE9" w:rsidRDefault="00FD1BE9" w:rsidP="00FD1BE9"/>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813EC4" w:rsidRPr="00DC20BD" w:rsidTr="00813EC4">
        <w:trPr>
          <w:cantSplit/>
        </w:trPr>
        <w:tc>
          <w:tcPr>
            <w:tcW w:w="8080" w:type="dxa"/>
            <w:tcBorders>
              <w:top w:val="nil"/>
              <w:bottom w:val="nil"/>
            </w:tcBorders>
            <w:shd w:val="clear" w:color="auto" w:fill="D9D9D9" w:themeFill="background1" w:themeFillShade="D9"/>
          </w:tcPr>
          <w:p w:rsidR="00813EC4" w:rsidRPr="00DC20BD" w:rsidRDefault="00813EC4" w:rsidP="00813EC4">
            <w:pPr>
              <w:pStyle w:val="TableText"/>
              <w:keepNext/>
              <w:rPr>
                <w:b/>
              </w:rPr>
            </w:pPr>
            <w:r>
              <w:rPr>
                <w:b/>
              </w:rPr>
              <w:t>Not accepted</w:t>
            </w:r>
          </w:p>
        </w:tc>
      </w:tr>
      <w:tr w:rsidR="00813EC4" w:rsidRPr="00DC20BD" w:rsidTr="00813EC4">
        <w:trPr>
          <w:cantSplit/>
        </w:trPr>
        <w:tc>
          <w:tcPr>
            <w:tcW w:w="8080" w:type="dxa"/>
            <w:tcBorders>
              <w:top w:val="nil"/>
              <w:bottom w:val="single" w:sz="4" w:space="0" w:color="A6A6A6" w:themeColor="background1" w:themeShade="A6"/>
            </w:tcBorders>
          </w:tcPr>
          <w:p w:rsidR="00813EC4" w:rsidRPr="00813EC4" w:rsidRDefault="00813EC4" w:rsidP="00813EC4">
            <w:pPr>
              <w:pStyle w:val="TableText"/>
              <w:keepNext/>
              <w:rPr>
                <w:sz w:val="16"/>
                <w:szCs w:val="16"/>
              </w:rPr>
            </w:pPr>
            <w:r w:rsidRPr="00813EC4">
              <w:rPr>
                <w:sz w:val="16"/>
                <w:szCs w:val="16"/>
                <w:lang w:val="en-US"/>
              </w:rPr>
              <w:t>Acute diarrhoea &lt; six weeks’ duration – likely infectious</w:t>
            </w:r>
            <w:r w:rsidRPr="00813EC4">
              <w:rPr>
                <w:sz w:val="16"/>
                <w:szCs w:val="16"/>
                <w:lang w:val="en-GB"/>
              </w:rPr>
              <w:t xml:space="preserve"> aetiology</w:t>
            </w:r>
            <w:r w:rsidRPr="00813EC4">
              <w:rPr>
                <w:sz w:val="16"/>
                <w:szCs w:val="16"/>
                <w:lang w:val="en-US"/>
              </w:rPr>
              <w:t xml:space="preserve"> and self-limited</w:t>
            </w:r>
          </w:p>
        </w:tc>
      </w:tr>
      <w:tr w:rsidR="00813EC4" w:rsidRPr="00DC20BD" w:rsidTr="00813EC4">
        <w:trPr>
          <w:cantSplit/>
        </w:trPr>
        <w:tc>
          <w:tcPr>
            <w:tcW w:w="8080" w:type="dxa"/>
          </w:tcPr>
          <w:p w:rsidR="00813EC4" w:rsidRPr="00813EC4" w:rsidRDefault="00813EC4" w:rsidP="00813EC4">
            <w:pPr>
              <w:pStyle w:val="TableText"/>
              <w:keepNext/>
              <w:rPr>
                <w:sz w:val="16"/>
                <w:szCs w:val="16"/>
              </w:rPr>
            </w:pPr>
            <w:r w:rsidRPr="00813EC4">
              <w:rPr>
                <w:sz w:val="16"/>
                <w:szCs w:val="16"/>
                <w:lang w:eastAsia="en-NZ"/>
              </w:rPr>
              <w:t xml:space="preserve">Rectal bleeding aged less than 50 years (normal </w:t>
            </w:r>
            <w:bookmarkStart w:id="6" w:name="_msoanchor_1"/>
            <w:r w:rsidRPr="00813EC4">
              <w:rPr>
                <w:sz w:val="16"/>
                <w:szCs w:val="16"/>
                <w:lang w:eastAsia="en-NZ"/>
              </w:rPr>
              <w:t>haemoglobi</w:t>
            </w:r>
            <w:bookmarkEnd w:id="6"/>
            <w:r w:rsidRPr="00813EC4">
              <w:rPr>
                <w:sz w:val="16"/>
                <w:szCs w:val="16"/>
                <w:lang w:eastAsia="en-NZ"/>
              </w:rPr>
              <w:t>n) – consider FSA or flexible sigmoidoscopy if no anal cause</w:t>
            </w:r>
          </w:p>
        </w:tc>
      </w:tr>
      <w:tr w:rsidR="00813EC4" w:rsidRPr="00DC20BD" w:rsidTr="00813EC4">
        <w:trPr>
          <w:cantSplit/>
        </w:trPr>
        <w:tc>
          <w:tcPr>
            <w:tcW w:w="8080" w:type="dxa"/>
          </w:tcPr>
          <w:p w:rsidR="00813EC4" w:rsidRPr="00813EC4" w:rsidRDefault="00813EC4" w:rsidP="00813EC4">
            <w:pPr>
              <w:pStyle w:val="TableText"/>
              <w:keepNext/>
              <w:rPr>
                <w:sz w:val="16"/>
                <w:szCs w:val="16"/>
                <w:lang w:eastAsia="en-NZ"/>
              </w:rPr>
            </w:pPr>
            <w:r w:rsidRPr="00813EC4">
              <w:rPr>
                <w:sz w:val="16"/>
                <w:szCs w:val="16"/>
                <w:lang w:eastAsia="en-NZ"/>
              </w:rPr>
              <w:t>Irritable bowel syndrome (may require specialist assessment)</w:t>
            </w:r>
          </w:p>
        </w:tc>
      </w:tr>
      <w:tr w:rsidR="00813EC4" w:rsidRPr="00DC20BD" w:rsidTr="00813EC4">
        <w:trPr>
          <w:cantSplit/>
        </w:trPr>
        <w:tc>
          <w:tcPr>
            <w:tcW w:w="8080" w:type="dxa"/>
          </w:tcPr>
          <w:p w:rsidR="00813EC4" w:rsidRPr="00813EC4" w:rsidRDefault="00813EC4" w:rsidP="00813EC4">
            <w:pPr>
              <w:pStyle w:val="TableText"/>
              <w:keepNext/>
              <w:rPr>
                <w:sz w:val="16"/>
                <w:szCs w:val="16"/>
              </w:rPr>
            </w:pPr>
            <w:r w:rsidRPr="00813EC4">
              <w:rPr>
                <w:sz w:val="16"/>
                <w:szCs w:val="16"/>
                <w:lang w:val="en-US"/>
              </w:rPr>
              <w:t>Constipation as a single symptom</w:t>
            </w:r>
          </w:p>
        </w:tc>
      </w:tr>
      <w:tr w:rsidR="00813EC4" w:rsidRPr="00DC20BD" w:rsidTr="00813EC4">
        <w:trPr>
          <w:cantSplit/>
        </w:trPr>
        <w:tc>
          <w:tcPr>
            <w:tcW w:w="8080" w:type="dxa"/>
          </w:tcPr>
          <w:p w:rsidR="00813EC4" w:rsidRPr="00813EC4" w:rsidRDefault="00813EC4" w:rsidP="00813EC4">
            <w:pPr>
              <w:pStyle w:val="TableText"/>
              <w:rPr>
                <w:sz w:val="16"/>
                <w:szCs w:val="16"/>
              </w:rPr>
            </w:pPr>
            <w:r w:rsidRPr="00813EC4">
              <w:rPr>
                <w:sz w:val="16"/>
                <w:szCs w:val="16"/>
                <w:lang w:val="en-US"/>
              </w:rPr>
              <w:t xml:space="preserve">Uncomplicated CT-proven diverticulitis </w:t>
            </w:r>
            <w:r w:rsidRPr="00813EC4">
              <w:rPr>
                <w:b/>
                <w:sz w:val="16"/>
                <w:szCs w:val="16"/>
                <w:lang w:val="en-US"/>
              </w:rPr>
              <w:t>without</w:t>
            </w:r>
            <w:r w:rsidRPr="00813EC4">
              <w:rPr>
                <w:sz w:val="16"/>
                <w:szCs w:val="16"/>
                <w:lang w:val="en-US"/>
              </w:rPr>
              <w:t xml:space="preserve"> suspicious radiological features</w:t>
            </w:r>
          </w:p>
        </w:tc>
      </w:tr>
      <w:tr w:rsidR="00813EC4" w:rsidRPr="00DC20BD" w:rsidTr="00813EC4">
        <w:trPr>
          <w:cantSplit/>
        </w:trPr>
        <w:tc>
          <w:tcPr>
            <w:tcW w:w="8080" w:type="dxa"/>
          </w:tcPr>
          <w:p w:rsidR="00813EC4" w:rsidRPr="00813EC4" w:rsidRDefault="00813EC4" w:rsidP="00813EC4">
            <w:pPr>
              <w:pStyle w:val="TableText"/>
              <w:rPr>
                <w:sz w:val="16"/>
                <w:szCs w:val="16"/>
              </w:rPr>
            </w:pPr>
            <w:r w:rsidRPr="00813EC4">
              <w:rPr>
                <w:sz w:val="16"/>
                <w:szCs w:val="16"/>
                <w:lang w:val="en-US"/>
              </w:rPr>
              <w:t>Abdominal pain alone without any ‘six-week category’ features</w:t>
            </w:r>
          </w:p>
        </w:tc>
      </w:tr>
      <w:tr w:rsidR="00813EC4" w:rsidRPr="00DC20BD" w:rsidTr="00813EC4">
        <w:trPr>
          <w:cantSplit/>
        </w:trPr>
        <w:tc>
          <w:tcPr>
            <w:tcW w:w="8080" w:type="dxa"/>
          </w:tcPr>
          <w:p w:rsidR="00813EC4" w:rsidRPr="00813EC4" w:rsidRDefault="00813EC4" w:rsidP="00813EC4">
            <w:pPr>
              <w:pStyle w:val="TableText"/>
              <w:rPr>
                <w:sz w:val="16"/>
                <w:szCs w:val="16"/>
              </w:rPr>
            </w:pPr>
            <w:r w:rsidRPr="00813EC4">
              <w:rPr>
                <w:sz w:val="16"/>
                <w:szCs w:val="16"/>
                <w:lang w:val="en-US"/>
              </w:rPr>
              <w:t>Decreased ferritin aged &lt;50 years with normal haemoglobin</w:t>
            </w:r>
          </w:p>
        </w:tc>
      </w:tr>
      <w:tr w:rsidR="00813EC4" w:rsidRPr="00DC20BD" w:rsidTr="00813EC4">
        <w:trPr>
          <w:cantSplit/>
        </w:trPr>
        <w:tc>
          <w:tcPr>
            <w:tcW w:w="8080" w:type="dxa"/>
          </w:tcPr>
          <w:p w:rsidR="00813EC4" w:rsidRPr="00813EC4" w:rsidRDefault="00813EC4" w:rsidP="00813EC4">
            <w:pPr>
              <w:pStyle w:val="TableText"/>
              <w:rPr>
                <w:sz w:val="16"/>
                <w:szCs w:val="16"/>
              </w:rPr>
            </w:pPr>
            <w:r w:rsidRPr="00813EC4">
              <w:rPr>
                <w:sz w:val="16"/>
                <w:szCs w:val="16"/>
                <w:lang w:val="en-US"/>
              </w:rPr>
              <w:t>Abdominal mass – refer for appropriate imaging</w:t>
            </w:r>
          </w:p>
        </w:tc>
      </w:tr>
      <w:tr w:rsidR="00813EC4" w:rsidRPr="00DC20BD" w:rsidTr="00813EC4">
        <w:trPr>
          <w:cantSplit/>
        </w:trPr>
        <w:tc>
          <w:tcPr>
            <w:tcW w:w="8080" w:type="dxa"/>
          </w:tcPr>
          <w:p w:rsidR="00813EC4" w:rsidRPr="00813EC4" w:rsidRDefault="00813EC4" w:rsidP="00813EC4">
            <w:pPr>
              <w:pStyle w:val="TableText"/>
              <w:rPr>
                <w:sz w:val="16"/>
                <w:szCs w:val="16"/>
              </w:rPr>
            </w:pPr>
            <w:r w:rsidRPr="00813EC4">
              <w:rPr>
                <w:sz w:val="16"/>
                <w:szCs w:val="16"/>
                <w:lang w:val="en-US"/>
              </w:rPr>
              <w:t>Metastatic adenocarcinoma unknown primary – 6 percent is due to CRC and in the absence of clinical, radiological, or tumour marker evidence of CRC, colonoscopy is not indicated</w:t>
            </w:r>
          </w:p>
        </w:tc>
      </w:tr>
    </w:tbl>
    <w:p w:rsidR="00813EC4" w:rsidRPr="00DB15C5" w:rsidRDefault="00813EC4" w:rsidP="00FD1BE9"/>
    <w:p w:rsidR="00FD1BE9" w:rsidRPr="00DB15C5" w:rsidRDefault="00FD1BE9" w:rsidP="00FD1BE9">
      <w:pPr>
        <w:rPr>
          <w:sz w:val="22"/>
          <w:szCs w:val="22"/>
        </w:rPr>
      </w:pPr>
    </w:p>
    <w:p w:rsidR="00DB15C5" w:rsidRDefault="002459C6" w:rsidP="002459C6">
      <w:pPr>
        <w:pStyle w:val="Heading1"/>
      </w:pPr>
      <w:bookmarkStart w:id="7" w:name="_Toc2084571"/>
      <w:r>
        <w:lastRenderedPageBreak/>
        <w:t>Surveillance notes</w:t>
      </w:r>
      <w:bookmarkEnd w:id="7"/>
    </w:p>
    <w:p w:rsidR="002459C6" w:rsidRPr="00392682" w:rsidRDefault="002459C6" w:rsidP="002459C6">
      <w:pPr>
        <w:rPr>
          <w:i/>
        </w:rPr>
      </w:pPr>
      <w:r w:rsidRPr="00392682">
        <w:rPr>
          <w:i/>
        </w:rPr>
        <w:t>(Refer to New Zealand Guideline: Guidance on Surveillance</w:t>
      </w:r>
      <w:r w:rsidR="00392682" w:rsidRPr="00392682">
        <w:rPr>
          <w:i/>
        </w:rPr>
        <w:t>.</w:t>
      </w:r>
      <w:r w:rsidRPr="00392682">
        <w:rPr>
          <w:i/>
        </w:rPr>
        <w:t>)</w:t>
      </w:r>
    </w:p>
    <w:p w:rsidR="002459C6" w:rsidRPr="002459C6" w:rsidRDefault="002459C6" w:rsidP="002459C6"/>
    <w:p w:rsidR="002459C6" w:rsidRDefault="002459C6" w:rsidP="002459C6">
      <w:r w:rsidRPr="00DB15C5">
        <w:t>Direct access surveillance colonoscopy should be offered to those meeting the guideline criteria where ‘offer’ is the recommendation. ‘Consider’ is less imperative than ‘offer’.</w:t>
      </w:r>
    </w:p>
    <w:p w:rsidR="002459C6" w:rsidRPr="00DB15C5" w:rsidRDefault="002459C6" w:rsidP="002459C6"/>
    <w:p w:rsidR="002459C6" w:rsidRDefault="002459C6" w:rsidP="002459C6">
      <w:pPr>
        <w:pStyle w:val="Heading2"/>
      </w:pPr>
      <w:bookmarkStart w:id="8" w:name="_Toc2084572"/>
      <w:r w:rsidRPr="00DB15C5">
        <w:t>Family history of colorectal cancer</w:t>
      </w:r>
      <w:bookmarkEnd w:id="8"/>
    </w:p>
    <w:p w:rsidR="002459C6" w:rsidRPr="00DB15C5" w:rsidRDefault="002459C6" w:rsidP="002459C6">
      <w:r>
        <w:t>I</w:t>
      </w:r>
      <w:r w:rsidRPr="00DB15C5">
        <w:t>ndividuals in the categories below should be offered direct access surveillance colonoscopy</w:t>
      </w:r>
      <w:r>
        <w:t>:</w:t>
      </w:r>
    </w:p>
    <w:p w:rsidR="002459C6" w:rsidRPr="00DB15C5" w:rsidRDefault="002459C6" w:rsidP="002459C6">
      <w:pPr>
        <w:pStyle w:val="Bullet"/>
      </w:pPr>
      <w:r w:rsidRPr="00DB15C5">
        <w:t>Category 2 and 3 as recommended in the New Zealand 2012 guidelines (</w:t>
      </w:r>
      <w:hyperlink r:id="rId19" w:history="1">
        <w:r w:rsidR="00A040B9" w:rsidRPr="00F46889">
          <w:rPr>
            <w:rStyle w:val="Hyperlink"/>
          </w:rPr>
          <w:t>www.health.govt.nz</w:t>
        </w:r>
      </w:hyperlink>
      <w:r w:rsidRPr="00DB15C5">
        <w:t>): Guidance on Surveillance for People at Increased Risk of Colorectal Cancer.</w:t>
      </w:r>
    </w:p>
    <w:p w:rsidR="002459C6" w:rsidRDefault="002459C6" w:rsidP="002459C6">
      <w:pPr>
        <w:pStyle w:val="Bullet"/>
      </w:pPr>
      <w:r w:rsidRPr="00DB15C5">
        <w:t>Category 3 as recommended by the New Zealand Familial Gastrointestinal Cancer Service (</w:t>
      </w:r>
      <w:hyperlink r:id="rId20" w:history="1">
        <w:r w:rsidRPr="002459C6">
          <w:rPr>
            <w:rStyle w:val="Hyperlink"/>
          </w:rPr>
          <w:t>www.nzfgcs.co.nz</w:t>
        </w:r>
      </w:hyperlink>
      <w:r w:rsidRPr="00DB15C5">
        <w:t>) or a bowel cancer specialist.</w:t>
      </w:r>
    </w:p>
    <w:p w:rsidR="002459C6" w:rsidRPr="00DB15C5" w:rsidRDefault="002459C6" w:rsidP="002459C6"/>
    <w:p w:rsidR="002459C6" w:rsidRPr="00DB15C5" w:rsidRDefault="002459C6" w:rsidP="002459C6">
      <w:pPr>
        <w:pStyle w:val="Heading2"/>
      </w:pPr>
      <w:bookmarkStart w:id="9" w:name="_Toc2084573"/>
      <w:r w:rsidRPr="00DB15C5">
        <w:t>Personal history of low risk adenomas</w:t>
      </w:r>
      <w:bookmarkEnd w:id="9"/>
    </w:p>
    <w:p w:rsidR="002459C6" w:rsidRDefault="002459C6" w:rsidP="002459C6">
      <w:r w:rsidRPr="00DB15C5">
        <w:t xml:space="preserve">The recommendation for surveillance after detection at index colonoscopy of adenomas associated with a low risk of developing colorectal cancer is to consider colonoscopy at five years – if the colonoscopy is negative, ie, no adenomas are found, then </w:t>
      </w:r>
      <w:r w:rsidRPr="00DB15C5">
        <w:rPr>
          <w:b/>
        </w:rPr>
        <w:t>stop</w:t>
      </w:r>
      <w:r w:rsidRPr="00DB15C5">
        <w:t xml:space="preserve"> surveillance’.</w:t>
      </w:r>
    </w:p>
    <w:p w:rsidR="002459C6" w:rsidRPr="00DB15C5" w:rsidRDefault="002459C6" w:rsidP="002459C6"/>
    <w:p w:rsidR="002459C6" w:rsidRDefault="002459C6" w:rsidP="002459C6">
      <w:r w:rsidRPr="0034071D">
        <w:t>People at low risk are defined as no parental history of colorectal carcinoma and with one or two small (&lt;10</w:t>
      </w:r>
      <w:r>
        <w:t> </w:t>
      </w:r>
      <w:r w:rsidRPr="0034071D">
        <w:t>mm) tubular adenomas at index colonoscopy.</w:t>
      </w:r>
    </w:p>
    <w:p w:rsidR="002459C6" w:rsidRPr="00DB15C5" w:rsidRDefault="002459C6" w:rsidP="002459C6"/>
    <w:p w:rsidR="002459C6" w:rsidRDefault="002459C6" w:rsidP="002459C6">
      <w:r w:rsidRPr="00DB15C5">
        <w:t>This recommendation is based on moderate quality evidence that shows the time taken for advanced metachronous adenomas to develop in five percent of people at low risk was 10.4 years, in 10 percent it was 12.2 years and in 20 percent it was 16.2</w:t>
      </w:r>
      <w:r>
        <w:t> </w:t>
      </w:r>
      <w:r w:rsidRPr="00DB15C5">
        <w:t>years.</w:t>
      </w:r>
    </w:p>
    <w:p w:rsidR="002459C6" w:rsidRPr="00DB15C5" w:rsidRDefault="002459C6" w:rsidP="002459C6">
      <w:pPr>
        <w:rPr>
          <w:sz w:val="22"/>
          <w:szCs w:val="22"/>
        </w:rPr>
      </w:pPr>
    </w:p>
    <w:p w:rsidR="00DB15C5" w:rsidRPr="00DB15C5" w:rsidRDefault="002459C6" w:rsidP="002459C6">
      <w:pPr>
        <w:pStyle w:val="Heading1"/>
      </w:pPr>
      <w:bookmarkStart w:id="10" w:name="_Toc2084574"/>
      <w:r>
        <w:lastRenderedPageBreak/>
        <w:t>Comments for services</w:t>
      </w:r>
      <w:bookmarkEnd w:id="10"/>
    </w:p>
    <w:p w:rsidR="002459C6" w:rsidRPr="00DB15C5" w:rsidRDefault="002459C6" w:rsidP="002459C6">
      <w:pPr>
        <w:pStyle w:val="Number"/>
      </w:pPr>
      <w:r w:rsidRPr="00DB15C5">
        <w:t>The indication of iron deficiency anaemia requires a haemoglobin level below the local reference range in association with a low ferritin level.</w:t>
      </w:r>
    </w:p>
    <w:p w:rsidR="002459C6" w:rsidRPr="00DB15C5" w:rsidRDefault="002459C6" w:rsidP="002459C6">
      <w:pPr>
        <w:pStyle w:val="Number"/>
      </w:pPr>
      <w:r w:rsidRPr="00DB15C5">
        <w:t>Menstruation is the commonest cause of iron deficiency anaemia in women – for women aged less than 55 years a menstrual history should be obtained prior to referral. Coeliac disease and urinary loss should also be excluded.</w:t>
      </w:r>
    </w:p>
    <w:p w:rsidR="002459C6" w:rsidRPr="00DB15C5" w:rsidRDefault="002459C6" w:rsidP="002459C6">
      <w:pPr>
        <w:pStyle w:val="Number"/>
      </w:pPr>
      <w:r w:rsidRPr="00DB15C5">
        <w:t>Use of faecal occult blood tests collected in asymptomatic individuals is not currently recommended in New Zealand outside of National Bowel Screening Programme and should not be encouraged.</w:t>
      </w:r>
    </w:p>
    <w:p w:rsidR="002459C6" w:rsidRPr="00DB15C5" w:rsidRDefault="002459C6" w:rsidP="002459C6">
      <w:pPr>
        <w:pStyle w:val="Number"/>
      </w:pPr>
      <w:r w:rsidRPr="00DB15C5">
        <w:t>Patients who meet the ‘two</w:t>
      </w:r>
      <w:r w:rsidR="00392682">
        <w:t>-</w:t>
      </w:r>
      <w:r w:rsidRPr="00DB15C5">
        <w:t>week category’ at referral are considered to have high suspicion of cancer and are included in the 62</w:t>
      </w:r>
      <w:r w:rsidR="00392682">
        <w:t>-</w:t>
      </w:r>
      <w:r w:rsidRPr="00DB15C5">
        <w:t>day Faster Cancer Treatment measure.</w:t>
      </w:r>
    </w:p>
    <w:p w:rsidR="002459C6" w:rsidRPr="00DB15C5" w:rsidRDefault="002459C6" w:rsidP="002459C6">
      <w:pPr>
        <w:pStyle w:val="Number"/>
      </w:pPr>
      <w:r w:rsidRPr="00DB15C5">
        <w:t>All patients with a confirmed cancer diagnosis, including incidental diagnosis or as a result of a ‘six</w:t>
      </w:r>
      <w:r w:rsidR="00392682">
        <w:t>-</w:t>
      </w:r>
      <w:r w:rsidRPr="00DB15C5">
        <w:t>week category’ investigation, are included in the 31</w:t>
      </w:r>
      <w:r w:rsidR="00392682">
        <w:t>-</w:t>
      </w:r>
      <w:r w:rsidRPr="00DB15C5">
        <w:t>day F</w:t>
      </w:r>
      <w:r w:rsidR="00392682">
        <w:t>aster Cancer Treatment measure.</w:t>
      </w:r>
    </w:p>
    <w:p w:rsidR="002459C6" w:rsidRPr="00DB15C5" w:rsidRDefault="002459C6" w:rsidP="002459C6">
      <w:pPr>
        <w:pStyle w:val="Number"/>
      </w:pPr>
      <w:r w:rsidRPr="00DB15C5">
        <w:t xml:space="preserve">There is some variance in age criteria and timeframes between these criteria for referral to direct access colonoscopy and the timeframes for specialist referral in the guideline </w:t>
      </w:r>
      <w:r w:rsidRPr="00392682">
        <w:rPr>
          <w:i/>
        </w:rPr>
        <w:t>Suspected Cancer in Primary Care</w:t>
      </w:r>
      <w:r w:rsidRPr="00DB15C5">
        <w:t>. The timeframes in this document are based on what is considered to be achievable and compatible with good practice.</w:t>
      </w:r>
    </w:p>
    <w:p w:rsidR="002459C6" w:rsidRPr="00DB15C5" w:rsidRDefault="002459C6" w:rsidP="002459C6">
      <w:pPr>
        <w:pStyle w:val="Number"/>
      </w:pPr>
      <w:r w:rsidRPr="0034071D">
        <w:t>Initially, prioritisation within the routine category referrals may still occur at a service level.</w:t>
      </w:r>
    </w:p>
    <w:p w:rsidR="002459C6" w:rsidRPr="0034071D" w:rsidRDefault="002459C6" w:rsidP="002459C6">
      <w:pPr>
        <w:pStyle w:val="Number"/>
      </w:pPr>
      <w:r w:rsidRPr="0034071D">
        <w:t>Patients with atypical presentations outside these criteria may require colonoscopy, usually following specialist referral.</w:t>
      </w:r>
    </w:p>
    <w:p w:rsidR="002459C6" w:rsidRPr="00DB15C5" w:rsidRDefault="002459C6" w:rsidP="002459C6">
      <w:pPr>
        <w:pStyle w:val="Number"/>
      </w:pPr>
      <w:r w:rsidRPr="00DB15C5">
        <w:t xml:space="preserve">Patients requiring urgent colonoscopy for suspicion or assessment of inflammatory bowel disease would usually be inpatients or </w:t>
      </w:r>
      <w:r w:rsidR="00392682">
        <w:t>under the care of a specialist.</w:t>
      </w:r>
    </w:p>
    <w:p w:rsidR="002459C6" w:rsidRPr="00DB15C5" w:rsidRDefault="002459C6" w:rsidP="002459C6">
      <w:pPr>
        <w:pStyle w:val="Number"/>
      </w:pPr>
      <w:r w:rsidRPr="00DB15C5">
        <w:t xml:space="preserve">Few symptoms in primary care practice have greater than a </w:t>
      </w:r>
      <w:r w:rsidR="00392682">
        <w:t>5 </w:t>
      </w:r>
      <w:r w:rsidRPr="00DB15C5">
        <w:t>percent positive predictive value for colorectal</w:t>
      </w:r>
      <w:r w:rsidR="00392682">
        <w:t xml:space="preserve"> cancer (CRC).</w:t>
      </w:r>
    </w:p>
    <w:p w:rsidR="00DB15C5" w:rsidRDefault="00DB15C5" w:rsidP="00DB15C5"/>
    <w:p w:rsidR="00DB15C5" w:rsidRDefault="00DB15C5" w:rsidP="00DB15C5">
      <w:pPr>
        <w:pStyle w:val="Heading1"/>
      </w:pPr>
      <w:bookmarkStart w:id="11" w:name="_Toc2084575"/>
      <w:r>
        <w:lastRenderedPageBreak/>
        <w:t>References</w:t>
      </w:r>
      <w:bookmarkEnd w:id="11"/>
    </w:p>
    <w:p w:rsidR="00DB15C5" w:rsidRPr="00DB15C5" w:rsidRDefault="00DB15C5" w:rsidP="00DB15C5">
      <w:pPr>
        <w:pStyle w:val="References"/>
      </w:pPr>
      <w:r>
        <w:t xml:space="preserve">New Zealand Guidelines Group, Ministry of Health. 2009. </w:t>
      </w:r>
      <w:r w:rsidRPr="00F576BB">
        <w:rPr>
          <w:i/>
        </w:rPr>
        <w:t>Suspected Cancer in Primary Care: Guidelines for investigation, referral and reducing ethnic disparities</w:t>
      </w:r>
      <w:r w:rsidRPr="00DB15C5">
        <w:t>.</w:t>
      </w:r>
    </w:p>
    <w:p w:rsidR="00DB15C5" w:rsidRPr="00DB15C5" w:rsidRDefault="00FD1BE9" w:rsidP="00DB15C5">
      <w:pPr>
        <w:pStyle w:val="References"/>
      </w:pPr>
      <w:r>
        <w:t>Goddard AF, James MW, McIntyre AS, et al</w:t>
      </w:r>
      <w:r w:rsidR="00DB15C5">
        <w:t xml:space="preserve">. 2011. </w:t>
      </w:r>
      <w:r w:rsidR="00DB15C5" w:rsidRPr="00DB15C5">
        <w:t xml:space="preserve">Guidelines for the management of iron deficiency anaemia. </w:t>
      </w:r>
      <w:r w:rsidR="00DB15C5" w:rsidRPr="00F576BB">
        <w:rPr>
          <w:i/>
        </w:rPr>
        <w:t>Gut</w:t>
      </w:r>
      <w:r w:rsidR="00DB15C5" w:rsidRPr="00DB15C5">
        <w:t xml:space="preserve"> 60(10)</w:t>
      </w:r>
      <w:r w:rsidR="00DB15C5">
        <w:t xml:space="preserve">: </w:t>
      </w:r>
      <w:r w:rsidR="00DB15C5" w:rsidRPr="00DB15C5">
        <w:t>01309-16.</w:t>
      </w:r>
      <w:r w:rsidR="00DB15C5">
        <w:t xml:space="preserve"> </w:t>
      </w:r>
      <w:r w:rsidR="00DB15C5" w:rsidRPr="00DB15C5">
        <w:t xml:space="preserve">Epub </w:t>
      </w:r>
      <w:r w:rsidR="00DB15C5">
        <w:t xml:space="preserve">11 May </w:t>
      </w:r>
      <w:r w:rsidR="00DB15C5" w:rsidRPr="00DB15C5">
        <w:t>2011</w:t>
      </w:r>
      <w:r w:rsidR="00DB15C5">
        <w:t>.</w:t>
      </w:r>
    </w:p>
    <w:p w:rsidR="00DB15C5" w:rsidRPr="00DB15C5" w:rsidRDefault="00FD1BE9" w:rsidP="00DB15C5">
      <w:pPr>
        <w:pStyle w:val="References"/>
      </w:pPr>
      <w:r>
        <w:t>Astin M, Griffin T, Neal RD, et al</w:t>
      </w:r>
      <w:r w:rsidR="00DB15C5">
        <w:t xml:space="preserve">. 2011. </w:t>
      </w:r>
      <w:r w:rsidR="00DB15C5" w:rsidRPr="00DB15C5">
        <w:t xml:space="preserve">The diagnostic value of symptoms for colorectal cancer in primary care: a systematic review. </w:t>
      </w:r>
      <w:r w:rsidR="00DB15C5" w:rsidRPr="00F576BB">
        <w:rPr>
          <w:i/>
        </w:rPr>
        <w:t>British Journal of General Practice</w:t>
      </w:r>
      <w:r w:rsidR="00DB15C5" w:rsidRPr="00DB15C5">
        <w:t xml:space="preserve"> 61(586):</w:t>
      </w:r>
      <w:r w:rsidR="002459C6">
        <w:t xml:space="preserve"> </w:t>
      </w:r>
      <w:r w:rsidR="00DB15C5" w:rsidRPr="00DB15C5">
        <w:t>e231</w:t>
      </w:r>
      <w:r w:rsidR="002459C6">
        <w:t>–</w:t>
      </w:r>
      <w:r w:rsidR="00DB15C5" w:rsidRPr="00DB15C5">
        <w:t>43</w:t>
      </w:r>
      <w:r w:rsidR="002459C6">
        <w:t>.</w:t>
      </w:r>
    </w:p>
    <w:p w:rsidR="00DB15C5" w:rsidRPr="00DB15C5" w:rsidRDefault="002459C6" w:rsidP="00DB15C5">
      <w:pPr>
        <w:pStyle w:val="References"/>
      </w:pPr>
      <w:r>
        <w:t xml:space="preserve">New Zealand Guidelines Group. 2012. </w:t>
      </w:r>
      <w:r w:rsidR="00DB15C5" w:rsidRPr="00F576BB">
        <w:rPr>
          <w:i/>
        </w:rPr>
        <w:t xml:space="preserve">New Zealand 2012 </w:t>
      </w:r>
      <w:r w:rsidRPr="00F576BB">
        <w:rPr>
          <w:i/>
        </w:rPr>
        <w:t>G</w:t>
      </w:r>
      <w:r w:rsidR="00DB15C5" w:rsidRPr="00F576BB">
        <w:rPr>
          <w:i/>
        </w:rPr>
        <w:t xml:space="preserve">uidelines: Guidance on </w:t>
      </w:r>
      <w:r w:rsidRPr="00F576BB">
        <w:rPr>
          <w:i/>
        </w:rPr>
        <w:t>s</w:t>
      </w:r>
      <w:r w:rsidR="00DB15C5" w:rsidRPr="00F576BB">
        <w:rPr>
          <w:i/>
        </w:rPr>
        <w:t xml:space="preserve">urveillance for </w:t>
      </w:r>
      <w:r w:rsidRPr="00F576BB">
        <w:rPr>
          <w:i/>
        </w:rPr>
        <w:t>p</w:t>
      </w:r>
      <w:r w:rsidR="00DB15C5" w:rsidRPr="00F576BB">
        <w:rPr>
          <w:i/>
        </w:rPr>
        <w:t xml:space="preserve">eople at </w:t>
      </w:r>
      <w:r w:rsidRPr="00F576BB">
        <w:rPr>
          <w:i/>
        </w:rPr>
        <w:t>i</w:t>
      </w:r>
      <w:r w:rsidR="00DB15C5" w:rsidRPr="00F576BB">
        <w:rPr>
          <w:i/>
        </w:rPr>
        <w:t xml:space="preserve">ncreased </w:t>
      </w:r>
      <w:r w:rsidRPr="00F576BB">
        <w:rPr>
          <w:i/>
        </w:rPr>
        <w:t>r</w:t>
      </w:r>
      <w:r w:rsidR="00DB15C5" w:rsidRPr="00F576BB">
        <w:rPr>
          <w:i/>
        </w:rPr>
        <w:t xml:space="preserve">isk of </w:t>
      </w:r>
      <w:r w:rsidRPr="00F576BB">
        <w:rPr>
          <w:i/>
        </w:rPr>
        <w:t>c</w:t>
      </w:r>
      <w:r w:rsidR="00DB15C5" w:rsidRPr="00F576BB">
        <w:rPr>
          <w:i/>
        </w:rPr>
        <w:t xml:space="preserve">olorectal </w:t>
      </w:r>
      <w:r w:rsidRPr="00F576BB">
        <w:rPr>
          <w:i/>
        </w:rPr>
        <w:t>c</w:t>
      </w:r>
      <w:r w:rsidR="00DB15C5" w:rsidRPr="00F576BB">
        <w:rPr>
          <w:i/>
        </w:rPr>
        <w:t>ancer</w:t>
      </w:r>
      <w:r>
        <w:t>.</w:t>
      </w:r>
      <w:bookmarkStart w:id="12" w:name="_GoBack"/>
      <w:bookmarkEnd w:id="12"/>
    </w:p>
    <w:sectPr w:rsidR="00DB15C5" w:rsidRPr="00DB15C5" w:rsidSect="003309CA">
      <w:headerReference w:type="default" r:id="rId21"/>
      <w:footerReference w:type="even" r:id="rId22"/>
      <w:footerReference w:type="default" r:id="rId23"/>
      <w:pgSz w:w="11907" w:h="16834" w:code="9"/>
      <w:pgMar w:top="1418" w:right="1701" w:bottom="1134" w:left="1843" w:header="284" w:footer="425"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EC4" w:rsidRDefault="00813EC4">
      <w:r>
        <w:separator/>
      </w:r>
    </w:p>
    <w:p w:rsidR="00813EC4" w:rsidRDefault="00813EC4"/>
  </w:endnote>
  <w:endnote w:type="continuationSeparator" w:id="0">
    <w:p w:rsidR="00813EC4" w:rsidRDefault="00813EC4">
      <w:r>
        <w:continuationSeparator/>
      </w:r>
    </w:p>
    <w:p w:rsidR="00813EC4" w:rsidRDefault="00813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EC4" w:rsidRPr="00581136" w:rsidRDefault="00813EC4"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rsidR="00813EC4" w:rsidRPr="005A79E5" w:rsidRDefault="00813EC4">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EC4" w:rsidRDefault="00813EC4" w:rsidP="004D6689">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EC4" w:rsidRDefault="00813E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813EC4" w:rsidTr="00D662F8">
      <w:trPr>
        <w:cantSplit/>
      </w:trPr>
      <w:tc>
        <w:tcPr>
          <w:tcW w:w="709" w:type="dxa"/>
          <w:vAlign w:val="center"/>
        </w:tcPr>
        <w:p w:rsidR="00813EC4" w:rsidRPr="00931466" w:rsidRDefault="00813EC4"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rsidR="00813EC4" w:rsidRDefault="00813EC4" w:rsidP="00926083">
          <w:pPr>
            <w:pStyle w:val="RectoFooter"/>
            <w:jc w:val="left"/>
          </w:pPr>
          <w:r>
            <w:t>[INSERT TITLE]</w:t>
          </w:r>
        </w:p>
      </w:tc>
    </w:tr>
  </w:tbl>
  <w:p w:rsidR="00813EC4" w:rsidRPr="00571223" w:rsidRDefault="00813EC4" w:rsidP="00571223">
    <w:pPr>
      <w:pStyle w:val="Verso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813EC4" w:rsidTr="00D662F8">
      <w:trPr>
        <w:cantSplit/>
      </w:trPr>
      <w:tc>
        <w:tcPr>
          <w:tcW w:w="8080" w:type="dxa"/>
          <w:vAlign w:val="center"/>
        </w:tcPr>
        <w:p w:rsidR="00813EC4" w:rsidRDefault="00813EC4" w:rsidP="002459C6">
          <w:pPr>
            <w:pStyle w:val="RectoFooter"/>
          </w:pPr>
          <w:r>
            <w:t>Referral Criteria for Direct Access Outpatient Colonoscopy or Computed Tomography Colonography</w:t>
          </w:r>
        </w:p>
      </w:tc>
      <w:tc>
        <w:tcPr>
          <w:tcW w:w="709" w:type="dxa"/>
          <w:vAlign w:val="center"/>
        </w:tcPr>
        <w:p w:rsidR="00813EC4" w:rsidRPr="00931466" w:rsidRDefault="00813EC4"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040B9">
            <w:rPr>
              <w:rStyle w:val="PageNumber"/>
              <w:noProof/>
            </w:rPr>
            <w:t>iii</w:t>
          </w:r>
          <w:r w:rsidRPr="00931466">
            <w:rPr>
              <w:rStyle w:val="PageNumber"/>
            </w:rPr>
            <w:fldChar w:fldCharType="end"/>
          </w:r>
        </w:p>
      </w:tc>
    </w:tr>
  </w:tbl>
  <w:p w:rsidR="00813EC4" w:rsidRPr="00581EB8" w:rsidRDefault="00813EC4" w:rsidP="00581EB8">
    <w:pPr>
      <w:pStyle w:val="Foote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EC4" w:rsidRPr="00571223" w:rsidRDefault="00813EC4" w:rsidP="00571223">
    <w:pPr>
      <w:pStyle w:val="VersoFoote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813EC4" w:rsidTr="00D662F8">
      <w:trPr>
        <w:cantSplit/>
      </w:trPr>
      <w:tc>
        <w:tcPr>
          <w:tcW w:w="675" w:type="dxa"/>
          <w:vAlign w:val="center"/>
        </w:tcPr>
        <w:p w:rsidR="00813EC4" w:rsidRPr="00931466" w:rsidRDefault="00813EC4"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040B9">
            <w:rPr>
              <w:rStyle w:val="PageNumber"/>
              <w:noProof/>
            </w:rPr>
            <w:t>6</w:t>
          </w:r>
          <w:r w:rsidRPr="00931466">
            <w:rPr>
              <w:rStyle w:val="PageNumber"/>
            </w:rPr>
            <w:fldChar w:fldCharType="end"/>
          </w:r>
        </w:p>
      </w:tc>
      <w:tc>
        <w:tcPr>
          <w:tcW w:w="9072" w:type="dxa"/>
          <w:vAlign w:val="center"/>
        </w:tcPr>
        <w:p w:rsidR="00813EC4" w:rsidRDefault="00813EC4" w:rsidP="002459C6">
          <w:pPr>
            <w:pStyle w:val="RectoFooter"/>
            <w:jc w:val="left"/>
          </w:pPr>
          <w:r>
            <w:t>Referral Criteria for Direct Access Outpatient Colonoscopy or Computed Tomography Colonography</w:t>
          </w:r>
        </w:p>
      </w:tc>
    </w:tr>
  </w:tbl>
  <w:p w:rsidR="00813EC4" w:rsidRPr="00571223" w:rsidRDefault="00813EC4" w:rsidP="00571223">
    <w:pPr>
      <w:pStyle w:val="VersoFoote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813EC4" w:rsidTr="00D662F8">
      <w:trPr>
        <w:cantSplit/>
      </w:trPr>
      <w:tc>
        <w:tcPr>
          <w:tcW w:w="8080" w:type="dxa"/>
          <w:vAlign w:val="center"/>
        </w:tcPr>
        <w:p w:rsidR="00813EC4" w:rsidRDefault="00813EC4" w:rsidP="00931466">
          <w:pPr>
            <w:pStyle w:val="RectoFooter"/>
          </w:pPr>
          <w:r>
            <w:t>Referral Criteria for Direct Access Outpatient Colonoscopy or Computed Tomography Colonography</w:t>
          </w:r>
        </w:p>
      </w:tc>
      <w:tc>
        <w:tcPr>
          <w:tcW w:w="709" w:type="dxa"/>
          <w:vAlign w:val="center"/>
        </w:tcPr>
        <w:p w:rsidR="00813EC4" w:rsidRPr="00931466" w:rsidRDefault="00813EC4"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040B9">
            <w:rPr>
              <w:rStyle w:val="PageNumber"/>
              <w:noProof/>
            </w:rPr>
            <w:t>7</w:t>
          </w:r>
          <w:r w:rsidRPr="00931466">
            <w:rPr>
              <w:rStyle w:val="PageNumber"/>
            </w:rPr>
            <w:fldChar w:fldCharType="end"/>
          </w:r>
        </w:p>
      </w:tc>
    </w:tr>
  </w:tbl>
  <w:p w:rsidR="00813EC4" w:rsidRPr="00581EB8" w:rsidRDefault="00813EC4" w:rsidP="00581EB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EC4" w:rsidRPr="00A26E6B" w:rsidRDefault="00813EC4" w:rsidP="00A26E6B"/>
  </w:footnote>
  <w:footnote w:type="continuationSeparator" w:id="0">
    <w:p w:rsidR="00813EC4" w:rsidRDefault="00813EC4">
      <w:r>
        <w:continuationSeparator/>
      </w:r>
    </w:p>
    <w:p w:rsidR="00813EC4" w:rsidRDefault="00813EC4"/>
  </w:footnote>
  <w:footnote w:id="1">
    <w:p w:rsidR="00813EC4" w:rsidRPr="002D4B7E" w:rsidRDefault="00813EC4" w:rsidP="00DB15C5">
      <w:pPr>
        <w:pStyle w:val="FootnoteText"/>
      </w:pPr>
      <w:r w:rsidRPr="00DB15C5">
        <w:rPr>
          <w:rStyle w:val="FootnoteReference"/>
        </w:rPr>
        <w:footnoteRef/>
      </w:r>
      <w:r>
        <w:tab/>
      </w:r>
      <w:r w:rsidR="00C828BB">
        <w:t xml:space="preserve">A table of estimated positive predictive value for symptoms of bowel cancer, based on NICE guidance, can be found in the following journal article: N D’Souza, M Abulafi, </w:t>
      </w:r>
      <w:r w:rsidR="00C828BB">
        <w:rPr>
          <w:i/>
        </w:rPr>
        <w:t>The Faecal Immu</w:t>
      </w:r>
      <w:r w:rsidR="00C828BB" w:rsidRPr="00C828BB">
        <w:rPr>
          <w:i/>
        </w:rPr>
        <w:t>nochemical Test in low risk patients with suspected bowel cancer</w:t>
      </w:r>
      <w:r w:rsidR="00C828BB">
        <w:t>. 2019. British Journal of Hospital Medicine, 80 (1): 22-26</w:t>
      </w:r>
    </w:p>
  </w:footnote>
  <w:footnote w:id="2">
    <w:p w:rsidR="00813EC4" w:rsidRPr="001C4E4B" w:rsidRDefault="00813EC4" w:rsidP="00DB15C5">
      <w:pPr>
        <w:pStyle w:val="FootnoteText"/>
      </w:pPr>
      <w:r w:rsidRPr="00DB15C5">
        <w:rPr>
          <w:rStyle w:val="FootnoteReference"/>
        </w:rPr>
        <w:footnoteRef/>
      </w:r>
      <w:r>
        <w:tab/>
      </w:r>
      <w:r w:rsidRPr="002D4B7E">
        <w:t>Using FIT for symptomatic patients is currently the subject of a clinical trial by NICE. The outcome of this trial will be monitored by the National Bowel Cancer Working Group, the Ministry of Health</w:t>
      </w:r>
      <w:r>
        <w:t>’</w:t>
      </w:r>
      <w:r w:rsidRPr="002D4B7E">
        <w:t xml:space="preserve">s advisory body on the diagnosis and </w:t>
      </w:r>
      <w:r w:rsidR="00C828BB">
        <w:t>treatment of colorectal cancer.</w:t>
      </w:r>
    </w:p>
  </w:footnote>
  <w:footnote w:id="3">
    <w:p w:rsidR="00813EC4" w:rsidRPr="00712E51" w:rsidRDefault="00813EC4" w:rsidP="00FD1BE9">
      <w:pPr>
        <w:pStyle w:val="FootnoteText"/>
      </w:pPr>
      <w:r w:rsidRPr="00DB15C5">
        <w:rPr>
          <w:rStyle w:val="FootnoteReference"/>
        </w:rPr>
        <w:footnoteRef/>
      </w:r>
      <w:r>
        <w:tab/>
        <w:t>‘</w:t>
      </w:r>
      <w:r w:rsidRPr="00EA0883">
        <w:t>Benign anal causes</w:t>
      </w:r>
      <w:r>
        <w:t>’</w:t>
      </w:r>
      <w:r w:rsidR="00C828BB">
        <w:t xml:space="preserve"> is</w:t>
      </w:r>
      <w:r w:rsidRPr="00EA0883">
        <w:t xml:space="preserve"> defined as haemorrhoids, anal fissure, anal fistula, inflammatory bowel disease, radiation proctitis and mucosal or ful</w:t>
      </w:r>
      <w:r>
        <w:t>l thickness rectal prolapse. If no benign anal cause</w:t>
      </w:r>
      <w:r w:rsidRPr="002D4B7E">
        <w:t xml:space="preserve"> is identified or bleeding continues after the treatment of these, benign causes </w:t>
      </w:r>
      <w:r>
        <w:t>can be excluded.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813EC4" w:rsidTr="005A79E5">
      <w:trPr>
        <w:cantSplit/>
      </w:trPr>
      <w:tc>
        <w:tcPr>
          <w:tcW w:w="5210" w:type="dxa"/>
        </w:tcPr>
        <w:p w:rsidR="00813EC4" w:rsidRDefault="00813EC4" w:rsidP="00DB15C5">
          <w:pPr>
            <w:pStyle w:val="Header"/>
          </w:pPr>
          <w:r>
            <w:rPr>
              <w:noProof/>
              <w:lang w:eastAsia="en-NZ"/>
            </w:rPr>
            <w:drawing>
              <wp:inline distT="0" distB="0" distL="0" distR="0" wp14:anchorId="5E70DCC5" wp14:editId="2AD25DC4">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rsidR="00813EC4" w:rsidRDefault="00813EC4" w:rsidP="00DB15C5">
          <w:pPr>
            <w:pStyle w:val="Header"/>
            <w:jc w:val="right"/>
          </w:pPr>
          <w:r>
            <w:rPr>
              <w:noProof/>
              <w:lang w:eastAsia="en-NZ"/>
            </w:rPr>
            <w:drawing>
              <wp:inline distT="0" distB="0" distL="0" distR="0" wp14:anchorId="6363E6C4" wp14:editId="0A98E0BF">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rsidR="00813EC4" w:rsidRDefault="00813E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EC4" w:rsidRDefault="00813EC4"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EC4" w:rsidRDefault="00813EC4"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EC4" w:rsidRDefault="00813E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5" w15:restartNumberingAfterBreak="0">
    <w:nsid w:val="159E0AC4"/>
    <w:multiLevelType w:val="hybridMultilevel"/>
    <w:tmpl w:val="5C20AAE8"/>
    <w:lvl w:ilvl="0" w:tplc="08090001">
      <w:start w:val="1"/>
      <w:numFmt w:val="bullet"/>
      <w:lvlText w:val=""/>
      <w:lvlJc w:val="left"/>
      <w:pPr>
        <w:tabs>
          <w:tab w:val="num" w:pos="783"/>
        </w:tabs>
        <w:ind w:left="783" w:hanging="360"/>
      </w:pPr>
      <w:rPr>
        <w:rFonts w:ascii="Symbol" w:hAnsi="Symbol"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abstractNum w:abstractNumId="6"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8"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1" w15:restartNumberingAfterBreak="0">
    <w:nsid w:val="206339E1"/>
    <w:multiLevelType w:val="hybridMultilevel"/>
    <w:tmpl w:val="5E6827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4"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5"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6"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7" w15:restartNumberingAfterBreak="0">
    <w:nsid w:val="34D800C4"/>
    <w:multiLevelType w:val="hybridMultilevel"/>
    <w:tmpl w:val="297E5136"/>
    <w:lvl w:ilvl="0" w:tplc="A1D27B9C">
      <w:start w:val="1"/>
      <w:numFmt w:val="bullet"/>
      <w:lvlText w:val=""/>
      <w:lvlJc w:val="left"/>
      <w:pPr>
        <w:tabs>
          <w:tab w:val="num" w:pos="360"/>
        </w:tabs>
        <w:ind w:left="360" w:hanging="360"/>
      </w:pPr>
      <w:rPr>
        <w:rFonts w:ascii="Symbol" w:hAnsi="Symbol" w:hint="default"/>
        <w:sz w:val="20"/>
        <w:szCs w:val="20"/>
      </w:rPr>
    </w:lvl>
    <w:lvl w:ilvl="1" w:tplc="05B8C49C">
      <w:start w:val="1"/>
      <w:numFmt w:val="lowerLetter"/>
      <w:lvlText w:val="%2)"/>
      <w:lvlJc w:val="left"/>
      <w:pPr>
        <w:tabs>
          <w:tab w:val="num" w:pos="1080"/>
        </w:tabs>
        <w:ind w:left="1080" w:hanging="360"/>
      </w:pPr>
      <w:rPr>
        <w:rFonts w:hint="default"/>
        <w:sz w:val="22"/>
        <w:szCs w:val="22"/>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A5971"/>
    <w:multiLevelType w:val="hybridMultilevel"/>
    <w:tmpl w:val="232CB1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2"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3"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5"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6" w15:restartNumberingAfterBreak="0">
    <w:nsid w:val="64E33373"/>
    <w:multiLevelType w:val="hybridMultilevel"/>
    <w:tmpl w:val="8B388754"/>
    <w:lvl w:ilvl="0" w:tplc="A6B62B9E">
      <w:start w:val="1"/>
      <w:numFmt w:val="decimal"/>
      <w:lvlText w:val="%1."/>
      <w:lvlJc w:val="left"/>
      <w:pPr>
        <w:ind w:left="360" w:hanging="360"/>
      </w:pPr>
      <w:rPr>
        <w:lang w:val="en-US"/>
      </w:rPr>
    </w:lvl>
    <w:lvl w:ilvl="1" w:tplc="08090001">
      <w:start w:val="1"/>
      <w:numFmt w:val="bullet"/>
      <w:lvlText w:val=""/>
      <w:lvlJc w:val="left"/>
      <w:pPr>
        <w:tabs>
          <w:tab w:val="num" w:pos="1080"/>
        </w:tabs>
        <w:ind w:left="1080" w:hanging="360"/>
      </w:pPr>
      <w:rPr>
        <w:rFonts w:ascii="Symbol" w:hAnsi="Symbol" w:hint="default"/>
        <w:lang w:val="en-US"/>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8"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9"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30"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31"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3"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5"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6"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F0417C3"/>
    <w:multiLevelType w:val="multilevel"/>
    <w:tmpl w:val="AACC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7"/>
  </w:num>
  <w:num w:numId="3">
    <w:abstractNumId w:val="18"/>
  </w:num>
  <w:num w:numId="4">
    <w:abstractNumId w:val="20"/>
  </w:num>
  <w:num w:numId="5">
    <w:abstractNumId w:val="0"/>
  </w:num>
  <w:num w:numId="6">
    <w:abstractNumId w:val="36"/>
  </w:num>
  <w:num w:numId="7">
    <w:abstractNumId w:val="14"/>
  </w:num>
  <w:num w:numId="8">
    <w:abstractNumId w:val="2"/>
  </w:num>
  <w:num w:numId="9">
    <w:abstractNumId w:val="33"/>
  </w:num>
  <w:num w:numId="10">
    <w:abstractNumId w:val="1"/>
  </w:num>
  <w:num w:numId="11">
    <w:abstractNumId w:val="31"/>
  </w:num>
  <w:num w:numId="12">
    <w:abstractNumId w:val="3"/>
  </w:num>
  <w:num w:numId="13">
    <w:abstractNumId w:val="8"/>
  </w:num>
  <w:num w:numId="14">
    <w:abstractNumId w:val="6"/>
  </w:num>
  <w:num w:numId="15">
    <w:abstractNumId w:val="9"/>
  </w:num>
  <w:num w:numId="16">
    <w:abstractNumId w:val="23"/>
  </w:num>
  <w:num w:numId="17">
    <w:abstractNumId w:val="12"/>
  </w:num>
  <w:num w:numId="18">
    <w:abstractNumId w:val="29"/>
  </w:num>
  <w:num w:numId="19">
    <w:abstractNumId w:val="13"/>
  </w:num>
  <w:num w:numId="20">
    <w:abstractNumId w:val="22"/>
  </w:num>
  <w:num w:numId="21">
    <w:abstractNumId w:val="7"/>
  </w:num>
  <w:num w:numId="22">
    <w:abstractNumId w:val="4"/>
  </w:num>
  <w:num w:numId="23">
    <w:abstractNumId w:val="25"/>
  </w:num>
  <w:num w:numId="24">
    <w:abstractNumId w:val="24"/>
  </w:num>
  <w:num w:numId="25">
    <w:abstractNumId w:val="35"/>
  </w:num>
  <w:num w:numId="26">
    <w:abstractNumId w:val="15"/>
  </w:num>
  <w:num w:numId="27">
    <w:abstractNumId w:val="30"/>
  </w:num>
  <w:num w:numId="28">
    <w:abstractNumId w:val="28"/>
  </w:num>
  <w:num w:numId="29">
    <w:abstractNumId w:val="21"/>
  </w:num>
  <w:num w:numId="30">
    <w:abstractNumId w:val="10"/>
  </w:num>
  <w:num w:numId="31">
    <w:abstractNumId w:val="32"/>
  </w:num>
  <w:num w:numId="32">
    <w:abstractNumId w:val="16"/>
  </w:num>
  <w:num w:numId="33">
    <w:abstractNumId w:val="17"/>
  </w:num>
  <w:num w:numId="34">
    <w:abstractNumId w:val="37"/>
  </w:num>
  <w:num w:numId="35">
    <w:abstractNumId w:val="26"/>
  </w:num>
  <w:num w:numId="36">
    <w:abstractNumId w:val="11"/>
  </w:num>
  <w:num w:numId="37">
    <w:abstractNumId w:val="5"/>
  </w:num>
  <w:num w:numId="38">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25B8"/>
    <w:rsid w:val="00025A6F"/>
    <w:rsid w:val="0002618D"/>
    <w:rsid w:val="00030B26"/>
    <w:rsid w:val="00030E84"/>
    <w:rsid w:val="00032C0A"/>
    <w:rsid w:val="00035257"/>
    <w:rsid w:val="00035D68"/>
    <w:rsid w:val="00054B44"/>
    <w:rsid w:val="0006228D"/>
    <w:rsid w:val="00065420"/>
    <w:rsid w:val="00072BD6"/>
    <w:rsid w:val="00075B78"/>
    <w:rsid w:val="00082CD6"/>
    <w:rsid w:val="0008437D"/>
    <w:rsid w:val="00085AFE"/>
    <w:rsid w:val="00094800"/>
    <w:rsid w:val="000B0730"/>
    <w:rsid w:val="000D19F4"/>
    <w:rsid w:val="000D3009"/>
    <w:rsid w:val="000D58DD"/>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468A"/>
    <w:rsid w:val="0018662D"/>
    <w:rsid w:val="00197427"/>
    <w:rsid w:val="001A21B4"/>
    <w:rsid w:val="001A5CF5"/>
    <w:rsid w:val="001B39D2"/>
    <w:rsid w:val="001B4BF8"/>
    <w:rsid w:val="001C4326"/>
    <w:rsid w:val="001C665E"/>
    <w:rsid w:val="001D3541"/>
    <w:rsid w:val="001D3E4E"/>
    <w:rsid w:val="001E254A"/>
    <w:rsid w:val="001E7386"/>
    <w:rsid w:val="001F45A7"/>
    <w:rsid w:val="00201A01"/>
    <w:rsid w:val="0020754B"/>
    <w:rsid w:val="002104D3"/>
    <w:rsid w:val="00213A33"/>
    <w:rsid w:val="0021763B"/>
    <w:rsid w:val="002260FD"/>
    <w:rsid w:val="002459C6"/>
    <w:rsid w:val="00246DB1"/>
    <w:rsid w:val="002476B5"/>
    <w:rsid w:val="002520CC"/>
    <w:rsid w:val="00253ECF"/>
    <w:rsid w:val="002546A1"/>
    <w:rsid w:val="002628F4"/>
    <w:rsid w:val="00275D08"/>
    <w:rsid w:val="002858E3"/>
    <w:rsid w:val="0029190A"/>
    <w:rsid w:val="00292C5A"/>
    <w:rsid w:val="00295241"/>
    <w:rsid w:val="002A4DFC"/>
    <w:rsid w:val="002B047D"/>
    <w:rsid w:val="002B732B"/>
    <w:rsid w:val="002B76A7"/>
    <w:rsid w:val="002C2219"/>
    <w:rsid w:val="002C2552"/>
    <w:rsid w:val="002D0DF2"/>
    <w:rsid w:val="002D23BD"/>
    <w:rsid w:val="002E0B47"/>
    <w:rsid w:val="002F0D76"/>
    <w:rsid w:val="002F4685"/>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92682"/>
    <w:rsid w:val="003A26A5"/>
    <w:rsid w:val="003A3761"/>
    <w:rsid w:val="003A512D"/>
    <w:rsid w:val="003A5FEA"/>
    <w:rsid w:val="003B1D10"/>
    <w:rsid w:val="003B20A1"/>
    <w:rsid w:val="003C76D4"/>
    <w:rsid w:val="003D137D"/>
    <w:rsid w:val="003D2CC5"/>
    <w:rsid w:val="003E04C1"/>
    <w:rsid w:val="003E0887"/>
    <w:rsid w:val="003E74C8"/>
    <w:rsid w:val="003E7C46"/>
    <w:rsid w:val="003F2106"/>
    <w:rsid w:val="003F52A7"/>
    <w:rsid w:val="003F7013"/>
    <w:rsid w:val="0040240C"/>
    <w:rsid w:val="00413021"/>
    <w:rsid w:val="004301C6"/>
    <w:rsid w:val="0043478F"/>
    <w:rsid w:val="0043602B"/>
    <w:rsid w:val="00440BE0"/>
    <w:rsid w:val="00442C1C"/>
    <w:rsid w:val="0044584B"/>
    <w:rsid w:val="00447CB7"/>
    <w:rsid w:val="00455CC9"/>
    <w:rsid w:val="00460826"/>
    <w:rsid w:val="00460EA7"/>
    <w:rsid w:val="0046195B"/>
    <w:rsid w:val="0046362D"/>
    <w:rsid w:val="0046596D"/>
    <w:rsid w:val="00487C04"/>
    <w:rsid w:val="004907E1"/>
    <w:rsid w:val="004A035B"/>
    <w:rsid w:val="004A2108"/>
    <w:rsid w:val="004A38D7"/>
    <w:rsid w:val="004A778C"/>
    <w:rsid w:val="004B48C7"/>
    <w:rsid w:val="004C2E6A"/>
    <w:rsid w:val="004C64B8"/>
    <w:rsid w:val="004D2A2D"/>
    <w:rsid w:val="004D6689"/>
    <w:rsid w:val="004E1D1D"/>
    <w:rsid w:val="004E6F61"/>
    <w:rsid w:val="004E7AC8"/>
    <w:rsid w:val="004F0C94"/>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A27CA"/>
    <w:rsid w:val="005A43BD"/>
    <w:rsid w:val="005A79E5"/>
    <w:rsid w:val="005D034C"/>
    <w:rsid w:val="005E226E"/>
    <w:rsid w:val="005E2636"/>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3A5A"/>
    <w:rsid w:val="006575F4"/>
    <w:rsid w:val="006579E6"/>
    <w:rsid w:val="00660682"/>
    <w:rsid w:val="00660F74"/>
    <w:rsid w:val="00663EDC"/>
    <w:rsid w:val="00671078"/>
    <w:rsid w:val="006758CA"/>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3911"/>
    <w:rsid w:val="006F1B67"/>
    <w:rsid w:val="006F4D9C"/>
    <w:rsid w:val="0070091D"/>
    <w:rsid w:val="00702854"/>
    <w:rsid w:val="0071741C"/>
    <w:rsid w:val="00742B90"/>
    <w:rsid w:val="0074434D"/>
    <w:rsid w:val="007570C4"/>
    <w:rsid w:val="007605B8"/>
    <w:rsid w:val="00764659"/>
    <w:rsid w:val="00771B1E"/>
    <w:rsid w:val="00773C95"/>
    <w:rsid w:val="0078171E"/>
    <w:rsid w:val="0078658E"/>
    <w:rsid w:val="007920E2"/>
    <w:rsid w:val="0079566E"/>
    <w:rsid w:val="00795B34"/>
    <w:rsid w:val="00796127"/>
    <w:rsid w:val="007A067F"/>
    <w:rsid w:val="007B1770"/>
    <w:rsid w:val="007B4D3E"/>
    <w:rsid w:val="007B7C70"/>
    <w:rsid w:val="007B7DEB"/>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13EC4"/>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3503"/>
    <w:rsid w:val="008B6F83"/>
    <w:rsid w:val="008B7FD8"/>
    <w:rsid w:val="008C2973"/>
    <w:rsid w:val="008C6324"/>
    <w:rsid w:val="008C64C4"/>
    <w:rsid w:val="008D74D5"/>
    <w:rsid w:val="008E0ED1"/>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6083"/>
    <w:rsid w:val="00930D08"/>
    <w:rsid w:val="00931466"/>
    <w:rsid w:val="00932D69"/>
    <w:rsid w:val="00935589"/>
    <w:rsid w:val="00944647"/>
    <w:rsid w:val="0095565C"/>
    <w:rsid w:val="00964AB6"/>
    <w:rsid w:val="00966F9A"/>
    <w:rsid w:val="00977B8A"/>
    <w:rsid w:val="00982971"/>
    <w:rsid w:val="009845AD"/>
    <w:rsid w:val="00984835"/>
    <w:rsid w:val="009859C6"/>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0B9"/>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D4CF1"/>
    <w:rsid w:val="00AD5988"/>
    <w:rsid w:val="00AD6293"/>
    <w:rsid w:val="00AF7800"/>
    <w:rsid w:val="00B00CF5"/>
    <w:rsid w:val="00B072E0"/>
    <w:rsid w:val="00B1007E"/>
    <w:rsid w:val="00B253F6"/>
    <w:rsid w:val="00B26675"/>
    <w:rsid w:val="00B305DB"/>
    <w:rsid w:val="00B332F8"/>
    <w:rsid w:val="00B3492B"/>
    <w:rsid w:val="00B4646F"/>
    <w:rsid w:val="00B55C7D"/>
    <w:rsid w:val="00B63038"/>
    <w:rsid w:val="00B64BD8"/>
    <w:rsid w:val="00B701D1"/>
    <w:rsid w:val="00B73AF2"/>
    <w:rsid w:val="00B7551A"/>
    <w:rsid w:val="00B773F1"/>
    <w:rsid w:val="00B86AB1"/>
    <w:rsid w:val="00BB2A06"/>
    <w:rsid w:val="00BB2CBB"/>
    <w:rsid w:val="00BB4198"/>
    <w:rsid w:val="00BC03EE"/>
    <w:rsid w:val="00BC59F1"/>
    <w:rsid w:val="00BF3DE1"/>
    <w:rsid w:val="00BF4843"/>
    <w:rsid w:val="00BF5205"/>
    <w:rsid w:val="00C05132"/>
    <w:rsid w:val="00C12508"/>
    <w:rsid w:val="00C23728"/>
    <w:rsid w:val="00C3026C"/>
    <w:rsid w:val="00C313A9"/>
    <w:rsid w:val="00C441CF"/>
    <w:rsid w:val="00C45AA2"/>
    <w:rsid w:val="00C4792C"/>
    <w:rsid w:val="00C55BEF"/>
    <w:rsid w:val="00C601AF"/>
    <w:rsid w:val="00C61A63"/>
    <w:rsid w:val="00C66296"/>
    <w:rsid w:val="00C7394D"/>
    <w:rsid w:val="00C77282"/>
    <w:rsid w:val="00C828BB"/>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7D80"/>
    <w:rsid w:val="00D4476F"/>
    <w:rsid w:val="00D50573"/>
    <w:rsid w:val="00D54D50"/>
    <w:rsid w:val="00D560B4"/>
    <w:rsid w:val="00D662F8"/>
    <w:rsid w:val="00D66797"/>
    <w:rsid w:val="00D7087C"/>
    <w:rsid w:val="00D70C3C"/>
    <w:rsid w:val="00D71DF7"/>
    <w:rsid w:val="00D72BE5"/>
    <w:rsid w:val="00D81462"/>
    <w:rsid w:val="00D82F26"/>
    <w:rsid w:val="00D863D0"/>
    <w:rsid w:val="00D86FB9"/>
    <w:rsid w:val="00D87C87"/>
    <w:rsid w:val="00D90BB4"/>
    <w:rsid w:val="00D90E07"/>
    <w:rsid w:val="00D932C2"/>
    <w:rsid w:val="00DB15C5"/>
    <w:rsid w:val="00DB39CF"/>
    <w:rsid w:val="00DB7256"/>
    <w:rsid w:val="00DC0401"/>
    <w:rsid w:val="00DC20BD"/>
    <w:rsid w:val="00DD0BCD"/>
    <w:rsid w:val="00DD447A"/>
    <w:rsid w:val="00DE3B20"/>
    <w:rsid w:val="00DE6C94"/>
    <w:rsid w:val="00DE6FD7"/>
    <w:rsid w:val="00E23271"/>
    <w:rsid w:val="00E24F80"/>
    <w:rsid w:val="00E259F3"/>
    <w:rsid w:val="00E30985"/>
    <w:rsid w:val="00E33238"/>
    <w:rsid w:val="00E376B7"/>
    <w:rsid w:val="00E42F5D"/>
    <w:rsid w:val="00E4486C"/>
    <w:rsid w:val="00E460B6"/>
    <w:rsid w:val="00E511D5"/>
    <w:rsid w:val="00E60249"/>
    <w:rsid w:val="00E65269"/>
    <w:rsid w:val="00E76D66"/>
    <w:rsid w:val="00EA796A"/>
    <w:rsid w:val="00EB1856"/>
    <w:rsid w:val="00EC12C2"/>
    <w:rsid w:val="00EC50CE"/>
    <w:rsid w:val="00EC5B34"/>
    <w:rsid w:val="00ED021E"/>
    <w:rsid w:val="00ED323C"/>
    <w:rsid w:val="00EE2D5C"/>
    <w:rsid w:val="00EE4ADE"/>
    <w:rsid w:val="00EE4DE8"/>
    <w:rsid w:val="00EE5CB7"/>
    <w:rsid w:val="00F024FE"/>
    <w:rsid w:val="00F05AD4"/>
    <w:rsid w:val="00F10EB6"/>
    <w:rsid w:val="00F13F07"/>
    <w:rsid w:val="00F140B2"/>
    <w:rsid w:val="00F25970"/>
    <w:rsid w:val="00F311A9"/>
    <w:rsid w:val="00F5180D"/>
    <w:rsid w:val="00F576BB"/>
    <w:rsid w:val="00F63781"/>
    <w:rsid w:val="00F67496"/>
    <w:rsid w:val="00F801BA"/>
    <w:rsid w:val="00F9366A"/>
    <w:rsid w:val="00F946C9"/>
    <w:rsid w:val="00FA0EA5"/>
    <w:rsid w:val="00FA74EE"/>
    <w:rsid w:val="00FC3711"/>
    <w:rsid w:val="00FC46E7"/>
    <w:rsid w:val="00FC5D25"/>
    <w:rsid w:val="00FD0D7E"/>
    <w:rsid w:val="00FD1BE9"/>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B7DBC03-1B74-4FD0-8B7F-37575972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2459C6"/>
    <w:pPr>
      <w:pageBreakBefore/>
      <w:spacing w:after="360"/>
      <w:outlineLvl w:val="0"/>
    </w:pPr>
    <w:rPr>
      <w:rFonts w:ascii="Georgia" w:hAnsi="Georgia"/>
      <w:color w:val="23305D"/>
      <w:spacing w:val="-10"/>
      <w:sz w:val="72"/>
    </w:rPr>
  </w:style>
  <w:style w:type="paragraph" w:styleId="Heading2">
    <w:name w:val="heading 2"/>
    <w:basedOn w:val="Normal"/>
    <w:next w:val="Normal"/>
    <w:link w:val="Heading2Char"/>
    <w:uiPriority w:val="1"/>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9859C6"/>
    <w:pPr>
      <w:spacing w:line="216" w:lineRule="auto"/>
      <w:ind w:right="1701"/>
    </w:pPr>
    <w:rPr>
      <w:rFonts w:ascii="Segoe UI Black" w:hAnsi="Segoe UI Black" w:cs="Lucida Sans Unicode"/>
      <w:b/>
      <w:sz w:val="64"/>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2459C6"/>
    <w:rPr>
      <w:rFonts w:ascii="Georgia" w:hAnsi="Georgia"/>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9859C6"/>
    <w:rPr>
      <w:sz w:val="4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9859C6"/>
    <w:rPr>
      <w:rFonts w:ascii="Segoe UI Black" w:hAnsi="Segoe UI Black" w:cs="Lucida Sans Unicode"/>
      <w:b/>
      <w:sz w:val="64"/>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paragraph" w:styleId="BalloonText">
    <w:name w:val="Balloon Text"/>
    <w:basedOn w:val="Normal"/>
    <w:link w:val="BalloonTextChar"/>
    <w:uiPriority w:val="99"/>
    <w:semiHidden/>
    <w:unhideWhenUsed/>
    <w:rsid w:val="00EC12C2"/>
    <w:rPr>
      <w:rFonts w:cs="Segoe UI"/>
      <w:sz w:val="18"/>
      <w:szCs w:val="18"/>
    </w:rPr>
  </w:style>
  <w:style w:type="character" w:customStyle="1" w:styleId="BalloonTextChar">
    <w:name w:val="Balloon Text Char"/>
    <w:basedOn w:val="DefaultParagraphFont"/>
    <w:link w:val="BalloonText"/>
    <w:uiPriority w:val="99"/>
    <w:semiHidden/>
    <w:rsid w:val="00EC12C2"/>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nzfgcs.co.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image" Target="media/image3.png"/><Relationship Id="rId19" Type="http://schemas.openxmlformats.org/officeDocument/2006/relationships/hyperlink" Target="http://www.health.govt.n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24F03-2F40-4C96-99FD-70D9F1880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11</Pages>
  <Words>1586</Words>
  <Characters>9744</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Referral Criteria for Direct Access Outpatient Colonoscopy or Computed Tomography Colonography</vt:lpstr>
    </vt:vector>
  </TitlesOfParts>
  <Company>Microsoft</Company>
  <LinksUpToDate>false</LinksUpToDate>
  <CharactersWithSpaces>11308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Criteria for Direct Access Outpatient Colonoscopy or Computed Tomography Colonography</dc:title>
  <dc:creator>Ministry of Health</dc:creator>
  <cp:lastModifiedBy>Ministry of Health</cp:lastModifiedBy>
  <cp:revision>2</cp:revision>
  <cp:lastPrinted>2015-11-17T05:02:00Z</cp:lastPrinted>
  <dcterms:created xsi:type="dcterms:W3CDTF">2019-05-30T01:30:00Z</dcterms:created>
  <dcterms:modified xsi:type="dcterms:W3CDTF">2019-05-30T01:30:00Z</dcterms:modified>
</cp:coreProperties>
</file>