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E55D78" w14:textId="28CBD985" w:rsidR="00C86248" w:rsidRPr="00926083" w:rsidRDefault="00E97AAC" w:rsidP="00926083">
      <w:pPr>
        <w:pStyle w:val="Title"/>
      </w:pPr>
      <w:r>
        <w:t>Office of the Director of Mental Health and Addiction Services Annual Report 2017</w:t>
      </w:r>
    </w:p>
    <w:p w14:paraId="4EDC7F4A" w14:textId="77777777" w:rsidR="00C05132" w:rsidRDefault="00C05132" w:rsidP="00A06BE4"/>
    <w:p w14:paraId="7C0C1957" w14:textId="77777777" w:rsidR="00142954" w:rsidRPr="00142954" w:rsidRDefault="00142954" w:rsidP="00142954">
      <w:pPr>
        <w:sectPr w:rsidR="00142954" w:rsidRPr="00142954" w:rsidSect="005A79E5">
          <w:headerReference w:type="default" r:id="rId8"/>
          <w:footerReference w:type="default" r:id="rId9"/>
          <w:pgSz w:w="11907" w:h="16834" w:code="9"/>
          <w:pgMar w:top="5670" w:right="1134" w:bottom="1134" w:left="1134" w:header="567" w:footer="851" w:gutter="0"/>
          <w:pgNumType w:start="1"/>
          <w:cols w:space="720"/>
        </w:sectPr>
      </w:pPr>
    </w:p>
    <w:p w14:paraId="0F637CEE" w14:textId="6B24A68C" w:rsidR="00D62A9D" w:rsidRDefault="00D62A9D" w:rsidP="00C05132">
      <w:pPr>
        <w:rPr>
          <w:rFonts w:asciiTheme="minorHAnsi" w:hAnsiTheme="minorHAnsi" w:cstheme="minorHAnsi"/>
          <w:b/>
          <w:spacing w:val="10"/>
          <w:sz w:val="36"/>
          <w:szCs w:val="36"/>
        </w:rPr>
      </w:pPr>
      <w:r>
        <w:rPr>
          <w:rFonts w:asciiTheme="minorHAnsi" w:hAnsiTheme="minorHAnsi" w:cstheme="minorHAnsi"/>
          <w:b/>
          <w:spacing w:val="10"/>
          <w:sz w:val="36"/>
          <w:szCs w:val="36"/>
        </w:rPr>
        <w:lastRenderedPageBreak/>
        <w:t>Disclaimer</w:t>
      </w:r>
    </w:p>
    <w:p w14:paraId="141554FD" w14:textId="77777777" w:rsidR="00D62A9D" w:rsidRPr="00D62A9D" w:rsidRDefault="00D62A9D" w:rsidP="00D62A9D">
      <w:pPr>
        <w:spacing w:before="120"/>
        <w:rPr>
          <w:rFonts w:cs="Segoe UI"/>
          <w:sz w:val="20"/>
        </w:rPr>
      </w:pPr>
      <w:r w:rsidRPr="00D62A9D">
        <w:rPr>
          <w:rFonts w:cs="Segoe UI"/>
          <w:sz w:val="20"/>
        </w:rPr>
        <w:t>The purpose of this publication is to inform discussion about mental health and addiction services and outcomes in New Zealand, and to assist in policy development.</w:t>
      </w:r>
    </w:p>
    <w:p w14:paraId="116A1806" w14:textId="481802E4" w:rsidR="00D62A9D" w:rsidRPr="00D62A9D" w:rsidRDefault="00D62A9D" w:rsidP="00D62A9D">
      <w:pPr>
        <w:spacing w:before="120"/>
        <w:rPr>
          <w:rFonts w:cs="Segoe UI"/>
          <w:sz w:val="20"/>
        </w:rPr>
      </w:pPr>
      <w:r w:rsidRPr="00D62A9D">
        <w:rPr>
          <w:rFonts w:cs="Segoe UI"/>
          <w:sz w:val="20"/>
        </w:rPr>
        <w:t>This publication reports information provided by district health boards and non-governmental organisations via the Programme for the Integration of Mental Health Data (PRIMHD). It is important to note that, because PRIMHD is a dynamic collection, it was necessary to wait some time before publishing a record of the information contained in that collection. This means that it is less likely that the information will need to be amended after publication (see Appendix 1).</w:t>
      </w:r>
    </w:p>
    <w:p w14:paraId="05FE6A9A" w14:textId="23AB1131" w:rsidR="00D62A9D" w:rsidRPr="00C05132" w:rsidRDefault="00D62A9D" w:rsidP="00D62A9D">
      <w:pPr>
        <w:spacing w:before="120"/>
        <w:rPr>
          <w:rFonts w:cs="Segoe UI"/>
          <w:sz w:val="20"/>
        </w:rPr>
      </w:pPr>
      <w:r w:rsidRPr="00D62A9D">
        <w:rPr>
          <w:rFonts w:cs="Segoe UI"/>
          <w:sz w:val="20"/>
        </w:rPr>
        <w:t>Although every care has been taken in preparing this document, the Ministry of Health cannot accept legal liability for any errors, omissions or damages resulting from reliance on the information it contains.</w:t>
      </w:r>
    </w:p>
    <w:p w14:paraId="7735082D" w14:textId="3C3714CA" w:rsidR="009A42D5" w:rsidRPr="00A63DFF" w:rsidRDefault="009A42D5" w:rsidP="00D62A9D">
      <w:pPr>
        <w:spacing w:before="480"/>
        <w:rPr>
          <w:rFonts w:asciiTheme="minorHAnsi" w:hAnsiTheme="minorHAnsi" w:cstheme="minorHAnsi"/>
          <w:b/>
          <w:spacing w:val="10"/>
          <w:sz w:val="36"/>
          <w:szCs w:val="36"/>
        </w:rPr>
      </w:pPr>
      <w:r w:rsidRPr="00A63DFF">
        <w:rPr>
          <w:rFonts w:asciiTheme="minorHAnsi" w:hAnsiTheme="minorHAnsi" w:cstheme="minorHAnsi"/>
          <w:b/>
          <w:spacing w:val="10"/>
          <w:sz w:val="36"/>
          <w:szCs w:val="36"/>
        </w:rPr>
        <w:t>A</w:t>
      </w:r>
      <w:r w:rsidR="00D62A9D">
        <w:rPr>
          <w:rFonts w:asciiTheme="minorHAnsi" w:hAnsiTheme="minorHAnsi" w:cstheme="minorHAnsi"/>
          <w:b/>
          <w:spacing w:val="10"/>
          <w:sz w:val="36"/>
          <w:szCs w:val="36"/>
        </w:rPr>
        <w:t xml:space="preserve"> note on the cover</w:t>
      </w:r>
    </w:p>
    <w:p w14:paraId="2FAA60FD" w14:textId="77777777" w:rsidR="00D62A9D" w:rsidRPr="00D62A9D" w:rsidRDefault="00D62A9D" w:rsidP="00D62A9D">
      <w:pPr>
        <w:spacing w:before="120"/>
        <w:rPr>
          <w:rFonts w:cs="Segoe UI"/>
          <w:b/>
          <w:sz w:val="20"/>
        </w:rPr>
      </w:pPr>
      <w:r w:rsidRPr="00D62A9D">
        <w:rPr>
          <w:rFonts w:cs="Segoe UI"/>
          <w:b/>
          <w:sz w:val="20"/>
        </w:rPr>
        <w:t>‘Beating Hearts’ by Paul Holmes</w:t>
      </w:r>
    </w:p>
    <w:p w14:paraId="365797B0" w14:textId="77777777" w:rsidR="00D62A9D" w:rsidRPr="00D62A9D" w:rsidRDefault="00D62A9D" w:rsidP="00D62A9D">
      <w:pPr>
        <w:spacing w:before="120"/>
        <w:rPr>
          <w:rFonts w:cs="Segoe UI"/>
          <w:sz w:val="20"/>
        </w:rPr>
      </w:pPr>
      <w:r w:rsidRPr="00D62A9D">
        <w:rPr>
          <w:rFonts w:cs="Segoe UI"/>
          <w:sz w:val="20"/>
        </w:rPr>
        <w:t xml:space="preserve">Paul has been making artworks since he started attending </w:t>
      </w:r>
      <w:proofErr w:type="spellStart"/>
      <w:r w:rsidRPr="00D62A9D">
        <w:rPr>
          <w:rFonts w:cs="Segoe UI"/>
          <w:sz w:val="20"/>
        </w:rPr>
        <w:t>Vincents</w:t>
      </w:r>
      <w:proofErr w:type="spellEnd"/>
      <w:r w:rsidRPr="00D62A9D">
        <w:rPr>
          <w:rFonts w:cs="Segoe UI"/>
          <w:sz w:val="20"/>
        </w:rPr>
        <w:t xml:space="preserve"> Art Workshop (</w:t>
      </w:r>
      <w:proofErr w:type="spellStart"/>
      <w:r w:rsidRPr="00D62A9D">
        <w:rPr>
          <w:rFonts w:cs="Segoe UI"/>
          <w:sz w:val="20"/>
        </w:rPr>
        <w:t>Vincents</w:t>
      </w:r>
      <w:proofErr w:type="spellEnd"/>
      <w:r w:rsidRPr="00D62A9D">
        <w:rPr>
          <w:rFonts w:cs="Segoe UI"/>
          <w:sz w:val="20"/>
        </w:rPr>
        <w:t xml:space="preserve">) in 2015. Paul says coming to </w:t>
      </w:r>
      <w:proofErr w:type="spellStart"/>
      <w:r w:rsidRPr="00D62A9D">
        <w:rPr>
          <w:rFonts w:cs="Segoe UI"/>
          <w:sz w:val="20"/>
        </w:rPr>
        <w:t>Vincents</w:t>
      </w:r>
      <w:proofErr w:type="spellEnd"/>
      <w:r w:rsidRPr="00D62A9D">
        <w:rPr>
          <w:rFonts w:cs="Segoe UI"/>
          <w:sz w:val="20"/>
        </w:rPr>
        <w:t xml:space="preserve"> has got him out of the house and out of his comfort zone. He has entered the IHC Art Awards for the last four years and has regularly exhibited in group shows at </w:t>
      </w:r>
      <w:proofErr w:type="spellStart"/>
      <w:r w:rsidRPr="00D62A9D">
        <w:rPr>
          <w:rFonts w:cs="Segoe UI"/>
          <w:sz w:val="20"/>
        </w:rPr>
        <w:t>Vincents</w:t>
      </w:r>
      <w:proofErr w:type="spellEnd"/>
      <w:r w:rsidRPr="00D62A9D">
        <w:rPr>
          <w:rFonts w:cs="Segoe UI"/>
          <w:sz w:val="20"/>
        </w:rPr>
        <w:t xml:space="preserve"> and the St James Theatre. ‘This artwork is called “Beating Hearts” because everyone’s heart beats in a different way’.</w:t>
      </w:r>
    </w:p>
    <w:p w14:paraId="16AB855F" w14:textId="4C167DD2" w:rsidR="009A42D5" w:rsidRPr="00C05132" w:rsidRDefault="00D62A9D" w:rsidP="00C05132">
      <w:pPr>
        <w:spacing w:before="120"/>
        <w:rPr>
          <w:rFonts w:cs="Segoe UI"/>
          <w:sz w:val="20"/>
        </w:rPr>
      </w:pPr>
      <w:proofErr w:type="spellStart"/>
      <w:r w:rsidRPr="00D62A9D">
        <w:rPr>
          <w:rFonts w:cs="Segoe UI"/>
          <w:sz w:val="20"/>
        </w:rPr>
        <w:t>Vincents</w:t>
      </w:r>
      <w:proofErr w:type="spellEnd"/>
      <w:r w:rsidRPr="00D62A9D">
        <w:rPr>
          <w:rFonts w:cs="Segoe UI"/>
          <w:sz w:val="20"/>
        </w:rPr>
        <w:t xml:space="preserve"> Art Workshop is a community art space in Wellington established in 1985. A number of people who attend the workshop have had experience of mental health services or have a disability, and all people are welcome. </w:t>
      </w:r>
      <w:proofErr w:type="spellStart"/>
      <w:r w:rsidRPr="00D62A9D">
        <w:rPr>
          <w:rFonts w:cs="Segoe UI"/>
          <w:sz w:val="20"/>
        </w:rPr>
        <w:t>Vincents</w:t>
      </w:r>
      <w:proofErr w:type="spellEnd"/>
      <w:r w:rsidRPr="00D62A9D">
        <w:rPr>
          <w:rFonts w:cs="Segoe UI"/>
          <w:sz w:val="20"/>
        </w:rPr>
        <w:t xml:space="preserve"> models the philosophy of inclusion and celebrates the development of creative potential and growth. </w:t>
      </w:r>
      <w:r w:rsidRPr="00D62A9D">
        <w:rPr>
          <w:rStyle w:val="Hyperlink"/>
        </w:rPr>
        <w:t>vincents.co.nz</w:t>
      </w:r>
    </w:p>
    <w:p w14:paraId="4D283A2B" w14:textId="062328A8" w:rsidR="00A80363" w:rsidRPr="00C05132" w:rsidRDefault="00A80363" w:rsidP="00FE5AB1">
      <w:pPr>
        <w:pStyle w:val="Imprint"/>
        <w:spacing w:before="960"/>
        <w:rPr>
          <w:rFonts w:cs="Segoe UI"/>
        </w:rPr>
      </w:pPr>
      <w:r w:rsidRPr="00C05132">
        <w:rPr>
          <w:rFonts w:cs="Segoe UI"/>
        </w:rPr>
        <w:t xml:space="preserve">Citation: </w:t>
      </w:r>
      <w:r w:rsidR="00442C1C" w:rsidRPr="00C05132">
        <w:rPr>
          <w:rFonts w:cs="Segoe UI"/>
        </w:rPr>
        <w:t xml:space="preserve">Ministry of Health. </w:t>
      </w:r>
      <w:r w:rsidR="00D62A9D">
        <w:rPr>
          <w:rFonts w:cs="Segoe UI"/>
        </w:rPr>
        <w:t>2019</w:t>
      </w:r>
      <w:r w:rsidR="00442C1C" w:rsidRPr="00C05132">
        <w:rPr>
          <w:rFonts w:cs="Segoe UI"/>
        </w:rPr>
        <w:t xml:space="preserve">. </w:t>
      </w:r>
      <w:r w:rsidR="00D62A9D">
        <w:rPr>
          <w:rFonts w:cs="Segoe UI"/>
          <w:i/>
        </w:rPr>
        <w:t>Office of the Director of Mental Health and Addiction Services</w:t>
      </w:r>
      <w:r w:rsidR="00926083">
        <w:rPr>
          <w:rFonts w:cs="Segoe UI"/>
          <w:i/>
        </w:rPr>
        <w:t xml:space="preserve">: </w:t>
      </w:r>
      <w:r w:rsidR="00D62A9D">
        <w:rPr>
          <w:rFonts w:cs="Segoe UI"/>
          <w:i/>
        </w:rPr>
        <w:t>Annual Report 2017</w:t>
      </w:r>
      <w:r w:rsidR="00442C1C" w:rsidRPr="00C05132">
        <w:rPr>
          <w:rFonts w:cs="Segoe UI"/>
        </w:rPr>
        <w:t>. Wellington: Ministry of Health.</w:t>
      </w:r>
    </w:p>
    <w:p w14:paraId="1B4C675A" w14:textId="0CEC09A8" w:rsidR="00C86248" w:rsidRDefault="00C86248">
      <w:pPr>
        <w:pStyle w:val="Imprint"/>
      </w:pPr>
      <w:r>
        <w:t xml:space="preserve">Published in </w:t>
      </w:r>
      <w:r w:rsidR="0099470F">
        <w:t>February</w:t>
      </w:r>
      <w:r w:rsidR="00D62A9D">
        <w:t xml:space="preserve"> 2019</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5D25B877" w14:textId="50B37BD6" w:rsidR="00082CD6" w:rsidRPr="009C0F2D" w:rsidRDefault="00D863D0" w:rsidP="00082CD6">
      <w:pPr>
        <w:pStyle w:val="Imprint"/>
      </w:pPr>
      <w:r>
        <w:t>ISBN</w:t>
      </w:r>
      <w:r w:rsidR="00442C1C">
        <w:t xml:space="preserve"> </w:t>
      </w:r>
      <w:r w:rsidR="00D62A9D">
        <w:t>978-1-98-856843-0</w:t>
      </w:r>
      <w:r w:rsidR="009A42D5">
        <w:t xml:space="preserve"> (print</w:t>
      </w:r>
      <w:proofErr w:type="gramStart"/>
      <w:r w:rsidR="009A42D5">
        <w:t>)</w:t>
      </w:r>
      <w:proofErr w:type="gramEnd"/>
      <w:r w:rsidR="009A42D5">
        <w:br/>
        <w:t xml:space="preserve">ISBN </w:t>
      </w:r>
      <w:r w:rsidR="00D62A9D">
        <w:t>978-1-98-856844-7</w:t>
      </w:r>
      <w:r w:rsidR="009A42D5">
        <w:t xml:space="preserve"> </w:t>
      </w:r>
      <w:r>
        <w:t>(</w:t>
      </w:r>
      <w:r w:rsidR="00442C1C">
        <w:t>online</w:t>
      </w:r>
      <w:r>
        <w:t>)</w:t>
      </w:r>
      <w:r w:rsidR="00082CD6">
        <w:br/>
      </w:r>
      <w:r w:rsidR="00082CD6" w:rsidRPr="009C0F2D">
        <w:t xml:space="preserve">HP </w:t>
      </w:r>
      <w:r w:rsidR="00D62A9D">
        <w:t>6999</w:t>
      </w:r>
    </w:p>
    <w:p w14:paraId="0B22A618" w14:textId="77777777" w:rsidR="00C86248" w:rsidRDefault="008C64C4" w:rsidP="00A63DFF">
      <w:r>
        <w:rPr>
          <w:noProof/>
          <w:lang w:eastAsia="en-NZ"/>
        </w:rPr>
        <w:drawing>
          <wp:inline distT="0" distB="0" distL="0" distR="0" wp14:anchorId="4C4AD3A4" wp14:editId="6DA61FA7">
            <wp:extent cx="1413163" cy="576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4B4A99AB"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6F391D28" w14:textId="77777777" w:rsidTr="00A63DFF">
        <w:trPr>
          <w:cantSplit/>
        </w:trPr>
        <w:tc>
          <w:tcPr>
            <w:tcW w:w="1526" w:type="dxa"/>
          </w:tcPr>
          <w:p w14:paraId="07F622BF"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19194B26" wp14:editId="7A649F7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089FA2E7"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7D206BEF" w14:textId="77777777" w:rsidR="007E74F1" w:rsidRPr="001F45A7" w:rsidRDefault="007E74F1" w:rsidP="00A63DFF"/>
    <w:p w14:paraId="5FD998F2" w14:textId="77777777" w:rsidR="00C86248" w:rsidRDefault="00C86248">
      <w:pPr>
        <w:jc w:val="center"/>
        <w:sectPr w:rsidR="00C86248" w:rsidSect="00FE5AB1">
          <w:footerReference w:type="even" r:id="rId12"/>
          <w:footerReference w:type="default" r:id="rId13"/>
          <w:pgSz w:w="11907" w:h="16834" w:code="9"/>
          <w:pgMar w:top="1134" w:right="2126" w:bottom="1134" w:left="2126" w:header="0" w:footer="0" w:gutter="0"/>
          <w:cols w:space="720"/>
          <w:vAlign w:val="bottom"/>
        </w:sectPr>
      </w:pPr>
    </w:p>
    <w:p w14:paraId="39CD761F" w14:textId="77777777" w:rsidR="00032C0A" w:rsidRDefault="008E3A07" w:rsidP="001D3E4E">
      <w:pPr>
        <w:pStyle w:val="Heading1"/>
      </w:pPr>
      <w:bookmarkStart w:id="0" w:name="_Toc405792991"/>
      <w:bookmarkStart w:id="1" w:name="_Toc405793224"/>
      <w:bookmarkStart w:id="2" w:name="_Toc2845607"/>
      <w:r>
        <w:lastRenderedPageBreak/>
        <w:t>Foreword</w:t>
      </w:r>
      <w:bookmarkEnd w:id="2"/>
    </w:p>
    <w:p w14:paraId="1FC05C3F" w14:textId="5CF04B7A" w:rsidR="00A1533D" w:rsidRDefault="00A1533D" w:rsidP="00A1533D">
      <w:proofErr w:type="spellStart"/>
      <w:r>
        <w:t>Tēnā</w:t>
      </w:r>
      <w:proofErr w:type="spellEnd"/>
      <w:r>
        <w:t xml:space="preserve"> </w:t>
      </w:r>
      <w:proofErr w:type="spellStart"/>
      <w:r>
        <w:t>koutou</w:t>
      </w:r>
      <w:proofErr w:type="spellEnd"/>
      <w:r>
        <w:t>.</w:t>
      </w:r>
    </w:p>
    <w:p w14:paraId="098C661C" w14:textId="77777777" w:rsidR="00A1533D" w:rsidRDefault="00A1533D" w:rsidP="00A1533D"/>
    <w:p w14:paraId="5648F9B7" w14:textId="318667DA" w:rsidR="00A1533D" w:rsidRDefault="00A1533D" w:rsidP="00A1533D">
      <w:proofErr w:type="spellStart"/>
      <w:r>
        <w:t>Nau</w:t>
      </w:r>
      <w:proofErr w:type="spellEnd"/>
      <w:r>
        <w:t xml:space="preserve"> </w:t>
      </w:r>
      <w:proofErr w:type="spellStart"/>
      <w:r>
        <w:t>mai</w:t>
      </w:r>
      <w:proofErr w:type="spellEnd"/>
      <w:r>
        <w:t xml:space="preserve"> </w:t>
      </w:r>
      <w:proofErr w:type="spellStart"/>
      <w:r>
        <w:t>ki</w:t>
      </w:r>
      <w:proofErr w:type="spellEnd"/>
      <w:r>
        <w:t xml:space="preserve"> </w:t>
      </w:r>
      <w:proofErr w:type="spellStart"/>
      <w:r>
        <w:t>tēnei</w:t>
      </w:r>
      <w:proofErr w:type="spellEnd"/>
      <w:r>
        <w:t xml:space="preserve"> </w:t>
      </w:r>
      <w:proofErr w:type="spellStart"/>
      <w:r>
        <w:t>tekau</w:t>
      </w:r>
      <w:proofErr w:type="spellEnd"/>
      <w:r>
        <w:t xml:space="preserve"> </w:t>
      </w:r>
      <w:proofErr w:type="spellStart"/>
      <w:r>
        <w:t>mā</w:t>
      </w:r>
      <w:proofErr w:type="spellEnd"/>
      <w:r>
        <w:t xml:space="preserve"> </w:t>
      </w:r>
      <w:proofErr w:type="spellStart"/>
      <w:r>
        <w:t>toru</w:t>
      </w:r>
      <w:proofErr w:type="spellEnd"/>
      <w:r>
        <w:t xml:space="preserve"> o </w:t>
      </w:r>
      <w:proofErr w:type="spellStart"/>
      <w:r>
        <w:t>ngā</w:t>
      </w:r>
      <w:proofErr w:type="spellEnd"/>
      <w:r>
        <w:t xml:space="preserve"> </w:t>
      </w:r>
      <w:proofErr w:type="spellStart"/>
      <w:r>
        <w:t>Rīpoata</w:t>
      </w:r>
      <w:proofErr w:type="spellEnd"/>
      <w:r>
        <w:t xml:space="preserve"> ā Tau a </w:t>
      </w:r>
      <w:proofErr w:type="spellStart"/>
      <w:proofErr w:type="gramStart"/>
      <w:r>
        <w:t>te</w:t>
      </w:r>
      <w:proofErr w:type="spellEnd"/>
      <w:proofErr w:type="gramEnd"/>
      <w:r>
        <w:t xml:space="preserve"> </w:t>
      </w:r>
      <w:proofErr w:type="spellStart"/>
      <w:r>
        <w:t>Āpiha</w:t>
      </w:r>
      <w:proofErr w:type="spellEnd"/>
      <w:r>
        <w:t xml:space="preserve"> </w:t>
      </w:r>
      <w:proofErr w:type="spellStart"/>
      <w:r>
        <w:t>Kaitohu</w:t>
      </w:r>
      <w:proofErr w:type="spellEnd"/>
      <w:r>
        <w:t xml:space="preserve"> Tari Hauora </w:t>
      </w:r>
      <w:proofErr w:type="spellStart"/>
      <w:r>
        <w:t>Hinengaro</w:t>
      </w:r>
      <w:proofErr w:type="spellEnd"/>
      <w:r>
        <w:t xml:space="preserve"> </w:t>
      </w:r>
      <w:proofErr w:type="spellStart"/>
      <w:r>
        <w:t>mō</w:t>
      </w:r>
      <w:proofErr w:type="spellEnd"/>
      <w:r>
        <w:t xml:space="preserve"> </w:t>
      </w:r>
      <w:proofErr w:type="spellStart"/>
      <w:r>
        <w:t>te</w:t>
      </w:r>
      <w:proofErr w:type="spellEnd"/>
      <w:r>
        <w:t xml:space="preserve"> </w:t>
      </w:r>
      <w:proofErr w:type="spellStart"/>
      <w:r>
        <w:t>Manatū</w:t>
      </w:r>
      <w:proofErr w:type="spellEnd"/>
      <w:r>
        <w:t xml:space="preserve"> Hauora. Kei </w:t>
      </w:r>
      <w:proofErr w:type="spellStart"/>
      <w:r>
        <w:t>tēnei</w:t>
      </w:r>
      <w:proofErr w:type="spellEnd"/>
      <w:r>
        <w:t xml:space="preserve"> </w:t>
      </w:r>
      <w:proofErr w:type="spellStart"/>
      <w:r>
        <w:t>tūnga</w:t>
      </w:r>
      <w:proofErr w:type="spellEnd"/>
      <w:r>
        <w:t xml:space="preserve"> </w:t>
      </w:r>
      <w:proofErr w:type="spellStart"/>
      <w:r>
        <w:t>te</w:t>
      </w:r>
      <w:proofErr w:type="spellEnd"/>
      <w:r>
        <w:t xml:space="preserve"> mana </w:t>
      </w:r>
      <w:proofErr w:type="spellStart"/>
      <w:r>
        <w:t>whakaruruhau</w:t>
      </w:r>
      <w:proofErr w:type="spellEnd"/>
      <w:r>
        <w:t xml:space="preserve"> </w:t>
      </w:r>
      <w:proofErr w:type="spellStart"/>
      <w:r>
        <w:t>kia</w:t>
      </w:r>
      <w:proofErr w:type="spellEnd"/>
      <w:r>
        <w:t xml:space="preserve"> </w:t>
      </w:r>
      <w:proofErr w:type="spellStart"/>
      <w:r>
        <w:t>tika</w:t>
      </w:r>
      <w:proofErr w:type="spellEnd"/>
      <w:r>
        <w:t xml:space="preserve"> </w:t>
      </w:r>
      <w:proofErr w:type="spellStart"/>
      <w:r>
        <w:t>ai</w:t>
      </w:r>
      <w:proofErr w:type="spellEnd"/>
      <w:r>
        <w:t xml:space="preserve"> </w:t>
      </w:r>
      <w:proofErr w:type="spellStart"/>
      <w:r>
        <w:t>te</w:t>
      </w:r>
      <w:proofErr w:type="spellEnd"/>
      <w:r>
        <w:t xml:space="preserve"> </w:t>
      </w:r>
      <w:proofErr w:type="spellStart"/>
      <w:r>
        <w:t>tiaki</w:t>
      </w:r>
      <w:proofErr w:type="spellEnd"/>
      <w:r>
        <w:t xml:space="preserve"> </w:t>
      </w:r>
      <w:proofErr w:type="spellStart"/>
      <w:r>
        <w:t>i</w:t>
      </w:r>
      <w:proofErr w:type="spellEnd"/>
      <w:r>
        <w:t xml:space="preserve"> </w:t>
      </w:r>
      <w:proofErr w:type="spellStart"/>
      <w:r>
        <w:t>te</w:t>
      </w:r>
      <w:proofErr w:type="spellEnd"/>
      <w:r>
        <w:t xml:space="preserve"> </w:t>
      </w:r>
      <w:proofErr w:type="spellStart"/>
      <w:r>
        <w:t>hunga</w:t>
      </w:r>
      <w:proofErr w:type="spellEnd"/>
      <w:r>
        <w:t xml:space="preserve"> e </w:t>
      </w:r>
      <w:proofErr w:type="spellStart"/>
      <w:r>
        <w:t>whai</w:t>
      </w:r>
      <w:proofErr w:type="spellEnd"/>
      <w:r>
        <w:t xml:space="preserve"> </w:t>
      </w:r>
      <w:proofErr w:type="spellStart"/>
      <w:r>
        <w:t>nei</w:t>
      </w:r>
      <w:proofErr w:type="spellEnd"/>
      <w:r>
        <w:t xml:space="preserve"> </w:t>
      </w:r>
      <w:proofErr w:type="spellStart"/>
      <w:r>
        <w:t>i</w:t>
      </w:r>
      <w:proofErr w:type="spellEnd"/>
      <w:r>
        <w:t xml:space="preserve"> </w:t>
      </w:r>
      <w:proofErr w:type="spellStart"/>
      <w:r>
        <w:t>te</w:t>
      </w:r>
      <w:proofErr w:type="spellEnd"/>
      <w:r>
        <w:t xml:space="preserve"> </w:t>
      </w:r>
      <w:proofErr w:type="spellStart"/>
      <w:r>
        <w:t>oranga</w:t>
      </w:r>
      <w:proofErr w:type="spellEnd"/>
      <w:r>
        <w:t xml:space="preserve"> </w:t>
      </w:r>
      <w:proofErr w:type="spellStart"/>
      <w:r>
        <w:t>hinengaro</w:t>
      </w:r>
      <w:proofErr w:type="spellEnd"/>
      <w:r>
        <w:t xml:space="preserve"> me </w:t>
      </w:r>
      <w:proofErr w:type="spellStart"/>
      <w:r>
        <w:t>te</w:t>
      </w:r>
      <w:proofErr w:type="spellEnd"/>
      <w:r>
        <w:t xml:space="preserve"> </w:t>
      </w:r>
      <w:proofErr w:type="spellStart"/>
      <w:r>
        <w:t>waranga</w:t>
      </w:r>
      <w:proofErr w:type="spellEnd"/>
      <w:r>
        <w:t xml:space="preserve">. I </w:t>
      </w:r>
      <w:proofErr w:type="spellStart"/>
      <w:r>
        <w:t>a</w:t>
      </w:r>
      <w:proofErr w:type="spellEnd"/>
      <w:r>
        <w:t xml:space="preserve"> tau </w:t>
      </w:r>
      <w:proofErr w:type="spellStart"/>
      <w:r>
        <w:t>ka</w:t>
      </w:r>
      <w:proofErr w:type="spellEnd"/>
      <w:r>
        <w:t xml:space="preserve"> </w:t>
      </w:r>
      <w:proofErr w:type="spellStart"/>
      <w:r>
        <w:t>pānuitia</w:t>
      </w:r>
      <w:proofErr w:type="spellEnd"/>
      <w:r>
        <w:t xml:space="preserve"> </w:t>
      </w:r>
      <w:proofErr w:type="spellStart"/>
      <w:r>
        <w:t>tēnei</w:t>
      </w:r>
      <w:proofErr w:type="spellEnd"/>
      <w:r>
        <w:t xml:space="preserve"> </w:t>
      </w:r>
      <w:proofErr w:type="spellStart"/>
      <w:r>
        <w:t>rīpoata</w:t>
      </w:r>
      <w:proofErr w:type="spellEnd"/>
      <w:r>
        <w:t xml:space="preserve"> </w:t>
      </w:r>
      <w:proofErr w:type="spellStart"/>
      <w:proofErr w:type="gramStart"/>
      <w:r>
        <w:t>kia</w:t>
      </w:r>
      <w:proofErr w:type="spellEnd"/>
      <w:proofErr w:type="gramEnd"/>
      <w:r>
        <w:t xml:space="preserve"> </w:t>
      </w:r>
      <w:proofErr w:type="spellStart"/>
      <w:r>
        <w:t>mārama</w:t>
      </w:r>
      <w:proofErr w:type="spellEnd"/>
      <w:r>
        <w:t xml:space="preserve"> </w:t>
      </w:r>
      <w:proofErr w:type="spellStart"/>
      <w:r>
        <w:t>ai</w:t>
      </w:r>
      <w:proofErr w:type="spellEnd"/>
      <w:r>
        <w:t xml:space="preserve"> </w:t>
      </w:r>
      <w:proofErr w:type="spellStart"/>
      <w:r>
        <w:t>te</w:t>
      </w:r>
      <w:proofErr w:type="spellEnd"/>
      <w:r>
        <w:t xml:space="preserve"> </w:t>
      </w:r>
      <w:proofErr w:type="spellStart"/>
      <w:r>
        <w:t>kaitiakitanga</w:t>
      </w:r>
      <w:proofErr w:type="spellEnd"/>
      <w:r>
        <w:t xml:space="preserve"> me </w:t>
      </w:r>
      <w:proofErr w:type="spellStart"/>
      <w:r>
        <w:t>te</w:t>
      </w:r>
      <w:proofErr w:type="spellEnd"/>
      <w:r>
        <w:t xml:space="preserve"> </w:t>
      </w:r>
      <w:proofErr w:type="spellStart"/>
      <w:r>
        <w:t>takohanga</w:t>
      </w:r>
      <w:proofErr w:type="spellEnd"/>
      <w:r>
        <w:t xml:space="preserve"> o </w:t>
      </w:r>
      <w:proofErr w:type="spellStart"/>
      <w:r>
        <w:t>te</w:t>
      </w:r>
      <w:proofErr w:type="spellEnd"/>
      <w:r>
        <w:t xml:space="preserve"> </w:t>
      </w:r>
      <w:proofErr w:type="spellStart"/>
      <w:r>
        <w:t>āpiha</w:t>
      </w:r>
      <w:proofErr w:type="spellEnd"/>
      <w:r>
        <w:t xml:space="preserve"> </w:t>
      </w:r>
      <w:proofErr w:type="spellStart"/>
      <w:r>
        <w:t>nei</w:t>
      </w:r>
      <w:proofErr w:type="spellEnd"/>
      <w:r>
        <w:t xml:space="preserve"> </w:t>
      </w:r>
      <w:proofErr w:type="spellStart"/>
      <w:r>
        <w:t>ki</w:t>
      </w:r>
      <w:proofErr w:type="spellEnd"/>
      <w:r>
        <w:t xml:space="preserve"> </w:t>
      </w:r>
      <w:proofErr w:type="spellStart"/>
      <w:r>
        <w:t>te</w:t>
      </w:r>
      <w:proofErr w:type="spellEnd"/>
      <w:r>
        <w:t xml:space="preserve"> </w:t>
      </w:r>
      <w:proofErr w:type="spellStart"/>
      <w:r>
        <w:t>katoa</w:t>
      </w:r>
      <w:proofErr w:type="spellEnd"/>
      <w:r>
        <w:t>.</w:t>
      </w:r>
    </w:p>
    <w:p w14:paraId="48A0D5C5" w14:textId="77777777" w:rsidR="00A1533D" w:rsidRDefault="00A1533D" w:rsidP="00A1533D"/>
    <w:p w14:paraId="71992DA8" w14:textId="68E743C9" w:rsidR="00A1533D" w:rsidRDefault="00A1533D" w:rsidP="00A1533D">
      <w:r>
        <w:t>Welcome to the thirteenth annual report of the Office of the Director of Mental Health and Addiction Services (formerly Office of the Director of Mental Health). This report presents information and statistics that serve as indicators of the quality of our specialist mental health services. It is vital to actively monitor these services to ensure that New Zealanders receive quality care in a timely fashion.</w:t>
      </w:r>
    </w:p>
    <w:p w14:paraId="0B205F72" w14:textId="77777777" w:rsidR="00A1533D" w:rsidRDefault="00A1533D" w:rsidP="00A1533D"/>
    <w:p w14:paraId="7DF433F8" w14:textId="2208E1EE" w:rsidR="00A1533D" w:rsidRDefault="00A1533D" w:rsidP="00A1533D">
      <w:r>
        <w:t xml:space="preserve">The Government recognises that mental health contributes </w:t>
      </w:r>
      <w:proofErr w:type="gramStart"/>
      <w:r>
        <w:t>to</w:t>
      </w:r>
      <w:proofErr w:type="gramEnd"/>
      <w:r>
        <w:t xml:space="preserve"> many different aspects of our daily lives. We aim to ensure that anyone experiencing mental health illness or addiction can access the right services, which are responsive to their needs. The mental health system acknowledges the importance of balancing good clinical practices with the rights outlined in and the protections offered by legislation in order to grow and maintain individuals’ wellbeing and dignity.</w:t>
      </w:r>
    </w:p>
    <w:p w14:paraId="6782B5DD" w14:textId="77777777" w:rsidR="00A1533D" w:rsidRDefault="00A1533D" w:rsidP="00A1533D"/>
    <w:p w14:paraId="1C7AB9C4" w14:textId="49D03A1B" w:rsidR="00A1533D" w:rsidRDefault="00A1533D" w:rsidP="00A1533D">
      <w:r>
        <w:t>Over the year of 2017, one of the key changes within our work was the introduction of legislation for those experiencing severe substance use and addictive behaviours. The Substance Addiction (Compulsory Assessment and Treatment) Act 2017 (the Substance Addiction Act) replaced the Alcoholism and Drug Addiction Act 1966. To reflect the additional work resulting from the legislation change, our team name has been amended; I took on the role of Director of Addiction Services and our responsibilities to mental health broadened to incorporate addiction services.</w:t>
      </w:r>
    </w:p>
    <w:p w14:paraId="5452050F" w14:textId="77777777" w:rsidR="00A1533D" w:rsidRDefault="00A1533D" w:rsidP="00A1533D"/>
    <w:p w14:paraId="2B3553AB" w14:textId="6998F5D3" w:rsidR="00A1533D" w:rsidRDefault="00A1533D" w:rsidP="00A1533D">
      <w:r>
        <w:t>The Ministry of Health oversaw changes and growth in the mental health system in 2017. You will read about some of the activities our team participated in throughout 2017, data that indicates the performance of district health boards (DHBs) and information about specialist mental health and addiction services. With this report, we want to increase the visibility of care provided by the mental health care facilities and develop public understanding of what our work means for mental health and addiction services within New Zealand.</w:t>
      </w:r>
    </w:p>
    <w:p w14:paraId="2C1B96A4" w14:textId="77777777" w:rsidR="00A1533D" w:rsidRDefault="00A1533D" w:rsidP="00A1533D"/>
    <w:p w14:paraId="37D79B31" w14:textId="77777777" w:rsidR="00A1533D" w:rsidRDefault="00A1533D" w:rsidP="00A1533D">
      <w:r>
        <w:t>This report can only provide a snapshot of service provision at mental health care facilities – some measures described in the report may alter over time, even within the time it takes to publish the report. In addition to the analysis provided in the body of the report, you can find caveats in the appendices, which explain changes to data over time. Because the Substance Addiction Act came into effect in February 2018, this report will incorporate only 2017 data under the Alcoholism and Drug Addiction Act 1966.</w:t>
      </w:r>
    </w:p>
    <w:p w14:paraId="656978FF" w14:textId="77777777" w:rsidR="00A1533D" w:rsidRDefault="00A1533D" w:rsidP="00A1533D"/>
    <w:p w14:paraId="315ED6E3" w14:textId="77777777" w:rsidR="00A1533D" w:rsidRDefault="00A1533D" w:rsidP="00CE6BF2">
      <w:pPr>
        <w:keepLines/>
      </w:pPr>
      <w:r>
        <w:lastRenderedPageBreak/>
        <w:t>The Office of the Director of Mental Health and Addiction Services will continue to improve the processes around administering the Mental Health (Compulsory Assessment and Treatment) Act 1992 (the Mental Health Act), and the Substance Addiction Act. We work to make a meaningful contribution to the changing landscape of the mental health and addictions sector in New Zealand and to improve wellbeing outcomes for New Zealanders.</w:t>
      </w:r>
    </w:p>
    <w:p w14:paraId="15CCAAFB" w14:textId="77777777" w:rsidR="00CE6BF2" w:rsidRDefault="00CE6BF2" w:rsidP="00A1533D"/>
    <w:p w14:paraId="1E669CAE" w14:textId="67C82A56" w:rsidR="00A1533D" w:rsidRDefault="00A1533D" w:rsidP="00A1533D">
      <w:r>
        <w:t xml:space="preserve">In 2017, I advertised three new principal clinical supervisor positions for our team: Māori mental health, clinical psychologist and addictions specialist. Peta </w:t>
      </w:r>
      <w:proofErr w:type="spellStart"/>
      <w:r>
        <w:t>Ruha</w:t>
      </w:r>
      <w:proofErr w:type="spellEnd"/>
      <w:r>
        <w:t xml:space="preserve">, Emma </w:t>
      </w:r>
      <w:proofErr w:type="spellStart"/>
      <w:r>
        <w:t>Sutich</w:t>
      </w:r>
      <w:proofErr w:type="spellEnd"/>
      <w:r>
        <w:t xml:space="preserve"> and </w:t>
      </w:r>
      <w:proofErr w:type="spellStart"/>
      <w:r>
        <w:t>Klare</w:t>
      </w:r>
      <w:proofErr w:type="spellEnd"/>
      <w:r>
        <w:t xml:space="preserve"> </w:t>
      </w:r>
      <w:proofErr w:type="spellStart"/>
      <w:r>
        <w:t>Braye</w:t>
      </w:r>
      <w:proofErr w:type="spellEnd"/>
      <w:r>
        <w:t xml:space="preserve"> accepted the respective positions and joined us in 2018. I am confident that their experience and clinical knowledge will improve our administration of the Acts we engage with, help us develop better stakeholder relationships and broaden our understanding of approaches to better mental health and addiction services in New Zealand. I look forward to our continued work together.</w:t>
      </w:r>
    </w:p>
    <w:p w14:paraId="050D0634" w14:textId="77777777" w:rsidR="00CE6BF2" w:rsidRDefault="00CE6BF2" w:rsidP="00A1533D"/>
    <w:p w14:paraId="61958D5C" w14:textId="3201C82C" w:rsidR="00A1533D" w:rsidRDefault="00A1533D" w:rsidP="00A1533D">
      <w:proofErr w:type="spellStart"/>
      <w:r>
        <w:t>Noho</w:t>
      </w:r>
      <w:proofErr w:type="spellEnd"/>
      <w:r>
        <w:t xml:space="preserve"> </w:t>
      </w:r>
      <w:proofErr w:type="spellStart"/>
      <w:r>
        <w:t>ora</w:t>
      </w:r>
      <w:proofErr w:type="spellEnd"/>
      <w:r>
        <w:t xml:space="preserve"> </w:t>
      </w:r>
      <w:proofErr w:type="spellStart"/>
      <w:r>
        <w:t>mai</w:t>
      </w:r>
      <w:proofErr w:type="spellEnd"/>
    </w:p>
    <w:p w14:paraId="09691C73" w14:textId="77777777" w:rsidR="00A53973" w:rsidRDefault="00A53973" w:rsidP="00A1533D"/>
    <w:p w14:paraId="415CED92" w14:textId="487814B7" w:rsidR="00A1533D" w:rsidRDefault="00A1533D" w:rsidP="00A1533D">
      <w:r>
        <w:t xml:space="preserve">Dr John </w:t>
      </w:r>
      <w:proofErr w:type="spellStart"/>
      <w:r>
        <w:t>Crawshaw</w:t>
      </w:r>
      <w:proofErr w:type="spellEnd"/>
      <w:r w:rsidR="00A53973">
        <w:br/>
      </w:r>
      <w:r>
        <w:t>Director of Mental Health</w:t>
      </w:r>
    </w:p>
    <w:p w14:paraId="1A3966EB" w14:textId="2512CA24" w:rsidR="009A42D5" w:rsidRDefault="00A1533D" w:rsidP="00A1533D">
      <w:r>
        <w:t>Director of Addiction Services</w:t>
      </w:r>
    </w:p>
    <w:p w14:paraId="272E0F2D" w14:textId="77777777" w:rsidR="00D662F8" w:rsidRDefault="00D662F8" w:rsidP="0046362D"/>
    <w:p w14:paraId="2D0907F7" w14:textId="77777777" w:rsidR="00571223" w:rsidRDefault="00571223" w:rsidP="0046362D">
      <w:pPr>
        <w:sectPr w:rsidR="00571223" w:rsidSect="001D3E4E">
          <w:headerReference w:type="even" r:id="rId14"/>
          <w:headerReference w:type="default" r:id="rId15"/>
          <w:footerReference w:type="even" r:id="rId16"/>
          <w:footerReference w:type="default" r:id="rId17"/>
          <w:pgSz w:w="11907" w:h="16840" w:code="9"/>
          <w:pgMar w:top="1418" w:right="1701" w:bottom="1134" w:left="1843" w:header="284" w:footer="425" w:gutter="284"/>
          <w:pgNumType w:fmt="lowerRoman"/>
          <w:cols w:space="720"/>
        </w:sectPr>
      </w:pPr>
    </w:p>
    <w:p w14:paraId="32D67AD2" w14:textId="77777777" w:rsidR="00C86248" w:rsidRDefault="00C86248" w:rsidP="00025A6F">
      <w:pPr>
        <w:pStyle w:val="IntroHead"/>
      </w:pPr>
      <w:r>
        <w:lastRenderedPageBreak/>
        <w:t>Contents</w:t>
      </w:r>
      <w:bookmarkEnd w:id="0"/>
      <w:bookmarkEnd w:id="1"/>
    </w:p>
    <w:p w14:paraId="5184FDF0" w14:textId="77777777" w:rsidR="00BC5678" w:rsidRDefault="00BC5678">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"1-3" \h \z \u </w:instrText>
      </w:r>
      <w:r>
        <w:rPr>
          <w:b/>
        </w:rPr>
        <w:fldChar w:fldCharType="separate"/>
      </w:r>
      <w:hyperlink w:anchor="_Toc2845607" w:history="1">
        <w:r w:rsidRPr="001009DB">
          <w:rPr>
            <w:rStyle w:val="Hyperlink"/>
            <w:noProof/>
          </w:rPr>
          <w:t>Foreword</w:t>
        </w:r>
        <w:r>
          <w:rPr>
            <w:noProof/>
            <w:webHidden/>
          </w:rPr>
          <w:tab/>
        </w:r>
        <w:r>
          <w:rPr>
            <w:noProof/>
            <w:webHidden/>
          </w:rPr>
          <w:fldChar w:fldCharType="begin"/>
        </w:r>
        <w:r>
          <w:rPr>
            <w:noProof/>
            <w:webHidden/>
          </w:rPr>
          <w:instrText xml:space="preserve"> PAGEREF _Toc2845607 \h </w:instrText>
        </w:r>
        <w:r>
          <w:rPr>
            <w:noProof/>
            <w:webHidden/>
          </w:rPr>
        </w:r>
        <w:r>
          <w:rPr>
            <w:noProof/>
            <w:webHidden/>
          </w:rPr>
          <w:fldChar w:fldCharType="separate"/>
        </w:r>
        <w:r>
          <w:rPr>
            <w:noProof/>
            <w:webHidden/>
          </w:rPr>
          <w:t>iii</w:t>
        </w:r>
        <w:r>
          <w:rPr>
            <w:noProof/>
            <w:webHidden/>
          </w:rPr>
          <w:fldChar w:fldCharType="end"/>
        </w:r>
      </w:hyperlink>
    </w:p>
    <w:p w14:paraId="760ED0A7" w14:textId="77777777" w:rsidR="00BC5678" w:rsidRDefault="00BC5678">
      <w:pPr>
        <w:pStyle w:val="TOC1"/>
        <w:rPr>
          <w:rFonts w:asciiTheme="minorHAnsi" w:eastAsiaTheme="minorEastAsia" w:hAnsiTheme="minorHAnsi" w:cstheme="minorBidi"/>
          <w:noProof/>
          <w:sz w:val="22"/>
          <w:szCs w:val="22"/>
          <w:lang w:eastAsia="en-NZ"/>
        </w:rPr>
      </w:pPr>
      <w:hyperlink w:anchor="_Toc2845608" w:history="1">
        <w:r w:rsidRPr="001009DB">
          <w:rPr>
            <w:rStyle w:val="Hyperlink"/>
            <w:noProof/>
          </w:rPr>
          <w:t>Executive summary</w:t>
        </w:r>
        <w:r>
          <w:rPr>
            <w:noProof/>
            <w:webHidden/>
          </w:rPr>
          <w:tab/>
        </w:r>
        <w:r>
          <w:rPr>
            <w:noProof/>
            <w:webHidden/>
          </w:rPr>
          <w:fldChar w:fldCharType="begin"/>
        </w:r>
        <w:r>
          <w:rPr>
            <w:noProof/>
            <w:webHidden/>
          </w:rPr>
          <w:instrText xml:space="preserve"> PAGEREF _Toc2845608 \h </w:instrText>
        </w:r>
        <w:r>
          <w:rPr>
            <w:noProof/>
            <w:webHidden/>
          </w:rPr>
        </w:r>
        <w:r>
          <w:rPr>
            <w:noProof/>
            <w:webHidden/>
          </w:rPr>
          <w:fldChar w:fldCharType="separate"/>
        </w:r>
        <w:r>
          <w:rPr>
            <w:noProof/>
            <w:webHidden/>
          </w:rPr>
          <w:t>xiii</w:t>
        </w:r>
        <w:r>
          <w:rPr>
            <w:noProof/>
            <w:webHidden/>
          </w:rPr>
          <w:fldChar w:fldCharType="end"/>
        </w:r>
      </w:hyperlink>
    </w:p>
    <w:p w14:paraId="31678929" w14:textId="77777777" w:rsidR="00BC5678" w:rsidRDefault="00BC5678">
      <w:pPr>
        <w:pStyle w:val="TOC2"/>
        <w:rPr>
          <w:rFonts w:asciiTheme="minorHAnsi" w:eastAsiaTheme="minorEastAsia" w:hAnsiTheme="minorHAnsi" w:cstheme="minorBidi"/>
          <w:noProof/>
          <w:szCs w:val="22"/>
          <w:lang w:eastAsia="en-NZ"/>
        </w:rPr>
      </w:pPr>
      <w:hyperlink w:anchor="_Toc2845609" w:history="1">
        <w:r w:rsidRPr="001009DB">
          <w:rPr>
            <w:rStyle w:val="Hyperlink"/>
            <w:noProof/>
          </w:rPr>
          <w:t>Further reading</w:t>
        </w:r>
        <w:r>
          <w:rPr>
            <w:noProof/>
            <w:webHidden/>
          </w:rPr>
          <w:tab/>
        </w:r>
        <w:r>
          <w:rPr>
            <w:noProof/>
            <w:webHidden/>
          </w:rPr>
          <w:fldChar w:fldCharType="begin"/>
        </w:r>
        <w:r>
          <w:rPr>
            <w:noProof/>
            <w:webHidden/>
          </w:rPr>
          <w:instrText xml:space="preserve"> PAGEREF _Toc2845609 \h </w:instrText>
        </w:r>
        <w:r>
          <w:rPr>
            <w:noProof/>
            <w:webHidden/>
          </w:rPr>
        </w:r>
        <w:r>
          <w:rPr>
            <w:noProof/>
            <w:webHidden/>
          </w:rPr>
          <w:fldChar w:fldCharType="separate"/>
        </w:r>
        <w:r>
          <w:rPr>
            <w:noProof/>
            <w:webHidden/>
          </w:rPr>
          <w:t>xiv</w:t>
        </w:r>
        <w:r>
          <w:rPr>
            <w:noProof/>
            <w:webHidden/>
          </w:rPr>
          <w:fldChar w:fldCharType="end"/>
        </w:r>
      </w:hyperlink>
    </w:p>
    <w:p w14:paraId="6C05B259" w14:textId="77777777" w:rsidR="00BC5678" w:rsidRDefault="00BC5678">
      <w:pPr>
        <w:pStyle w:val="TOC3"/>
        <w:rPr>
          <w:rFonts w:asciiTheme="minorHAnsi" w:eastAsiaTheme="minorEastAsia" w:hAnsiTheme="minorHAnsi" w:cstheme="minorBidi"/>
          <w:noProof/>
          <w:sz w:val="22"/>
          <w:szCs w:val="22"/>
          <w:lang w:eastAsia="en-NZ"/>
        </w:rPr>
      </w:pPr>
      <w:hyperlink w:anchor="_Toc2845610" w:history="1">
        <w:r w:rsidRPr="001009DB">
          <w:rPr>
            <w:rStyle w:val="Hyperlink"/>
            <w:noProof/>
          </w:rPr>
          <w:t>The New Zealand Mental Health and Addictions KPI Programme</w:t>
        </w:r>
        <w:r>
          <w:rPr>
            <w:noProof/>
            <w:webHidden/>
          </w:rPr>
          <w:tab/>
        </w:r>
        <w:r>
          <w:rPr>
            <w:noProof/>
            <w:webHidden/>
          </w:rPr>
          <w:fldChar w:fldCharType="begin"/>
        </w:r>
        <w:r>
          <w:rPr>
            <w:noProof/>
            <w:webHidden/>
          </w:rPr>
          <w:instrText xml:space="preserve"> PAGEREF _Toc2845610 \h </w:instrText>
        </w:r>
        <w:r>
          <w:rPr>
            <w:noProof/>
            <w:webHidden/>
          </w:rPr>
        </w:r>
        <w:r>
          <w:rPr>
            <w:noProof/>
            <w:webHidden/>
          </w:rPr>
          <w:fldChar w:fldCharType="separate"/>
        </w:r>
        <w:r>
          <w:rPr>
            <w:noProof/>
            <w:webHidden/>
          </w:rPr>
          <w:t>xiv</w:t>
        </w:r>
        <w:r>
          <w:rPr>
            <w:noProof/>
            <w:webHidden/>
          </w:rPr>
          <w:fldChar w:fldCharType="end"/>
        </w:r>
      </w:hyperlink>
    </w:p>
    <w:p w14:paraId="3197F2F9" w14:textId="77777777" w:rsidR="00BC5678" w:rsidRDefault="00BC5678">
      <w:pPr>
        <w:pStyle w:val="TOC3"/>
        <w:rPr>
          <w:rFonts w:asciiTheme="minorHAnsi" w:eastAsiaTheme="minorEastAsia" w:hAnsiTheme="minorHAnsi" w:cstheme="minorBidi"/>
          <w:noProof/>
          <w:sz w:val="22"/>
          <w:szCs w:val="22"/>
          <w:lang w:eastAsia="en-NZ"/>
        </w:rPr>
      </w:pPr>
      <w:hyperlink w:anchor="_Toc2845611" w:history="1">
        <w:r w:rsidRPr="001009DB">
          <w:rPr>
            <w:rStyle w:val="Hyperlink"/>
            <w:noProof/>
            <w:w w:val="105"/>
          </w:rPr>
          <w:t>Other PRIMHD publications</w:t>
        </w:r>
        <w:r>
          <w:rPr>
            <w:noProof/>
            <w:webHidden/>
          </w:rPr>
          <w:tab/>
        </w:r>
        <w:r>
          <w:rPr>
            <w:noProof/>
            <w:webHidden/>
          </w:rPr>
          <w:fldChar w:fldCharType="begin"/>
        </w:r>
        <w:r>
          <w:rPr>
            <w:noProof/>
            <w:webHidden/>
          </w:rPr>
          <w:instrText xml:space="preserve"> PAGEREF _Toc2845611 \h </w:instrText>
        </w:r>
        <w:r>
          <w:rPr>
            <w:noProof/>
            <w:webHidden/>
          </w:rPr>
        </w:r>
        <w:r>
          <w:rPr>
            <w:noProof/>
            <w:webHidden/>
          </w:rPr>
          <w:fldChar w:fldCharType="separate"/>
        </w:r>
        <w:r>
          <w:rPr>
            <w:noProof/>
            <w:webHidden/>
          </w:rPr>
          <w:t>xiv</w:t>
        </w:r>
        <w:r>
          <w:rPr>
            <w:noProof/>
            <w:webHidden/>
          </w:rPr>
          <w:fldChar w:fldCharType="end"/>
        </w:r>
      </w:hyperlink>
    </w:p>
    <w:p w14:paraId="2D511100" w14:textId="77777777" w:rsidR="00BC5678" w:rsidRDefault="00BC5678">
      <w:pPr>
        <w:pStyle w:val="TOC1"/>
        <w:rPr>
          <w:rFonts w:asciiTheme="minorHAnsi" w:eastAsiaTheme="minorEastAsia" w:hAnsiTheme="minorHAnsi" w:cstheme="minorBidi"/>
          <w:noProof/>
          <w:sz w:val="22"/>
          <w:szCs w:val="22"/>
          <w:lang w:eastAsia="en-NZ"/>
        </w:rPr>
      </w:pPr>
      <w:hyperlink w:anchor="_Toc2845612" w:history="1">
        <w:r w:rsidRPr="001009DB">
          <w:rPr>
            <w:rStyle w:val="Hyperlink"/>
            <w:noProof/>
          </w:rPr>
          <w:t>Introduction</w:t>
        </w:r>
        <w:r>
          <w:rPr>
            <w:noProof/>
            <w:webHidden/>
          </w:rPr>
          <w:tab/>
        </w:r>
        <w:r>
          <w:rPr>
            <w:noProof/>
            <w:webHidden/>
          </w:rPr>
          <w:fldChar w:fldCharType="begin"/>
        </w:r>
        <w:r>
          <w:rPr>
            <w:noProof/>
            <w:webHidden/>
          </w:rPr>
          <w:instrText xml:space="preserve"> PAGEREF _Toc2845612 \h </w:instrText>
        </w:r>
        <w:r>
          <w:rPr>
            <w:noProof/>
            <w:webHidden/>
          </w:rPr>
        </w:r>
        <w:r>
          <w:rPr>
            <w:noProof/>
            <w:webHidden/>
          </w:rPr>
          <w:fldChar w:fldCharType="separate"/>
        </w:r>
        <w:r>
          <w:rPr>
            <w:noProof/>
            <w:webHidden/>
          </w:rPr>
          <w:t>1</w:t>
        </w:r>
        <w:r>
          <w:rPr>
            <w:noProof/>
            <w:webHidden/>
          </w:rPr>
          <w:fldChar w:fldCharType="end"/>
        </w:r>
      </w:hyperlink>
    </w:p>
    <w:p w14:paraId="1A05FEF9" w14:textId="77777777" w:rsidR="00BC5678" w:rsidRDefault="00BC5678">
      <w:pPr>
        <w:pStyle w:val="TOC2"/>
        <w:rPr>
          <w:rFonts w:asciiTheme="minorHAnsi" w:eastAsiaTheme="minorEastAsia" w:hAnsiTheme="minorHAnsi" w:cstheme="minorBidi"/>
          <w:noProof/>
          <w:szCs w:val="22"/>
          <w:lang w:eastAsia="en-NZ"/>
        </w:rPr>
      </w:pPr>
      <w:hyperlink w:anchor="_Toc2845613" w:history="1">
        <w:r w:rsidRPr="001009DB">
          <w:rPr>
            <w:rStyle w:val="Hyperlink"/>
            <w:noProof/>
          </w:rPr>
          <w:t>Objectives</w:t>
        </w:r>
        <w:r>
          <w:rPr>
            <w:noProof/>
            <w:webHidden/>
          </w:rPr>
          <w:tab/>
        </w:r>
        <w:r>
          <w:rPr>
            <w:noProof/>
            <w:webHidden/>
          </w:rPr>
          <w:fldChar w:fldCharType="begin"/>
        </w:r>
        <w:r>
          <w:rPr>
            <w:noProof/>
            <w:webHidden/>
          </w:rPr>
          <w:instrText xml:space="preserve"> PAGEREF _Toc2845613 \h </w:instrText>
        </w:r>
        <w:r>
          <w:rPr>
            <w:noProof/>
            <w:webHidden/>
          </w:rPr>
        </w:r>
        <w:r>
          <w:rPr>
            <w:noProof/>
            <w:webHidden/>
          </w:rPr>
          <w:fldChar w:fldCharType="separate"/>
        </w:r>
        <w:r>
          <w:rPr>
            <w:noProof/>
            <w:webHidden/>
          </w:rPr>
          <w:t>1</w:t>
        </w:r>
        <w:r>
          <w:rPr>
            <w:noProof/>
            <w:webHidden/>
          </w:rPr>
          <w:fldChar w:fldCharType="end"/>
        </w:r>
      </w:hyperlink>
    </w:p>
    <w:p w14:paraId="7313655B" w14:textId="77777777" w:rsidR="00BC5678" w:rsidRDefault="00BC5678">
      <w:pPr>
        <w:pStyle w:val="TOC2"/>
        <w:rPr>
          <w:rFonts w:asciiTheme="minorHAnsi" w:eastAsiaTheme="minorEastAsia" w:hAnsiTheme="minorHAnsi" w:cstheme="minorBidi"/>
          <w:noProof/>
          <w:szCs w:val="22"/>
          <w:lang w:eastAsia="en-NZ"/>
        </w:rPr>
      </w:pPr>
      <w:hyperlink w:anchor="_Toc2845614" w:history="1">
        <w:r w:rsidRPr="001009DB">
          <w:rPr>
            <w:rStyle w:val="Hyperlink"/>
            <w:noProof/>
          </w:rPr>
          <w:t>Structure of this report</w:t>
        </w:r>
        <w:r>
          <w:rPr>
            <w:noProof/>
            <w:webHidden/>
          </w:rPr>
          <w:tab/>
        </w:r>
        <w:r>
          <w:rPr>
            <w:noProof/>
            <w:webHidden/>
          </w:rPr>
          <w:fldChar w:fldCharType="begin"/>
        </w:r>
        <w:r>
          <w:rPr>
            <w:noProof/>
            <w:webHidden/>
          </w:rPr>
          <w:instrText xml:space="preserve"> PAGEREF _Toc2845614 \h </w:instrText>
        </w:r>
        <w:r>
          <w:rPr>
            <w:noProof/>
            <w:webHidden/>
          </w:rPr>
        </w:r>
        <w:r>
          <w:rPr>
            <w:noProof/>
            <w:webHidden/>
          </w:rPr>
          <w:fldChar w:fldCharType="separate"/>
        </w:r>
        <w:r>
          <w:rPr>
            <w:noProof/>
            <w:webHidden/>
          </w:rPr>
          <w:t>1</w:t>
        </w:r>
        <w:r>
          <w:rPr>
            <w:noProof/>
            <w:webHidden/>
          </w:rPr>
          <w:fldChar w:fldCharType="end"/>
        </w:r>
      </w:hyperlink>
    </w:p>
    <w:p w14:paraId="4A24382A" w14:textId="77777777" w:rsidR="00BC5678" w:rsidRDefault="00BC5678">
      <w:pPr>
        <w:pStyle w:val="TOC1"/>
        <w:rPr>
          <w:rFonts w:asciiTheme="minorHAnsi" w:eastAsiaTheme="minorEastAsia" w:hAnsiTheme="minorHAnsi" w:cstheme="minorBidi"/>
          <w:noProof/>
          <w:sz w:val="22"/>
          <w:szCs w:val="22"/>
          <w:lang w:eastAsia="en-NZ"/>
        </w:rPr>
      </w:pPr>
      <w:hyperlink w:anchor="_Toc2845615" w:history="1">
        <w:r w:rsidRPr="001009DB">
          <w:rPr>
            <w:rStyle w:val="Hyperlink"/>
            <w:noProof/>
          </w:rPr>
          <w:t>Context</w:t>
        </w:r>
        <w:r>
          <w:rPr>
            <w:noProof/>
            <w:webHidden/>
          </w:rPr>
          <w:tab/>
        </w:r>
        <w:r>
          <w:rPr>
            <w:noProof/>
            <w:webHidden/>
          </w:rPr>
          <w:fldChar w:fldCharType="begin"/>
        </w:r>
        <w:r>
          <w:rPr>
            <w:noProof/>
            <w:webHidden/>
          </w:rPr>
          <w:instrText xml:space="preserve"> PAGEREF _Toc2845615 \h </w:instrText>
        </w:r>
        <w:r>
          <w:rPr>
            <w:noProof/>
            <w:webHidden/>
          </w:rPr>
        </w:r>
        <w:r>
          <w:rPr>
            <w:noProof/>
            <w:webHidden/>
          </w:rPr>
          <w:fldChar w:fldCharType="separate"/>
        </w:r>
        <w:r>
          <w:rPr>
            <w:noProof/>
            <w:webHidden/>
          </w:rPr>
          <w:t>2</w:t>
        </w:r>
        <w:r>
          <w:rPr>
            <w:noProof/>
            <w:webHidden/>
          </w:rPr>
          <w:fldChar w:fldCharType="end"/>
        </w:r>
      </w:hyperlink>
    </w:p>
    <w:p w14:paraId="6A8B7082" w14:textId="77777777" w:rsidR="00BC5678" w:rsidRDefault="00BC5678">
      <w:pPr>
        <w:pStyle w:val="TOC2"/>
        <w:rPr>
          <w:rFonts w:asciiTheme="minorHAnsi" w:eastAsiaTheme="minorEastAsia" w:hAnsiTheme="minorHAnsi" w:cstheme="minorBidi"/>
          <w:noProof/>
          <w:szCs w:val="22"/>
          <w:lang w:eastAsia="en-NZ"/>
        </w:rPr>
      </w:pPr>
      <w:hyperlink w:anchor="_Toc2845616" w:history="1">
        <w:r w:rsidRPr="001009DB">
          <w:rPr>
            <w:rStyle w:val="Hyperlink"/>
            <w:noProof/>
          </w:rPr>
          <w:t>The Ministry of Health</w:t>
        </w:r>
        <w:r>
          <w:rPr>
            <w:noProof/>
            <w:webHidden/>
          </w:rPr>
          <w:tab/>
        </w:r>
        <w:r>
          <w:rPr>
            <w:noProof/>
            <w:webHidden/>
          </w:rPr>
          <w:fldChar w:fldCharType="begin"/>
        </w:r>
        <w:r>
          <w:rPr>
            <w:noProof/>
            <w:webHidden/>
          </w:rPr>
          <w:instrText xml:space="preserve"> PAGEREF _Toc2845616 \h </w:instrText>
        </w:r>
        <w:r>
          <w:rPr>
            <w:noProof/>
            <w:webHidden/>
          </w:rPr>
        </w:r>
        <w:r>
          <w:rPr>
            <w:noProof/>
            <w:webHidden/>
          </w:rPr>
          <w:fldChar w:fldCharType="separate"/>
        </w:r>
        <w:r>
          <w:rPr>
            <w:noProof/>
            <w:webHidden/>
          </w:rPr>
          <w:t>2</w:t>
        </w:r>
        <w:r>
          <w:rPr>
            <w:noProof/>
            <w:webHidden/>
          </w:rPr>
          <w:fldChar w:fldCharType="end"/>
        </w:r>
      </w:hyperlink>
    </w:p>
    <w:p w14:paraId="02680F7C" w14:textId="77777777" w:rsidR="00BC5678" w:rsidRDefault="00BC5678">
      <w:pPr>
        <w:pStyle w:val="TOC2"/>
        <w:rPr>
          <w:rFonts w:asciiTheme="minorHAnsi" w:eastAsiaTheme="minorEastAsia" w:hAnsiTheme="minorHAnsi" w:cstheme="minorBidi"/>
          <w:noProof/>
          <w:szCs w:val="22"/>
          <w:lang w:eastAsia="en-NZ"/>
        </w:rPr>
      </w:pPr>
      <w:hyperlink w:anchor="_Toc2845617" w:history="1">
        <w:r w:rsidRPr="001009DB">
          <w:rPr>
            <w:rStyle w:val="Hyperlink"/>
            <w:noProof/>
          </w:rPr>
          <w:t>Mental health and addictions care in New Zealand: Continually evolving</w:t>
        </w:r>
        <w:r>
          <w:rPr>
            <w:noProof/>
            <w:webHidden/>
          </w:rPr>
          <w:tab/>
        </w:r>
        <w:r>
          <w:rPr>
            <w:noProof/>
            <w:webHidden/>
          </w:rPr>
          <w:fldChar w:fldCharType="begin"/>
        </w:r>
        <w:r>
          <w:rPr>
            <w:noProof/>
            <w:webHidden/>
          </w:rPr>
          <w:instrText xml:space="preserve"> PAGEREF _Toc2845617 \h </w:instrText>
        </w:r>
        <w:r>
          <w:rPr>
            <w:noProof/>
            <w:webHidden/>
          </w:rPr>
        </w:r>
        <w:r>
          <w:rPr>
            <w:noProof/>
            <w:webHidden/>
          </w:rPr>
          <w:fldChar w:fldCharType="separate"/>
        </w:r>
        <w:r>
          <w:rPr>
            <w:noProof/>
            <w:webHidden/>
          </w:rPr>
          <w:t>2</w:t>
        </w:r>
        <w:r>
          <w:rPr>
            <w:noProof/>
            <w:webHidden/>
          </w:rPr>
          <w:fldChar w:fldCharType="end"/>
        </w:r>
      </w:hyperlink>
    </w:p>
    <w:p w14:paraId="6D26BCDE" w14:textId="77777777" w:rsidR="00BC5678" w:rsidRDefault="00BC5678">
      <w:pPr>
        <w:pStyle w:val="TOC3"/>
        <w:rPr>
          <w:rFonts w:asciiTheme="minorHAnsi" w:eastAsiaTheme="minorEastAsia" w:hAnsiTheme="minorHAnsi" w:cstheme="minorBidi"/>
          <w:noProof/>
          <w:sz w:val="22"/>
          <w:szCs w:val="22"/>
          <w:lang w:eastAsia="en-NZ"/>
        </w:rPr>
      </w:pPr>
      <w:hyperlink w:anchor="_Toc2845618" w:history="1">
        <w:r w:rsidRPr="001009DB">
          <w:rPr>
            <w:rStyle w:val="Hyperlink"/>
            <w:noProof/>
          </w:rPr>
          <w:t>The Mental Health and Addiction Inquiry</w:t>
        </w:r>
        <w:r>
          <w:rPr>
            <w:noProof/>
            <w:webHidden/>
          </w:rPr>
          <w:tab/>
        </w:r>
        <w:r>
          <w:rPr>
            <w:noProof/>
            <w:webHidden/>
          </w:rPr>
          <w:fldChar w:fldCharType="begin"/>
        </w:r>
        <w:r>
          <w:rPr>
            <w:noProof/>
            <w:webHidden/>
          </w:rPr>
          <w:instrText xml:space="preserve"> PAGEREF _Toc2845618 \h </w:instrText>
        </w:r>
        <w:r>
          <w:rPr>
            <w:noProof/>
            <w:webHidden/>
          </w:rPr>
        </w:r>
        <w:r>
          <w:rPr>
            <w:noProof/>
            <w:webHidden/>
          </w:rPr>
          <w:fldChar w:fldCharType="separate"/>
        </w:r>
        <w:r>
          <w:rPr>
            <w:noProof/>
            <w:webHidden/>
          </w:rPr>
          <w:t>3</w:t>
        </w:r>
        <w:r>
          <w:rPr>
            <w:noProof/>
            <w:webHidden/>
          </w:rPr>
          <w:fldChar w:fldCharType="end"/>
        </w:r>
      </w:hyperlink>
    </w:p>
    <w:p w14:paraId="02289308" w14:textId="77777777" w:rsidR="00BC5678" w:rsidRDefault="00BC5678">
      <w:pPr>
        <w:pStyle w:val="TOC3"/>
        <w:rPr>
          <w:rFonts w:asciiTheme="minorHAnsi" w:eastAsiaTheme="minorEastAsia" w:hAnsiTheme="minorHAnsi" w:cstheme="minorBidi"/>
          <w:noProof/>
          <w:sz w:val="22"/>
          <w:szCs w:val="22"/>
          <w:lang w:eastAsia="en-NZ"/>
        </w:rPr>
      </w:pPr>
      <w:hyperlink w:anchor="_Toc2845619" w:history="1">
        <w:r w:rsidRPr="001009DB">
          <w:rPr>
            <w:rStyle w:val="Hyperlink"/>
            <w:noProof/>
          </w:rPr>
          <w:t>Looking forward</w:t>
        </w:r>
        <w:r>
          <w:rPr>
            <w:noProof/>
            <w:webHidden/>
          </w:rPr>
          <w:tab/>
        </w:r>
        <w:r>
          <w:rPr>
            <w:noProof/>
            <w:webHidden/>
          </w:rPr>
          <w:fldChar w:fldCharType="begin"/>
        </w:r>
        <w:r>
          <w:rPr>
            <w:noProof/>
            <w:webHidden/>
          </w:rPr>
          <w:instrText xml:space="preserve"> PAGEREF _Toc2845619 \h </w:instrText>
        </w:r>
        <w:r>
          <w:rPr>
            <w:noProof/>
            <w:webHidden/>
          </w:rPr>
        </w:r>
        <w:r>
          <w:rPr>
            <w:noProof/>
            <w:webHidden/>
          </w:rPr>
          <w:fldChar w:fldCharType="separate"/>
        </w:r>
        <w:r>
          <w:rPr>
            <w:noProof/>
            <w:webHidden/>
          </w:rPr>
          <w:t>4</w:t>
        </w:r>
        <w:r>
          <w:rPr>
            <w:noProof/>
            <w:webHidden/>
          </w:rPr>
          <w:fldChar w:fldCharType="end"/>
        </w:r>
      </w:hyperlink>
    </w:p>
    <w:p w14:paraId="699D4031" w14:textId="77777777" w:rsidR="00BC5678" w:rsidRDefault="00BC5678">
      <w:pPr>
        <w:pStyle w:val="TOC3"/>
        <w:rPr>
          <w:rFonts w:asciiTheme="minorHAnsi" w:eastAsiaTheme="minorEastAsia" w:hAnsiTheme="minorHAnsi" w:cstheme="minorBidi"/>
          <w:noProof/>
          <w:sz w:val="22"/>
          <w:szCs w:val="22"/>
          <w:lang w:eastAsia="en-NZ"/>
        </w:rPr>
      </w:pPr>
      <w:hyperlink w:anchor="_Toc2845620" w:history="1">
        <w:r w:rsidRPr="001009DB">
          <w:rPr>
            <w:rStyle w:val="Hyperlink"/>
            <w:noProof/>
          </w:rPr>
          <w:t>Addiction treatment services: developing models of care</w:t>
        </w:r>
        <w:r>
          <w:rPr>
            <w:noProof/>
            <w:webHidden/>
          </w:rPr>
          <w:tab/>
        </w:r>
        <w:r>
          <w:rPr>
            <w:noProof/>
            <w:webHidden/>
          </w:rPr>
          <w:fldChar w:fldCharType="begin"/>
        </w:r>
        <w:r>
          <w:rPr>
            <w:noProof/>
            <w:webHidden/>
          </w:rPr>
          <w:instrText xml:space="preserve"> PAGEREF _Toc2845620 \h </w:instrText>
        </w:r>
        <w:r>
          <w:rPr>
            <w:noProof/>
            <w:webHidden/>
          </w:rPr>
        </w:r>
        <w:r>
          <w:rPr>
            <w:noProof/>
            <w:webHidden/>
          </w:rPr>
          <w:fldChar w:fldCharType="separate"/>
        </w:r>
        <w:r>
          <w:rPr>
            <w:noProof/>
            <w:webHidden/>
          </w:rPr>
          <w:t>4</w:t>
        </w:r>
        <w:r>
          <w:rPr>
            <w:noProof/>
            <w:webHidden/>
          </w:rPr>
          <w:fldChar w:fldCharType="end"/>
        </w:r>
      </w:hyperlink>
    </w:p>
    <w:p w14:paraId="50B49109" w14:textId="77777777" w:rsidR="00BC5678" w:rsidRDefault="00BC5678">
      <w:pPr>
        <w:pStyle w:val="TOC3"/>
        <w:rPr>
          <w:rFonts w:asciiTheme="minorHAnsi" w:eastAsiaTheme="minorEastAsia" w:hAnsiTheme="minorHAnsi" w:cstheme="minorBidi"/>
          <w:noProof/>
          <w:sz w:val="22"/>
          <w:szCs w:val="22"/>
          <w:lang w:eastAsia="en-NZ"/>
        </w:rPr>
      </w:pPr>
      <w:hyperlink w:anchor="_Toc2845621" w:history="1">
        <w:r w:rsidRPr="001009DB">
          <w:rPr>
            <w:rStyle w:val="Hyperlink"/>
            <w:noProof/>
          </w:rPr>
          <w:t>Specialist mental health and addiction services</w:t>
        </w:r>
        <w:r>
          <w:rPr>
            <w:noProof/>
            <w:webHidden/>
          </w:rPr>
          <w:tab/>
        </w:r>
        <w:r>
          <w:rPr>
            <w:noProof/>
            <w:webHidden/>
          </w:rPr>
          <w:fldChar w:fldCharType="begin"/>
        </w:r>
        <w:r>
          <w:rPr>
            <w:noProof/>
            <w:webHidden/>
          </w:rPr>
          <w:instrText xml:space="preserve"> PAGEREF _Toc2845621 \h </w:instrText>
        </w:r>
        <w:r>
          <w:rPr>
            <w:noProof/>
            <w:webHidden/>
          </w:rPr>
        </w:r>
        <w:r>
          <w:rPr>
            <w:noProof/>
            <w:webHidden/>
          </w:rPr>
          <w:fldChar w:fldCharType="separate"/>
        </w:r>
        <w:r>
          <w:rPr>
            <w:noProof/>
            <w:webHidden/>
          </w:rPr>
          <w:t>5</w:t>
        </w:r>
        <w:r>
          <w:rPr>
            <w:noProof/>
            <w:webHidden/>
          </w:rPr>
          <w:fldChar w:fldCharType="end"/>
        </w:r>
      </w:hyperlink>
    </w:p>
    <w:p w14:paraId="3A2CF311" w14:textId="77777777" w:rsidR="00BC5678" w:rsidRDefault="00BC5678">
      <w:pPr>
        <w:pStyle w:val="TOC2"/>
        <w:rPr>
          <w:rFonts w:asciiTheme="minorHAnsi" w:eastAsiaTheme="minorEastAsia" w:hAnsiTheme="minorHAnsi" w:cstheme="minorBidi"/>
          <w:noProof/>
          <w:szCs w:val="22"/>
          <w:lang w:eastAsia="en-NZ"/>
        </w:rPr>
      </w:pPr>
      <w:hyperlink w:anchor="_Toc2845622" w:history="1">
        <w:r w:rsidRPr="001009DB">
          <w:rPr>
            <w:rStyle w:val="Hyperlink"/>
            <w:noProof/>
          </w:rPr>
          <w:t>The Mental Health Act</w:t>
        </w:r>
        <w:r>
          <w:rPr>
            <w:noProof/>
            <w:webHidden/>
          </w:rPr>
          <w:tab/>
        </w:r>
        <w:r>
          <w:rPr>
            <w:noProof/>
            <w:webHidden/>
          </w:rPr>
          <w:fldChar w:fldCharType="begin"/>
        </w:r>
        <w:r>
          <w:rPr>
            <w:noProof/>
            <w:webHidden/>
          </w:rPr>
          <w:instrText xml:space="preserve"> PAGEREF _Toc2845622 \h </w:instrText>
        </w:r>
        <w:r>
          <w:rPr>
            <w:noProof/>
            <w:webHidden/>
          </w:rPr>
        </w:r>
        <w:r>
          <w:rPr>
            <w:noProof/>
            <w:webHidden/>
          </w:rPr>
          <w:fldChar w:fldCharType="separate"/>
        </w:r>
        <w:r>
          <w:rPr>
            <w:noProof/>
            <w:webHidden/>
          </w:rPr>
          <w:t>7</w:t>
        </w:r>
        <w:r>
          <w:rPr>
            <w:noProof/>
            <w:webHidden/>
          </w:rPr>
          <w:fldChar w:fldCharType="end"/>
        </w:r>
      </w:hyperlink>
    </w:p>
    <w:p w14:paraId="6975A31F" w14:textId="77777777" w:rsidR="00BC5678" w:rsidRDefault="00BC5678">
      <w:pPr>
        <w:pStyle w:val="TOC3"/>
        <w:rPr>
          <w:rFonts w:asciiTheme="minorHAnsi" w:eastAsiaTheme="minorEastAsia" w:hAnsiTheme="minorHAnsi" w:cstheme="minorBidi"/>
          <w:noProof/>
          <w:sz w:val="22"/>
          <w:szCs w:val="22"/>
          <w:lang w:eastAsia="en-NZ"/>
        </w:rPr>
      </w:pPr>
      <w:hyperlink w:anchor="_Toc2845623" w:history="1">
        <w:r w:rsidRPr="001009DB">
          <w:rPr>
            <w:rStyle w:val="Hyperlink"/>
            <w:noProof/>
          </w:rPr>
          <w:t>Administration of the Mental Health Act</w:t>
        </w:r>
        <w:r>
          <w:rPr>
            <w:noProof/>
            <w:webHidden/>
          </w:rPr>
          <w:tab/>
        </w:r>
        <w:r>
          <w:rPr>
            <w:noProof/>
            <w:webHidden/>
          </w:rPr>
          <w:fldChar w:fldCharType="begin"/>
        </w:r>
        <w:r>
          <w:rPr>
            <w:noProof/>
            <w:webHidden/>
          </w:rPr>
          <w:instrText xml:space="preserve"> PAGEREF _Toc2845623 \h </w:instrText>
        </w:r>
        <w:r>
          <w:rPr>
            <w:noProof/>
            <w:webHidden/>
          </w:rPr>
        </w:r>
        <w:r>
          <w:rPr>
            <w:noProof/>
            <w:webHidden/>
          </w:rPr>
          <w:fldChar w:fldCharType="separate"/>
        </w:r>
        <w:r>
          <w:rPr>
            <w:noProof/>
            <w:webHidden/>
          </w:rPr>
          <w:t>7</w:t>
        </w:r>
        <w:r>
          <w:rPr>
            <w:noProof/>
            <w:webHidden/>
          </w:rPr>
          <w:fldChar w:fldCharType="end"/>
        </w:r>
      </w:hyperlink>
    </w:p>
    <w:p w14:paraId="60FFD532" w14:textId="77777777" w:rsidR="00BC5678" w:rsidRDefault="00BC5678">
      <w:pPr>
        <w:pStyle w:val="TOC3"/>
        <w:rPr>
          <w:rFonts w:asciiTheme="minorHAnsi" w:eastAsiaTheme="minorEastAsia" w:hAnsiTheme="minorHAnsi" w:cstheme="minorBidi"/>
          <w:noProof/>
          <w:sz w:val="22"/>
          <w:szCs w:val="22"/>
          <w:lang w:eastAsia="en-NZ"/>
        </w:rPr>
      </w:pPr>
      <w:hyperlink w:anchor="_Toc2845624" w:history="1">
        <w:r w:rsidRPr="001009DB">
          <w:rPr>
            <w:rStyle w:val="Hyperlink"/>
            <w:noProof/>
          </w:rPr>
          <w:t>Protecting the rights of people subject to compulsory treatment</w:t>
        </w:r>
        <w:r>
          <w:rPr>
            <w:noProof/>
            <w:webHidden/>
          </w:rPr>
          <w:tab/>
        </w:r>
        <w:r>
          <w:rPr>
            <w:noProof/>
            <w:webHidden/>
          </w:rPr>
          <w:fldChar w:fldCharType="begin"/>
        </w:r>
        <w:r>
          <w:rPr>
            <w:noProof/>
            <w:webHidden/>
          </w:rPr>
          <w:instrText xml:space="preserve"> PAGEREF _Toc2845624 \h </w:instrText>
        </w:r>
        <w:r>
          <w:rPr>
            <w:noProof/>
            <w:webHidden/>
          </w:rPr>
        </w:r>
        <w:r>
          <w:rPr>
            <w:noProof/>
            <w:webHidden/>
          </w:rPr>
          <w:fldChar w:fldCharType="separate"/>
        </w:r>
        <w:r>
          <w:rPr>
            <w:noProof/>
            <w:webHidden/>
          </w:rPr>
          <w:t>8</w:t>
        </w:r>
        <w:r>
          <w:rPr>
            <w:noProof/>
            <w:webHidden/>
          </w:rPr>
          <w:fldChar w:fldCharType="end"/>
        </w:r>
      </w:hyperlink>
    </w:p>
    <w:p w14:paraId="51A2BF72" w14:textId="77777777" w:rsidR="00BC5678" w:rsidRDefault="00BC5678">
      <w:pPr>
        <w:pStyle w:val="TOC1"/>
        <w:rPr>
          <w:rFonts w:asciiTheme="minorHAnsi" w:eastAsiaTheme="minorEastAsia" w:hAnsiTheme="minorHAnsi" w:cstheme="minorBidi"/>
          <w:noProof/>
          <w:sz w:val="22"/>
          <w:szCs w:val="22"/>
          <w:lang w:eastAsia="en-NZ"/>
        </w:rPr>
      </w:pPr>
      <w:hyperlink w:anchor="_Toc2845625" w:history="1">
        <w:r w:rsidRPr="001009DB">
          <w:rPr>
            <w:rStyle w:val="Hyperlink"/>
            <w:noProof/>
          </w:rPr>
          <w:t>Activities for 2017</w:t>
        </w:r>
        <w:r>
          <w:rPr>
            <w:noProof/>
            <w:webHidden/>
          </w:rPr>
          <w:tab/>
        </w:r>
        <w:r>
          <w:rPr>
            <w:noProof/>
            <w:webHidden/>
          </w:rPr>
          <w:fldChar w:fldCharType="begin"/>
        </w:r>
        <w:r>
          <w:rPr>
            <w:noProof/>
            <w:webHidden/>
          </w:rPr>
          <w:instrText xml:space="preserve"> PAGEREF _Toc2845625 \h </w:instrText>
        </w:r>
        <w:r>
          <w:rPr>
            <w:noProof/>
            <w:webHidden/>
          </w:rPr>
        </w:r>
        <w:r>
          <w:rPr>
            <w:noProof/>
            <w:webHidden/>
          </w:rPr>
          <w:fldChar w:fldCharType="separate"/>
        </w:r>
        <w:r>
          <w:rPr>
            <w:noProof/>
            <w:webHidden/>
          </w:rPr>
          <w:t>11</w:t>
        </w:r>
        <w:r>
          <w:rPr>
            <w:noProof/>
            <w:webHidden/>
          </w:rPr>
          <w:fldChar w:fldCharType="end"/>
        </w:r>
      </w:hyperlink>
    </w:p>
    <w:p w14:paraId="6B9761E9" w14:textId="77777777" w:rsidR="00BC5678" w:rsidRDefault="00BC5678">
      <w:pPr>
        <w:pStyle w:val="TOC2"/>
        <w:rPr>
          <w:rFonts w:asciiTheme="minorHAnsi" w:eastAsiaTheme="minorEastAsia" w:hAnsiTheme="minorHAnsi" w:cstheme="minorBidi"/>
          <w:noProof/>
          <w:szCs w:val="22"/>
          <w:lang w:eastAsia="en-NZ"/>
        </w:rPr>
      </w:pPr>
      <w:hyperlink w:anchor="_Toc2845626" w:history="1">
        <w:r w:rsidRPr="001009DB">
          <w:rPr>
            <w:rStyle w:val="Hyperlink"/>
            <w:noProof/>
          </w:rPr>
          <w:t>Mental health and addictions sector relationships</w:t>
        </w:r>
        <w:r>
          <w:rPr>
            <w:noProof/>
            <w:webHidden/>
          </w:rPr>
          <w:tab/>
        </w:r>
        <w:r>
          <w:rPr>
            <w:noProof/>
            <w:webHidden/>
          </w:rPr>
          <w:fldChar w:fldCharType="begin"/>
        </w:r>
        <w:r>
          <w:rPr>
            <w:noProof/>
            <w:webHidden/>
          </w:rPr>
          <w:instrText xml:space="preserve"> PAGEREF _Toc2845626 \h </w:instrText>
        </w:r>
        <w:r>
          <w:rPr>
            <w:noProof/>
            <w:webHidden/>
          </w:rPr>
        </w:r>
        <w:r>
          <w:rPr>
            <w:noProof/>
            <w:webHidden/>
          </w:rPr>
          <w:fldChar w:fldCharType="separate"/>
        </w:r>
        <w:r>
          <w:rPr>
            <w:noProof/>
            <w:webHidden/>
          </w:rPr>
          <w:t>11</w:t>
        </w:r>
        <w:r>
          <w:rPr>
            <w:noProof/>
            <w:webHidden/>
          </w:rPr>
          <w:fldChar w:fldCharType="end"/>
        </w:r>
      </w:hyperlink>
    </w:p>
    <w:p w14:paraId="29941E42" w14:textId="77777777" w:rsidR="00BC5678" w:rsidRDefault="00BC5678">
      <w:pPr>
        <w:pStyle w:val="TOC2"/>
        <w:rPr>
          <w:rFonts w:asciiTheme="minorHAnsi" w:eastAsiaTheme="minorEastAsia" w:hAnsiTheme="minorHAnsi" w:cstheme="minorBidi"/>
          <w:noProof/>
          <w:szCs w:val="22"/>
          <w:lang w:eastAsia="en-NZ"/>
        </w:rPr>
      </w:pPr>
      <w:hyperlink w:anchor="_Toc2845627" w:history="1">
        <w:r w:rsidRPr="001009DB">
          <w:rPr>
            <w:rStyle w:val="Hyperlink"/>
            <w:noProof/>
          </w:rPr>
          <w:t>Cross-government relationships</w:t>
        </w:r>
        <w:r>
          <w:rPr>
            <w:noProof/>
            <w:webHidden/>
          </w:rPr>
          <w:tab/>
        </w:r>
        <w:r>
          <w:rPr>
            <w:noProof/>
            <w:webHidden/>
          </w:rPr>
          <w:fldChar w:fldCharType="begin"/>
        </w:r>
        <w:r>
          <w:rPr>
            <w:noProof/>
            <w:webHidden/>
          </w:rPr>
          <w:instrText xml:space="preserve"> PAGEREF _Toc2845627 \h </w:instrText>
        </w:r>
        <w:r>
          <w:rPr>
            <w:noProof/>
            <w:webHidden/>
          </w:rPr>
        </w:r>
        <w:r>
          <w:rPr>
            <w:noProof/>
            <w:webHidden/>
          </w:rPr>
          <w:fldChar w:fldCharType="separate"/>
        </w:r>
        <w:r>
          <w:rPr>
            <w:noProof/>
            <w:webHidden/>
          </w:rPr>
          <w:t>11</w:t>
        </w:r>
        <w:r>
          <w:rPr>
            <w:noProof/>
            <w:webHidden/>
          </w:rPr>
          <w:fldChar w:fldCharType="end"/>
        </w:r>
      </w:hyperlink>
    </w:p>
    <w:p w14:paraId="32599222" w14:textId="77777777" w:rsidR="00BC5678" w:rsidRDefault="00BC5678">
      <w:pPr>
        <w:pStyle w:val="TOC3"/>
        <w:rPr>
          <w:rFonts w:asciiTheme="minorHAnsi" w:eastAsiaTheme="minorEastAsia" w:hAnsiTheme="minorHAnsi" w:cstheme="minorBidi"/>
          <w:noProof/>
          <w:sz w:val="22"/>
          <w:szCs w:val="22"/>
          <w:lang w:eastAsia="en-NZ"/>
        </w:rPr>
      </w:pPr>
      <w:hyperlink w:anchor="_Toc2845628" w:history="1">
        <w:r w:rsidRPr="001009DB">
          <w:rPr>
            <w:rStyle w:val="Hyperlink"/>
            <w:noProof/>
          </w:rPr>
          <w:t>Relationship with the Department of Corrections</w:t>
        </w:r>
        <w:r>
          <w:rPr>
            <w:noProof/>
            <w:webHidden/>
          </w:rPr>
          <w:tab/>
        </w:r>
        <w:r>
          <w:rPr>
            <w:noProof/>
            <w:webHidden/>
          </w:rPr>
          <w:fldChar w:fldCharType="begin"/>
        </w:r>
        <w:r>
          <w:rPr>
            <w:noProof/>
            <w:webHidden/>
          </w:rPr>
          <w:instrText xml:space="preserve"> PAGEREF _Toc2845628 \h </w:instrText>
        </w:r>
        <w:r>
          <w:rPr>
            <w:noProof/>
            <w:webHidden/>
          </w:rPr>
        </w:r>
        <w:r>
          <w:rPr>
            <w:noProof/>
            <w:webHidden/>
          </w:rPr>
          <w:fldChar w:fldCharType="separate"/>
        </w:r>
        <w:r>
          <w:rPr>
            <w:noProof/>
            <w:webHidden/>
          </w:rPr>
          <w:t>12</w:t>
        </w:r>
        <w:r>
          <w:rPr>
            <w:noProof/>
            <w:webHidden/>
          </w:rPr>
          <w:fldChar w:fldCharType="end"/>
        </w:r>
      </w:hyperlink>
    </w:p>
    <w:p w14:paraId="3147F91F" w14:textId="77777777" w:rsidR="00BC5678" w:rsidRDefault="00BC5678">
      <w:pPr>
        <w:pStyle w:val="TOC3"/>
        <w:rPr>
          <w:rFonts w:asciiTheme="minorHAnsi" w:eastAsiaTheme="minorEastAsia" w:hAnsiTheme="minorHAnsi" w:cstheme="minorBidi"/>
          <w:noProof/>
          <w:sz w:val="22"/>
          <w:szCs w:val="22"/>
          <w:lang w:eastAsia="en-NZ"/>
        </w:rPr>
      </w:pPr>
      <w:hyperlink w:anchor="_Toc2845629" w:history="1">
        <w:r w:rsidRPr="001009DB">
          <w:rPr>
            <w:rStyle w:val="Hyperlink"/>
            <w:noProof/>
          </w:rPr>
          <w:t>Relationship with the New Zealand Police</w:t>
        </w:r>
        <w:r>
          <w:rPr>
            <w:noProof/>
            <w:webHidden/>
          </w:rPr>
          <w:tab/>
        </w:r>
        <w:r>
          <w:rPr>
            <w:noProof/>
            <w:webHidden/>
          </w:rPr>
          <w:fldChar w:fldCharType="begin"/>
        </w:r>
        <w:r>
          <w:rPr>
            <w:noProof/>
            <w:webHidden/>
          </w:rPr>
          <w:instrText xml:space="preserve"> PAGEREF _Toc2845629 \h </w:instrText>
        </w:r>
        <w:r>
          <w:rPr>
            <w:noProof/>
            <w:webHidden/>
          </w:rPr>
        </w:r>
        <w:r>
          <w:rPr>
            <w:noProof/>
            <w:webHidden/>
          </w:rPr>
          <w:fldChar w:fldCharType="separate"/>
        </w:r>
        <w:r>
          <w:rPr>
            <w:noProof/>
            <w:webHidden/>
          </w:rPr>
          <w:t>12</w:t>
        </w:r>
        <w:r>
          <w:rPr>
            <w:noProof/>
            <w:webHidden/>
          </w:rPr>
          <w:fldChar w:fldCharType="end"/>
        </w:r>
      </w:hyperlink>
    </w:p>
    <w:p w14:paraId="312CDAC7" w14:textId="77777777" w:rsidR="00BC5678" w:rsidRDefault="00BC5678">
      <w:pPr>
        <w:pStyle w:val="TOC3"/>
        <w:rPr>
          <w:rFonts w:asciiTheme="minorHAnsi" w:eastAsiaTheme="minorEastAsia" w:hAnsiTheme="minorHAnsi" w:cstheme="minorBidi"/>
          <w:noProof/>
          <w:sz w:val="22"/>
          <w:szCs w:val="22"/>
          <w:lang w:eastAsia="en-NZ"/>
        </w:rPr>
      </w:pPr>
      <w:hyperlink w:anchor="_Toc2845630" w:history="1">
        <w:r w:rsidRPr="001009DB">
          <w:rPr>
            <w:rStyle w:val="Hyperlink"/>
            <w:noProof/>
          </w:rPr>
          <w:t>Victims of crime interagency working group</w:t>
        </w:r>
        <w:r>
          <w:rPr>
            <w:noProof/>
            <w:webHidden/>
          </w:rPr>
          <w:tab/>
        </w:r>
        <w:r>
          <w:rPr>
            <w:noProof/>
            <w:webHidden/>
          </w:rPr>
          <w:fldChar w:fldCharType="begin"/>
        </w:r>
        <w:r>
          <w:rPr>
            <w:noProof/>
            <w:webHidden/>
          </w:rPr>
          <w:instrText xml:space="preserve"> PAGEREF _Toc2845630 \h </w:instrText>
        </w:r>
        <w:r>
          <w:rPr>
            <w:noProof/>
            <w:webHidden/>
          </w:rPr>
        </w:r>
        <w:r>
          <w:rPr>
            <w:noProof/>
            <w:webHidden/>
          </w:rPr>
          <w:fldChar w:fldCharType="separate"/>
        </w:r>
        <w:r>
          <w:rPr>
            <w:noProof/>
            <w:webHidden/>
          </w:rPr>
          <w:t>12</w:t>
        </w:r>
        <w:r>
          <w:rPr>
            <w:noProof/>
            <w:webHidden/>
          </w:rPr>
          <w:fldChar w:fldCharType="end"/>
        </w:r>
      </w:hyperlink>
    </w:p>
    <w:p w14:paraId="20D1C6D5" w14:textId="77777777" w:rsidR="00BC5678" w:rsidRDefault="00BC5678">
      <w:pPr>
        <w:pStyle w:val="TOC3"/>
        <w:rPr>
          <w:rFonts w:asciiTheme="minorHAnsi" w:eastAsiaTheme="minorEastAsia" w:hAnsiTheme="minorHAnsi" w:cstheme="minorBidi"/>
          <w:noProof/>
          <w:sz w:val="22"/>
          <w:szCs w:val="22"/>
          <w:lang w:eastAsia="en-NZ"/>
        </w:rPr>
      </w:pPr>
      <w:hyperlink w:anchor="_Toc2845631" w:history="1">
        <w:r w:rsidRPr="001009DB">
          <w:rPr>
            <w:rStyle w:val="Hyperlink"/>
            <w:noProof/>
          </w:rPr>
          <w:t>Nova Trust</w:t>
        </w:r>
        <w:r>
          <w:rPr>
            <w:noProof/>
            <w:webHidden/>
          </w:rPr>
          <w:tab/>
        </w:r>
        <w:r>
          <w:rPr>
            <w:noProof/>
            <w:webHidden/>
          </w:rPr>
          <w:fldChar w:fldCharType="begin"/>
        </w:r>
        <w:r>
          <w:rPr>
            <w:noProof/>
            <w:webHidden/>
          </w:rPr>
          <w:instrText xml:space="preserve"> PAGEREF _Toc2845631 \h </w:instrText>
        </w:r>
        <w:r>
          <w:rPr>
            <w:noProof/>
            <w:webHidden/>
          </w:rPr>
        </w:r>
        <w:r>
          <w:rPr>
            <w:noProof/>
            <w:webHidden/>
          </w:rPr>
          <w:fldChar w:fldCharType="separate"/>
        </w:r>
        <w:r>
          <w:rPr>
            <w:noProof/>
            <w:webHidden/>
          </w:rPr>
          <w:t>12</w:t>
        </w:r>
        <w:r>
          <w:rPr>
            <w:noProof/>
            <w:webHidden/>
          </w:rPr>
          <w:fldChar w:fldCharType="end"/>
        </w:r>
      </w:hyperlink>
    </w:p>
    <w:p w14:paraId="2AC5983F" w14:textId="77777777" w:rsidR="00BC5678" w:rsidRDefault="00BC5678">
      <w:pPr>
        <w:pStyle w:val="TOC2"/>
        <w:rPr>
          <w:rFonts w:asciiTheme="minorHAnsi" w:eastAsiaTheme="minorEastAsia" w:hAnsiTheme="minorHAnsi" w:cstheme="minorBidi"/>
          <w:noProof/>
          <w:szCs w:val="22"/>
          <w:lang w:eastAsia="en-NZ"/>
        </w:rPr>
      </w:pPr>
      <w:hyperlink w:anchor="_Toc2845632" w:history="1">
        <w:r w:rsidRPr="001009DB">
          <w:rPr>
            <w:rStyle w:val="Hyperlink"/>
            <w:noProof/>
          </w:rPr>
          <w:t>Social initiatives</w:t>
        </w:r>
        <w:r>
          <w:rPr>
            <w:noProof/>
            <w:webHidden/>
          </w:rPr>
          <w:tab/>
        </w:r>
        <w:r>
          <w:rPr>
            <w:noProof/>
            <w:webHidden/>
          </w:rPr>
          <w:fldChar w:fldCharType="begin"/>
        </w:r>
        <w:r>
          <w:rPr>
            <w:noProof/>
            <w:webHidden/>
          </w:rPr>
          <w:instrText xml:space="preserve"> PAGEREF _Toc2845632 \h </w:instrText>
        </w:r>
        <w:r>
          <w:rPr>
            <w:noProof/>
            <w:webHidden/>
          </w:rPr>
        </w:r>
        <w:r>
          <w:rPr>
            <w:noProof/>
            <w:webHidden/>
          </w:rPr>
          <w:fldChar w:fldCharType="separate"/>
        </w:r>
        <w:r>
          <w:rPr>
            <w:noProof/>
            <w:webHidden/>
          </w:rPr>
          <w:t>13</w:t>
        </w:r>
        <w:r>
          <w:rPr>
            <w:noProof/>
            <w:webHidden/>
          </w:rPr>
          <w:fldChar w:fldCharType="end"/>
        </w:r>
      </w:hyperlink>
    </w:p>
    <w:p w14:paraId="796E6B92" w14:textId="77777777" w:rsidR="00BC5678" w:rsidRDefault="00BC5678">
      <w:pPr>
        <w:pStyle w:val="TOC2"/>
        <w:rPr>
          <w:rFonts w:asciiTheme="minorHAnsi" w:eastAsiaTheme="minorEastAsia" w:hAnsiTheme="minorHAnsi" w:cstheme="minorBidi"/>
          <w:noProof/>
          <w:szCs w:val="22"/>
          <w:lang w:eastAsia="en-NZ"/>
        </w:rPr>
      </w:pPr>
      <w:hyperlink w:anchor="_Toc2845633" w:history="1">
        <w:r w:rsidRPr="001009DB">
          <w:rPr>
            <w:rStyle w:val="Hyperlink"/>
            <w:noProof/>
          </w:rPr>
          <w:t>The Prime Minister’s Youth Mental Health Project</w:t>
        </w:r>
        <w:r>
          <w:rPr>
            <w:noProof/>
            <w:webHidden/>
          </w:rPr>
          <w:tab/>
        </w:r>
        <w:r>
          <w:rPr>
            <w:noProof/>
            <w:webHidden/>
          </w:rPr>
          <w:fldChar w:fldCharType="begin"/>
        </w:r>
        <w:r>
          <w:rPr>
            <w:noProof/>
            <w:webHidden/>
          </w:rPr>
          <w:instrText xml:space="preserve"> PAGEREF _Toc2845633 \h </w:instrText>
        </w:r>
        <w:r>
          <w:rPr>
            <w:noProof/>
            <w:webHidden/>
          </w:rPr>
        </w:r>
        <w:r>
          <w:rPr>
            <w:noProof/>
            <w:webHidden/>
          </w:rPr>
          <w:fldChar w:fldCharType="separate"/>
        </w:r>
        <w:r>
          <w:rPr>
            <w:noProof/>
            <w:webHidden/>
          </w:rPr>
          <w:t>13</w:t>
        </w:r>
        <w:r>
          <w:rPr>
            <w:noProof/>
            <w:webHidden/>
          </w:rPr>
          <w:fldChar w:fldCharType="end"/>
        </w:r>
      </w:hyperlink>
    </w:p>
    <w:p w14:paraId="1C21B335" w14:textId="77777777" w:rsidR="00BC5678" w:rsidRDefault="00BC5678">
      <w:pPr>
        <w:pStyle w:val="TOC2"/>
        <w:rPr>
          <w:rFonts w:asciiTheme="minorHAnsi" w:eastAsiaTheme="minorEastAsia" w:hAnsiTheme="minorHAnsi" w:cstheme="minorBidi"/>
          <w:noProof/>
          <w:szCs w:val="22"/>
          <w:lang w:eastAsia="en-NZ"/>
        </w:rPr>
      </w:pPr>
      <w:hyperlink w:anchor="_Toc2845634" w:history="1">
        <w:r w:rsidRPr="001009DB">
          <w:rPr>
            <w:rStyle w:val="Hyperlink"/>
            <w:noProof/>
          </w:rPr>
          <w:t>Response to Christchurch earthquake 2011</w:t>
        </w:r>
        <w:r>
          <w:rPr>
            <w:noProof/>
            <w:webHidden/>
          </w:rPr>
          <w:tab/>
        </w:r>
        <w:r>
          <w:rPr>
            <w:noProof/>
            <w:webHidden/>
          </w:rPr>
          <w:fldChar w:fldCharType="begin"/>
        </w:r>
        <w:r>
          <w:rPr>
            <w:noProof/>
            <w:webHidden/>
          </w:rPr>
          <w:instrText xml:space="preserve"> PAGEREF _Toc2845634 \h </w:instrText>
        </w:r>
        <w:r>
          <w:rPr>
            <w:noProof/>
            <w:webHidden/>
          </w:rPr>
        </w:r>
        <w:r>
          <w:rPr>
            <w:noProof/>
            <w:webHidden/>
          </w:rPr>
          <w:fldChar w:fldCharType="separate"/>
        </w:r>
        <w:r>
          <w:rPr>
            <w:noProof/>
            <w:webHidden/>
          </w:rPr>
          <w:t>14</w:t>
        </w:r>
        <w:r>
          <w:rPr>
            <w:noProof/>
            <w:webHidden/>
          </w:rPr>
          <w:fldChar w:fldCharType="end"/>
        </w:r>
      </w:hyperlink>
    </w:p>
    <w:p w14:paraId="53E4B2C6" w14:textId="77777777" w:rsidR="00BC5678" w:rsidRDefault="00BC5678">
      <w:pPr>
        <w:pStyle w:val="TOC2"/>
        <w:rPr>
          <w:rFonts w:asciiTheme="minorHAnsi" w:eastAsiaTheme="minorEastAsia" w:hAnsiTheme="minorHAnsi" w:cstheme="minorBidi"/>
          <w:noProof/>
          <w:szCs w:val="22"/>
          <w:lang w:eastAsia="en-NZ"/>
        </w:rPr>
      </w:pPr>
      <w:hyperlink w:anchor="_Toc2845635" w:history="1">
        <w:r w:rsidRPr="001009DB">
          <w:rPr>
            <w:rStyle w:val="Hyperlink"/>
            <w:noProof/>
          </w:rPr>
          <w:t>Response to Kaikoura earthquake 2016</w:t>
        </w:r>
        <w:r>
          <w:rPr>
            <w:noProof/>
            <w:webHidden/>
          </w:rPr>
          <w:tab/>
        </w:r>
        <w:r>
          <w:rPr>
            <w:noProof/>
            <w:webHidden/>
          </w:rPr>
          <w:fldChar w:fldCharType="begin"/>
        </w:r>
        <w:r>
          <w:rPr>
            <w:noProof/>
            <w:webHidden/>
          </w:rPr>
          <w:instrText xml:space="preserve"> PAGEREF _Toc2845635 \h </w:instrText>
        </w:r>
        <w:r>
          <w:rPr>
            <w:noProof/>
            <w:webHidden/>
          </w:rPr>
        </w:r>
        <w:r>
          <w:rPr>
            <w:noProof/>
            <w:webHidden/>
          </w:rPr>
          <w:fldChar w:fldCharType="separate"/>
        </w:r>
        <w:r>
          <w:rPr>
            <w:noProof/>
            <w:webHidden/>
          </w:rPr>
          <w:t>14</w:t>
        </w:r>
        <w:r>
          <w:rPr>
            <w:noProof/>
            <w:webHidden/>
          </w:rPr>
          <w:fldChar w:fldCharType="end"/>
        </w:r>
      </w:hyperlink>
    </w:p>
    <w:p w14:paraId="07AB2A74" w14:textId="77777777" w:rsidR="00BC5678" w:rsidRDefault="00BC5678">
      <w:pPr>
        <w:pStyle w:val="TOC2"/>
        <w:rPr>
          <w:rFonts w:asciiTheme="minorHAnsi" w:eastAsiaTheme="minorEastAsia" w:hAnsiTheme="minorHAnsi" w:cstheme="minorBidi"/>
          <w:noProof/>
          <w:szCs w:val="22"/>
          <w:lang w:eastAsia="en-NZ"/>
        </w:rPr>
      </w:pPr>
      <w:hyperlink w:anchor="_Toc2845636" w:history="1">
        <w:r w:rsidRPr="001009DB">
          <w:rPr>
            <w:rStyle w:val="Hyperlink"/>
            <w:noProof/>
          </w:rPr>
          <w:t>Fixated Threat Assessment Centre pilot</w:t>
        </w:r>
        <w:r>
          <w:rPr>
            <w:noProof/>
            <w:webHidden/>
          </w:rPr>
          <w:tab/>
        </w:r>
        <w:r>
          <w:rPr>
            <w:noProof/>
            <w:webHidden/>
          </w:rPr>
          <w:fldChar w:fldCharType="begin"/>
        </w:r>
        <w:r>
          <w:rPr>
            <w:noProof/>
            <w:webHidden/>
          </w:rPr>
          <w:instrText xml:space="preserve"> PAGEREF _Toc2845636 \h </w:instrText>
        </w:r>
        <w:r>
          <w:rPr>
            <w:noProof/>
            <w:webHidden/>
          </w:rPr>
        </w:r>
        <w:r>
          <w:rPr>
            <w:noProof/>
            <w:webHidden/>
          </w:rPr>
          <w:fldChar w:fldCharType="separate"/>
        </w:r>
        <w:r>
          <w:rPr>
            <w:noProof/>
            <w:webHidden/>
          </w:rPr>
          <w:t>15</w:t>
        </w:r>
        <w:r>
          <w:rPr>
            <w:noProof/>
            <w:webHidden/>
          </w:rPr>
          <w:fldChar w:fldCharType="end"/>
        </w:r>
      </w:hyperlink>
    </w:p>
    <w:p w14:paraId="4C88536C" w14:textId="77777777" w:rsidR="00BC5678" w:rsidRDefault="00BC5678">
      <w:pPr>
        <w:pStyle w:val="TOC2"/>
        <w:rPr>
          <w:rFonts w:asciiTheme="minorHAnsi" w:eastAsiaTheme="minorEastAsia" w:hAnsiTheme="minorHAnsi" w:cstheme="minorBidi"/>
          <w:noProof/>
          <w:szCs w:val="22"/>
          <w:lang w:eastAsia="en-NZ"/>
        </w:rPr>
      </w:pPr>
      <w:hyperlink w:anchor="_Toc2845637" w:history="1">
        <w:r w:rsidRPr="001009DB">
          <w:rPr>
            <w:rStyle w:val="Hyperlink"/>
            <w:noProof/>
          </w:rPr>
          <w:t>Let’s get real</w:t>
        </w:r>
        <w:r>
          <w:rPr>
            <w:noProof/>
            <w:webHidden/>
          </w:rPr>
          <w:tab/>
        </w:r>
        <w:r>
          <w:rPr>
            <w:noProof/>
            <w:webHidden/>
          </w:rPr>
          <w:fldChar w:fldCharType="begin"/>
        </w:r>
        <w:r>
          <w:rPr>
            <w:noProof/>
            <w:webHidden/>
          </w:rPr>
          <w:instrText xml:space="preserve"> PAGEREF _Toc2845637 \h </w:instrText>
        </w:r>
        <w:r>
          <w:rPr>
            <w:noProof/>
            <w:webHidden/>
          </w:rPr>
        </w:r>
        <w:r>
          <w:rPr>
            <w:noProof/>
            <w:webHidden/>
          </w:rPr>
          <w:fldChar w:fldCharType="separate"/>
        </w:r>
        <w:r>
          <w:rPr>
            <w:noProof/>
            <w:webHidden/>
          </w:rPr>
          <w:t>15</w:t>
        </w:r>
        <w:r>
          <w:rPr>
            <w:noProof/>
            <w:webHidden/>
          </w:rPr>
          <w:fldChar w:fldCharType="end"/>
        </w:r>
      </w:hyperlink>
    </w:p>
    <w:p w14:paraId="24F52151" w14:textId="77777777" w:rsidR="00BC5678" w:rsidRDefault="00BC5678">
      <w:pPr>
        <w:pStyle w:val="TOC2"/>
        <w:rPr>
          <w:rFonts w:asciiTheme="minorHAnsi" w:eastAsiaTheme="minorEastAsia" w:hAnsiTheme="minorHAnsi" w:cstheme="minorBidi"/>
          <w:noProof/>
          <w:szCs w:val="22"/>
          <w:lang w:eastAsia="en-NZ"/>
        </w:rPr>
      </w:pPr>
      <w:hyperlink w:anchor="_Toc2845638" w:history="1">
        <w:r w:rsidRPr="001009DB">
          <w:rPr>
            <w:rStyle w:val="Hyperlink"/>
            <w:noProof/>
          </w:rPr>
          <w:t>Equally Well</w:t>
        </w:r>
        <w:r>
          <w:rPr>
            <w:noProof/>
            <w:webHidden/>
          </w:rPr>
          <w:tab/>
        </w:r>
        <w:r>
          <w:rPr>
            <w:noProof/>
            <w:webHidden/>
          </w:rPr>
          <w:fldChar w:fldCharType="begin"/>
        </w:r>
        <w:r>
          <w:rPr>
            <w:noProof/>
            <w:webHidden/>
          </w:rPr>
          <w:instrText xml:space="preserve"> PAGEREF _Toc2845638 \h </w:instrText>
        </w:r>
        <w:r>
          <w:rPr>
            <w:noProof/>
            <w:webHidden/>
          </w:rPr>
        </w:r>
        <w:r>
          <w:rPr>
            <w:noProof/>
            <w:webHidden/>
          </w:rPr>
          <w:fldChar w:fldCharType="separate"/>
        </w:r>
        <w:r>
          <w:rPr>
            <w:noProof/>
            <w:webHidden/>
          </w:rPr>
          <w:t>16</w:t>
        </w:r>
        <w:r>
          <w:rPr>
            <w:noProof/>
            <w:webHidden/>
          </w:rPr>
          <w:fldChar w:fldCharType="end"/>
        </w:r>
      </w:hyperlink>
    </w:p>
    <w:p w14:paraId="6B0BD40D" w14:textId="77777777" w:rsidR="00BC5678" w:rsidRDefault="00BC5678">
      <w:pPr>
        <w:pStyle w:val="TOC2"/>
        <w:rPr>
          <w:rFonts w:asciiTheme="minorHAnsi" w:eastAsiaTheme="minorEastAsia" w:hAnsiTheme="minorHAnsi" w:cstheme="minorBidi"/>
          <w:noProof/>
          <w:szCs w:val="22"/>
          <w:lang w:eastAsia="en-NZ"/>
        </w:rPr>
      </w:pPr>
      <w:hyperlink w:anchor="_Toc2845639" w:history="1">
        <w:r w:rsidRPr="001009DB">
          <w:rPr>
            <w:rStyle w:val="Hyperlink"/>
            <w:noProof/>
          </w:rPr>
          <w:t>Strategies for suicide prevention in New Zealand</w:t>
        </w:r>
        <w:r>
          <w:rPr>
            <w:noProof/>
            <w:webHidden/>
          </w:rPr>
          <w:tab/>
        </w:r>
        <w:r>
          <w:rPr>
            <w:noProof/>
            <w:webHidden/>
          </w:rPr>
          <w:fldChar w:fldCharType="begin"/>
        </w:r>
        <w:r>
          <w:rPr>
            <w:noProof/>
            <w:webHidden/>
          </w:rPr>
          <w:instrText xml:space="preserve"> PAGEREF _Toc2845639 \h </w:instrText>
        </w:r>
        <w:r>
          <w:rPr>
            <w:noProof/>
            <w:webHidden/>
          </w:rPr>
        </w:r>
        <w:r>
          <w:rPr>
            <w:noProof/>
            <w:webHidden/>
          </w:rPr>
          <w:fldChar w:fldCharType="separate"/>
        </w:r>
        <w:r>
          <w:rPr>
            <w:noProof/>
            <w:webHidden/>
          </w:rPr>
          <w:t>17</w:t>
        </w:r>
        <w:r>
          <w:rPr>
            <w:noProof/>
            <w:webHidden/>
          </w:rPr>
          <w:fldChar w:fldCharType="end"/>
        </w:r>
      </w:hyperlink>
    </w:p>
    <w:p w14:paraId="3FD2D655" w14:textId="77777777" w:rsidR="00BC5678" w:rsidRDefault="00BC5678">
      <w:pPr>
        <w:pStyle w:val="TOC3"/>
        <w:rPr>
          <w:rFonts w:asciiTheme="minorHAnsi" w:eastAsiaTheme="minorEastAsia" w:hAnsiTheme="minorHAnsi" w:cstheme="minorBidi"/>
          <w:noProof/>
          <w:sz w:val="22"/>
          <w:szCs w:val="22"/>
          <w:lang w:eastAsia="en-NZ"/>
        </w:rPr>
      </w:pPr>
      <w:hyperlink w:anchor="_Toc2845640" w:history="1">
        <w:r w:rsidRPr="001009DB">
          <w:rPr>
            <w:rStyle w:val="Hyperlink"/>
            <w:noProof/>
          </w:rPr>
          <w:t>LifeKeepers</w:t>
        </w:r>
        <w:r>
          <w:rPr>
            <w:noProof/>
            <w:webHidden/>
          </w:rPr>
          <w:tab/>
        </w:r>
        <w:r>
          <w:rPr>
            <w:noProof/>
            <w:webHidden/>
          </w:rPr>
          <w:fldChar w:fldCharType="begin"/>
        </w:r>
        <w:r>
          <w:rPr>
            <w:noProof/>
            <w:webHidden/>
          </w:rPr>
          <w:instrText xml:space="preserve"> PAGEREF _Toc2845640 \h </w:instrText>
        </w:r>
        <w:r>
          <w:rPr>
            <w:noProof/>
            <w:webHidden/>
          </w:rPr>
        </w:r>
        <w:r>
          <w:rPr>
            <w:noProof/>
            <w:webHidden/>
          </w:rPr>
          <w:fldChar w:fldCharType="separate"/>
        </w:r>
        <w:r>
          <w:rPr>
            <w:noProof/>
            <w:webHidden/>
          </w:rPr>
          <w:t>17</w:t>
        </w:r>
        <w:r>
          <w:rPr>
            <w:noProof/>
            <w:webHidden/>
          </w:rPr>
          <w:fldChar w:fldCharType="end"/>
        </w:r>
      </w:hyperlink>
    </w:p>
    <w:p w14:paraId="16754C07" w14:textId="77777777" w:rsidR="00BC5678" w:rsidRDefault="00BC5678">
      <w:pPr>
        <w:pStyle w:val="TOC3"/>
        <w:rPr>
          <w:rFonts w:asciiTheme="minorHAnsi" w:eastAsiaTheme="minorEastAsia" w:hAnsiTheme="minorHAnsi" w:cstheme="minorBidi"/>
          <w:noProof/>
          <w:sz w:val="22"/>
          <w:szCs w:val="22"/>
          <w:lang w:eastAsia="en-NZ"/>
        </w:rPr>
      </w:pPr>
      <w:hyperlink w:anchor="_Toc2845641" w:history="1">
        <w:r w:rsidRPr="001009DB">
          <w:rPr>
            <w:rStyle w:val="Hyperlink"/>
            <w:noProof/>
          </w:rPr>
          <w:t>Waka Hourua</w:t>
        </w:r>
        <w:r>
          <w:rPr>
            <w:noProof/>
            <w:webHidden/>
          </w:rPr>
          <w:tab/>
        </w:r>
        <w:r>
          <w:rPr>
            <w:noProof/>
            <w:webHidden/>
          </w:rPr>
          <w:fldChar w:fldCharType="begin"/>
        </w:r>
        <w:r>
          <w:rPr>
            <w:noProof/>
            <w:webHidden/>
          </w:rPr>
          <w:instrText xml:space="preserve"> PAGEREF _Toc2845641 \h </w:instrText>
        </w:r>
        <w:r>
          <w:rPr>
            <w:noProof/>
            <w:webHidden/>
          </w:rPr>
        </w:r>
        <w:r>
          <w:rPr>
            <w:noProof/>
            <w:webHidden/>
          </w:rPr>
          <w:fldChar w:fldCharType="separate"/>
        </w:r>
        <w:r>
          <w:rPr>
            <w:noProof/>
            <w:webHidden/>
          </w:rPr>
          <w:t>17</w:t>
        </w:r>
        <w:r>
          <w:rPr>
            <w:noProof/>
            <w:webHidden/>
          </w:rPr>
          <w:fldChar w:fldCharType="end"/>
        </w:r>
      </w:hyperlink>
    </w:p>
    <w:p w14:paraId="2CF27785" w14:textId="77777777" w:rsidR="00BC5678" w:rsidRDefault="00BC5678">
      <w:pPr>
        <w:pStyle w:val="TOC2"/>
        <w:rPr>
          <w:rFonts w:asciiTheme="minorHAnsi" w:eastAsiaTheme="minorEastAsia" w:hAnsiTheme="minorHAnsi" w:cstheme="minorBidi"/>
          <w:noProof/>
          <w:szCs w:val="22"/>
          <w:lang w:eastAsia="en-NZ"/>
        </w:rPr>
      </w:pPr>
      <w:hyperlink w:anchor="_Toc2845642" w:history="1">
        <w:r w:rsidRPr="001009DB">
          <w:rPr>
            <w:rStyle w:val="Hyperlink"/>
            <w:noProof/>
          </w:rPr>
          <w:t>Human Rights and the Mental Health Act: Action 9(d) of the Disability Action Plan 2014–2018</w:t>
        </w:r>
        <w:r>
          <w:rPr>
            <w:noProof/>
            <w:webHidden/>
          </w:rPr>
          <w:tab/>
        </w:r>
        <w:r>
          <w:rPr>
            <w:noProof/>
            <w:webHidden/>
          </w:rPr>
          <w:fldChar w:fldCharType="begin"/>
        </w:r>
        <w:r>
          <w:rPr>
            <w:noProof/>
            <w:webHidden/>
          </w:rPr>
          <w:instrText xml:space="preserve"> PAGEREF _Toc2845642 \h </w:instrText>
        </w:r>
        <w:r>
          <w:rPr>
            <w:noProof/>
            <w:webHidden/>
          </w:rPr>
        </w:r>
        <w:r>
          <w:rPr>
            <w:noProof/>
            <w:webHidden/>
          </w:rPr>
          <w:fldChar w:fldCharType="separate"/>
        </w:r>
        <w:r>
          <w:rPr>
            <w:noProof/>
            <w:webHidden/>
          </w:rPr>
          <w:t>18</w:t>
        </w:r>
        <w:r>
          <w:rPr>
            <w:noProof/>
            <w:webHidden/>
          </w:rPr>
          <w:fldChar w:fldCharType="end"/>
        </w:r>
      </w:hyperlink>
    </w:p>
    <w:p w14:paraId="6CDFEE06" w14:textId="77777777" w:rsidR="00BC5678" w:rsidRDefault="00BC5678">
      <w:pPr>
        <w:pStyle w:val="TOC2"/>
        <w:rPr>
          <w:rFonts w:asciiTheme="minorHAnsi" w:eastAsiaTheme="minorEastAsia" w:hAnsiTheme="minorHAnsi" w:cstheme="minorBidi"/>
          <w:noProof/>
          <w:szCs w:val="22"/>
          <w:lang w:eastAsia="en-NZ"/>
        </w:rPr>
      </w:pPr>
      <w:hyperlink w:anchor="_Toc2845643" w:history="1">
        <w:r w:rsidRPr="001009DB">
          <w:rPr>
            <w:rStyle w:val="Hyperlink"/>
            <w:noProof/>
          </w:rPr>
          <w:t>Guidelines</w:t>
        </w:r>
        <w:r>
          <w:rPr>
            <w:noProof/>
            <w:webHidden/>
          </w:rPr>
          <w:tab/>
        </w:r>
        <w:r>
          <w:rPr>
            <w:noProof/>
            <w:webHidden/>
          </w:rPr>
          <w:fldChar w:fldCharType="begin"/>
        </w:r>
        <w:r>
          <w:rPr>
            <w:noProof/>
            <w:webHidden/>
          </w:rPr>
          <w:instrText xml:space="preserve"> PAGEREF _Toc2845643 \h </w:instrText>
        </w:r>
        <w:r>
          <w:rPr>
            <w:noProof/>
            <w:webHidden/>
          </w:rPr>
        </w:r>
        <w:r>
          <w:rPr>
            <w:noProof/>
            <w:webHidden/>
          </w:rPr>
          <w:fldChar w:fldCharType="separate"/>
        </w:r>
        <w:r>
          <w:rPr>
            <w:noProof/>
            <w:webHidden/>
          </w:rPr>
          <w:t>19</w:t>
        </w:r>
        <w:r>
          <w:rPr>
            <w:noProof/>
            <w:webHidden/>
          </w:rPr>
          <w:fldChar w:fldCharType="end"/>
        </w:r>
      </w:hyperlink>
    </w:p>
    <w:p w14:paraId="65BB4BAC" w14:textId="77777777" w:rsidR="00BC5678" w:rsidRDefault="00BC5678">
      <w:pPr>
        <w:pStyle w:val="TOC3"/>
        <w:rPr>
          <w:rFonts w:asciiTheme="minorHAnsi" w:eastAsiaTheme="minorEastAsia" w:hAnsiTheme="minorHAnsi" w:cstheme="minorBidi"/>
          <w:noProof/>
          <w:sz w:val="22"/>
          <w:szCs w:val="22"/>
          <w:lang w:eastAsia="en-NZ"/>
        </w:rPr>
      </w:pPr>
      <w:hyperlink w:anchor="_Toc2845644" w:history="1">
        <w:r w:rsidRPr="001009DB">
          <w:rPr>
            <w:rStyle w:val="Hyperlink"/>
            <w:noProof/>
          </w:rPr>
          <w:t>Special patient guidelines</w:t>
        </w:r>
        <w:r>
          <w:rPr>
            <w:noProof/>
            <w:webHidden/>
          </w:rPr>
          <w:tab/>
        </w:r>
        <w:r>
          <w:rPr>
            <w:noProof/>
            <w:webHidden/>
          </w:rPr>
          <w:fldChar w:fldCharType="begin"/>
        </w:r>
        <w:r>
          <w:rPr>
            <w:noProof/>
            <w:webHidden/>
          </w:rPr>
          <w:instrText xml:space="preserve"> PAGEREF _Toc2845644 \h </w:instrText>
        </w:r>
        <w:r>
          <w:rPr>
            <w:noProof/>
            <w:webHidden/>
          </w:rPr>
        </w:r>
        <w:r>
          <w:rPr>
            <w:noProof/>
            <w:webHidden/>
          </w:rPr>
          <w:fldChar w:fldCharType="separate"/>
        </w:r>
        <w:r>
          <w:rPr>
            <w:noProof/>
            <w:webHidden/>
          </w:rPr>
          <w:t>19</w:t>
        </w:r>
        <w:r>
          <w:rPr>
            <w:noProof/>
            <w:webHidden/>
          </w:rPr>
          <w:fldChar w:fldCharType="end"/>
        </w:r>
      </w:hyperlink>
    </w:p>
    <w:p w14:paraId="5D52EA1D" w14:textId="77777777" w:rsidR="00BC5678" w:rsidRDefault="00BC5678">
      <w:pPr>
        <w:pStyle w:val="TOC3"/>
        <w:rPr>
          <w:rFonts w:asciiTheme="minorHAnsi" w:eastAsiaTheme="minorEastAsia" w:hAnsiTheme="minorHAnsi" w:cstheme="minorBidi"/>
          <w:noProof/>
          <w:sz w:val="22"/>
          <w:szCs w:val="22"/>
          <w:lang w:eastAsia="en-NZ"/>
        </w:rPr>
      </w:pPr>
      <w:hyperlink w:anchor="_Toc2845645" w:history="1">
        <w:r w:rsidRPr="001009DB">
          <w:rPr>
            <w:rStyle w:val="Hyperlink"/>
            <w:noProof/>
          </w:rPr>
          <w:t>Night safety procedures</w:t>
        </w:r>
        <w:r>
          <w:rPr>
            <w:noProof/>
            <w:webHidden/>
          </w:rPr>
          <w:tab/>
        </w:r>
        <w:r>
          <w:rPr>
            <w:noProof/>
            <w:webHidden/>
          </w:rPr>
          <w:fldChar w:fldCharType="begin"/>
        </w:r>
        <w:r>
          <w:rPr>
            <w:noProof/>
            <w:webHidden/>
          </w:rPr>
          <w:instrText xml:space="preserve"> PAGEREF _Toc2845645 \h </w:instrText>
        </w:r>
        <w:r>
          <w:rPr>
            <w:noProof/>
            <w:webHidden/>
          </w:rPr>
        </w:r>
        <w:r>
          <w:rPr>
            <w:noProof/>
            <w:webHidden/>
          </w:rPr>
          <w:fldChar w:fldCharType="separate"/>
        </w:r>
        <w:r>
          <w:rPr>
            <w:noProof/>
            <w:webHidden/>
          </w:rPr>
          <w:t>19</w:t>
        </w:r>
        <w:r>
          <w:rPr>
            <w:noProof/>
            <w:webHidden/>
          </w:rPr>
          <w:fldChar w:fldCharType="end"/>
        </w:r>
      </w:hyperlink>
    </w:p>
    <w:p w14:paraId="50EC3233" w14:textId="77777777" w:rsidR="00BC5678" w:rsidRDefault="00BC5678">
      <w:pPr>
        <w:pStyle w:val="TOC2"/>
        <w:rPr>
          <w:rFonts w:asciiTheme="minorHAnsi" w:eastAsiaTheme="minorEastAsia" w:hAnsiTheme="minorHAnsi" w:cstheme="minorBidi"/>
          <w:noProof/>
          <w:szCs w:val="22"/>
          <w:lang w:eastAsia="en-NZ"/>
        </w:rPr>
      </w:pPr>
      <w:hyperlink w:anchor="_Toc2845646" w:history="1">
        <w:r w:rsidRPr="001009DB">
          <w:rPr>
            <w:rStyle w:val="Hyperlink"/>
            <w:noProof/>
          </w:rPr>
          <w:t>Section 65 of the Land Transport Act 1998</w:t>
        </w:r>
        <w:r>
          <w:rPr>
            <w:noProof/>
            <w:webHidden/>
          </w:rPr>
          <w:tab/>
        </w:r>
        <w:r>
          <w:rPr>
            <w:noProof/>
            <w:webHidden/>
          </w:rPr>
          <w:fldChar w:fldCharType="begin"/>
        </w:r>
        <w:r>
          <w:rPr>
            <w:noProof/>
            <w:webHidden/>
          </w:rPr>
          <w:instrText xml:space="preserve"> PAGEREF _Toc2845646 \h </w:instrText>
        </w:r>
        <w:r>
          <w:rPr>
            <w:noProof/>
            <w:webHidden/>
          </w:rPr>
        </w:r>
        <w:r>
          <w:rPr>
            <w:noProof/>
            <w:webHidden/>
          </w:rPr>
          <w:fldChar w:fldCharType="separate"/>
        </w:r>
        <w:r>
          <w:rPr>
            <w:noProof/>
            <w:webHidden/>
          </w:rPr>
          <w:t>20</w:t>
        </w:r>
        <w:r>
          <w:rPr>
            <w:noProof/>
            <w:webHidden/>
          </w:rPr>
          <w:fldChar w:fldCharType="end"/>
        </w:r>
      </w:hyperlink>
    </w:p>
    <w:p w14:paraId="104EBC4D" w14:textId="77777777" w:rsidR="00BC5678" w:rsidRDefault="00BC5678">
      <w:pPr>
        <w:pStyle w:val="TOC2"/>
        <w:rPr>
          <w:rFonts w:asciiTheme="minorHAnsi" w:eastAsiaTheme="minorEastAsia" w:hAnsiTheme="minorHAnsi" w:cstheme="minorBidi"/>
          <w:noProof/>
          <w:szCs w:val="22"/>
          <w:lang w:eastAsia="en-NZ"/>
        </w:rPr>
      </w:pPr>
      <w:hyperlink w:anchor="_Toc2845647" w:history="1">
        <w:r w:rsidRPr="001009DB">
          <w:rPr>
            <w:rStyle w:val="Hyperlink"/>
            <w:noProof/>
          </w:rPr>
          <w:t>Appointment of statutory roles</w:t>
        </w:r>
        <w:r>
          <w:rPr>
            <w:noProof/>
            <w:webHidden/>
          </w:rPr>
          <w:tab/>
        </w:r>
        <w:r>
          <w:rPr>
            <w:noProof/>
            <w:webHidden/>
          </w:rPr>
          <w:fldChar w:fldCharType="begin"/>
        </w:r>
        <w:r>
          <w:rPr>
            <w:noProof/>
            <w:webHidden/>
          </w:rPr>
          <w:instrText xml:space="preserve"> PAGEREF _Toc2845647 \h </w:instrText>
        </w:r>
        <w:r>
          <w:rPr>
            <w:noProof/>
            <w:webHidden/>
          </w:rPr>
        </w:r>
        <w:r>
          <w:rPr>
            <w:noProof/>
            <w:webHidden/>
          </w:rPr>
          <w:fldChar w:fldCharType="separate"/>
        </w:r>
        <w:r>
          <w:rPr>
            <w:noProof/>
            <w:webHidden/>
          </w:rPr>
          <w:t>21</w:t>
        </w:r>
        <w:r>
          <w:rPr>
            <w:noProof/>
            <w:webHidden/>
          </w:rPr>
          <w:fldChar w:fldCharType="end"/>
        </w:r>
      </w:hyperlink>
    </w:p>
    <w:p w14:paraId="379A8D6C" w14:textId="77777777" w:rsidR="00BC5678" w:rsidRDefault="00BC5678">
      <w:pPr>
        <w:pStyle w:val="TOC3"/>
        <w:rPr>
          <w:rFonts w:asciiTheme="minorHAnsi" w:eastAsiaTheme="minorEastAsia" w:hAnsiTheme="minorHAnsi" w:cstheme="minorBidi"/>
          <w:noProof/>
          <w:sz w:val="22"/>
          <w:szCs w:val="22"/>
          <w:lang w:eastAsia="en-NZ"/>
        </w:rPr>
      </w:pPr>
      <w:hyperlink w:anchor="_Toc2845648" w:history="1">
        <w:r w:rsidRPr="001009DB">
          <w:rPr>
            <w:rStyle w:val="Hyperlink"/>
            <w:noProof/>
          </w:rPr>
          <w:t>District inspectors under the Mental Health Act</w:t>
        </w:r>
        <w:r>
          <w:rPr>
            <w:noProof/>
            <w:webHidden/>
          </w:rPr>
          <w:tab/>
        </w:r>
        <w:r>
          <w:rPr>
            <w:noProof/>
            <w:webHidden/>
          </w:rPr>
          <w:fldChar w:fldCharType="begin"/>
        </w:r>
        <w:r>
          <w:rPr>
            <w:noProof/>
            <w:webHidden/>
          </w:rPr>
          <w:instrText xml:space="preserve"> PAGEREF _Toc2845648 \h </w:instrText>
        </w:r>
        <w:r>
          <w:rPr>
            <w:noProof/>
            <w:webHidden/>
          </w:rPr>
        </w:r>
        <w:r>
          <w:rPr>
            <w:noProof/>
            <w:webHidden/>
          </w:rPr>
          <w:fldChar w:fldCharType="separate"/>
        </w:r>
        <w:r>
          <w:rPr>
            <w:noProof/>
            <w:webHidden/>
          </w:rPr>
          <w:t>21</w:t>
        </w:r>
        <w:r>
          <w:rPr>
            <w:noProof/>
            <w:webHidden/>
          </w:rPr>
          <w:fldChar w:fldCharType="end"/>
        </w:r>
      </w:hyperlink>
    </w:p>
    <w:p w14:paraId="3F302B98" w14:textId="77777777" w:rsidR="00BC5678" w:rsidRDefault="00BC5678">
      <w:pPr>
        <w:pStyle w:val="TOC3"/>
        <w:rPr>
          <w:rFonts w:asciiTheme="minorHAnsi" w:eastAsiaTheme="minorEastAsia" w:hAnsiTheme="minorHAnsi" w:cstheme="minorBidi"/>
          <w:noProof/>
          <w:sz w:val="22"/>
          <w:szCs w:val="22"/>
          <w:lang w:eastAsia="en-NZ"/>
        </w:rPr>
      </w:pPr>
      <w:hyperlink w:anchor="_Toc2845649" w:history="1">
        <w:r w:rsidRPr="001009DB">
          <w:rPr>
            <w:rStyle w:val="Hyperlink"/>
            <w:noProof/>
          </w:rPr>
          <w:t>District inspectors under the Substance Addiction Act</w:t>
        </w:r>
        <w:r>
          <w:rPr>
            <w:noProof/>
            <w:webHidden/>
          </w:rPr>
          <w:tab/>
        </w:r>
        <w:r>
          <w:rPr>
            <w:noProof/>
            <w:webHidden/>
          </w:rPr>
          <w:fldChar w:fldCharType="begin"/>
        </w:r>
        <w:r>
          <w:rPr>
            <w:noProof/>
            <w:webHidden/>
          </w:rPr>
          <w:instrText xml:space="preserve"> PAGEREF _Toc2845649 \h </w:instrText>
        </w:r>
        <w:r>
          <w:rPr>
            <w:noProof/>
            <w:webHidden/>
          </w:rPr>
        </w:r>
        <w:r>
          <w:rPr>
            <w:noProof/>
            <w:webHidden/>
          </w:rPr>
          <w:fldChar w:fldCharType="separate"/>
        </w:r>
        <w:r>
          <w:rPr>
            <w:noProof/>
            <w:webHidden/>
          </w:rPr>
          <w:t>21</w:t>
        </w:r>
        <w:r>
          <w:rPr>
            <w:noProof/>
            <w:webHidden/>
          </w:rPr>
          <w:fldChar w:fldCharType="end"/>
        </w:r>
      </w:hyperlink>
    </w:p>
    <w:p w14:paraId="36054B5F" w14:textId="77777777" w:rsidR="00BC5678" w:rsidRDefault="00BC5678">
      <w:pPr>
        <w:pStyle w:val="TOC3"/>
        <w:rPr>
          <w:rFonts w:asciiTheme="minorHAnsi" w:eastAsiaTheme="minorEastAsia" w:hAnsiTheme="minorHAnsi" w:cstheme="minorBidi"/>
          <w:noProof/>
          <w:sz w:val="22"/>
          <w:szCs w:val="22"/>
          <w:lang w:eastAsia="en-NZ"/>
        </w:rPr>
      </w:pPr>
      <w:hyperlink w:anchor="_Toc2845650" w:history="1">
        <w:r w:rsidRPr="001009DB">
          <w:rPr>
            <w:rStyle w:val="Hyperlink"/>
            <w:noProof/>
          </w:rPr>
          <w:t>Directors of Area Addiction Services under the Substance Addiction Act</w:t>
        </w:r>
        <w:r>
          <w:rPr>
            <w:noProof/>
            <w:webHidden/>
          </w:rPr>
          <w:tab/>
        </w:r>
        <w:r>
          <w:rPr>
            <w:noProof/>
            <w:webHidden/>
          </w:rPr>
          <w:fldChar w:fldCharType="begin"/>
        </w:r>
        <w:r>
          <w:rPr>
            <w:noProof/>
            <w:webHidden/>
          </w:rPr>
          <w:instrText xml:space="preserve"> PAGEREF _Toc2845650 \h </w:instrText>
        </w:r>
        <w:r>
          <w:rPr>
            <w:noProof/>
            <w:webHidden/>
          </w:rPr>
        </w:r>
        <w:r>
          <w:rPr>
            <w:noProof/>
            <w:webHidden/>
          </w:rPr>
          <w:fldChar w:fldCharType="separate"/>
        </w:r>
        <w:r>
          <w:rPr>
            <w:noProof/>
            <w:webHidden/>
          </w:rPr>
          <w:t>21</w:t>
        </w:r>
        <w:r>
          <w:rPr>
            <w:noProof/>
            <w:webHidden/>
          </w:rPr>
          <w:fldChar w:fldCharType="end"/>
        </w:r>
      </w:hyperlink>
    </w:p>
    <w:p w14:paraId="04295D99" w14:textId="77777777" w:rsidR="00BC5678" w:rsidRDefault="00BC5678">
      <w:pPr>
        <w:pStyle w:val="TOC3"/>
        <w:rPr>
          <w:rFonts w:asciiTheme="minorHAnsi" w:eastAsiaTheme="minorEastAsia" w:hAnsiTheme="minorHAnsi" w:cstheme="minorBidi"/>
          <w:noProof/>
          <w:sz w:val="22"/>
          <w:szCs w:val="22"/>
          <w:lang w:eastAsia="en-NZ"/>
        </w:rPr>
      </w:pPr>
      <w:hyperlink w:anchor="_Toc2845651" w:history="1">
        <w:r w:rsidRPr="001009DB">
          <w:rPr>
            <w:rStyle w:val="Hyperlink"/>
            <w:noProof/>
          </w:rPr>
          <w:t>Approval of opioid substitution treatment services</w:t>
        </w:r>
        <w:r>
          <w:rPr>
            <w:noProof/>
            <w:webHidden/>
          </w:rPr>
          <w:tab/>
        </w:r>
        <w:r>
          <w:rPr>
            <w:noProof/>
            <w:webHidden/>
          </w:rPr>
          <w:fldChar w:fldCharType="begin"/>
        </w:r>
        <w:r>
          <w:rPr>
            <w:noProof/>
            <w:webHidden/>
          </w:rPr>
          <w:instrText xml:space="preserve"> PAGEREF _Toc2845651 \h </w:instrText>
        </w:r>
        <w:r>
          <w:rPr>
            <w:noProof/>
            <w:webHidden/>
          </w:rPr>
        </w:r>
        <w:r>
          <w:rPr>
            <w:noProof/>
            <w:webHidden/>
          </w:rPr>
          <w:fldChar w:fldCharType="separate"/>
        </w:r>
        <w:r>
          <w:rPr>
            <w:noProof/>
            <w:webHidden/>
          </w:rPr>
          <w:t>21</w:t>
        </w:r>
        <w:r>
          <w:rPr>
            <w:noProof/>
            <w:webHidden/>
          </w:rPr>
          <w:fldChar w:fldCharType="end"/>
        </w:r>
      </w:hyperlink>
    </w:p>
    <w:p w14:paraId="41F86124" w14:textId="77777777" w:rsidR="00BC5678" w:rsidRDefault="00BC5678">
      <w:pPr>
        <w:pStyle w:val="TOC2"/>
        <w:rPr>
          <w:rFonts w:asciiTheme="minorHAnsi" w:eastAsiaTheme="minorEastAsia" w:hAnsiTheme="minorHAnsi" w:cstheme="minorBidi"/>
          <w:noProof/>
          <w:szCs w:val="22"/>
          <w:lang w:eastAsia="en-NZ"/>
        </w:rPr>
      </w:pPr>
      <w:hyperlink w:anchor="_Toc2845652" w:history="1">
        <w:r w:rsidRPr="001009DB">
          <w:rPr>
            <w:rStyle w:val="Hyperlink"/>
            <w:noProof/>
          </w:rPr>
          <w:t>Office of the Auditor-General performance audit</w:t>
        </w:r>
        <w:r>
          <w:rPr>
            <w:noProof/>
            <w:webHidden/>
          </w:rPr>
          <w:tab/>
        </w:r>
        <w:r>
          <w:rPr>
            <w:noProof/>
            <w:webHidden/>
          </w:rPr>
          <w:fldChar w:fldCharType="begin"/>
        </w:r>
        <w:r>
          <w:rPr>
            <w:noProof/>
            <w:webHidden/>
          </w:rPr>
          <w:instrText xml:space="preserve"> PAGEREF _Toc2845652 \h </w:instrText>
        </w:r>
        <w:r>
          <w:rPr>
            <w:noProof/>
            <w:webHidden/>
          </w:rPr>
        </w:r>
        <w:r>
          <w:rPr>
            <w:noProof/>
            <w:webHidden/>
          </w:rPr>
          <w:fldChar w:fldCharType="separate"/>
        </w:r>
        <w:r>
          <w:rPr>
            <w:noProof/>
            <w:webHidden/>
          </w:rPr>
          <w:t>22</w:t>
        </w:r>
        <w:r>
          <w:rPr>
            <w:noProof/>
            <w:webHidden/>
          </w:rPr>
          <w:fldChar w:fldCharType="end"/>
        </w:r>
      </w:hyperlink>
    </w:p>
    <w:p w14:paraId="70B38282" w14:textId="77777777" w:rsidR="00BC5678" w:rsidRDefault="00BC5678">
      <w:pPr>
        <w:pStyle w:val="TOC1"/>
        <w:rPr>
          <w:rFonts w:asciiTheme="minorHAnsi" w:eastAsiaTheme="minorEastAsia" w:hAnsiTheme="minorHAnsi" w:cstheme="minorBidi"/>
          <w:noProof/>
          <w:sz w:val="22"/>
          <w:szCs w:val="22"/>
          <w:lang w:eastAsia="en-NZ"/>
        </w:rPr>
      </w:pPr>
      <w:hyperlink w:anchor="_Toc2845653" w:history="1">
        <w:r w:rsidRPr="001009DB">
          <w:rPr>
            <w:rStyle w:val="Hyperlink"/>
            <w:noProof/>
          </w:rPr>
          <w:t>Ensuring service quality</w:t>
        </w:r>
        <w:r>
          <w:rPr>
            <w:noProof/>
            <w:webHidden/>
          </w:rPr>
          <w:tab/>
        </w:r>
        <w:r>
          <w:rPr>
            <w:noProof/>
            <w:webHidden/>
          </w:rPr>
          <w:fldChar w:fldCharType="begin"/>
        </w:r>
        <w:r>
          <w:rPr>
            <w:noProof/>
            <w:webHidden/>
          </w:rPr>
          <w:instrText xml:space="preserve"> PAGEREF _Toc2845653 \h </w:instrText>
        </w:r>
        <w:r>
          <w:rPr>
            <w:noProof/>
            <w:webHidden/>
          </w:rPr>
        </w:r>
        <w:r>
          <w:rPr>
            <w:noProof/>
            <w:webHidden/>
          </w:rPr>
          <w:fldChar w:fldCharType="separate"/>
        </w:r>
        <w:r>
          <w:rPr>
            <w:noProof/>
            <w:webHidden/>
          </w:rPr>
          <w:t>24</w:t>
        </w:r>
        <w:r>
          <w:rPr>
            <w:noProof/>
            <w:webHidden/>
          </w:rPr>
          <w:fldChar w:fldCharType="end"/>
        </w:r>
      </w:hyperlink>
    </w:p>
    <w:p w14:paraId="31A2ACAA" w14:textId="77777777" w:rsidR="00BC5678" w:rsidRDefault="00BC5678">
      <w:pPr>
        <w:pStyle w:val="TOC2"/>
        <w:rPr>
          <w:rFonts w:asciiTheme="minorHAnsi" w:eastAsiaTheme="minorEastAsia" w:hAnsiTheme="minorHAnsi" w:cstheme="minorBidi"/>
          <w:noProof/>
          <w:szCs w:val="22"/>
          <w:lang w:eastAsia="en-NZ"/>
        </w:rPr>
      </w:pPr>
      <w:hyperlink w:anchor="_Toc2845654" w:history="1">
        <w:r w:rsidRPr="001009DB">
          <w:rPr>
            <w:rStyle w:val="Hyperlink"/>
            <w:noProof/>
          </w:rPr>
          <w:t>Specialist mental health and addiction services</w:t>
        </w:r>
        <w:r>
          <w:rPr>
            <w:noProof/>
            <w:webHidden/>
          </w:rPr>
          <w:tab/>
        </w:r>
        <w:r>
          <w:rPr>
            <w:noProof/>
            <w:webHidden/>
          </w:rPr>
          <w:fldChar w:fldCharType="begin"/>
        </w:r>
        <w:r>
          <w:rPr>
            <w:noProof/>
            <w:webHidden/>
          </w:rPr>
          <w:instrText xml:space="preserve"> PAGEREF _Toc2845654 \h </w:instrText>
        </w:r>
        <w:r>
          <w:rPr>
            <w:noProof/>
            <w:webHidden/>
          </w:rPr>
        </w:r>
        <w:r>
          <w:rPr>
            <w:noProof/>
            <w:webHidden/>
          </w:rPr>
          <w:fldChar w:fldCharType="separate"/>
        </w:r>
        <w:r>
          <w:rPr>
            <w:noProof/>
            <w:webHidden/>
          </w:rPr>
          <w:t>24</w:t>
        </w:r>
        <w:r>
          <w:rPr>
            <w:noProof/>
            <w:webHidden/>
          </w:rPr>
          <w:fldChar w:fldCharType="end"/>
        </w:r>
      </w:hyperlink>
    </w:p>
    <w:p w14:paraId="48C6BDEA" w14:textId="77777777" w:rsidR="00BC5678" w:rsidRDefault="00BC5678">
      <w:pPr>
        <w:pStyle w:val="TOC3"/>
        <w:rPr>
          <w:rFonts w:asciiTheme="minorHAnsi" w:eastAsiaTheme="minorEastAsia" w:hAnsiTheme="minorHAnsi" w:cstheme="minorBidi"/>
          <w:noProof/>
          <w:sz w:val="22"/>
          <w:szCs w:val="22"/>
          <w:lang w:eastAsia="en-NZ"/>
        </w:rPr>
      </w:pPr>
      <w:hyperlink w:anchor="_Toc2845655" w:history="1">
        <w:r w:rsidRPr="001009DB">
          <w:rPr>
            <w:rStyle w:val="Hyperlink"/>
            <w:noProof/>
          </w:rPr>
          <w:t>Consumer experience</w:t>
        </w:r>
        <w:r>
          <w:rPr>
            <w:noProof/>
            <w:webHidden/>
          </w:rPr>
          <w:tab/>
        </w:r>
        <w:r>
          <w:rPr>
            <w:noProof/>
            <w:webHidden/>
          </w:rPr>
          <w:fldChar w:fldCharType="begin"/>
        </w:r>
        <w:r>
          <w:rPr>
            <w:noProof/>
            <w:webHidden/>
          </w:rPr>
          <w:instrText xml:space="preserve"> PAGEREF _Toc2845655 \h </w:instrText>
        </w:r>
        <w:r>
          <w:rPr>
            <w:noProof/>
            <w:webHidden/>
          </w:rPr>
        </w:r>
        <w:r>
          <w:rPr>
            <w:noProof/>
            <w:webHidden/>
          </w:rPr>
          <w:fldChar w:fldCharType="separate"/>
        </w:r>
        <w:r>
          <w:rPr>
            <w:noProof/>
            <w:webHidden/>
          </w:rPr>
          <w:t>24</w:t>
        </w:r>
        <w:r>
          <w:rPr>
            <w:noProof/>
            <w:webHidden/>
          </w:rPr>
          <w:fldChar w:fldCharType="end"/>
        </w:r>
      </w:hyperlink>
    </w:p>
    <w:p w14:paraId="0B7090C7" w14:textId="77777777" w:rsidR="00BC5678" w:rsidRDefault="00BC5678">
      <w:pPr>
        <w:pStyle w:val="TOC3"/>
        <w:rPr>
          <w:rFonts w:asciiTheme="minorHAnsi" w:eastAsiaTheme="minorEastAsia" w:hAnsiTheme="minorHAnsi" w:cstheme="minorBidi"/>
          <w:noProof/>
          <w:sz w:val="22"/>
          <w:szCs w:val="22"/>
          <w:lang w:eastAsia="en-NZ"/>
        </w:rPr>
      </w:pPr>
      <w:hyperlink w:anchor="_Toc2845656" w:history="1">
        <w:r w:rsidRPr="001009DB">
          <w:rPr>
            <w:rStyle w:val="Hyperlink"/>
            <w:noProof/>
          </w:rPr>
          <w:t>Survey results</w:t>
        </w:r>
        <w:r>
          <w:rPr>
            <w:noProof/>
            <w:webHidden/>
          </w:rPr>
          <w:tab/>
        </w:r>
        <w:r>
          <w:rPr>
            <w:noProof/>
            <w:webHidden/>
          </w:rPr>
          <w:fldChar w:fldCharType="begin"/>
        </w:r>
        <w:r>
          <w:rPr>
            <w:noProof/>
            <w:webHidden/>
          </w:rPr>
          <w:instrText xml:space="preserve"> PAGEREF _Toc2845656 \h </w:instrText>
        </w:r>
        <w:r>
          <w:rPr>
            <w:noProof/>
            <w:webHidden/>
          </w:rPr>
        </w:r>
        <w:r>
          <w:rPr>
            <w:noProof/>
            <w:webHidden/>
          </w:rPr>
          <w:fldChar w:fldCharType="separate"/>
        </w:r>
        <w:r>
          <w:rPr>
            <w:noProof/>
            <w:webHidden/>
          </w:rPr>
          <w:t>25</w:t>
        </w:r>
        <w:r>
          <w:rPr>
            <w:noProof/>
            <w:webHidden/>
          </w:rPr>
          <w:fldChar w:fldCharType="end"/>
        </w:r>
      </w:hyperlink>
    </w:p>
    <w:p w14:paraId="786EE2CE" w14:textId="77777777" w:rsidR="00BC5678" w:rsidRDefault="00BC5678">
      <w:pPr>
        <w:pStyle w:val="TOC3"/>
        <w:rPr>
          <w:rFonts w:asciiTheme="minorHAnsi" w:eastAsiaTheme="minorEastAsia" w:hAnsiTheme="minorHAnsi" w:cstheme="minorBidi"/>
          <w:noProof/>
          <w:sz w:val="22"/>
          <w:szCs w:val="22"/>
          <w:lang w:eastAsia="en-NZ"/>
        </w:rPr>
      </w:pPr>
      <w:hyperlink w:anchor="_Toc2845657" w:history="1">
        <w:r w:rsidRPr="001009DB">
          <w:rPr>
            <w:rStyle w:val="Hyperlink"/>
            <w:noProof/>
          </w:rPr>
          <w:t>Waiting times</w:t>
        </w:r>
        <w:r>
          <w:rPr>
            <w:noProof/>
            <w:webHidden/>
          </w:rPr>
          <w:tab/>
        </w:r>
        <w:r>
          <w:rPr>
            <w:noProof/>
            <w:webHidden/>
          </w:rPr>
          <w:fldChar w:fldCharType="begin"/>
        </w:r>
        <w:r>
          <w:rPr>
            <w:noProof/>
            <w:webHidden/>
          </w:rPr>
          <w:instrText xml:space="preserve"> PAGEREF _Toc2845657 \h </w:instrText>
        </w:r>
        <w:r>
          <w:rPr>
            <w:noProof/>
            <w:webHidden/>
          </w:rPr>
        </w:r>
        <w:r>
          <w:rPr>
            <w:noProof/>
            <w:webHidden/>
          </w:rPr>
          <w:fldChar w:fldCharType="separate"/>
        </w:r>
        <w:r>
          <w:rPr>
            <w:noProof/>
            <w:webHidden/>
          </w:rPr>
          <w:t>25</w:t>
        </w:r>
        <w:r>
          <w:rPr>
            <w:noProof/>
            <w:webHidden/>
          </w:rPr>
          <w:fldChar w:fldCharType="end"/>
        </w:r>
      </w:hyperlink>
    </w:p>
    <w:p w14:paraId="50FFE1BC" w14:textId="77777777" w:rsidR="00BC5678" w:rsidRDefault="00BC5678">
      <w:pPr>
        <w:pStyle w:val="TOC3"/>
        <w:rPr>
          <w:rFonts w:asciiTheme="minorHAnsi" w:eastAsiaTheme="minorEastAsia" w:hAnsiTheme="minorHAnsi" w:cstheme="minorBidi"/>
          <w:noProof/>
          <w:sz w:val="22"/>
          <w:szCs w:val="22"/>
          <w:lang w:eastAsia="en-NZ"/>
        </w:rPr>
      </w:pPr>
      <w:hyperlink w:anchor="_Toc2845658" w:history="1">
        <w:r w:rsidRPr="001009DB">
          <w:rPr>
            <w:rStyle w:val="Hyperlink"/>
            <w:noProof/>
          </w:rPr>
          <w:t>Transition (discharge) plans</w:t>
        </w:r>
        <w:r>
          <w:rPr>
            <w:noProof/>
            <w:webHidden/>
          </w:rPr>
          <w:tab/>
        </w:r>
        <w:r>
          <w:rPr>
            <w:noProof/>
            <w:webHidden/>
          </w:rPr>
          <w:fldChar w:fldCharType="begin"/>
        </w:r>
        <w:r>
          <w:rPr>
            <w:noProof/>
            <w:webHidden/>
          </w:rPr>
          <w:instrText xml:space="preserve"> PAGEREF _Toc2845658 \h </w:instrText>
        </w:r>
        <w:r>
          <w:rPr>
            <w:noProof/>
            <w:webHidden/>
          </w:rPr>
        </w:r>
        <w:r>
          <w:rPr>
            <w:noProof/>
            <w:webHidden/>
          </w:rPr>
          <w:fldChar w:fldCharType="separate"/>
        </w:r>
        <w:r>
          <w:rPr>
            <w:noProof/>
            <w:webHidden/>
          </w:rPr>
          <w:t>26</w:t>
        </w:r>
        <w:r>
          <w:rPr>
            <w:noProof/>
            <w:webHidden/>
          </w:rPr>
          <w:fldChar w:fldCharType="end"/>
        </w:r>
      </w:hyperlink>
    </w:p>
    <w:p w14:paraId="0383CE87" w14:textId="77777777" w:rsidR="00BC5678" w:rsidRDefault="00BC5678">
      <w:pPr>
        <w:pStyle w:val="TOC2"/>
        <w:rPr>
          <w:rFonts w:asciiTheme="minorHAnsi" w:eastAsiaTheme="minorEastAsia" w:hAnsiTheme="minorHAnsi" w:cstheme="minorBidi"/>
          <w:noProof/>
          <w:szCs w:val="22"/>
          <w:lang w:eastAsia="en-NZ"/>
        </w:rPr>
      </w:pPr>
      <w:hyperlink w:anchor="_Toc2845659" w:history="1">
        <w:r w:rsidRPr="001009DB">
          <w:rPr>
            <w:rStyle w:val="Hyperlink"/>
            <w:noProof/>
          </w:rPr>
          <w:t>Use of the Mental Health Act</w:t>
        </w:r>
        <w:r>
          <w:rPr>
            <w:noProof/>
            <w:webHidden/>
          </w:rPr>
          <w:tab/>
        </w:r>
        <w:r>
          <w:rPr>
            <w:noProof/>
            <w:webHidden/>
          </w:rPr>
          <w:fldChar w:fldCharType="begin"/>
        </w:r>
        <w:r>
          <w:rPr>
            <w:noProof/>
            <w:webHidden/>
          </w:rPr>
          <w:instrText xml:space="preserve"> PAGEREF _Toc2845659 \h </w:instrText>
        </w:r>
        <w:r>
          <w:rPr>
            <w:noProof/>
            <w:webHidden/>
          </w:rPr>
        </w:r>
        <w:r>
          <w:rPr>
            <w:noProof/>
            <w:webHidden/>
          </w:rPr>
          <w:fldChar w:fldCharType="separate"/>
        </w:r>
        <w:r>
          <w:rPr>
            <w:noProof/>
            <w:webHidden/>
          </w:rPr>
          <w:t>29</w:t>
        </w:r>
        <w:r>
          <w:rPr>
            <w:noProof/>
            <w:webHidden/>
          </w:rPr>
          <w:fldChar w:fldCharType="end"/>
        </w:r>
      </w:hyperlink>
    </w:p>
    <w:p w14:paraId="7296D3BA" w14:textId="77777777" w:rsidR="00BC5678" w:rsidRDefault="00BC5678">
      <w:pPr>
        <w:pStyle w:val="TOC3"/>
        <w:rPr>
          <w:rFonts w:asciiTheme="minorHAnsi" w:eastAsiaTheme="minorEastAsia" w:hAnsiTheme="minorHAnsi" w:cstheme="minorBidi"/>
          <w:noProof/>
          <w:sz w:val="22"/>
          <w:szCs w:val="22"/>
          <w:lang w:eastAsia="en-NZ"/>
        </w:rPr>
      </w:pPr>
      <w:hyperlink w:anchor="_Toc2845660" w:history="1">
        <w:r w:rsidRPr="001009DB">
          <w:rPr>
            <w:rStyle w:val="Hyperlink"/>
            <w:noProof/>
          </w:rPr>
          <w:t>The Mental Health Act process</w:t>
        </w:r>
        <w:r>
          <w:rPr>
            <w:noProof/>
            <w:webHidden/>
          </w:rPr>
          <w:tab/>
        </w:r>
        <w:r>
          <w:rPr>
            <w:noProof/>
            <w:webHidden/>
          </w:rPr>
          <w:fldChar w:fldCharType="begin"/>
        </w:r>
        <w:r>
          <w:rPr>
            <w:noProof/>
            <w:webHidden/>
          </w:rPr>
          <w:instrText xml:space="preserve"> PAGEREF _Toc2845660 \h </w:instrText>
        </w:r>
        <w:r>
          <w:rPr>
            <w:noProof/>
            <w:webHidden/>
          </w:rPr>
        </w:r>
        <w:r>
          <w:rPr>
            <w:noProof/>
            <w:webHidden/>
          </w:rPr>
          <w:fldChar w:fldCharType="separate"/>
        </w:r>
        <w:r>
          <w:rPr>
            <w:noProof/>
            <w:webHidden/>
          </w:rPr>
          <w:t>29</w:t>
        </w:r>
        <w:r>
          <w:rPr>
            <w:noProof/>
            <w:webHidden/>
          </w:rPr>
          <w:fldChar w:fldCharType="end"/>
        </w:r>
      </w:hyperlink>
    </w:p>
    <w:p w14:paraId="1F4579BD" w14:textId="77777777" w:rsidR="00BC5678" w:rsidRDefault="00BC5678">
      <w:pPr>
        <w:pStyle w:val="TOC3"/>
        <w:rPr>
          <w:rFonts w:asciiTheme="minorHAnsi" w:eastAsiaTheme="minorEastAsia" w:hAnsiTheme="minorHAnsi" w:cstheme="minorBidi"/>
          <w:noProof/>
          <w:sz w:val="22"/>
          <w:szCs w:val="22"/>
          <w:lang w:eastAsia="en-NZ"/>
        </w:rPr>
      </w:pPr>
      <w:hyperlink w:anchor="_Toc2845661" w:history="1">
        <w:r w:rsidRPr="001009DB">
          <w:rPr>
            <w:rStyle w:val="Hyperlink"/>
            <w:noProof/>
          </w:rPr>
          <w:t>2017 statistics</w:t>
        </w:r>
        <w:r>
          <w:rPr>
            <w:noProof/>
            <w:webHidden/>
          </w:rPr>
          <w:tab/>
        </w:r>
        <w:r>
          <w:rPr>
            <w:noProof/>
            <w:webHidden/>
          </w:rPr>
          <w:fldChar w:fldCharType="begin"/>
        </w:r>
        <w:r>
          <w:rPr>
            <w:noProof/>
            <w:webHidden/>
          </w:rPr>
          <w:instrText xml:space="preserve"> PAGEREF _Toc2845661 \h </w:instrText>
        </w:r>
        <w:r>
          <w:rPr>
            <w:noProof/>
            <w:webHidden/>
          </w:rPr>
        </w:r>
        <w:r>
          <w:rPr>
            <w:noProof/>
            <w:webHidden/>
          </w:rPr>
          <w:fldChar w:fldCharType="separate"/>
        </w:r>
        <w:r>
          <w:rPr>
            <w:noProof/>
            <w:webHidden/>
          </w:rPr>
          <w:t>30</w:t>
        </w:r>
        <w:r>
          <w:rPr>
            <w:noProof/>
            <w:webHidden/>
          </w:rPr>
          <w:fldChar w:fldCharType="end"/>
        </w:r>
      </w:hyperlink>
    </w:p>
    <w:p w14:paraId="475C022E" w14:textId="77777777" w:rsidR="00BC5678" w:rsidRDefault="00BC5678">
      <w:pPr>
        <w:pStyle w:val="TOC3"/>
        <w:rPr>
          <w:rFonts w:asciiTheme="minorHAnsi" w:eastAsiaTheme="minorEastAsia" w:hAnsiTheme="minorHAnsi" w:cstheme="minorBidi"/>
          <w:noProof/>
          <w:sz w:val="22"/>
          <w:szCs w:val="22"/>
          <w:lang w:eastAsia="en-NZ"/>
        </w:rPr>
      </w:pPr>
      <w:hyperlink w:anchor="_Toc2845662" w:history="1">
        <w:r w:rsidRPr="001009DB">
          <w:rPr>
            <w:rStyle w:val="Hyperlink"/>
            <w:noProof/>
          </w:rPr>
          <w:t>Compulsory assessment and treatment by district health board</w:t>
        </w:r>
        <w:r>
          <w:rPr>
            <w:noProof/>
            <w:webHidden/>
          </w:rPr>
          <w:tab/>
        </w:r>
        <w:r>
          <w:rPr>
            <w:noProof/>
            <w:webHidden/>
          </w:rPr>
          <w:fldChar w:fldCharType="begin"/>
        </w:r>
        <w:r>
          <w:rPr>
            <w:noProof/>
            <w:webHidden/>
          </w:rPr>
          <w:instrText xml:space="preserve"> PAGEREF _Toc2845662 \h </w:instrText>
        </w:r>
        <w:r>
          <w:rPr>
            <w:noProof/>
            <w:webHidden/>
          </w:rPr>
        </w:r>
        <w:r>
          <w:rPr>
            <w:noProof/>
            <w:webHidden/>
          </w:rPr>
          <w:fldChar w:fldCharType="separate"/>
        </w:r>
        <w:r>
          <w:rPr>
            <w:noProof/>
            <w:webHidden/>
          </w:rPr>
          <w:t>31</w:t>
        </w:r>
        <w:r>
          <w:rPr>
            <w:noProof/>
            <w:webHidden/>
          </w:rPr>
          <w:fldChar w:fldCharType="end"/>
        </w:r>
      </w:hyperlink>
    </w:p>
    <w:p w14:paraId="2FCC733B" w14:textId="77777777" w:rsidR="00BC5678" w:rsidRDefault="00BC5678">
      <w:pPr>
        <w:pStyle w:val="TOC3"/>
        <w:rPr>
          <w:rFonts w:asciiTheme="minorHAnsi" w:eastAsiaTheme="minorEastAsia" w:hAnsiTheme="minorHAnsi" w:cstheme="minorBidi"/>
          <w:noProof/>
          <w:sz w:val="22"/>
          <w:szCs w:val="22"/>
          <w:lang w:eastAsia="en-NZ"/>
        </w:rPr>
      </w:pPr>
      <w:hyperlink w:anchor="_Toc2845663" w:history="1">
        <w:r w:rsidRPr="001009DB">
          <w:rPr>
            <w:rStyle w:val="Hyperlink"/>
            <w:noProof/>
          </w:rPr>
          <w:t>Compulsory treatment by age and sex</w:t>
        </w:r>
        <w:r>
          <w:rPr>
            <w:noProof/>
            <w:webHidden/>
          </w:rPr>
          <w:tab/>
        </w:r>
        <w:r>
          <w:rPr>
            <w:noProof/>
            <w:webHidden/>
          </w:rPr>
          <w:fldChar w:fldCharType="begin"/>
        </w:r>
        <w:r>
          <w:rPr>
            <w:noProof/>
            <w:webHidden/>
          </w:rPr>
          <w:instrText xml:space="preserve"> PAGEREF _Toc2845663 \h </w:instrText>
        </w:r>
        <w:r>
          <w:rPr>
            <w:noProof/>
            <w:webHidden/>
          </w:rPr>
        </w:r>
        <w:r>
          <w:rPr>
            <w:noProof/>
            <w:webHidden/>
          </w:rPr>
          <w:fldChar w:fldCharType="separate"/>
        </w:r>
        <w:r>
          <w:rPr>
            <w:noProof/>
            <w:webHidden/>
          </w:rPr>
          <w:t>33</w:t>
        </w:r>
        <w:r>
          <w:rPr>
            <w:noProof/>
            <w:webHidden/>
          </w:rPr>
          <w:fldChar w:fldCharType="end"/>
        </w:r>
      </w:hyperlink>
    </w:p>
    <w:p w14:paraId="516D7413" w14:textId="77777777" w:rsidR="00BC5678" w:rsidRDefault="00BC5678">
      <w:pPr>
        <w:pStyle w:val="TOC3"/>
        <w:rPr>
          <w:rFonts w:asciiTheme="minorHAnsi" w:eastAsiaTheme="minorEastAsia" w:hAnsiTheme="minorHAnsi" w:cstheme="minorBidi"/>
          <w:noProof/>
          <w:sz w:val="22"/>
          <w:szCs w:val="22"/>
          <w:lang w:eastAsia="en-NZ"/>
        </w:rPr>
      </w:pPr>
      <w:hyperlink w:anchor="_Toc2845664" w:history="1">
        <w:r w:rsidRPr="001009DB">
          <w:rPr>
            <w:rStyle w:val="Hyperlink"/>
            <w:noProof/>
          </w:rPr>
          <w:t>Māori and the Mental Health Act</w:t>
        </w:r>
        <w:r>
          <w:rPr>
            <w:noProof/>
            <w:webHidden/>
          </w:rPr>
          <w:tab/>
        </w:r>
        <w:r>
          <w:rPr>
            <w:noProof/>
            <w:webHidden/>
          </w:rPr>
          <w:fldChar w:fldCharType="begin"/>
        </w:r>
        <w:r>
          <w:rPr>
            <w:noProof/>
            <w:webHidden/>
          </w:rPr>
          <w:instrText xml:space="preserve"> PAGEREF _Toc2845664 \h </w:instrText>
        </w:r>
        <w:r>
          <w:rPr>
            <w:noProof/>
            <w:webHidden/>
          </w:rPr>
        </w:r>
        <w:r>
          <w:rPr>
            <w:noProof/>
            <w:webHidden/>
          </w:rPr>
          <w:fldChar w:fldCharType="separate"/>
        </w:r>
        <w:r>
          <w:rPr>
            <w:noProof/>
            <w:webHidden/>
          </w:rPr>
          <w:t>35</w:t>
        </w:r>
        <w:r>
          <w:rPr>
            <w:noProof/>
            <w:webHidden/>
          </w:rPr>
          <w:fldChar w:fldCharType="end"/>
        </w:r>
      </w:hyperlink>
    </w:p>
    <w:p w14:paraId="6F0AEE57" w14:textId="77777777" w:rsidR="00BC5678" w:rsidRDefault="00BC5678">
      <w:pPr>
        <w:pStyle w:val="TOC3"/>
        <w:rPr>
          <w:rFonts w:asciiTheme="minorHAnsi" w:eastAsiaTheme="minorEastAsia" w:hAnsiTheme="minorHAnsi" w:cstheme="minorBidi"/>
          <w:noProof/>
          <w:sz w:val="22"/>
          <w:szCs w:val="22"/>
          <w:lang w:eastAsia="en-NZ"/>
        </w:rPr>
      </w:pPr>
      <w:hyperlink w:anchor="_Toc2845665" w:history="1">
        <w:r w:rsidRPr="001009DB">
          <w:rPr>
            <w:rStyle w:val="Hyperlink"/>
            <w:noProof/>
          </w:rPr>
          <w:t>Family/whānau consultation and the Mental Health Act</w:t>
        </w:r>
        <w:r>
          <w:rPr>
            <w:noProof/>
            <w:webHidden/>
          </w:rPr>
          <w:tab/>
        </w:r>
        <w:r>
          <w:rPr>
            <w:noProof/>
            <w:webHidden/>
          </w:rPr>
          <w:fldChar w:fldCharType="begin"/>
        </w:r>
        <w:r>
          <w:rPr>
            <w:noProof/>
            <w:webHidden/>
          </w:rPr>
          <w:instrText xml:space="preserve"> PAGEREF _Toc2845665 \h </w:instrText>
        </w:r>
        <w:r>
          <w:rPr>
            <w:noProof/>
            <w:webHidden/>
          </w:rPr>
        </w:r>
        <w:r>
          <w:rPr>
            <w:noProof/>
            <w:webHidden/>
          </w:rPr>
          <w:fldChar w:fldCharType="separate"/>
        </w:r>
        <w:r>
          <w:rPr>
            <w:noProof/>
            <w:webHidden/>
          </w:rPr>
          <w:t>41</w:t>
        </w:r>
        <w:r>
          <w:rPr>
            <w:noProof/>
            <w:webHidden/>
          </w:rPr>
          <w:fldChar w:fldCharType="end"/>
        </w:r>
      </w:hyperlink>
    </w:p>
    <w:p w14:paraId="11667FF6" w14:textId="77777777" w:rsidR="00BC5678" w:rsidRDefault="00BC5678">
      <w:pPr>
        <w:pStyle w:val="TOC2"/>
        <w:rPr>
          <w:rFonts w:asciiTheme="minorHAnsi" w:eastAsiaTheme="minorEastAsia" w:hAnsiTheme="minorHAnsi" w:cstheme="minorBidi"/>
          <w:noProof/>
          <w:szCs w:val="22"/>
          <w:lang w:eastAsia="en-NZ"/>
        </w:rPr>
      </w:pPr>
      <w:hyperlink w:anchor="_Toc2845666" w:history="1">
        <w:r w:rsidRPr="001009DB">
          <w:rPr>
            <w:rStyle w:val="Hyperlink"/>
            <w:noProof/>
          </w:rPr>
          <w:t>Seclusion</w:t>
        </w:r>
        <w:r>
          <w:rPr>
            <w:noProof/>
            <w:webHidden/>
          </w:rPr>
          <w:tab/>
        </w:r>
        <w:r>
          <w:rPr>
            <w:noProof/>
            <w:webHidden/>
          </w:rPr>
          <w:fldChar w:fldCharType="begin"/>
        </w:r>
        <w:r>
          <w:rPr>
            <w:noProof/>
            <w:webHidden/>
          </w:rPr>
          <w:instrText xml:space="preserve"> PAGEREF _Toc2845666 \h </w:instrText>
        </w:r>
        <w:r>
          <w:rPr>
            <w:noProof/>
            <w:webHidden/>
          </w:rPr>
        </w:r>
        <w:r>
          <w:rPr>
            <w:noProof/>
            <w:webHidden/>
          </w:rPr>
          <w:fldChar w:fldCharType="separate"/>
        </w:r>
        <w:r>
          <w:rPr>
            <w:noProof/>
            <w:webHidden/>
          </w:rPr>
          <w:t>45</w:t>
        </w:r>
        <w:r>
          <w:rPr>
            <w:noProof/>
            <w:webHidden/>
          </w:rPr>
          <w:fldChar w:fldCharType="end"/>
        </w:r>
      </w:hyperlink>
    </w:p>
    <w:p w14:paraId="2447B9B0" w14:textId="77777777" w:rsidR="00BC5678" w:rsidRDefault="00BC5678">
      <w:pPr>
        <w:pStyle w:val="TOC3"/>
        <w:rPr>
          <w:rFonts w:asciiTheme="minorHAnsi" w:eastAsiaTheme="minorEastAsia" w:hAnsiTheme="minorHAnsi" w:cstheme="minorBidi"/>
          <w:noProof/>
          <w:sz w:val="22"/>
          <w:szCs w:val="22"/>
          <w:lang w:eastAsia="en-NZ"/>
        </w:rPr>
      </w:pPr>
      <w:hyperlink w:anchor="_Toc2845667" w:history="1">
        <w:r w:rsidRPr="001009DB">
          <w:rPr>
            <w:rStyle w:val="Hyperlink"/>
            <w:noProof/>
          </w:rPr>
          <w:t>Changes in seclusion use</w:t>
        </w:r>
        <w:r>
          <w:rPr>
            <w:noProof/>
            <w:webHidden/>
          </w:rPr>
          <w:tab/>
        </w:r>
        <w:r>
          <w:rPr>
            <w:noProof/>
            <w:webHidden/>
          </w:rPr>
          <w:fldChar w:fldCharType="begin"/>
        </w:r>
        <w:r>
          <w:rPr>
            <w:noProof/>
            <w:webHidden/>
          </w:rPr>
          <w:instrText xml:space="preserve"> PAGEREF _Toc2845667 \h </w:instrText>
        </w:r>
        <w:r>
          <w:rPr>
            <w:noProof/>
            <w:webHidden/>
          </w:rPr>
        </w:r>
        <w:r>
          <w:rPr>
            <w:noProof/>
            <w:webHidden/>
          </w:rPr>
          <w:fldChar w:fldCharType="separate"/>
        </w:r>
        <w:r>
          <w:rPr>
            <w:noProof/>
            <w:webHidden/>
          </w:rPr>
          <w:t>47</w:t>
        </w:r>
        <w:r>
          <w:rPr>
            <w:noProof/>
            <w:webHidden/>
          </w:rPr>
          <w:fldChar w:fldCharType="end"/>
        </w:r>
      </w:hyperlink>
    </w:p>
    <w:p w14:paraId="6EAB6D0D" w14:textId="77777777" w:rsidR="00BC5678" w:rsidRDefault="00BC5678">
      <w:pPr>
        <w:pStyle w:val="TOC3"/>
        <w:rPr>
          <w:rFonts w:asciiTheme="minorHAnsi" w:eastAsiaTheme="minorEastAsia" w:hAnsiTheme="minorHAnsi" w:cstheme="minorBidi"/>
          <w:noProof/>
          <w:sz w:val="22"/>
          <w:szCs w:val="22"/>
          <w:lang w:eastAsia="en-NZ"/>
        </w:rPr>
      </w:pPr>
      <w:hyperlink w:anchor="_Toc2845668" w:history="1">
        <w:r w:rsidRPr="001009DB">
          <w:rPr>
            <w:rStyle w:val="Hyperlink"/>
            <w:noProof/>
          </w:rPr>
          <w:t>Seclusion in New Zealand mental health services</w:t>
        </w:r>
        <w:r>
          <w:rPr>
            <w:noProof/>
            <w:webHidden/>
          </w:rPr>
          <w:tab/>
        </w:r>
        <w:r>
          <w:rPr>
            <w:noProof/>
            <w:webHidden/>
          </w:rPr>
          <w:fldChar w:fldCharType="begin"/>
        </w:r>
        <w:r>
          <w:rPr>
            <w:noProof/>
            <w:webHidden/>
          </w:rPr>
          <w:instrText xml:space="preserve"> PAGEREF _Toc2845668 \h </w:instrText>
        </w:r>
        <w:r>
          <w:rPr>
            <w:noProof/>
            <w:webHidden/>
          </w:rPr>
        </w:r>
        <w:r>
          <w:rPr>
            <w:noProof/>
            <w:webHidden/>
          </w:rPr>
          <w:fldChar w:fldCharType="separate"/>
        </w:r>
        <w:r>
          <w:rPr>
            <w:noProof/>
            <w:webHidden/>
          </w:rPr>
          <w:t>49</w:t>
        </w:r>
        <w:r>
          <w:rPr>
            <w:noProof/>
            <w:webHidden/>
          </w:rPr>
          <w:fldChar w:fldCharType="end"/>
        </w:r>
      </w:hyperlink>
    </w:p>
    <w:p w14:paraId="41837CF1" w14:textId="77777777" w:rsidR="00BC5678" w:rsidRDefault="00BC5678">
      <w:pPr>
        <w:pStyle w:val="TOC3"/>
        <w:rPr>
          <w:rFonts w:asciiTheme="minorHAnsi" w:eastAsiaTheme="minorEastAsia" w:hAnsiTheme="minorHAnsi" w:cstheme="minorBidi"/>
          <w:noProof/>
          <w:sz w:val="22"/>
          <w:szCs w:val="22"/>
          <w:lang w:eastAsia="en-NZ"/>
        </w:rPr>
      </w:pPr>
      <w:hyperlink w:anchor="_Toc2845669" w:history="1">
        <w:r w:rsidRPr="001009DB">
          <w:rPr>
            <w:rStyle w:val="Hyperlink"/>
            <w:noProof/>
          </w:rPr>
          <w:t>Seclusion by district health board</w:t>
        </w:r>
        <w:r>
          <w:rPr>
            <w:noProof/>
            <w:webHidden/>
          </w:rPr>
          <w:tab/>
        </w:r>
        <w:r>
          <w:rPr>
            <w:noProof/>
            <w:webHidden/>
          </w:rPr>
          <w:fldChar w:fldCharType="begin"/>
        </w:r>
        <w:r>
          <w:rPr>
            <w:noProof/>
            <w:webHidden/>
          </w:rPr>
          <w:instrText xml:space="preserve"> PAGEREF _Toc2845669 \h </w:instrText>
        </w:r>
        <w:r>
          <w:rPr>
            <w:noProof/>
            <w:webHidden/>
          </w:rPr>
        </w:r>
        <w:r>
          <w:rPr>
            <w:noProof/>
            <w:webHidden/>
          </w:rPr>
          <w:fldChar w:fldCharType="separate"/>
        </w:r>
        <w:r>
          <w:rPr>
            <w:noProof/>
            <w:webHidden/>
          </w:rPr>
          <w:t>50</w:t>
        </w:r>
        <w:r>
          <w:rPr>
            <w:noProof/>
            <w:webHidden/>
          </w:rPr>
          <w:fldChar w:fldCharType="end"/>
        </w:r>
      </w:hyperlink>
    </w:p>
    <w:p w14:paraId="6C5CEEB5" w14:textId="77777777" w:rsidR="00BC5678" w:rsidRDefault="00BC5678">
      <w:pPr>
        <w:pStyle w:val="TOC3"/>
        <w:rPr>
          <w:rFonts w:asciiTheme="minorHAnsi" w:eastAsiaTheme="minorEastAsia" w:hAnsiTheme="minorHAnsi" w:cstheme="minorBidi"/>
          <w:noProof/>
          <w:sz w:val="22"/>
          <w:szCs w:val="22"/>
          <w:lang w:eastAsia="en-NZ"/>
        </w:rPr>
      </w:pPr>
      <w:hyperlink w:anchor="_Toc2845670" w:history="1">
        <w:r w:rsidRPr="001009DB">
          <w:rPr>
            <w:rStyle w:val="Hyperlink"/>
            <w:noProof/>
          </w:rPr>
          <w:t>Seclusion and ethnicity</w:t>
        </w:r>
        <w:r>
          <w:rPr>
            <w:noProof/>
            <w:webHidden/>
          </w:rPr>
          <w:tab/>
        </w:r>
        <w:r>
          <w:rPr>
            <w:noProof/>
            <w:webHidden/>
          </w:rPr>
          <w:fldChar w:fldCharType="begin"/>
        </w:r>
        <w:r>
          <w:rPr>
            <w:noProof/>
            <w:webHidden/>
          </w:rPr>
          <w:instrText xml:space="preserve"> PAGEREF _Toc2845670 \h </w:instrText>
        </w:r>
        <w:r>
          <w:rPr>
            <w:noProof/>
            <w:webHidden/>
          </w:rPr>
        </w:r>
        <w:r>
          <w:rPr>
            <w:noProof/>
            <w:webHidden/>
          </w:rPr>
          <w:fldChar w:fldCharType="separate"/>
        </w:r>
        <w:r>
          <w:rPr>
            <w:noProof/>
            <w:webHidden/>
          </w:rPr>
          <w:t>52</w:t>
        </w:r>
        <w:r>
          <w:rPr>
            <w:noProof/>
            <w:webHidden/>
          </w:rPr>
          <w:fldChar w:fldCharType="end"/>
        </w:r>
      </w:hyperlink>
    </w:p>
    <w:p w14:paraId="443E88B2" w14:textId="77777777" w:rsidR="00BC5678" w:rsidRDefault="00BC5678">
      <w:pPr>
        <w:pStyle w:val="TOC3"/>
        <w:rPr>
          <w:rFonts w:asciiTheme="minorHAnsi" w:eastAsiaTheme="minorEastAsia" w:hAnsiTheme="minorHAnsi" w:cstheme="minorBidi"/>
          <w:noProof/>
          <w:sz w:val="22"/>
          <w:szCs w:val="22"/>
          <w:lang w:eastAsia="en-NZ"/>
        </w:rPr>
      </w:pPr>
      <w:hyperlink w:anchor="_Toc2845671" w:history="1">
        <w:r w:rsidRPr="001009DB">
          <w:rPr>
            <w:rStyle w:val="Hyperlink"/>
            <w:noProof/>
          </w:rPr>
          <w:t>Seclusion in forensic units</w:t>
        </w:r>
        <w:r>
          <w:rPr>
            <w:noProof/>
            <w:webHidden/>
          </w:rPr>
          <w:tab/>
        </w:r>
        <w:r>
          <w:rPr>
            <w:noProof/>
            <w:webHidden/>
          </w:rPr>
          <w:fldChar w:fldCharType="begin"/>
        </w:r>
        <w:r>
          <w:rPr>
            <w:noProof/>
            <w:webHidden/>
          </w:rPr>
          <w:instrText xml:space="preserve"> PAGEREF _Toc2845671 \h </w:instrText>
        </w:r>
        <w:r>
          <w:rPr>
            <w:noProof/>
            <w:webHidden/>
          </w:rPr>
        </w:r>
        <w:r>
          <w:rPr>
            <w:noProof/>
            <w:webHidden/>
          </w:rPr>
          <w:fldChar w:fldCharType="separate"/>
        </w:r>
        <w:r>
          <w:rPr>
            <w:noProof/>
            <w:webHidden/>
          </w:rPr>
          <w:t>54</w:t>
        </w:r>
        <w:r>
          <w:rPr>
            <w:noProof/>
            <w:webHidden/>
          </w:rPr>
          <w:fldChar w:fldCharType="end"/>
        </w:r>
      </w:hyperlink>
    </w:p>
    <w:p w14:paraId="2E0EE0B8" w14:textId="77777777" w:rsidR="00BC5678" w:rsidRDefault="00BC5678">
      <w:pPr>
        <w:pStyle w:val="TOC2"/>
        <w:rPr>
          <w:rFonts w:asciiTheme="minorHAnsi" w:eastAsiaTheme="minorEastAsia" w:hAnsiTheme="minorHAnsi" w:cstheme="minorBidi"/>
          <w:noProof/>
          <w:szCs w:val="22"/>
          <w:lang w:eastAsia="en-NZ"/>
        </w:rPr>
      </w:pPr>
      <w:hyperlink w:anchor="_Toc2845672" w:history="1">
        <w:r w:rsidRPr="001009DB">
          <w:rPr>
            <w:rStyle w:val="Hyperlink"/>
            <w:noProof/>
          </w:rPr>
          <w:t>Forensic mental health services</w:t>
        </w:r>
        <w:r>
          <w:rPr>
            <w:noProof/>
            <w:webHidden/>
          </w:rPr>
          <w:tab/>
        </w:r>
        <w:r>
          <w:rPr>
            <w:noProof/>
            <w:webHidden/>
          </w:rPr>
          <w:fldChar w:fldCharType="begin"/>
        </w:r>
        <w:r>
          <w:rPr>
            <w:noProof/>
            <w:webHidden/>
          </w:rPr>
          <w:instrText xml:space="preserve"> PAGEREF _Toc2845672 \h </w:instrText>
        </w:r>
        <w:r>
          <w:rPr>
            <w:noProof/>
            <w:webHidden/>
          </w:rPr>
        </w:r>
        <w:r>
          <w:rPr>
            <w:noProof/>
            <w:webHidden/>
          </w:rPr>
          <w:fldChar w:fldCharType="separate"/>
        </w:r>
        <w:r>
          <w:rPr>
            <w:noProof/>
            <w:webHidden/>
          </w:rPr>
          <w:t>56</w:t>
        </w:r>
        <w:r>
          <w:rPr>
            <w:noProof/>
            <w:webHidden/>
          </w:rPr>
          <w:fldChar w:fldCharType="end"/>
        </w:r>
      </w:hyperlink>
    </w:p>
    <w:p w14:paraId="0BCFB456" w14:textId="77777777" w:rsidR="00BC5678" w:rsidRDefault="00BC5678">
      <w:pPr>
        <w:pStyle w:val="TOC3"/>
        <w:rPr>
          <w:rFonts w:asciiTheme="minorHAnsi" w:eastAsiaTheme="minorEastAsia" w:hAnsiTheme="minorHAnsi" w:cstheme="minorBidi"/>
          <w:noProof/>
          <w:sz w:val="22"/>
          <w:szCs w:val="22"/>
          <w:lang w:eastAsia="en-NZ"/>
        </w:rPr>
      </w:pPr>
      <w:hyperlink w:anchor="_Toc2845673" w:history="1">
        <w:r w:rsidRPr="001009DB">
          <w:rPr>
            <w:rStyle w:val="Hyperlink"/>
            <w:noProof/>
          </w:rPr>
          <w:t>Special and restricted patients</w:t>
        </w:r>
        <w:r>
          <w:rPr>
            <w:noProof/>
            <w:webHidden/>
          </w:rPr>
          <w:tab/>
        </w:r>
        <w:r>
          <w:rPr>
            <w:noProof/>
            <w:webHidden/>
          </w:rPr>
          <w:fldChar w:fldCharType="begin"/>
        </w:r>
        <w:r>
          <w:rPr>
            <w:noProof/>
            <w:webHidden/>
          </w:rPr>
          <w:instrText xml:space="preserve"> PAGEREF _Toc2845673 \h </w:instrText>
        </w:r>
        <w:r>
          <w:rPr>
            <w:noProof/>
            <w:webHidden/>
          </w:rPr>
        </w:r>
        <w:r>
          <w:rPr>
            <w:noProof/>
            <w:webHidden/>
          </w:rPr>
          <w:fldChar w:fldCharType="separate"/>
        </w:r>
        <w:r>
          <w:rPr>
            <w:noProof/>
            <w:webHidden/>
          </w:rPr>
          <w:t>56</w:t>
        </w:r>
        <w:r>
          <w:rPr>
            <w:noProof/>
            <w:webHidden/>
          </w:rPr>
          <w:fldChar w:fldCharType="end"/>
        </w:r>
      </w:hyperlink>
    </w:p>
    <w:p w14:paraId="3A45F147" w14:textId="77777777" w:rsidR="00BC5678" w:rsidRDefault="00BC5678">
      <w:pPr>
        <w:pStyle w:val="TOC3"/>
        <w:rPr>
          <w:rFonts w:asciiTheme="minorHAnsi" w:eastAsiaTheme="minorEastAsia" w:hAnsiTheme="minorHAnsi" w:cstheme="minorBidi"/>
          <w:noProof/>
          <w:sz w:val="22"/>
          <w:szCs w:val="22"/>
          <w:lang w:eastAsia="en-NZ"/>
        </w:rPr>
      </w:pPr>
      <w:hyperlink w:anchor="_Toc2845674" w:history="1">
        <w:r w:rsidRPr="001009DB">
          <w:rPr>
            <w:rStyle w:val="Hyperlink"/>
            <w:noProof/>
          </w:rPr>
          <w:t>Forensic mental health services</w:t>
        </w:r>
        <w:r>
          <w:rPr>
            <w:noProof/>
            <w:webHidden/>
          </w:rPr>
          <w:tab/>
        </w:r>
        <w:r>
          <w:rPr>
            <w:noProof/>
            <w:webHidden/>
          </w:rPr>
          <w:fldChar w:fldCharType="begin"/>
        </w:r>
        <w:r>
          <w:rPr>
            <w:noProof/>
            <w:webHidden/>
          </w:rPr>
          <w:instrText xml:space="preserve"> PAGEREF _Toc2845674 \h </w:instrText>
        </w:r>
        <w:r>
          <w:rPr>
            <w:noProof/>
            <w:webHidden/>
          </w:rPr>
        </w:r>
        <w:r>
          <w:rPr>
            <w:noProof/>
            <w:webHidden/>
          </w:rPr>
          <w:fldChar w:fldCharType="separate"/>
        </w:r>
        <w:r>
          <w:rPr>
            <w:noProof/>
            <w:webHidden/>
          </w:rPr>
          <w:t>57</w:t>
        </w:r>
        <w:r>
          <w:rPr>
            <w:noProof/>
            <w:webHidden/>
          </w:rPr>
          <w:fldChar w:fldCharType="end"/>
        </w:r>
      </w:hyperlink>
    </w:p>
    <w:p w14:paraId="284606D0" w14:textId="77777777" w:rsidR="00BC5678" w:rsidRDefault="00BC5678">
      <w:pPr>
        <w:pStyle w:val="TOC3"/>
        <w:rPr>
          <w:rFonts w:asciiTheme="minorHAnsi" w:eastAsiaTheme="minorEastAsia" w:hAnsiTheme="minorHAnsi" w:cstheme="minorBidi"/>
          <w:noProof/>
          <w:sz w:val="22"/>
          <w:szCs w:val="22"/>
          <w:lang w:eastAsia="en-NZ"/>
        </w:rPr>
      </w:pPr>
      <w:hyperlink w:anchor="_Toc2845675" w:history="1">
        <w:r w:rsidRPr="001009DB">
          <w:rPr>
            <w:rStyle w:val="Hyperlink"/>
            <w:noProof/>
          </w:rPr>
          <w:t>Extended forensic care (EFC) special patients</w:t>
        </w:r>
        <w:r>
          <w:rPr>
            <w:noProof/>
            <w:webHidden/>
          </w:rPr>
          <w:tab/>
        </w:r>
        <w:r>
          <w:rPr>
            <w:noProof/>
            <w:webHidden/>
          </w:rPr>
          <w:fldChar w:fldCharType="begin"/>
        </w:r>
        <w:r>
          <w:rPr>
            <w:noProof/>
            <w:webHidden/>
          </w:rPr>
          <w:instrText xml:space="preserve"> PAGEREF _Toc2845675 \h </w:instrText>
        </w:r>
        <w:r>
          <w:rPr>
            <w:noProof/>
            <w:webHidden/>
          </w:rPr>
        </w:r>
        <w:r>
          <w:rPr>
            <w:noProof/>
            <w:webHidden/>
          </w:rPr>
          <w:fldChar w:fldCharType="separate"/>
        </w:r>
        <w:r>
          <w:rPr>
            <w:noProof/>
            <w:webHidden/>
          </w:rPr>
          <w:t>58</w:t>
        </w:r>
        <w:r>
          <w:rPr>
            <w:noProof/>
            <w:webHidden/>
          </w:rPr>
          <w:fldChar w:fldCharType="end"/>
        </w:r>
      </w:hyperlink>
    </w:p>
    <w:p w14:paraId="2180211F" w14:textId="77777777" w:rsidR="00BC5678" w:rsidRDefault="00BC5678">
      <w:pPr>
        <w:pStyle w:val="TOC3"/>
        <w:rPr>
          <w:rFonts w:asciiTheme="minorHAnsi" w:eastAsiaTheme="minorEastAsia" w:hAnsiTheme="minorHAnsi" w:cstheme="minorBidi"/>
          <w:noProof/>
          <w:sz w:val="22"/>
          <w:szCs w:val="22"/>
          <w:lang w:eastAsia="en-NZ"/>
        </w:rPr>
      </w:pPr>
      <w:hyperlink w:anchor="_Toc2845676" w:history="1">
        <w:r w:rsidRPr="001009DB">
          <w:rPr>
            <w:rStyle w:val="Hyperlink"/>
            <w:noProof/>
          </w:rPr>
          <w:t>Short-term forensic care (SFC) special patients</w:t>
        </w:r>
        <w:r>
          <w:rPr>
            <w:noProof/>
            <w:webHidden/>
          </w:rPr>
          <w:tab/>
        </w:r>
        <w:r>
          <w:rPr>
            <w:noProof/>
            <w:webHidden/>
          </w:rPr>
          <w:fldChar w:fldCharType="begin"/>
        </w:r>
        <w:r>
          <w:rPr>
            <w:noProof/>
            <w:webHidden/>
          </w:rPr>
          <w:instrText xml:space="preserve"> PAGEREF _Toc2845676 \h </w:instrText>
        </w:r>
        <w:r>
          <w:rPr>
            <w:noProof/>
            <w:webHidden/>
          </w:rPr>
        </w:r>
        <w:r>
          <w:rPr>
            <w:noProof/>
            <w:webHidden/>
          </w:rPr>
          <w:fldChar w:fldCharType="separate"/>
        </w:r>
        <w:r>
          <w:rPr>
            <w:noProof/>
            <w:webHidden/>
          </w:rPr>
          <w:t>58</w:t>
        </w:r>
        <w:r>
          <w:rPr>
            <w:noProof/>
            <w:webHidden/>
          </w:rPr>
          <w:fldChar w:fldCharType="end"/>
        </w:r>
      </w:hyperlink>
    </w:p>
    <w:p w14:paraId="4B8367A5" w14:textId="77777777" w:rsidR="00BC5678" w:rsidRDefault="00BC5678">
      <w:pPr>
        <w:pStyle w:val="TOC3"/>
        <w:rPr>
          <w:rFonts w:asciiTheme="minorHAnsi" w:eastAsiaTheme="minorEastAsia" w:hAnsiTheme="minorHAnsi" w:cstheme="minorBidi"/>
          <w:noProof/>
          <w:sz w:val="22"/>
          <w:szCs w:val="22"/>
          <w:lang w:eastAsia="en-NZ"/>
        </w:rPr>
      </w:pPr>
      <w:hyperlink w:anchor="_Toc2845677" w:history="1">
        <w:r w:rsidRPr="001009DB">
          <w:rPr>
            <w:rStyle w:val="Hyperlink"/>
            <w:noProof/>
          </w:rPr>
          <w:t>Sex, age and ethnicity of special patients</w:t>
        </w:r>
        <w:r>
          <w:rPr>
            <w:noProof/>
            <w:webHidden/>
          </w:rPr>
          <w:tab/>
        </w:r>
        <w:r>
          <w:rPr>
            <w:noProof/>
            <w:webHidden/>
          </w:rPr>
          <w:fldChar w:fldCharType="begin"/>
        </w:r>
        <w:r>
          <w:rPr>
            <w:noProof/>
            <w:webHidden/>
          </w:rPr>
          <w:instrText xml:space="preserve"> PAGEREF _Toc2845677 \h </w:instrText>
        </w:r>
        <w:r>
          <w:rPr>
            <w:noProof/>
            <w:webHidden/>
          </w:rPr>
        </w:r>
        <w:r>
          <w:rPr>
            <w:noProof/>
            <w:webHidden/>
          </w:rPr>
          <w:fldChar w:fldCharType="separate"/>
        </w:r>
        <w:r>
          <w:rPr>
            <w:noProof/>
            <w:webHidden/>
          </w:rPr>
          <w:t>60</w:t>
        </w:r>
        <w:r>
          <w:rPr>
            <w:noProof/>
            <w:webHidden/>
          </w:rPr>
          <w:fldChar w:fldCharType="end"/>
        </w:r>
      </w:hyperlink>
    </w:p>
    <w:p w14:paraId="0B2C066D" w14:textId="77777777" w:rsidR="00BC5678" w:rsidRDefault="00BC5678">
      <w:pPr>
        <w:pStyle w:val="TOC3"/>
        <w:rPr>
          <w:rFonts w:asciiTheme="minorHAnsi" w:eastAsiaTheme="minorEastAsia" w:hAnsiTheme="minorHAnsi" w:cstheme="minorBidi"/>
          <w:noProof/>
          <w:sz w:val="22"/>
          <w:szCs w:val="22"/>
          <w:lang w:eastAsia="en-NZ"/>
        </w:rPr>
      </w:pPr>
      <w:hyperlink w:anchor="_Toc2845678" w:history="1">
        <w:r w:rsidRPr="001009DB">
          <w:rPr>
            <w:rStyle w:val="Hyperlink"/>
            <w:noProof/>
          </w:rPr>
          <w:t>Decisions regarding leave and change of legal status for special and restricted patients</w:t>
        </w:r>
        <w:r>
          <w:rPr>
            <w:noProof/>
            <w:webHidden/>
          </w:rPr>
          <w:tab/>
        </w:r>
        <w:r>
          <w:rPr>
            <w:noProof/>
            <w:webHidden/>
          </w:rPr>
          <w:fldChar w:fldCharType="begin"/>
        </w:r>
        <w:r>
          <w:rPr>
            <w:noProof/>
            <w:webHidden/>
          </w:rPr>
          <w:instrText xml:space="preserve"> PAGEREF _Toc2845678 \h </w:instrText>
        </w:r>
        <w:r>
          <w:rPr>
            <w:noProof/>
            <w:webHidden/>
          </w:rPr>
        </w:r>
        <w:r>
          <w:rPr>
            <w:noProof/>
            <w:webHidden/>
          </w:rPr>
          <w:fldChar w:fldCharType="separate"/>
        </w:r>
        <w:r>
          <w:rPr>
            <w:noProof/>
            <w:webHidden/>
          </w:rPr>
          <w:t>62</w:t>
        </w:r>
        <w:r>
          <w:rPr>
            <w:noProof/>
            <w:webHidden/>
          </w:rPr>
          <w:fldChar w:fldCharType="end"/>
        </w:r>
      </w:hyperlink>
    </w:p>
    <w:p w14:paraId="32FF4323" w14:textId="77777777" w:rsidR="00BC5678" w:rsidRDefault="00BC5678">
      <w:pPr>
        <w:pStyle w:val="TOC2"/>
        <w:rPr>
          <w:rFonts w:asciiTheme="minorHAnsi" w:eastAsiaTheme="minorEastAsia" w:hAnsiTheme="minorHAnsi" w:cstheme="minorBidi"/>
          <w:noProof/>
          <w:szCs w:val="22"/>
          <w:lang w:eastAsia="en-NZ"/>
        </w:rPr>
      </w:pPr>
      <w:hyperlink w:anchor="_Toc2845679" w:history="1">
        <w:r w:rsidRPr="001009DB">
          <w:rPr>
            <w:rStyle w:val="Hyperlink"/>
            <w:noProof/>
          </w:rPr>
          <w:t>Mental health and addiction adverse event reporting</w:t>
        </w:r>
        <w:r>
          <w:rPr>
            <w:noProof/>
            <w:webHidden/>
          </w:rPr>
          <w:tab/>
        </w:r>
        <w:r>
          <w:rPr>
            <w:noProof/>
            <w:webHidden/>
          </w:rPr>
          <w:fldChar w:fldCharType="begin"/>
        </w:r>
        <w:r>
          <w:rPr>
            <w:noProof/>
            <w:webHidden/>
          </w:rPr>
          <w:instrText xml:space="preserve"> PAGEREF _Toc2845679 \h </w:instrText>
        </w:r>
        <w:r>
          <w:rPr>
            <w:noProof/>
            <w:webHidden/>
          </w:rPr>
        </w:r>
        <w:r>
          <w:rPr>
            <w:noProof/>
            <w:webHidden/>
          </w:rPr>
          <w:fldChar w:fldCharType="separate"/>
        </w:r>
        <w:r>
          <w:rPr>
            <w:noProof/>
            <w:webHidden/>
          </w:rPr>
          <w:t>64</w:t>
        </w:r>
        <w:r>
          <w:rPr>
            <w:noProof/>
            <w:webHidden/>
          </w:rPr>
          <w:fldChar w:fldCharType="end"/>
        </w:r>
      </w:hyperlink>
    </w:p>
    <w:p w14:paraId="05BF70C2" w14:textId="77777777" w:rsidR="00BC5678" w:rsidRDefault="00BC5678">
      <w:pPr>
        <w:pStyle w:val="TOC3"/>
        <w:rPr>
          <w:rFonts w:asciiTheme="minorHAnsi" w:eastAsiaTheme="minorEastAsia" w:hAnsiTheme="minorHAnsi" w:cstheme="minorBidi"/>
          <w:noProof/>
          <w:sz w:val="22"/>
          <w:szCs w:val="22"/>
          <w:lang w:eastAsia="en-NZ"/>
        </w:rPr>
      </w:pPr>
      <w:hyperlink w:anchor="_Toc2845680" w:history="1">
        <w:r w:rsidRPr="001009DB">
          <w:rPr>
            <w:rStyle w:val="Hyperlink"/>
            <w:noProof/>
          </w:rPr>
          <w:t>Deaths reported to the Office of the Director of Mental Health and Addiction Services</w:t>
        </w:r>
        <w:r>
          <w:rPr>
            <w:noProof/>
            <w:webHidden/>
          </w:rPr>
          <w:tab/>
        </w:r>
        <w:r>
          <w:rPr>
            <w:noProof/>
            <w:webHidden/>
          </w:rPr>
          <w:fldChar w:fldCharType="begin"/>
        </w:r>
        <w:r>
          <w:rPr>
            <w:noProof/>
            <w:webHidden/>
          </w:rPr>
          <w:instrText xml:space="preserve"> PAGEREF _Toc2845680 \h </w:instrText>
        </w:r>
        <w:r>
          <w:rPr>
            <w:noProof/>
            <w:webHidden/>
          </w:rPr>
        </w:r>
        <w:r>
          <w:rPr>
            <w:noProof/>
            <w:webHidden/>
          </w:rPr>
          <w:fldChar w:fldCharType="separate"/>
        </w:r>
        <w:r>
          <w:rPr>
            <w:noProof/>
            <w:webHidden/>
          </w:rPr>
          <w:t>64</w:t>
        </w:r>
        <w:r>
          <w:rPr>
            <w:noProof/>
            <w:webHidden/>
          </w:rPr>
          <w:fldChar w:fldCharType="end"/>
        </w:r>
      </w:hyperlink>
    </w:p>
    <w:p w14:paraId="1C556A31" w14:textId="77777777" w:rsidR="00BC5678" w:rsidRDefault="00BC5678">
      <w:pPr>
        <w:pStyle w:val="TOC3"/>
        <w:rPr>
          <w:rFonts w:asciiTheme="minorHAnsi" w:eastAsiaTheme="minorEastAsia" w:hAnsiTheme="minorHAnsi" w:cstheme="minorBidi"/>
          <w:noProof/>
          <w:sz w:val="22"/>
          <w:szCs w:val="22"/>
          <w:lang w:eastAsia="en-NZ"/>
        </w:rPr>
      </w:pPr>
      <w:hyperlink w:anchor="_Toc2845681" w:history="1">
        <w:r w:rsidRPr="001009DB">
          <w:rPr>
            <w:rStyle w:val="Hyperlink"/>
            <w:noProof/>
          </w:rPr>
          <w:t>Adverse events reported to the Health Quality &amp; Safety Commission</w:t>
        </w:r>
        <w:r>
          <w:rPr>
            <w:noProof/>
            <w:webHidden/>
          </w:rPr>
          <w:tab/>
        </w:r>
        <w:r>
          <w:rPr>
            <w:noProof/>
            <w:webHidden/>
          </w:rPr>
          <w:fldChar w:fldCharType="begin"/>
        </w:r>
        <w:r>
          <w:rPr>
            <w:noProof/>
            <w:webHidden/>
          </w:rPr>
          <w:instrText xml:space="preserve"> PAGEREF _Toc2845681 \h </w:instrText>
        </w:r>
        <w:r>
          <w:rPr>
            <w:noProof/>
            <w:webHidden/>
          </w:rPr>
        </w:r>
        <w:r>
          <w:rPr>
            <w:noProof/>
            <w:webHidden/>
          </w:rPr>
          <w:fldChar w:fldCharType="separate"/>
        </w:r>
        <w:r>
          <w:rPr>
            <w:noProof/>
            <w:webHidden/>
          </w:rPr>
          <w:t>65</w:t>
        </w:r>
        <w:r>
          <w:rPr>
            <w:noProof/>
            <w:webHidden/>
          </w:rPr>
          <w:fldChar w:fldCharType="end"/>
        </w:r>
      </w:hyperlink>
    </w:p>
    <w:p w14:paraId="13D7979F" w14:textId="77777777" w:rsidR="00BC5678" w:rsidRDefault="00BC5678">
      <w:pPr>
        <w:pStyle w:val="TOC3"/>
        <w:rPr>
          <w:rFonts w:asciiTheme="minorHAnsi" w:eastAsiaTheme="minorEastAsia" w:hAnsiTheme="minorHAnsi" w:cstheme="minorBidi"/>
          <w:noProof/>
          <w:sz w:val="22"/>
          <w:szCs w:val="22"/>
          <w:lang w:eastAsia="en-NZ"/>
        </w:rPr>
      </w:pPr>
      <w:hyperlink w:anchor="_Toc2845682" w:history="1">
        <w:r w:rsidRPr="001009DB">
          <w:rPr>
            <w:rStyle w:val="Hyperlink"/>
            <w:noProof/>
          </w:rPr>
          <w:t>Adverse events reported by district health board-funded mental health and addiction services</w:t>
        </w:r>
        <w:r>
          <w:rPr>
            <w:noProof/>
            <w:webHidden/>
          </w:rPr>
          <w:tab/>
        </w:r>
        <w:r>
          <w:rPr>
            <w:noProof/>
            <w:webHidden/>
          </w:rPr>
          <w:fldChar w:fldCharType="begin"/>
        </w:r>
        <w:r>
          <w:rPr>
            <w:noProof/>
            <w:webHidden/>
          </w:rPr>
          <w:instrText xml:space="preserve"> PAGEREF _Toc2845682 \h </w:instrText>
        </w:r>
        <w:r>
          <w:rPr>
            <w:noProof/>
            <w:webHidden/>
          </w:rPr>
        </w:r>
        <w:r>
          <w:rPr>
            <w:noProof/>
            <w:webHidden/>
          </w:rPr>
          <w:fldChar w:fldCharType="separate"/>
        </w:r>
        <w:r>
          <w:rPr>
            <w:noProof/>
            <w:webHidden/>
          </w:rPr>
          <w:t>65</w:t>
        </w:r>
        <w:r>
          <w:rPr>
            <w:noProof/>
            <w:webHidden/>
          </w:rPr>
          <w:fldChar w:fldCharType="end"/>
        </w:r>
      </w:hyperlink>
    </w:p>
    <w:p w14:paraId="50E05C9E" w14:textId="77777777" w:rsidR="00BC5678" w:rsidRDefault="00BC5678">
      <w:pPr>
        <w:pStyle w:val="TOC3"/>
        <w:rPr>
          <w:rFonts w:asciiTheme="minorHAnsi" w:eastAsiaTheme="minorEastAsia" w:hAnsiTheme="minorHAnsi" w:cstheme="minorBidi"/>
          <w:noProof/>
          <w:sz w:val="22"/>
          <w:szCs w:val="22"/>
          <w:lang w:eastAsia="en-NZ"/>
        </w:rPr>
      </w:pPr>
      <w:hyperlink w:anchor="_Toc2845683" w:history="1">
        <w:r w:rsidRPr="001009DB">
          <w:rPr>
            <w:rStyle w:val="Hyperlink"/>
            <w:noProof/>
          </w:rPr>
          <w:t>Death by suicide</w:t>
        </w:r>
        <w:r>
          <w:rPr>
            <w:noProof/>
            <w:webHidden/>
          </w:rPr>
          <w:tab/>
        </w:r>
        <w:r>
          <w:rPr>
            <w:noProof/>
            <w:webHidden/>
          </w:rPr>
          <w:fldChar w:fldCharType="begin"/>
        </w:r>
        <w:r>
          <w:rPr>
            <w:noProof/>
            <w:webHidden/>
          </w:rPr>
          <w:instrText xml:space="preserve"> PAGEREF _Toc2845683 \h </w:instrText>
        </w:r>
        <w:r>
          <w:rPr>
            <w:noProof/>
            <w:webHidden/>
          </w:rPr>
        </w:r>
        <w:r>
          <w:rPr>
            <w:noProof/>
            <w:webHidden/>
          </w:rPr>
          <w:fldChar w:fldCharType="separate"/>
        </w:r>
        <w:r>
          <w:rPr>
            <w:noProof/>
            <w:webHidden/>
          </w:rPr>
          <w:t>67</w:t>
        </w:r>
        <w:r>
          <w:rPr>
            <w:noProof/>
            <w:webHidden/>
          </w:rPr>
          <w:fldChar w:fldCharType="end"/>
        </w:r>
      </w:hyperlink>
    </w:p>
    <w:p w14:paraId="4A4DF988" w14:textId="77777777" w:rsidR="00BC5678" w:rsidRDefault="00BC5678">
      <w:pPr>
        <w:pStyle w:val="TOC2"/>
        <w:rPr>
          <w:rFonts w:asciiTheme="minorHAnsi" w:eastAsiaTheme="minorEastAsia" w:hAnsiTheme="minorHAnsi" w:cstheme="minorBidi"/>
          <w:noProof/>
          <w:szCs w:val="22"/>
          <w:lang w:eastAsia="en-NZ"/>
        </w:rPr>
      </w:pPr>
      <w:hyperlink w:anchor="_Toc2845684" w:history="1">
        <w:r w:rsidRPr="001009DB">
          <w:rPr>
            <w:rStyle w:val="Hyperlink"/>
            <w:noProof/>
          </w:rPr>
          <w:t>Specialist treatment regimes</w:t>
        </w:r>
        <w:r>
          <w:rPr>
            <w:noProof/>
            <w:webHidden/>
          </w:rPr>
          <w:tab/>
        </w:r>
        <w:r>
          <w:rPr>
            <w:noProof/>
            <w:webHidden/>
          </w:rPr>
          <w:fldChar w:fldCharType="begin"/>
        </w:r>
        <w:r>
          <w:rPr>
            <w:noProof/>
            <w:webHidden/>
          </w:rPr>
          <w:instrText xml:space="preserve"> PAGEREF _Toc2845684 \h </w:instrText>
        </w:r>
        <w:r>
          <w:rPr>
            <w:noProof/>
            <w:webHidden/>
          </w:rPr>
        </w:r>
        <w:r>
          <w:rPr>
            <w:noProof/>
            <w:webHidden/>
          </w:rPr>
          <w:fldChar w:fldCharType="separate"/>
        </w:r>
        <w:r>
          <w:rPr>
            <w:noProof/>
            <w:webHidden/>
          </w:rPr>
          <w:t>72</w:t>
        </w:r>
        <w:r>
          <w:rPr>
            <w:noProof/>
            <w:webHidden/>
          </w:rPr>
          <w:fldChar w:fldCharType="end"/>
        </w:r>
      </w:hyperlink>
    </w:p>
    <w:p w14:paraId="2C6AB1F8" w14:textId="77777777" w:rsidR="00BC5678" w:rsidRDefault="00BC5678">
      <w:pPr>
        <w:pStyle w:val="TOC3"/>
        <w:rPr>
          <w:rFonts w:asciiTheme="minorHAnsi" w:eastAsiaTheme="minorEastAsia" w:hAnsiTheme="minorHAnsi" w:cstheme="minorBidi"/>
          <w:noProof/>
          <w:sz w:val="22"/>
          <w:szCs w:val="22"/>
          <w:lang w:eastAsia="en-NZ"/>
        </w:rPr>
      </w:pPr>
      <w:hyperlink w:anchor="_Toc2845685" w:history="1">
        <w:r w:rsidRPr="001009DB">
          <w:rPr>
            <w:rStyle w:val="Hyperlink"/>
            <w:noProof/>
          </w:rPr>
          <w:t>Opioid substitution treatment</w:t>
        </w:r>
        <w:r>
          <w:rPr>
            <w:noProof/>
            <w:webHidden/>
          </w:rPr>
          <w:tab/>
        </w:r>
        <w:r>
          <w:rPr>
            <w:noProof/>
            <w:webHidden/>
          </w:rPr>
          <w:fldChar w:fldCharType="begin"/>
        </w:r>
        <w:r>
          <w:rPr>
            <w:noProof/>
            <w:webHidden/>
          </w:rPr>
          <w:instrText xml:space="preserve"> PAGEREF _Toc2845685 \h </w:instrText>
        </w:r>
        <w:r>
          <w:rPr>
            <w:noProof/>
            <w:webHidden/>
          </w:rPr>
        </w:r>
        <w:r>
          <w:rPr>
            <w:noProof/>
            <w:webHidden/>
          </w:rPr>
          <w:fldChar w:fldCharType="separate"/>
        </w:r>
        <w:r>
          <w:rPr>
            <w:noProof/>
            <w:webHidden/>
          </w:rPr>
          <w:t>72</w:t>
        </w:r>
        <w:r>
          <w:rPr>
            <w:noProof/>
            <w:webHidden/>
          </w:rPr>
          <w:fldChar w:fldCharType="end"/>
        </w:r>
      </w:hyperlink>
    </w:p>
    <w:p w14:paraId="143A4F96" w14:textId="77777777" w:rsidR="00BC5678" w:rsidRDefault="00BC5678">
      <w:pPr>
        <w:pStyle w:val="TOC3"/>
        <w:rPr>
          <w:rFonts w:asciiTheme="minorHAnsi" w:eastAsiaTheme="minorEastAsia" w:hAnsiTheme="minorHAnsi" w:cstheme="minorBidi"/>
          <w:noProof/>
          <w:sz w:val="22"/>
          <w:szCs w:val="22"/>
          <w:lang w:eastAsia="en-NZ"/>
        </w:rPr>
      </w:pPr>
      <w:hyperlink w:anchor="_Toc2845686" w:history="1">
        <w:r w:rsidRPr="001009DB">
          <w:rPr>
            <w:rStyle w:val="Hyperlink"/>
            <w:noProof/>
          </w:rPr>
          <w:t>The Alcoholism and Drug Addiction Act 1966</w:t>
        </w:r>
        <w:r>
          <w:rPr>
            <w:noProof/>
            <w:webHidden/>
          </w:rPr>
          <w:tab/>
        </w:r>
        <w:r>
          <w:rPr>
            <w:noProof/>
            <w:webHidden/>
          </w:rPr>
          <w:fldChar w:fldCharType="begin"/>
        </w:r>
        <w:r>
          <w:rPr>
            <w:noProof/>
            <w:webHidden/>
          </w:rPr>
          <w:instrText xml:space="preserve"> PAGEREF _Toc2845686 \h </w:instrText>
        </w:r>
        <w:r>
          <w:rPr>
            <w:noProof/>
            <w:webHidden/>
          </w:rPr>
        </w:r>
        <w:r>
          <w:rPr>
            <w:noProof/>
            <w:webHidden/>
          </w:rPr>
          <w:fldChar w:fldCharType="separate"/>
        </w:r>
        <w:r>
          <w:rPr>
            <w:noProof/>
            <w:webHidden/>
          </w:rPr>
          <w:t>77</w:t>
        </w:r>
        <w:r>
          <w:rPr>
            <w:noProof/>
            <w:webHidden/>
          </w:rPr>
          <w:fldChar w:fldCharType="end"/>
        </w:r>
      </w:hyperlink>
    </w:p>
    <w:p w14:paraId="1C0BF4D4" w14:textId="77777777" w:rsidR="00BC5678" w:rsidRDefault="00BC5678">
      <w:pPr>
        <w:pStyle w:val="TOC3"/>
        <w:rPr>
          <w:rFonts w:asciiTheme="minorHAnsi" w:eastAsiaTheme="minorEastAsia" w:hAnsiTheme="minorHAnsi" w:cstheme="minorBidi"/>
          <w:noProof/>
          <w:sz w:val="22"/>
          <w:szCs w:val="22"/>
          <w:lang w:eastAsia="en-NZ"/>
        </w:rPr>
      </w:pPr>
      <w:hyperlink w:anchor="_Toc2845687" w:history="1">
        <w:r w:rsidRPr="001009DB">
          <w:rPr>
            <w:rStyle w:val="Hyperlink"/>
            <w:noProof/>
          </w:rPr>
          <w:t>Electroconvulsive therapy</w:t>
        </w:r>
        <w:r>
          <w:rPr>
            <w:noProof/>
            <w:webHidden/>
          </w:rPr>
          <w:tab/>
        </w:r>
        <w:r>
          <w:rPr>
            <w:noProof/>
            <w:webHidden/>
          </w:rPr>
          <w:fldChar w:fldCharType="begin"/>
        </w:r>
        <w:r>
          <w:rPr>
            <w:noProof/>
            <w:webHidden/>
          </w:rPr>
          <w:instrText xml:space="preserve"> PAGEREF _Toc2845687 \h </w:instrText>
        </w:r>
        <w:r>
          <w:rPr>
            <w:noProof/>
            <w:webHidden/>
          </w:rPr>
        </w:r>
        <w:r>
          <w:rPr>
            <w:noProof/>
            <w:webHidden/>
          </w:rPr>
          <w:fldChar w:fldCharType="separate"/>
        </w:r>
        <w:r>
          <w:rPr>
            <w:noProof/>
            <w:webHidden/>
          </w:rPr>
          <w:t>78</w:t>
        </w:r>
        <w:r>
          <w:rPr>
            <w:noProof/>
            <w:webHidden/>
          </w:rPr>
          <w:fldChar w:fldCharType="end"/>
        </w:r>
      </w:hyperlink>
    </w:p>
    <w:p w14:paraId="11BC197F" w14:textId="77777777" w:rsidR="00BC5678" w:rsidRDefault="00BC5678">
      <w:pPr>
        <w:pStyle w:val="TOC1"/>
        <w:rPr>
          <w:rFonts w:asciiTheme="minorHAnsi" w:eastAsiaTheme="minorEastAsia" w:hAnsiTheme="minorHAnsi" w:cstheme="minorBidi"/>
          <w:noProof/>
          <w:sz w:val="22"/>
          <w:szCs w:val="22"/>
          <w:lang w:eastAsia="en-NZ"/>
        </w:rPr>
      </w:pPr>
      <w:hyperlink w:anchor="_Toc2845688" w:history="1">
        <w:r w:rsidRPr="001009DB">
          <w:rPr>
            <w:rStyle w:val="Hyperlink"/>
            <w:noProof/>
          </w:rPr>
          <w:t>References</w:t>
        </w:r>
        <w:r>
          <w:rPr>
            <w:noProof/>
            <w:webHidden/>
          </w:rPr>
          <w:tab/>
        </w:r>
        <w:r>
          <w:rPr>
            <w:noProof/>
            <w:webHidden/>
          </w:rPr>
          <w:fldChar w:fldCharType="begin"/>
        </w:r>
        <w:r>
          <w:rPr>
            <w:noProof/>
            <w:webHidden/>
          </w:rPr>
          <w:instrText xml:space="preserve"> PAGEREF _Toc2845688 \h </w:instrText>
        </w:r>
        <w:r>
          <w:rPr>
            <w:noProof/>
            <w:webHidden/>
          </w:rPr>
        </w:r>
        <w:r>
          <w:rPr>
            <w:noProof/>
            <w:webHidden/>
          </w:rPr>
          <w:fldChar w:fldCharType="separate"/>
        </w:r>
        <w:r>
          <w:rPr>
            <w:noProof/>
            <w:webHidden/>
          </w:rPr>
          <w:t>86</w:t>
        </w:r>
        <w:r>
          <w:rPr>
            <w:noProof/>
            <w:webHidden/>
          </w:rPr>
          <w:fldChar w:fldCharType="end"/>
        </w:r>
      </w:hyperlink>
    </w:p>
    <w:p w14:paraId="782AE49D" w14:textId="77777777" w:rsidR="00BC5678" w:rsidRDefault="00BC5678">
      <w:pPr>
        <w:pStyle w:val="TOC1"/>
        <w:rPr>
          <w:rFonts w:asciiTheme="minorHAnsi" w:eastAsiaTheme="minorEastAsia" w:hAnsiTheme="minorHAnsi" w:cstheme="minorBidi"/>
          <w:noProof/>
          <w:sz w:val="22"/>
          <w:szCs w:val="22"/>
          <w:lang w:eastAsia="en-NZ"/>
        </w:rPr>
      </w:pPr>
      <w:hyperlink w:anchor="_Toc2845689" w:history="1">
        <w:r w:rsidRPr="001009DB">
          <w:rPr>
            <w:rStyle w:val="Hyperlink"/>
            <w:noProof/>
          </w:rPr>
          <w:t>Appendix 1: Key databases and caveats</w:t>
        </w:r>
        <w:r>
          <w:rPr>
            <w:noProof/>
            <w:webHidden/>
          </w:rPr>
          <w:tab/>
        </w:r>
        <w:r>
          <w:rPr>
            <w:noProof/>
            <w:webHidden/>
          </w:rPr>
          <w:fldChar w:fldCharType="begin"/>
        </w:r>
        <w:r>
          <w:rPr>
            <w:noProof/>
            <w:webHidden/>
          </w:rPr>
          <w:instrText xml:space="preserve"> PAGEREF _Toc2845689 \h </w:instrText>
        </w:r>
        <w:r>
          <w:rPr>
            <w:noProof/>
            <w:webHidden/>
          </w:rPr>
        </w:r>
        <w:r>
          <w:rPr>
            <w:noProof/>
            <w:webHidden/>
          </w:rPr>
          <w:fldChar w:fldCharType="separate"/>
        </w:r>
        <w:r>
          <w:rPr>
            <w:noProof/>
            <w:webHidden/>
          </w:rPr>
          <w:t>89</w:t>
        </w:r>
        <w:r>
          <w:rPr>
            <w:noProof/>
            <w:webHidden/>
          </w:rPr>
          <w:fldChar w:fldCharType="end"/>
        </w:r>
      </w:hyperlink>
    </w:p>
    <w:p w14:paraId="2091662E" w14:textId="77777777" w:rsidR="00BC5678" w:rsidRDefault="00BC5678">
      <w:pPr>
        <w:pStyle w:val="TOC2"/>
        <w:rPr>
          <w:rFonts w:asciiTheme="minorHAnsi" w:eastAsiaTheme="minorEastAsia" w:hAnsiTheme="minorHAnsi" w:cstheme="minorBidi"/>
          <w:noProof/>
          <w:szCs w:val="22"/>
          <w:lang w:eastAsia="en-NZ"/>
        </w:rPr>
      </w:pPr>
      <w:hyperlink w:anchor="_Toc2845690" w:history="1">
        <w:r w:rsidRPr="001009DB">
          <w:rPr>
            <w:rStyle w:val="Hyperlink"/>
            <w:noProof/>
          </w:rPr>
          <w:t>The Programme for the Integration of Mental Health Data</w:t>
        </w:r>
        <w:r>
          <w:rPr>
            <w:noProof/>
            <w:webHidden/>
          </w:rPr>
          <w:tab/>
        </w:r>
        <w:r>
          <w:rPr>
            <w:noProof/>
            <w:webHidden/>
          </w:rPr>
          <w:fldChar w:fldCharType="begin"/>
        </w:r>
        <w:r>
          <w:rPr>
            <w:noProof/>
            <w:webHidden/>
          </w:rPr>
          <w:instrText xml:space="preserve"> PAGEREF _Toc2845690 \h </w:instrText>
        </w:r>
        <w:r>
          <w:rPr>
            <w:noProof/>
            <w:webHidden/>
          </w:rPr>
        </w:r>
        <w:r>
          <w:rPr>
            <w:noProof/>
            <w:webHidden/>
          </w:rPr>
          <w:fldChar w:fldCharType="separate"/>
        </w:r>
        <w:r>
          <w:rPr>
            <w:noProof/>
            <w:webHidden/>
          </w:rPr>
          <w:t>89</w:t>
        </w:r>
        <w:r>
          <w:rPr>
            <w:noProof/>
            <w:webHidden/>
          </w:rPr>
          <w:fldChar w:fldCharType="end"/>
        </w:r>
      </w:hyperlink>
    </w:p>
    <w:p w14:paraId="0509B207" w14:textId="77777777" w:rsidR="00BC5678" w:rsidRDefault="00BC5678">
      <w:pPr>
        <w:pStyle w:val="TOC2"/>
        <w:rPr>
          <w:rFonts w:asciiTheme="minorHAnsi" w:eastAsiaTheme="minorEastAsia" w:hAnsiTheme="minorHAnsi" w:cstheme="minorBidi"/>
          <w:noProof/>
          <w:szCs w:val="22"/>
          <w:lang w:eastAsia="en-NZ"/>
        </w:rPr>
      </w:pPr>
      <w:hyperlink w:anchor="_Toc2845691" w:history="1">
        <w:r w:rsidRPr="001009DB">
          <w:rPr>
            <w:rStyle w:val="Hyperlink"/>
            <w:noProof/>
          </w:rPr>
          <w:t>The Alcohol and Drug Outcomes Measure</w:t>
        </w:r>
        <w:r>
          <w:rPr>
            <w:noProof/>
            <w:webHidden/>
          </w:rPr>
          <w:tab/>
        </w:r>
        <w:r>
          <w:rPr>
            <w:noProof/>
            <w:webHidden/>
          </w:rPr>
          <w:fldChar w:fldCharType="begin"/>
        </w:r>
        <w:r>
          <w:rPr>
            <w:noProof/>
            <w:webHidden/>
          </w:rPr>
          <w:instrText xml:space="preserve"> PAGEREF _Toc2845691 \h </w:instrText>
        </w:r>
        <w:r>
          <w:rPr>
            <w:noProof/>
            <w:webHidden/>
          </w:rPr>
        </w:r>
        <w:r>
          <w:rPr>
            <w:noProof/>
            <w:webHidden/>
          </w:rPr>
          <w:fldChar w:fldCharType="separate"/>
        </w:r>
        <w:r>
          <w:rPr>
            <w:noProof/>
            <w:webHidden/>
          </w:rPr>
          <w:t>90</w:t>
        </w:r>
        <w:r>
          <w:rPr>
            <w:noProof/>
            <w:webHidden/>
          </w:rPr>
          <w:fldChar w:fldCharType="end"/>
        </w:r>
      </w:hyperlink>
    </w:p>
    <w:p w14:paraId="5FFF7CAD" w14:textId="77777777" w:rsidR="00BC5678" w:rsidRDefault="00BC5678">
      <w:pPr>
        <w:pStyle w:val="TOC1"/>
        <w:rPr>
          <w:rFonts w:asciiTheme="minorHAnsi" w:eastAsiaTheme="minorEastAsia" w:hAnsiTheme="minorHAnsi" w:cstheme="minorBidi"/>
          <w:noProof/>
          <w:sz w:val="22"/>
          <w:szCs w:val="22"/>
          <w:lang w:eastAsia="en-NZ"/>
        </w:rPr>
      </w:pPr>
      <w:hyperlink w:anchor="_Toc2845692" w:history="1">
        <w:r w:rsidRPr="001009DB">
          <w:rPr>
            <w:rStyle w:val="Hyperlink"/>
            <w:noProof/>
          </w:rPr>
          <w:t>Appendix 2: Additional statistics</w:t>
        </w:r>
        <w:r>
          <w:rPr>
            <w:noProof/>
            <w:webHidden/>
          </w:rPr>
          <w:tab/>
        </w:r>
        <w:r>
          <w:rPr>
            <w:noProof/>
            <w:webHidden/>
          </w:rPr>
          <w:fldChar w:fldCharType="begin"/>
        </w:r>
        <w:r>
          <w:rPr>
            <w:noProof/>
            <w:webHidden/>
          </w:rPr>
          <w:instrText xml:space="preserve"> PAGEREF _Toc2845692 \h </w:instrText>
        </w:r>
        <w:r>
          <w:rPr>
            <w:noProof/>
            <w:webHidden/>
          </w:rPr>
        </w:r>
        <w:r>
          <w:rPr>
            <w:noProof/>
            <w:webHidden/>
          </w:rPr>
          <w:fldChar w:fldCharType="separate"/>
        </w:r>
        <w:r>
          <w:rPr>
            <w:noProof/>
            <w:webHidden/>
          </w:rPr>
          <w:t>92</w:t>
        </w:r>
        <w:r>
          <w:rPr>
            <w:noProof/>
            <w:webHidden/>
          </w:rPr>
          <w:fldChar w:fldCharType="end"/>
        </w:r>
      </w:hyperlink>
    </w:p>
    <w:p w14:paraId="675ED349" w14:textId="77777777" w:rsidR="00BC5678" w:rsidRDefault="00BC5678">
      <w:pPr>
        <w:pStyle w:val="TOC2"/>
        <w:rPr>
          <w:rFonts w:asciiTheme="minorHAnsi" w:eastAsiaTheme="minorEastAsia" w:hAnsiTheme="minorHAnsi" w:cstheme="minorBidi"/>
          <w:noProof/>
          <w:szCs w:val="22"/>
          <w:lang w:eastAsia="en-NZ"/>
        </w:rPr>
      </w:pPr>
      <w:hyperlink w:anchor="_Toc2845693" w:history="1">
        <w:r w:rsidRPr="001009DB">
          <w:rPr>
            <w:rStyle w:val="Hyperlink"/>
            <w:noProof/>
          </w:rPr>
          <w:t>The Mental Health Review Tribunal</w:t>
        </w:r>
        <w:r>
          <w:rPr>
            <w:noProof/>
            <w:webHidden/>
          </w:rPr>
          <w:tab/>
        </w:r>
        <w:r>
          <w:rPr>
            <w:noProof/>
            <w:webHidden/>
          </w:rPr>
          <w:fldChar w:fldCharType="begin"/>
        </w:r>
        <w:r>
          <w:rPr>
            <w:noProof/>
            <w:webHidden/>
          </w:rPr>
          <w:instrText xml:space="preserve"> PAGEREF _Toc2845693 \h </w:instrText>
        </w:r>
        <w:r>
          <w:rPr>
            <w:noProof/>
            <w:webHidden/>
          </w:rPr>
        </w:r>
        <w:r>
          <w:rPr>
            <w:noProof/>
            <w:webHidden/>
          </w:rPr>
          <w:fldChar w:fldCharType="separate"/>
        </w:r>
        <w:r>
          <w:rPr>
            <w:noProof/>
            <w:webHidden/>
          </w:rPr>
          <w:t>92</w:t>
        </w:r>
        <w:r>
          <w:rPr>
            <w:noProof/>
            <w:webHidden/>
          </w:rPr>
          <w:fldChar w:fldCharType="end"/>
        </w:r>
      </w:hyperlink>
    </w:p>
    <w:p w14:paraId="3BDC7A93" w14:textId="77777777" w:rsidR="00BC5678" w:rsidRDefault="00BC5678">
      <w:pPr>
        <w:pStyle w:val="TOC2"/>
        <w:rPr>
          <w:rFonts w:asciiTheme="minorHAnsi" w:eastAsiaTheme="minorEastAsia" w:hAnsiTheme="minorHAnsi" w:cstheme="minorBidi"/>
          <w:noProof/>
          <w:szCs w:val="22"/>
          <w:lang w:eastAsia="en-NZ"/>
        </w:rPr>
      </w:pPr>
      <w:hyperlink w:anchor="_Toc2845694" w:history="1">
        <w:r w:rsidRPr="001009DB">
          <w:rPr>
            <w:rStyle w:val="Hyperlink"/>
            <w:noProof/>
          </w:rPr>
          <w:t>Ministry of Justice statistics</w:t>
        </w:r>
        <w:r>
          <w:rPr>
            <w:noProof/>
            <w:webHidden/>
          </w:rPr>
          <w:tab/>
        </w:r>
        <w:r>
          <w:rPr>
            <w:noProof/>
            <w:webHidden/>
          </w:rPr>
          <w:fldChar w:fldCharType="begin"/>
        </w:r>
        <w:r>
          <w:rPr>
            <w:noProof/>
            <w:webHidden/>
          </w:rPr>
          <w:instrText xml:space="preserve"> PAGEREF _Toc2845694 \h </w:instrText>
        </w:r>
        <w:r>
          <w:rPr>
            <w:noProof/>
            <w:webHidden/>
          </w:rPr>
        </w:r>
        <w:r>
          <w:rPr>
            <w:noProof/>
            <w:webHidden/>
          </w:rPr>
          <w:fldChar w:fldCharType="separate"/>
        </w:r>
        <w:r>
          <w:rPr>
            <w:noProof/>
            <w:webHidden/>
          </w:rPr>
          <w:t>94</w:t>
        </w:r>
        <w:r>
          <w:rPr>
            <w:noProof/>
            <w:webHidden/>
          </w:rPr>
          <w:fldChar w:fldCharType="end"/>
        </w:r>
      </w:hyperlink>
    </w:p>
    <w:p w14:paraId="14573831" w14:textId="77777777" w:rsidR="00BC5678" w:rsidRDefault="00BC5678">
      <w:pPr>
        <w:pStyle w:val="TOC2"/>
        <w:rPr>
          <w:rFonts w:asciiTheme="minorHAnsi" w:eastAsiaTheme="minorEastAsia" w:hAnsiTheme="minorHAnsi" w:cstheme="minorBidi"/>
          <w:noProof/>
          <w:szCs w:val="22"/>
          <w:lang w:eastAsia="en-NZ"/>
        </w:rPr>
      </w:pPr>
      <w:hyperlink w:anchor="_Toc2845695" w:history="1">
        <w:r w:rsidRPr="001009DB">
          <w:rPr>
            <w:rStyle w:val="Hyperlink"/>
            <w:noProof/>
          </w:rPr>
          <w:t>Seclusion statistics incorporating outlier data</w:t>
        </w:r>
        <w:r>
          <w:rPr>
            <w:noProof/>
            <w:webHidden/>
          </w:rPr>
          <w:tab/>
        </w:r>
        <w:r>
          <w:rPr>
            <w:noProof/>
            <w:webHidden/>
          </w:rPr>
          <w:fldChar w:fldCharType="begin"/>
        </w:r>
        <w:r>
          <w:rPr>
            <w:noProof/>
            <w:webHidden/>
          </w:rPr>
          <w:instrText xml:space="preserve"> PAGEREF _Toc2845695 \h </w:instrText>
        </w:r>
        <w:r>
          <w:rPr>
            <w:noProof/>
            <w:webHidden/>
          </w:rPr>
        </w:r>
        <w:r>
          <w:rPr>
            <w:noProof/>
            <w:webHidden/>
          </w:rPr>
          <w:fldChar w:fldCharType="separate"/>
        </w:r>
        <w:r>
          <w:rPr>
            <w:noProof/>
            <w:webHidden/>
          </w:rPr>
          <w:t>95</w:t>
        </w:r>
        <w:r>
          <w:rPr>
            <w:noProof/>
            <w:webHidden/>
          </w:rPr>
          <w:fldChar w:fldCharType="end"/>
        </w:r>
      </w:hyperlink>
    </w:p>
    <w:p w14:paraId="71135AA8" w14:textId="77777777" w:rsidR="00BC5678" w:rsidRDefault="00BC5678">
      <w:pPr>
        <w:pStyle w:val="TOC1"/>
        <w:rPr>
          <w:rFonts w:asciiTheme="minorHAnsi" w:eastAsiaTheme="minorEastAsia" w:hAnsiTheme="minorHAnsi" w:cstheme="minorBidi"/>
          <w:noProof/>
          <w:sz w:val="22"/>
          <w:szCs w:val="22"/>
          <w:lang w:eastAsia="en-NZ"/>
        </w:rPr>
      </w:pPr>
      <w:hyperlink w:anchor="_Toc2845696" w:history="1">
        <w:r w:rsidRPr="001009DB">
          <w:rPr>
            <w:rStyle w:val="Hyperlink"/>
            <w:noProof/>
          </w:rPr>
          <w:t>Appendix 3: Special and restricted patients</w:t>
        </w:r>
        <w:r>
          <w:rPr>
            <w:noProof/>
            <w:webHidden/>
          </w:rPr>
          <w:tab/>
        </w:r>
        <w:r>
          <w:rPr>
            <w:noProof/>
            <w:webHidden/>
          </w:rPr>
          <w:fldChar w:fldCharType="begin"/>
        </w:r>
        <w:r>
          <w:rPr>
            <w:noProof/>
            <w:webHidden/>
          </w:rPr>
          <w:instrText xml:space="preserve"> PAGEREF _Toc2845696 \h </w:instrText>
        </w:r>
        <w:r>
          <w:rPr>
            <w:noProof/>
            <w:webHidden/>
          </w:rPr>
        </w:r>
        <w:r>
          <w:rPr>
            <w:noProof/>
            <w:webHidden/>
          </w:rPr>
          <w:fldChar w:fldCharType="separate"/>
        </w:r>
        <w:r>
          <w:rPr>
            <w:noProof/>
            <w:webHidden/>
          </w:rPr>
          <w:t>97</w:t>
        </w:r>
        <w:r>
          <w:rPr>
            <w:noProof/>
            <w:webHidden/>
          </w:rPr>
          <w:fldChar w:fldCharType="end"/>
        </w:r>
      </w:hyperlink>
    </w:p>
    <w:p w14:paraId="0E89DB57" w14:textId="77777777" w:rsidR="00BC5678" w:rsidRDefault="00BC5678">
      <w:pPr>
        <w:pStyle w:val="TOC2"/>
        <w:rPr>
          <w:rFonts w:asciiTheme="minorHAnsi" w:eastAsiaTheme="minorEastAsia" w:hAnsiTheme="minorHAnsi" w:cstheme="minorBidi"/>
          <w:noProof/>
          <w:szCs w:val="22"/>
          <w:lang w:eastAsia="en-NZ"/>
        </w:rPr>
      </w:pPr>
      <w:hyperlink w:anchor="_Toc2845697" w:history="1">
        <w:r w:rsidRPr="001009DB">
          <w:rPr>
            <w:rStyle w:val="Hyperlink"/>
            <w:noProof/>
          </w:rPr>
          <w:t>The insanity defence</w:t>
        </w:r>
        <w:r>
          <w:rPr>
            <w:noProof/>
            <w:webHidden/>
          </w:rPr>
          <w:tab/>
        </w:r>
        <w:r>
          <w:rPr>
            <w:noProof/>
            <w:webHidden/>
          </w:rPr>
          <w:fldChar w:fldCharType="begin"/>
        </w:r>
        <w:r>
          <w:rPr>
            <w:noProof/>
            <w:webHidden/>
          </w:rPr>
          <w:instrText xml:space="preserve"> PAGEREF _Toc2845697 \h </w:instrText>
        </w:r>
        <w:r>
          <w:rPr>
            <w:noProof/>
            <w:webHidden/>
          </w:rPr>
        </w:r>
        <w:r>
          <w:rPr>
            <w:noProof/>
            <w:webHidden/>
          </w:rPr>
          <w:fldChar w:fldCharType="separate"/>
        </w:r>
        <w:r>
          <w:rPr>
            <w:noProof/>
            <w:webHidden/>
          </w:rPr>
          <w:t>97</w:t>
        </w:r>
        <w:r>
          <w:rPr>
            <w:noProof/>
            <w:webHidden/>
          </w:rPr>
          <w:fldChar w:fldCharType="end"/>
        </w:r>
      </w:hyperlink>
    </w:p>
    <w:p w14:paraId="59B05944" w14:textId="77777777" w:rsidR="00BC5678" w:rsidRDefault="00BC5678">
      <w:pPr>
        <w:pStyle w:val="TOC3"/>
        <w:rPr>
          <w:rFonts w:asciiTheme="minorHAnsi" w:eastAsiaTheme="minorEastAsia" w:hAnsiTheme="minorHAnsi" w:cstheme="minorBidi"/>
          <w:noProof/>
          <w:sz w:val="22"/>
          <w:szCs w:val="22"/>
          <w:lang w:eastAsia="en-NZ"/>
        </w:rPr>
      </w:pPr>
      <w:hyperlink w:anchor="_Toc2845698" w:history="1">
        <w:r w:rsidRPr="001009DB">
          <w:rPr>
            <w:rStyle w:val="Hyperlink"/>
            <w:noProof/>
          </w:rPr>
          <w:t>Section 23 of the Crimes Act 1961: Insanity</w:t>
        </w:r>
        <w:r>
          <w:rPr>
            <w:noProof/>
            <w:webHidden/>
          </w:rPr>
          <w:tab/>
        </w:r>
        <w:r>
          <w:rPr>
            <w:noProof/>
            <w:webHidden/>
          </w:rPr>
          <w:fldChar w:fldCharType="begin"/>
        </w:r>
        <w:r>
          <w:rPr>
            <w:noProof/>
            <w:webHidden/>
          </w:rPr>
          <w:instrText xml:space="preserve"> PAGEREF _Toc2845698 \h </w:instrText>
        </w:r>
        <w:r>
          <w:rPr>
            <w:noProof/>
            <w:webHidden/>
          </w:rPr>
        </w:r>
        <w:r>
          <w:rPr>
            <w:noProof/>
            <w:webHidden/>
          </w:rPr>
          <w:fldChar w:fldCharType="separate"/>
        </w:r>
        <w:r>
          <w:rPr>
            <w:noProof/>
            <w:webHidden/>
          </w:rPr>
          <w:t>97</w:t>
        </w:r>
        <w:r>
          <w:rPr>
            <w:noProof/>
            <w:webHidden/>
          </w:rPr>
          <w:fldChar w:fldCharType="end"/>
        </w:r>
      </w:hyperlink>
    </w:p>
    <w:p w14:paraId="5D5D7C8A" w14:textId="77777777" w:rsidR="00BC5678" w:rsidRDefault="00BC5678">
      <w:pPr>
        <w:pStyle w:val="TOC1"/>
        <w:rPr>
          <w:rFonts w:asciiTheme="minorHAnsi" w:eastAsiaTheme="minorEastAsia" w:hAnsiTheme="minorHAnsi" w:cstheme="minorBidi"/>
          <w:noProof/>
          <w:sz w:val="22"/>
          <w:szCs w:val="22"/>
          <w:lang w:eastAsia="en-NZ"/>
        </w:rPr>
      </w:pPr>
      <w:hyperlink w:anchor="_Toc2845699" w:history="1">
        <w:r w:rsidRPr="001009DB">
          <w:rPr>
            <w:rStyle w:val="Hyperlink"/>
            <w:noProof/>
          </w:rPr>
          <w:t>Appendix 4: Developments in mental health and addiction reporting and improvement</w:t>
        </w:r>
        <w:r>
          <w:rPr>
            <w:noProof/>
            <w:webHidden/>
          </w:rPr>
          <w:tab/>
        </w:r>
        <w:r>
          <w:rPr>
            <w:noProof/>
            <w:webHidden/>
          </w:rPr>
          <w:fldChar w:fldCharType="begin"/>
        </w:r>
        <w:r>
          <w:rPr>
            <w:noProof/>
            <w:webHidden/>
          </w:rPr>
          <w:instrText xml:space="preserve"> PAGEREF _Toc2845699 \h </w:instrText>
        </w:r>
        <w:r>
          <w:rPr>
            <w:noProof/>
            <w:webHidden/>
          </w:rPr>
        </w:r>
        <w:r>
          <w:rPr>
            <w:noProof/>
            <w:webHidden/>
          </w:rPr>
          <w:fldChar w:fldCharType="separate"/>
        </w:r>
        <w:r>
          <w:rPr>
            <w:noProof/>
            <w:webHidden/>
          </w:rPr>
          <w:t>99</w:t>
        </w:r>
        <w:r>
          <w:rPr>
            <w:noProof/>
            <w:webHidden/>
          </w:rPr>
          <w:fldChar w:fldCharType="end"/>
        </w:r>
      </w:hyperlink>
    </w:p>
    <w:p w14:paraId="667F971E" w14:textId="77777777" w:rsidR="00BC5678" w:rsidRDefault="00BC5678">
      <w:pPr>
        <w:pStyle w:val="TOC2"/>
        <w:rPr>
          <w:rFonts w:asciiTheme="minorHAnsi" w:eastAsiaTheme="minorEastAsia" w:hAnsiTheme="minorHAnsi" w:cstheme="minorBidi"/>
          <w:noProof/>
          <w:szCs w:val="22"/>
          <w:lang w:eastAsia="en-NZ"/>
        </w:rPr>
      </w:pPr>
      <w:hyperlink w:anchor="_Toc2845700" w:history="1">
        <w:r w:rsidRPr="001009DB">
          <w:rPr>
            <w:rStyle w:val="Hyperlink"/>
            <w:noProof/>
          </w:rPr>
          <w:t>Updated National Adverse Events Reporting Policy 2017</w:t>
        </w:r>
        <w:r>
          <w:rPr>
            <w:noProof/>
            <w:webHidden/>
          </w:rPr>
          <w:tab/>
        </w:r>
        <w:r>
          <w:rPr>
            <w:noProof/>
            <w:webHidden/>
          </w:rPr>
          <w:fldChar w:fldCharType="begin"/>
        </w:r>
        <w:r>
          <w:rPr>
            <w:noProof/>
            <w:webHidden/>
          </w:rPr>
          <w:instrText xml:space="preserve"> PAGEREF _Toc2845700 \h </w:instrText>
        </w:r>
        <w:r>
          <w:rPr>
            <w:noProof/>
            <w:webHidden/>
          </w:rPr>
        </w:r>
        <w:r>
          <w:rPr>
            <w:noProof/>
            <w:webHidden/>
          </w:rPr>
          <w:fldChar w:fldCharType="separate"/>
        </w:r>
        <w:r>
          <w:rPr>
            <w:noProof/>
            <w:webHidden/>
          </w:rPr>
          <w:t>99</w:t>
        </w:r>
        <w:r>
          <w:rPr>
            <w:noProof/>
            <w:webHidden/>
          </w:rPr>
          <w:fldChar w:fldCharType="end"/>
        </w:r>
      </w:hyperlink>
    </w:p>
    <w:p w14:paraId="47D543B2" w14:textId="77777777" w:rsidR="00BC5678" w:rsidRDefault="00BC5678">
      <w:pPr>
        <w:pStyle w:val="TOC2"/>
        <w:rPr>
          <w:rFonts w:asciiTheme="minorHAnsi" w:eastAsiaTheme="minorEastAsia" w:hAnsiTheme="minorHAnsi" w:cstheme="minorBidi"/>
          <w:noProof/>
          <w:szCs w:val="22"/>
          <w:lang w:eastAsia="en-NZ"/>
        </w:rPr>
      </w:pPr>
      <w:hyperlink w:anchor="_Toc2845701" w:history="1">
        <w:r w:rsidRPr="001009DB">
          <w:rPr>
            <w:rStyle w:val="Hyperlink"/>
            <w:noProof/>
          </w:rPr>
          <w:t>National mental health and addiction quality improvement programme</w:t>
        </w:r>
        <w:r>
          <w:rPr>
            <w:noProof/>
            <w:webHidden/>
          </w:rPr>
          <w:tab/>
        </w:r>
        <w:r>
          <w:rPr>
            <w:noProof/>
            <w:webHidden/>
          </w:rPr>
          <w:fldChar w:fldCharType="begin"/>
        </w:r>
        <w:r>
          <w:rPr>
            <w:noProof/>
            <w:webHidden/>
          </w:rPr>
          <w:instrText xml:space="preserve"> PAGEREF _Toc2845701 \h </w:instrText>
        </w:r>
        <w:r>
          <w:rPr>
            <w:noProof/>
            <w:webHidden/>
          </w:rPr>
        </w:r>
        <w:r>
          <w:rPr>
            <w:noProof/>
            <w:webHidden/>
          </w:rPr>
          <w:fldChar w:fldCharType="separate"/>
        </w:r>
        <w:r>
          <w:rPr>
            <w:noProof/>
            <w:webHidden/>
          </w:rPr>
          <w:t>100</w:t>
        </w:r>
        <w:r>
          <w:rPr>
            <w:noProof/>
            <w:webHidden/>
          </w:rPr>
          <w:fldChar w:fldCharType="end"/>
        </w:r>
      </w:hyperlink>
    </w:p>
    <w:p w14:paraId="5B92EFC9" w14:textId="77777777" w:rsidR="00BC5678" w:rsidRDefault="00BC5678">
      <w:pPr>
        <w:pStyle w:val="TOC2"/>
        <w:rPr>
          <w:rFonts w:asciiTheme="minorHAnsi" w:eastAsiaTheme="minorEastAsia" w:hAnsiTheme="minorHAnsi" w:cstheme="minorBidi"/>
          <w:noProof/>
          <w:szCs w:val="22"/>
          <w:lang w:eastAsia="en-NZ"/>
        </w:rPr>
      </w:pPr>
      <w:hyperlink w:anchor="_Toc2845702" w:history="1">
        <w:r w:rsidRPr="001009DB">
          <w:rPr>
            <w:rStyle w:val="Hyperlink"/>
            <w:noProof/>
          </w:rPr>
          <w:t>Suicide Mortality Review Committee</w:t>
        </w:r>
        <w:r>
          <w:rPr>
            <w:noProof/>
            <w:webHidden/>
          </w:rPr>
          <w:tab/>
        </w:r>
        <w:r>
          <w:rPr>
            <w:noProof/>
            <w:webHidden/>
          </w:rPr>
          <w:fldChar w:fldCharType="begin"/>
        </w:r>
        <w:r>
          <w:rPr>
            <w:noProof/>
            <w:webHidden/>
          </w:rPr>
          <w:instrText xml:space="preserve"> PAGEREF _Toc2845702 \h </w:instrText>
        </w:r>
        <w:r>
          <w:rPr>
            <w:noProof/>
            <w:webHidden/>
          </w:rPr>
        </w:r>
        <w:r>
          <w:rPr>
            <w:noProof/>
            <w:webHidden/>
          </w:rPr>
          <w:fldChar w:fldCharType="separate"/>
        </w:r>
        <w:r>
          <w:rPr>
            <w:noProof/>
            <w:webHidden/>
          </w:rPr>
          <w:t>101</w:t>
        </w:r>
        <w:r>
          <w:rPr>
            <w:noProof/>
            <w:webHidden/>
          </w:rPr>
          <w:fldChar w:fldCharType="end"/>
        </w:r>
      </w:hyperlink>
    </w:p>
    <w:p w14:paraId="77286505" w14:textId="44232378" w:rsidR="00C86248" w:rsidRDefault="00BC5678">
      <w:r>
        <w:rPr>
          <w:rFonts w:ascii="Segoe UI Semibold" w:hAnsi="Segoe UI Semibold"/>
          <w:b/>
          <w:sz w:val="24"/>
        </w:rPr>
        <w:fldChar w:fldCharType="end"/>
      </w:r>
    </w:p>
    <w:p w14:paraId="63B86BB2" w14:textId="77777777" w:rsidR="003A5FEA" w:rsidRDefault="003A5FEA" w:rsidP="001D3E4E">
      <w:pPr>
        <w:pStyle w:val="TOC1"/>
        <w:keepNext/>
      </w:pPr>
      <w:r>
        <w:t>List of Figures</w:t>
      </w:r>
    </w:p>
    <w:p w14:paraId="4C5C3310" w14:textId="77777777" w:rsidR="00BC5678" w:rsidRDefault="00BC5678">
      <w:pPr>
        <w:pStyle w:val="TOC3"/>
        <w:rPr>
          <w:rFonts w:asciiTheme="minorHAnsi" w:eastAsiaTheme="minorEastAsia" w:hAnsiTheme="minorHAnsi" w:cstheme="minorBidi"/>
          <w:noProof/>
          <w:sz w:val="22"/>
          <w:szCs w:val="22"/>
          <w:lang w:eastAsia="en-NZ"/>
        </w:rPr>
      </w:pPr>
      <w:r>
        <w:fldChar w:fldCharType="begin"/>
      </w:r>
      <w:r>
        <w:instrText xml:space="preserve"> TOC \h \z \t "Figure,3" </w:instrText>
      </w:r>
      <w:r>
        <w:fldChar w:fldCharType="separate"/>
      </w:r>
      <w:hyperlink w:anchor="_Toc2845703" w:history="1">
        <w:r w:rsidRPr="003E188B">
          <w:rPr>
            <w:rStyle w:val="Hyperlink"/>
            <w:noProof/>
          </w:rPr>
          <w:t>Figure 1: Number of people engaging with specialist services each year, 2011–2017</w:t>
        </w:r>
        <w:r>
          <w:rPr>
            <w:noProof/>
            <w:webHidden/>
          </w:rPr>
          <w:tab/>
        </w:r>
        <w:r>
          <w:rPr>
            <w:noProof/>
            <w:webHidden/>
          </w:rPr>
          <w:fldChar w:fldCharType="begin"/>
        </w:r>
        <w:r>
          <w:rPr>
            <w:noProof/>
            <w:webHidden/>
          </w:rPr>
          <w:instrText xml:space="preserve"> PAGEREF _Toc2845703 \h </w:instrText>
        </w:r>
        <w:r>
          <w:rPr>
            <w:noProof/>
            <w:webHidden/>
          </w:rPr>
        </w:r>
        <w:r>
          <w:rPr>
            <w:noProof/>
            <w:webHidden/>
          </w:rPr>
          <w:fldChar w:fldCharType="separate"/>
        </w:r>
        <w:r>
          <w:rPr>
            <w:noProof/>
            <w:webHidden/>
          </w:rPr>
          <w:t>6</w:t>
        </w:r>
        <w:r>
          <w:rPr>
            <w:noProof/>
            <w:webHidden/>
          </w:rPr>
          <w:fldChar w:fldCharType="end"/>
        </w:r>
      </w:hyperlink>
    </w:p>
    <w:p w14:paraId="081FC6CE" w14:textId="77777777" w:rsidR="00BC5678" w:rsidRDefault="00BC5678">
      <w:pPr>
        <w:pStyle w:val="TOC3"/>
        <w:rPr>
          <w:rFonts w:asciiTheme="minorHAnsi" w:eastAsiaTheme="minorEastAsia" w:hAnsiTheme="minorHAnsi" w:cstheme="minorBidi"/>
          <w:noProof/>
          <w:sz w:val="22"/>
          <w:szCs w:val="22"/>
          <w:lang w:eastAsia="en-NZ"/>
        </w:rPr>
      </w:pPr>
      <w:hyperlink w:anchor="_Toc2845704" w:history="1">
        <w:r w:rsidRPr="003E188B">
          <w:rPr>
            <w:rStyle w:val="Hyperlink"/>
            <w:noProof/>
          </w:rPr>
          <w:t>Figure 2: Percentage of service users accessing only community services, 1 January to 31 December 2017</w:t>
        </w:r>
        <w:r>
          <w:rPr>
            <w:noProof/>
            <w:webHidden/>
          </w:rPr>
          <w:tab/>
        </w:r>
        <w:r>
          <w:rPr>
            <w:noProof/>
            <w:webHidden/>
          </w:rPr>
          <w:fldChar w:fldCharType="begin"/>
        </w:r>
        <w:r>
          <w:rPr>
            <w:noProof/>
            <w:webHidden/>
          </w:rPr>
          <w:instrText xml:space="preserve"> PAGEREF _Toc2845704 \h </w:instrText>
        </w:r>
        <w:r>
          <w:rPr>
            <w:noProof/>
            <w:webHidden/>
          </w:rPr>
        </w:r>
        <w:r>
          <w:rPr>
            <w:noProof/>
            <w:webHidden/>
          </w:rPr>
          <w:fldChar w:fldCharType="separate"/>
        </w:r>
        <w:r>
          <w:rPr>
            <w:noProof/>
            <w:webHidden/>
          </w:rPr>
          <w:t>6</w:t>
        </w:r>
        <w:r>
          <w:rPr>
            <w:noProof/>
            <w:webHidden/>
          </w:rPr>
          <w:fldChar w:fldCharType="end"/>
        </w:r>
      </w:hyperlink>
    </w:p>
    <w:p w14:paraId="461A8615" w14:textId="77777777" w:rsidR="00BC5678" w:rsidRDefault="00BC5678">
      <w:pPr>
        <w:pStyle w:val="TOC3"/>
        <w:rPr>
          <w:rFonts w:asciiTheme="minorHAnsi" w:eastAsiaTheme="minorEastAsia" w:hAnsiTheme="minorHAnsi" w:cstheme="minorBidi"/>
          <w:noProof/>
          <w:sz w:val="22"/>
          <w:szCs w:val="22"/>
          <w:lang w:eastAsia="en-NZ"/>
        </w:rPr>
      </w:pPr>
      <w:hyperlink w:anchor="_Toc2845705" w:history="1">
        <w:r w:rsidRPr="003E188B">
          <w:rPr>
            <w:rStyle w:val="Hyperlink"/>
            <w:noProof/>
          </w:rPr>
          <w:t>Figure 3: Responses to the statement ‘I would recommend this service to friends and family if they needed similar care or treatment’, 1 January to 31 December 2017</w:t>
        </w:r>
        <w:r>
          <w:rPr>
            <w:noProof/>
            <w:webHidden/>
          </w:rPr>
          <w:tab/>
        </w:r>
        <w:r>
          <w:rPr>
            <w:noProof/>
            <w:webHidden/>
          </w:rPr>
          <w:fldChar w:fldCharType="begin"/>
        </w:r>
        <w:r>
          <w:rPr>
            <w:noProof/>
            <w:webHidden/>
          </w:rPr>
          <w:instrText xml:space="preserve"> PAGEREF _Toc2845705 \h </w:instrText>
        </w:r>
        <w:r>
          <w:rPr>
            <w:noProof/>
            <w:webHidden/>
          </w:rPr>
        </w:r>
        <w:r>
          <w:rPr>
            <w:noProof/>
            <w:webHidden/>
          </w:rPr>
          <w:fldChar w:fldCharType="separate"/>
        </w:r>
        <w:r>
          <w:rPr>
            <w:noProof/>
            <w:webHidden/>
          </w:rPr>
          <w:t>25</w:t>
        </w:r>
        <w:r>
          <w:rPr>
            <w:noProof/>
            <w:webHidden/>
          </w:rPr>
          <w:fldChar w:fldCharType="end"/>
        </w:r>
      </w:hyperlink>
    </w:p>
    <w:p w14:paraId="0296A4C8" w14:textId="77777777" w:rsidR="00BC5678" w:rsidRDefault="00BC5678">
      <w:pPr>
        <w:pStyle w:val="TOC3"/>
        <w:rPr>
          <w:rFonts w:asciiTheme="minorHAnsi" w:eastAsiaTheme="minorEastAsia" w:hAnsiTheme="minorHAnsi" w:cstheme="minorBidi"/>
          <w:noProof/>
          <w:sz w:val="22"/>
          <w:szCs w:val="22"/>
          <w:lang w:eastAsia="en-NZ"/>
        </w:rPr>
      </w:pPr>
      <w:hyperlink w:anchor="_Toc2845706" w:history="1">
        <w:r w:rsidRPr="003E188B">
          <w:rPr>
            <w:rStyle w:val="Hyperlink"/>
            <w:noProof/>
          </w:rPr>
          <w:t>Figure 4: Percentage of people seen by mental health services within three weeks (left) and within eight weeks (right), 1 January to 31 December 2017</w:t>
        </w:r>
        <w:r>
          <w:rPr>
            <w:noProof/>
            <w:webHidden/>
          </w:rPr>
          <w:tab/>
        </w:r>
        <w:r>
          <w:rPr>
            <w:noProof/>
            <w:webHidden/>
          </w:rPr>
          <w:fldChar w:fldCharType="begin"/>
        </w:r>
        <w:r>
          <w:rPr>
            <w:noProof/>
            <w:webHidden/>
          </w:rPr>
          <w:instrText xml:space="preserve"> PAGEREF _Toc2845706 \h </w:instrText>
        </w:r>
        <w:r>
          <w:rPr>
            <w:noProof/>
            <w:webHidden/>
          </w:rPr>
        </w:r>
        <w:r>
          <w:rPr>
            <w:noProof/>
            <w:webHidden/>
          </w:rPr>
          <w:fldChar w:fldCharType="separate"/>
        </w:r>
        <w:r>
          <w:rPr>
            <w:noProof/>
            <w:webHidden/>
          </w:rPr>
          <w:t>26</w:t>
        </w:r>
        <w:r>
          <w:rPr>
            <w:noProof/>
            <w:webHidden/>
          </w:rPr>
          <w:fldChar w:fldCharType="end"/>
        </w:r>
      </w:hyperlink>
    </w:p>
    <w:p w14:paraId="683C3544" w14:textId="77777777" w:rsidR="00BC5678" w:rsidRDefault="00BC5678">
      <w:pPr>
        <w:pStyle w:val="TOC3"/>
        <w:rPr>
          <w:rFonts w:asciiTheme="minorHAnsi" w:eastAsiaTheme="minorEastAsia" w:hAnsiTheme="minorHAnsi" w:cstheme="minorBidi"/>
          <w:noProof/>
          <w:sz w:val="22"/>
          <w:szCs w:val="22"/>
          <w:lang w:eastAsia="en-NZ"/>
        </w:rPr>
      </w:pPr>
      <w:hyperlink w:anchor="_Toc2845707" w:history="1">
        <w:r w:rsidRPr="003E188B">
          <w:rPr>
            <w:rStyle w:val="Hyperlink"/>
            <w:noProof/>
          </w:rPr>
          <w:t>Figure 5: Percentage of people seen by addiction services within three weeks (left) and within eight weeks (right), 1 January to 31 December 2017</w:t>
        </w:r>
        <w:r>
          <w:rPr>
            <w:noProof/>
            <w:webHidden/>
          </w:rPr>
          <w:tab/>
        </w:r>
        <w:r>
          <w:rPr>
            <w:noProof/>
            <w:webHidden/>
          </w:rPr>
          <w:fldChar w:fldCharType="begin"/>
        </w:r>
        <w:r>
          <w:rPr>
            <w:noProof/>
            <w:webHidden/>
          </w:rPr>
          <w:instrText xml:space="preserve"> PAGEREF _Toc2845707 \h </w:instrText>
        </w:r>
        <w:r>
          <w:rPr>
            <w:noProof/>
            <w:webHidden/>
          </w:rPr>
        </w:r>
        <w:r>
          <w:rPr>
            <w:noProof/>
            <w:webHidden/>
          </w:rPr>
          <w:fldChar w:fldCharType="separate"/>
        </w:r>
        <w:r>
          <w:rPr>
            <w:noProof/>
            <w:webHidden/>
          </w:rPr>
          <w:t>26</w:t>
        </w:r>
        <w:r>
          <w:rPr>
            <w:noProof/>
            <w:webHidden/>
          </w:rPr>
          <w:fldChar w:fldCharType="end"/>
        </w:r>
      </w:hyperlink>
    </w:p>
    <w:p w14:paraId="68D45CC7" w14:textId="77777777" w:rsidR="00BC5678" w:rsidRDefault="00BC5678">
      <w:pPr>
        <w:pStyle w:val="TOC3"/>
        <w:rPr>
          <w:rFonts w:asciiTheme="minorHAnsi" w:eastAsiaTheme="minorEastAsia" w:hAnsiTheme="minorHAnsi" w:cstheme="minorBidi"/>
          <w:noProof/>
          <w:sz w:val="22"/>
          <w:szCs w:val="22"/>
          <w:lang w:eastAsia="en-NZ"/>
        </w:rPr>
      </w:pPr>
      <w:hyperlink w:anchor="_Toc2845708" w:history="1">
        <w:r w:rsidRPr="003E188B">
          <w:rPr>
            <w:rStyle w:val="Hyperlink"/>
            <w:noProof/>
          </w:rPr>
          <w:t>Figure 6: Percentage of service users with a transition plan, by DHB, 1 January to 31 December 2017</w:t>
        </w:r>
        <w:r>
          <w:rPr>
            <w:noProof/>
            <w:webHidden/>
          </w:rPr>
          <w:tab/>
        </w:r>
        <w:r>
          <w:rPr>
            <w:noProof/>
            <w:webHidden/>
          </w:rPr>
          <w:fldChar w:fldCharType="begin"/>
        </w:r>
        <w:r>
          <w:rPr>
            <w:noProof/>
            <w:webHidden/>
          </w:rPr>
          <w:instrText xml:space="preserve"> PAGEREF _Toc2845708 \h </w:instrText>
        </w:r>
        <w:r>
          <w:rPr>
            <w:noProof/>
            <w:webHidden/>
          </w:rPr>
        </w:r>
        <w:r>
          <w:rPr>
            <w:noProof/>
            <w:webHidden/>
          </w:rPr>
          <w:fldChar w:fldCharType="separate"/>
        </w:r>
        <w:r>
          <w:rPr>
            <w:noProof/>
            <w:webHidden/>
          </w:rPr>
          <w:t>27</w:t>
        </w:r>
        <w:r>
          <w:rPr>
            <w:noProof/>
            <w:webHidden/>
          </w:rPr>
          <w:fldChar w:fldCharType="end"/>
        </w:r>
      </w:hyperlink>
    </w:p>
    <w:p w14:paraId="35F81E6D" w14:textId="77777777" w:rsidR="00BC5678" w:rsidRDefault="00BC5678">
      <w:pPr>
        <w:pStyle w:val="TOC3"/>
        <w:rPr>
          <w:rFonts w:asciiTheme="minorHAnsi" w:eastAsiaTheme="minorEastAsia" w:hAnsiTheme="minorHAnsi" w:cstheme="minorBidi"/>
          <w:noProof/>
          <w:sz w:val="22"/>
          <w:szCs w:val="22"/>
          <w:lang w:eastAsia="en-NZ"/>
        </w:rPr>
      </w:pPr>
      <w:hyperlink w:anchor="_Toc2845709" w:history="1">
        <w:r w:rsidRPr="003E188B">
          <w:rPr>
            <w:rStyle w:val="Hyperlink"/>
            <w:noProof/>
          </w:rPr>
          <w:t>Figure 7: Percentage of service users with a transition/wellness plan, 1 January to 31 December 2017</w:t>
        </w:r>
        <w:r>
          <w:rPr>
            <w:noProof/>
            <w:webHidden/>
          </w:rPr>
          <w:tab/>
        </w:r>
        <w:r>
          <w:rPr>
            <w:noProof/>
            <w:webHidden/>
          </w:rPr>
          <w:fldChar w:fldCharType="begin"/>
        </w:r>
        <w:r>
          <w:rPr>
            <w:noProof/>
            <w:webHidden/>
          </w:rPr>
          <w:instrText xml:space="preserve"> PAGEREF _Toc2845709 \h </w:instrText>
        </w:r>
        <w:r>
          <w:rPr>
            <w:noProof/>
            <w:webHidden/>
          </w:rPr>
        </w:r>
        <w:r>
          <w:rPr>
            <w:noProof/>
            <w:webHidden/>
          </w:rPr>
          <w:fldChar w:fldCharType="separate"/>
        </w:r>
        <w:r>
          <w:rPr>
            <w:noProof/>
            <w:webHidden/>
          </w:rPr>
          <w:t>28</w:t>
        </w:r>
        <w:r>
          <w:rPr>
            <w:noProof/>
            <w:webHidden/>
          </w:rPr>
          <w:fldChar w:fldCharType="end"/>
        </w:r>
      </w:hyperlink>
    </w:p>
    <w:p w14:paraId="0AB4172A" w14:textId="77777777" w:rsidR="00BC5678" w:rsidRDefault="00BC5678">
      <w:pPr>
        <w:pStyle w:val="TOC3"/>
        <w:rPr>
          <w:rFonts w:asciiTheme="minorHAnsi" w:eastAsiaTheme="minorEastAsia" w:hAnsiTheme="minorHAnsi" w:cstheme="minorBidi"/>
          <w:noProof/>
          <w:sz w:val="22"/>
          <w:szCs w:val="22"/>
          <w:lang w:eastAsia="en-NZ"/>
        </w:rPr>
      </w:pPr>
      <w:hyperlink w:anchor="_Toc2845710" w:history="1">
        <w:r w:rsidRPr="003E188B">
          <w:rPr>
            <w:rStyle w:val="Hyperlink"/>
            <w:noProof/>
          </w:rPr>
          <w:t>Figure 8: Average number of people per 100,000 on a given day* subject to a community treatment order (section 29 of the Mental Health Act), by DHB, 1 January to 31 December 2017</w:t>
        </w:r>
        <w:r>
          <w:rPr>
            <w:noProof/>
            <w:webHidden/>
          </w:rPr>
          <w:tab/>
        </w:r>
        <w:r>
          <w:rPr>
            <w:noProof/>
            <w:webHidden/>
          </w:rPr>
          <w:fldChar w:fldCharType="begin"/>
        </w:r>
        <w:r>
          <w:rPr>
            <w:noProof/>
            <w:webHidden/>
          </w:rPr>
          <w:instrText xml:space="preserve"> PAGEREF _Toc2845710 \h </w:instrText>
        </w:r>
        <w:r>
          <w:rPr>
            <w:noProof/>
            <w:webHidden/>
          </w:rPr>
        </w:r>
        <w:r>
          <w:rPr>
            <w:noProof/>
            <w:webHidden/>
          </w:rPr>
          <w:fldChar w:fldCharType="separate"/>
        </w:r>
        <w:r>
          <w:rPr>
            <w:noProof/>
            <w:webHidden/>
          </w:rPr>
          <w:t>32</w:t>
        </w:r>
        <w:r>
          <w:rPr>
            <w:noProof/>
            <w:webHidden/>
          </w:rPr>
          <w:fldChar w:fldCharType="end"/>
        </w:r>
      </w:hyperlink>
    </w:p>
    <w:p w14:paraId="39E95863" w14:textId="77777777" w:rsidR="00BC5678" w:rsidRDefault="00BC5678">
      <w:pPr>
        <w:pStyle w:val="TOC3"/>
        <w:rPr>
          <w:rFonts w:asciiTheme="minorHAnsi" w:eastAsiaTheme="minorEastAsia" w:hAnsiTheme="minorHAnsi" w:cstheme="minorBidi"/>
          <w:noProof/>
          <w:sz w:val="22"/>
          <w:szCs w:val="22"/>
          <w:lang w:eastAsia="en-NZ"/>
        </w:rPr>
      </w:pPr>
      <w:hyperlink w:anchor="_Toc2845711" w:history="1">
        <w:r w:rsidRPr="003E188B">
          <w:rPr>
            <w:rStyle w:val="Hyperlink"/>
            <w:noProof/>
          </w:rPr>
          <w:t>Figure 9: Average number of people per 100,000 on a given day* subject to an inpatient treatment order (section 30 of the Mental Health Act), by DHB, 1 January to 31 December 2017</w:t>
        </w:r>
        <w:r>
          <w:rPr>
            <w:noProof/>
            <w:webHidden/>
          </w:rPr>
          <w:tab/>
        </w:r>
        <w:r>
          <w:rPr>
            <w:noProof/>
            <w:webHidden/>
          </w:rPr>
          <w:fldChar w:fldCharType="begin"/>
        </w:r>
        <w:r>
          <w:rPr>
            <w:noProof/>
            <w:webHidden/>
          </w:rPr>
          <w:instrText xml:space="preserve"> PAGEREF _Toc2845711 \h </w:instrText>
        </w:r>
        <w:r>
          <w:rPr>
            <w:noProof/>
            <w:webHidden/>
          </w:rPr>
        </w:r>
        <w:r>
          <w:rPr>
            <w:noProof/>
            <w:webHidden/>
          </w:rPr>
          <w:fldChar w:fldCharType="separate"/>
        </w:r>
        <w:r>
          <w:rPr>
            <w:noProof/>
            <w:webHidden/>
          </w:rPr>
          <w:t>33</w:t>
        </w:r>
        <w:r>
          <w:rPr>
            <w:noProof/>
            <w:webHidden/>
          </w:rPr>
          <w:fldChar w:fldCharType="end"/>
        </w:r>
      </w:hyperlink>
    </w:p>
    <w:p w14:paraId="47F0954C" w14:textId="77777777" w:rsidR="00BC5678" w:rsidRDefault="00BC5678">
      <w:pPr>
        <w:pStyle w:val="TOC3"/>
        <w:rPr>
          <w:rFonts w:asciiTheme="minorHAnsi" w:eastAsiaTheme="minorEastAsia" w:hAnsiTheme="minorHAnsi" w:cstheme="minorBidi"/>
          <w:noProof/>
          <w:sz w:val="22"/>
          <w:szCs w:val="22"/>
          <w:lang w:eastAsia="en-NZ"/>
        </w:rPr>
      </w:pPr>
      <w:hyperlink w:anchor="_Toc2845712" w:history="1">
        <w:r w:rsidRPr="003E188B">
          <w:rPr>
            <w:rStyle w:val="Hyperlink"/>
            <w:noProof/>
          </w:rPr>
          <w:t>Figure 10: Rate of people per 100,000 subject to compulsory treatment order applications (including extensions), by age group, 2004–2017</w:t>
        </w:r>
        <w:r>
          <w:rPr>
            <w:noProof/>
            <w:webHidden/>
          </w:rPr>
          <w:tab/>
        </w:r>
        <w:r>
          <w:rPr>
            <w:noProof/>
            <w:webHidden/>
          </w:rPr>
          <w:fldChar w:fldCharType="begin"/>
        </w:r>
        <w:r>
          <w:rPr>
            <w:noProof/>
            <w:webHidden/>
          </w:rPr>
          <w:instrText xml:space="preserve"> PAGEREF _Toc2845712 \h </w:instrText>
        </w:r>
        <w:r>
          <w:rPr>
            <w:noProof/>
            <w:webHidden/>
          </w:rPr>
        </w:r>
        <w:r>
          <w:rPr>
            <w:noProof/>
            <w:webHidden/>
          </w:rPr>
          <w:fldChar w:fldCharType="separate"/>
        </w:r>
        <w:r>
          <w:rPr>
            <w:noProof/>
            <w:webHidden/>
          </w:rPr>
          <w:t>34</w:t>
        </w:r>
        <w:r>
          <w:rPr>
            <w:noProof/>
            <w:webHidden/>
          </w:rPr>
          <w:fldChar w:fldCharType="end"/>
        </w:r>
      </w:hyperlink>
    </w:p>
    <w:p w14:paraId="739C5B73" w14:textId="77777777" w:rsidR="00BC5678" w:rsidRDefault="00BC5678">
      <w:pPr>
        <w:pStyle w:val="TOC3"/>
        <w:rPr>
          <w:rFonts w:asciiTheme="minorHAnsi" w:eastAsiaTheme="minorEastAsia" w:hAnsiTheme="minorHAnsi" w:cstheme="minorBidi"/>
          <w:noProof/>
          <w:sz w:val="22"/>
          <w:szCs w:val="22"/>
          <w:lang w:eastAsia="en-NZ"/>
        </w:rPr>
      </w:pPr>
      <w:hyperlink w:anchor="_Toc2845713" w:history="1">
        <w:r w:rsidRPr="003E188B">
          <w:rPr>
            <w:rStyle w:val="Hyperlink"/>
            <w:noProof/>
          </w:rPr>
          <w:t>Figure 11: Rate of people per 100,000 subject to compulsory treatment order applications (including extensions), by sex, 2004–2017</w:t>
        </w:r>
        <w:r>
          <w:rPr>
            <w:noProof/>
            <w:webHidden/>
          </w:rPr>
          <w:tab/>
        </w:r>
        <w:r>
          <w:rPr>
            <w:noProof/>
            <w:webHidden/>
          </w:rPr>
          <w:fldChar w:fldCharType="begin"/>
        </w:r>
        <w:r>
          <w:rPr>
            <w:noProof/>
            <w:webHidden/>
          </w:rPr>
          <w:instrText xml:space="preserve"> PAGEREF _Toc2845713 \h </w:instrText>
        </w:r>
        <w:r>
          <w:rPr>
            <w:noProof/>
            <w:webHidden/>
          </w:rPr>
        </w:r>
        <w:r>
          <w:rPr>
            <w:noProof/>
            <w:webHidden/>
          </w:rPr>
          <w:fldChar w:fldCharType="separate"/>
        </w:r>
        <w:r>
          <w:rPr>
            <w:noProof/>
            <w:webHidden/>
          </w:rPr>
          <w:t>34</w:t>
        </w:r>
        <w:r>
          <w:rPr>
            <w:noProof/>
            <w:webHidden/>
          </w:rPr>
          <w:fldChar w:fldCharType="end"/>
        </w:r>
      </w:hyperlink>
    </w:p>
    <w:p w14:paraId="506D389F" w14:textId="77777777" w:rsidR="00BC5678" w:rsidRDefault="00BC5678">
      <w:pPr>
        <w:pStyle w:val="TOC3"/>
        <w:rPr>
          <w:rFonts w:asciiTheme="minorHAnsi" w:eastAsiaTheme="minorEastAsia" w:hAnsiTheme="minorHAnsi" w:cstheme="minorBidi"/>
          <w:noProof/>
          <w:sz w:val="22"/>
          <w:szCs w:val="22"/>
          <w:lang w:eastAsia="en-NZ"/>
        </w:rPr>
      </w:pPr>
      <w:hyperlink w:anchor="_Toc2845714" w:history="1">
        <w:r w:rsidRPr="003E188B">
          <w:rPr>
            <w:rStyle w:val="Hyperlink"/>
            <w:noProof/>
          </w:rPr>
          <w:t>Figure 12: Rate ratio of Māori to non-Māori subject to a community treatment order (section 29) under the Mental Health Act, by DHB, 1 January to 31 December 2017</w:t>
        </w:r>
        <w:r>
          <w:rPr>
            <w:noProof/>
            <w:webHidden/>
          </w:rPr>
          <w:tab/>
        </w:r>
        <w:r>
          <w:rPr>
            <w:noProof/>
            <w:webHidden/>
          </w:rPr>
          <w:fldChar w:fldCharType="begin"/>
        </w:r>
        <w:r>
          <w:rPr>
            <w:noProof/>
            <w:webHidden/>
          </w:rPr>
          <w:instrText xml:space="preserve"> PAGEREF _Toc2845714 \h </w:instrText>
        </w:r>
        <w:r>
          <w:rPr>
            <w:noProof/>
            <w:webHidden/>
          </w:rPr>
        </w:r>
        <w:r>
          <w:rPr>
            <w:noProof/>
            <w:webHidden/>
          </w:rPr>
          <w:fldChar w:fldCharType="separate"/>
        </w:r>
        <w:r>
          <w:rPr>
            <w:noProof/>
            <w:webHidden/>
          </w:rPr>
          <w:t>38</w:t>
        </w:r>
        <w:r>
          <w:rPr>
            <w:noProof/>
            <w:webHidden/>
          </w:rPr>
          <w:fldChar w:fldCharType="end"/>
        </w:r>
      </w:hyperlink>
    </w:p>
    <w:p w14:paraId="092210B2" w14:textId="77777777" w:rsidR="00BC5678" w:rsidRDefault="00BC5678">
      <w:pPr>
        <w:pStyle w:val="TOC3"/>
        <w:rPr>
          <w:rFonts w:asciiTheme="minorHAnsi" w:eastAsiaTheme="minorEastAsia" w:hAnsiTheme="minorHAnsi" w:cstheme="minorBidi"/>
          <w:noProof/>
          <w:sz w:val="22"/>
          <w:szCs w:val="22"/>
          <w:lang w:eastAsia="en-NZ"/>
        </w:rPr>
      </w:pPr>
      <w:hyperlink w:anchor="_Toc2845715" w:history="1">
        <w:r w:rsidRPr="003E188B">
          <w:rPr>
            <w:rStyle w:val="Hyperlink"/>
            <w:noProof/>
          </w:rPr>
          <w:t>Figure 13: Rate ratio of Māori to non-Māori subject to an inpatient treatment order (section 30) under the Mental Health Act, by DHB, 1 January to 31 December 2017</w:t>
        </w:r>
        <w:r>
          <w:rPr>
            <w:noProof/>
            <w:webHidden/>
          </w:rPr>
          <w:tab/>
        </w:r>
        <w:r>
          <w:rPr>
            <w:noProof/>
            <w:webHidden/>
          </w:rPr>
          <w:fldChar w:fldCharType="begin"/>
        </w:r>
        <w:r>
          <w:rPr>
            <w:noProof/>
            <w:webHidden/>
          </w:rPr>
          <w:instrText xml:space="preserve"> PAGEREF _Toc2845715 \h </w:instrText>
        </w:r>
        <w:r>
          <w:rPr>
            <w:noProof/>
            <w:webHidden/>
          </w:rPr>
        </w:r>
        <w:r>
          <w:rPr>
            <w:noProof/>
            <w:webHidden/>
          </w:rPr>
          <w:fldChar w:fldCharType="separate"/>
        </w:r>
        <w:r>
          <w:rPr>
            <w:noProof/>
            <w:webHidden/>
          </w:rPr>
          <w:t>39</w:t>
        </w:r>
        <w:r>
          <w:rPr>
            <w:noProof/>
            <w:webHidden/>
          </w:rPr>
          <w:fldChar w:fldCharType="end"/>
        </w:r>
      </w:hyperlink>
    </w:p>
    <w:p w14:paraId="7AE72379" w14:textId="77777777" w:rsidR="00BC5678" w:rsidRDefault="00BC5678">
      <w:pPr>
        <w:pStyle w:val="TOC3"/>
        <w:rPr>
          <w:rFonts w:asciiTheme="minorHAnsi" w:eastAsiaTheme="minorEastAsia" w:hAnsiTheme="minorHAnsi" w:cstheme="minorBidi"/>
          <w:noProof/>
          <w:sz w:val="22"/>
          <w:szCs w:val="22"/>
          <w:lang w:eastAsia="en-NZ"/>
        </w:rPr>
      </w:pPr>
      <w:hyperlink w:anchor="_Toc2845716" w:history="1">
        <w:r w:rsidRPr="003E188B">
          <w:rPr>
            <w:rStyle w:val="Hyperlink"/>
            <w:noProof/>
          </w:rPr>
          <w:t>Figure 14: Age-standardised rates of Māori and non-Māori subject to community and inpatient treatment orders (sections 29 and 30 respectively) under the Mental Health Act, by sex, 1 January to 31 December 2017</w:t>
        </w:r>
        <w:r>
          <w:rPr>
            <w:noProof/>
            <w:webHidden/>
          </w:rPr>
          <w:tab/>
        </w:r>
        <w:r>
          <w:rPr>
            <w:noProof/>
            <w:webHidden/>
          </w:rPr>
          <w:fldChar w:fldCharType="begin"/>
        </w:r>
        <w:r>
          <w:rPr>
            <w:noProof/>
            <w:webHidden/>
          </w:rPr>
          <w:instrText xml:space="preserve"> PAGEREF _Toc2845716 \h </w:instrText>
        </w:r>
        <w:r>
          <w:rPr>
            <w:noProof/>
            <w:webHidden/>
          </w:rPr>
        </w:r>
        <w:r>
          <w:rPr>
            <w:noProof/>
            <w:webHidden/>
          </w:rPr>
          <w:fldChar w:fldCharType="separate"/>
        </w:r>
        <w:r>
          <w:rPr>
            <w:noProof/>
            <w:webHidden/>
          </w:rPr>
          <w:t>40</w:t>
        </w:r>
        <w:r>
          <w:rPr>
            <w:noProof/>
            <w:webHidden/>
          </w:rPr>
          <w:fldChar w:fldCharType="end"/>
        </w:r>
      </w:hyperlink>
    </w:p>
    <w:p w14:paraId="1048DC9C" w14:textId="77777777" w:rsidR="00BC5678" w:rsidRDefault="00BC5678">
      <w:pPr>
        <w:pStyle w:val="TOC3"/>
        <w:rPr>
          <w:rFonts w:asciiTheme="minorHAnsi" w:eastAsiaTheme="minorEastAsia" w:hAnsiTheme="minorHAnsi" w:cstheme="minorBidi"/>
          <w:noProof/>
          <w:sz w:val="22"/>
          <w:szCs w:val="22"/>
          <w:lang w:eastAsia="en-NZ"/>
        </w:rPr>
      </w:pPr>
      <w:hyperlink w:anchor="_Toc2845717" w:history="1">
        <w:r w:rsidRPr="003E188B">
          <w:rPr>
            <w:rStyle w:val="Hyperlink"/>
            <w:noProof/>
          </w:rPr>
          <w:t>Figure 15: Length of time spent subject to community and inpatient treatment orders (sections 29 and 30) under the Mental Health Act for Māori and non-Māori, 2009–2015</w:t>
        </w:r>
        <w:r>
          <w:rPr>
            <w:noProof/>
            <w:webHidden/>
          </w:rPr>
          <w:tab/>
        </w:r>
        <w:r>
          <w:rPr>
            <w:noProof/>
            <w:webHidden/>
          </w:rPr>
          <w:fldChar w:fldCharType="begin"/>
        </w:r>
        <w:r>
          <w:rPr>
            <w:noProof/>
            <w:webHidden/>
          </w:rPr>
          <w:instrText xml:space="preserve"> PAGEREF _Toc2845717 \h </w:instrText>
        </w:r>
        <w:r>
          <w:rPr>
            <w:noProof/>
            <w:webHidden/>
          </w:rPr>
        </w:r>
        <w:r>
          <w:rPr>
            <w:noProof/>
            <w:webHidden/>
          </w:rPr>
          <w:fldChar w:fldCharType="separate"/>
        </w:r>
        <w:r>
          <w:rPr>
            <w:noProof/>
            <w:webHidden/>
          </w:rPr>
          <w:t>41</w:t>
        </w:r>
        <w:r>
          <w:rPr>
            <w:noProof/>
            <w:webHidden/>
          </w:rPr>
          <w:fldChar w:fldCharType="end"/>
        </w:r>
      </w:hyperlink>
    </w:p>
    <w:p w14:paraId="564405B1" w14:textId="77777777" w:rsidR="00BC5678" w:rsidRDefault="00BC5678">
      <w:pPr>
        <w:pStyle w:val="TOC3"/>
        <w:rPr>
          <w:rFonts w:asciiTheme="minorHAnsi" w:eastAsiaTheme="minorEastAsia" w:hAnsiTheme="minorHAnsi" w:cstheme="minorBidi"/>
          <w:noProof/>
          <w:sz w:val="22"/>
          <w:szCs w:val="22"/>
          <w:lang w:eastAsia="en-NZ"/>
        </w:rPr>
      </w:pPr>
      <w:hyperlink w:anchor="_Toc2845718" w:history="1">
        <w:r w:rsidRPr="003E188B">
          <w:rPr>
            <w:rStyle w:val="Hyperlink"/>
            <w:noProof/>
          </w:rPr>
          <w:t>Figure 16: Average national percentage of family/whānau consultation for particular assessment/treatment events, 1 January to 31 December 2017</w:t>
        </w:r>
        <w:r>
          <w:rPr>
            <w:noProof/>
            <w:webHidden/>
          </w:rPr>
          <w:tab/>
        </w:r>
        <w:r>
          <w:rPr>
            <w:noProof/>
            <w:webHidden/>
          </w:rPr>
          <w:fldChar w:fldCharType="begin"/>
        </w:r>
        <w:r>
          <w:rPr>
            <w:noProof/>
            <w:webHidden/>
          </w:rPr>
          <w:instrText xml:space="preserve"> PAGEREF _Toc2845718 \h </w:instrText>
        </w:r>
        <w:r>
          <w:rPr>
            <w:noProof/>
            <w:webHidden/>
          </w:rPr>
        </w:r>
        <w:r>
          <w:rPr>
            <w:noProof/>
            <w:webHidden/>
          </w:rPr>
          <w:fldChar w:fldCharType="separate"/>
        </w:r>
        <w:r>
          <w:rPr>
            <w:noProof/>
            <w:webHidden/>
          </w:rPr>
          <w:t>44</w:t>
        </w:r>
        <w:r>
          <w:rPr>
            <w:noProof/>
            <w:webHidden/>
          </w:rPr>
          <w:fldChar w:fldCharType="end"/>
        </w:r>
      </w:hyperlink>
    </w:p>
    <w:p w14:paraId="0A9B39E9" w14:textId="77777777" w:rsidR="00BC5678" w:rsidRDefault="00BC5678">
      <w:pPr>
        <w:pStyle w:val="TOC3"/>
        <w:rPr>
          <w:rFonts w:asciiTheme="minorHAnsi" w:eastAsiaTheme="minorEastAsia" w:hAnsiTheme="minorHAnsi" w:cstheme="minorBidi"/>
          <w:noProof/>
          <w:sz w:val="22"/>
          <w:szCs w:val="22"/>
          <w:lang w:eastAsia="en-NZ"/>
        </w:rPr>
      </w:pPr>
      <w:hyperlink w:anchor="_Toc2845719" w:history="1">
        <w:r w:rsidRPr="003E188B">
          <w:rPr>
            <w:rStyle w:val="Hyperlink"/>
            <w:noProof/>
          </w:rPr>
          <w:t>Figure 17: Average percentage of family/whānau consultation across all assessment/ treatment events, by DHB, 1 January to 31 December 2017</w:t>
        </w:r>
        <w:r>
          <w:rPr>
            <w:noProof/>
            <w:webHidden/>
          </w:rPr>
          <w:tab/>
        </w:r>
        <w:r>
          <w:rPr>
            <w:noProof/>
            <w:webHidden/>
          </w:rPr>
          <w:fldChar w:fldCharType="begin"/>
        </w:r>
        <w:r>
          <w:rPr>
            <w:noProof/>
            <w:webHidden/>
          </w:rPr>
          <w:instrText xml:space="preserve"> PAGEREF _Toc2845719 \h </w:instrText>
        </w:r>
        <w:r>
          <w:rPr>
            <w:noProof/>
            <w:webHidden/>
          </w:rPr>
        </w:r>
        <w:r>
          <w:rPr>
            <w:noProof/>
            <w:webHidden/>
          </w:rPr>
          <w:fldChar w:fldCharType="separate"/>
        </w:r>
        <w:r>
          <w:rPr>
            <w:noProof/>
            <w:webHidden/>
          </w:rPr>
          <w:t>44</w:t>
        </w:r>
        <w:r>
          <w:rPr>
            <w:noProof/>
            <w:webHidden/>
          </w:rPr>
          <w:fldChar w:fldCharType="end"/>
        </w:r>
      </w:hyperlink>
    </w:p>
    <w:p w14:paraId="000954A0" w14:textId="77777777" w:rsidR="00BC5678" w:rsidRDefault="00BC5678">
      <w:pPr>
        <w:pStyle w:val="TOC3"/>
        <w:rPr>
          <w:rFonts w:asciiTheme="minorHAnsi" w:eastAsiaTheme="minorEastAsia" w:hAnsiTheme="minorHAnsi" w:cstheme="minorBidi"/>
          <w:noProof/>
          <w:sz w:val="22"/>
          <w:szCs w:val="22"/>
          <w:lang w:eastAsia="en-NZ"/>
        </w:rPr>
      </w:pPr>
      <w:hyperlink w:anchor="_Toc2845720" w:history="1">
        <w:r w:rsidRPr="003E188B">
          <w:rPr>
            <w:rStyle w:val="Hyperlink"/>
            <w:noProof/>
          </w:rPr>
          <w:t>Figure 18: Reasons for not consulting family/whānau, 1 January to 31 December 2017</w:t>
        </w:r>
        <w:r>
          <w:rPr>
            <w:noProof/>
            <w:webHidden/>
          </w:rPr>
          <w:tab/>
        </w:r>
        <w:r>
          <w:rPr>
            <w:noProof/>
            <w:webHidden/>
          </w:rPr>
          <w:fldChar w:fldCharType="begin"/>
        </w:r>
        <w:r>
          <w:rPr>
            <w:noProof/>
            <w:webHidden/>
          </w:rPr>
          <w:instrText xml:space="preserve"> PAGEREF _Toc2845720 \h </w:instrText>
        </w:r>
        <w:r>
          <w:rPr>
            <w:noProof/>
            <w:webHidden/>
          </w:rPr>
        </w:r>
        <w:r>
          <w:rPr>
            <w:noProof/>
            <w:webHidden/>
          </w:rPr>
          <w:fldChar w:fldCharType="separate"/>
        </w:r>
        <w:r>
          <w:rPr>
            <w:noProof/>
            <w:webHidden/>
          </w:rPr>
          <w:t>45</w:t>
        </w:r>
        <w:r>
          <w:rPr>
            <w:noProof/>
            <w:webHidden/>
          </w:rPr>
          <w:fldChar w:fldCharType="end"/>
        </w:r>
      </w:hyperlink>
    </w:p>
    <w:p w14:paraId="01001B5A" w14:textId="77777777" w:rsidR="00BC5678" w:rsidRDefault="00BC5678">
      <w:pPr>
        <w:pStyle w:val="TOC3"/>
        <w:rPr>
          <w:rFonts w:asciiTheme="minorHAnsi" w:eastAsiaTheme="minorEastAsia" w:hAnsiTheme="minorHAnsi" w:cstheme="minorBidi"/>
          <w:noProof/>
          <w:sz w:val="22"/>
          <w:szCs w:val="22"/>
          <w:lang w:eastAsia="en-NZ"/>
        </w:rPr>
      </w:pPr>
      <w:hyperlink w:anchor="_Toc2845721" w:history="1">
        <w:r w:rsidRPr="003E188B">
          <w:rPr>
            <w:rStyle w:val="Hyperlink"/>
            <w:noProof/>
          </w:rPr>
          <w:t>Figure 19: Number of people secluded in adult inpatient services nationally, 2007–2017</w:t>
        </w:r>
        <w:r>
          <w:rPr>
            <w:noProof/>
            <w:webHidden/>
          </w:rPr>
          <w:tab/>
        </w:r>
        <w:r>
          <w:rPr>
            <w:noProof/>
            <w:webHidden/>
          </w:rPr>
          <w:fldChar w:fldCharType="begin"/>
        </w:r>
        <w:r>
          <w:rPr>
            <w:noProof/>
            <w:webHidden/>
          </w:rPr>
          <w:instrText xml:space="preserve"> PAGEREF _Toc2845721 \h </w:instrText>
        </w:r>
        <w:r>
          <w:rPr>
            <w:noProof/>
            <w:webHidden/>
          </w:rPr>
        </w:r>
        <w:r>
          <w:rPr>
            <w:noProof/>
            <w:webHidden/>
          </w:rPr>
          <w:fldChar w:fldCharType="separate"/>
        </w:r>
        <w:r>
          <w:rPr>
            <w:noProof/>
            <w:webHidden/>
          </w:rPr>
          <w:t>48</w:t>
        </w:r>
        <w:r>
          <w:rPr>
            <w:noProof/>
            <w:webHidden/>
          </w:rPr>
          <w:fldChar w:fldCharType="end"/>
        </w:r>
      </w:hyperlink>
    </w:p>
    <w:p w14:paraId="7C25F906" w14:textId="77777777" w:rsidR="00BC5678" w:rsidRDefault="00BC5678">
      <w:pPr>
        <w:pStyle w:val="TOC3"/>
        <w:rPr>
          <w:rFonts w:asciiTheme="minorHAnsi" w:eastAsiaTheme="minorEastAsia" w:hAnsiTheme="minorHAnsi" w:cstheme="minorBidi"/>
          <w:noProof/>
          <w:sz w:val="22"/>
          <w:szCs w:val="22"/>
          <w:lang w:eastAsia="en-NZ"/>
        </w:rPr>
      </w:pPr>
      <w:hyperlink w:anchor="_Toc2845722" w:history="1">
        <w:r w:rsidRPr="003E188B">
          <w:rPr>
            <w:rStyle w:val="Hyperlink"/>
            <w:noProof/>
          </w:rPr>
          <w:t>Figure 20: Total number of seclusion hours in adult inpatient services nationally, 2007–2017</w:t>
        </w:r>
        <w:r>
          <w:rPr>
            <w:noProof/>
            <w:webHidden/>
          </w:rPr>
          <w:tab/>
        </w:r>
        <w:r>
          <w:rPr>
            <w:noProof/>
            <w:webHidden/>
          </w:rPr>
          <w:fldChar w:fldCharType="begin"/>
        </w:r>
        <w:r>
          <w:rPr>
            <w:noProof/>
            <w:webHidden/>
          </w:rPr>
          <w:instrText xml:space="preserve"> PAGEREF _Toc2845722 \h </w:instrText>
        </w:r>
        <w:r>
          <w:rPr>
            <w:noProof/>
            <w:webHidden/>
          </w:rPr>
        </w:r>
        <w:r>
          <w:rPr>
            <w:noProof/>
            <w:webHidden/>
          </w:rPr>
          <w:fldChar w:fldCharType="separate"/>
        </w:r>
        <w:r>
          <w:rPr>
            <w:noProof/>
            <w:webHidden/>
          </w:rPr>
          <w:t>48</w:t>
        </w:r>
        <w:r>
          <w:rPr>
            <w:noProof/>
            <w:webHidden/>
          </w:rPr>
          <w:fldChar w:fldCharType="end"/>
        </w:r>
      </w:hyperlink>
    </w:p>
    <w:p w14:paraId="57CF64EA" w14:textId="77777777" w:rsidR="00BC5678" w:rsidRDefault="00BC5678">
      <w:pPr>
        <w:pStyle w:val="TOC3"/>
        <w:rPr>
          <w:rFonts w:asciiTheme="minorHAnsi" w:eastAsiaTheme="minorEastAsia" w:hAnsiTheme="minorHAnsi" w:cstheme="minorBidi"/>
          <w:noProof/>
          <w:sz w:val="22"/>
          <w:szCs w:val="22"/>
          <w:lang w:eastAsia="en-NZ"/>
        </w:rPr>
      </w:pPr>
      <w:hyperlink w:anchor="_Toc2845723" w:history="1">
        <w:r w:rsidRPr="003E188B">
          <w:rPr>
            <w:rStyle w:val="Hyperlink"/>
            <w:noProof/>
          </w:rPr>
          <w:t>Figure 21: Number of people secluded across all inpatient services (adult, forensic, intellectual disability, and youth), by age group, 1 January to 31 December 2017</w:t>
        </w:r>
        <w:r>
          <w:rPr>
            <w:noProof/>
            <w:webHidden/>
          </w:rPr>
          <w:tab/>
        </w:r>
        <w:r>
          <w:rPr>
            <w:noProof/>
            <w:webHidden/>
          </w:rPr>
          <w:fldChar w:fldCharType="begin"/>
        </w:r>
        <w:r>
          <w:rPr>
            <w:noProof/>
            <w:webHidden/>
          </w:rPr>
          <w:instrText xml:space="preserve"> PAGEREF _Toc2845723 \h </w:instrText>
        </w:r>
        <w:r>
          <w:rPr>
            <w:noProof/>
            <w:webHidden/>
          </w:rPr>
        </w:r>
        <w:r>
          <w:rPr>
            <w:noProof/>
            <w:webHidden/>
          </w:rPr>
          <w:fldChar w:fldCharType="separate"/>
        </w:r>
        <w:r>
          <w:rPr>
            <w:noProof/>
            <w:webHidden/>
          </w:rPr>
          <w:t>49</w:t>
        </w:r>
        <w:r>
          <w:rPr>
            <w:noProof/>
            <w:webHidden/>
          </w:rPr>
          <w:fldChar w:fldCharType="end"/>
        </w:r>
      </w:hyperlink>
    </w:p>
    <w:p w14:paraId="4A5F4C55" w14:textId="77777777" w:rsidR="00BC5678" w:rsidRDefault="00BC5678">
      <w:pPr>
        <w:pStyle w:val="TOC3"/>
        <w:rPr>
          <w:rFonts w:asciiTheme="minorHAnsi" w:eastAsiaTheme="minorEastAsia" w:hAnsiTheme="minorHAnsi" w:cstheme="minorBidi"/>
          <w:noProof/>
          <w:sz w:val="22"/>
          <w:szCs w:val="22"/>
          <w:lang w:eastAsia="en-NZ"/>
        </w:rPr>
      </w:pPr>
      <w:hyperlink w:anchor="_Toc2845724" w:history="1">
        <w:r w:rsidRPr="003E188B">
          <w:rPr>
            <w:rStyle w:val="Hyperlink"/>
            <w:noProof/>
          </w:rPr>
          <w:t>Figure 22: Number of seclusion events across all inpatient services (adult, forensic, intellectual disability, and youth), by duration of event, 1 January to 31 December 2017</w:t>
        </w:r>
        <w:r>
          <w:rPr>
            <w:noProof/>
            <w:webHidden/>
          </w:rPr>
          <w:tab/>
        </w:r>
        <w:r>
          <w:rPr>
            <w:noProof/>
            <w:webHidden/>
          </w:rPr>
          <w:fldChar w:fldCharType="begin"/>
        </w:r>
        <w:r>
          <w:rPr>
            <w:noProof/>
            <w:webHidden/>
          </w:rPr>
          <w:instrText xml:space="preserve"> PAGEREF _Toc2845724 \h </w:instrText>
        </w:r>
        <w:r>
          <w:rPr>
            <w:noProof/>
            <w:webHidden/>
          </w:rPr>
        </w:r>
        <w:r>
          <w:rPr>
            <w:noProof/>
            <w:webHidden/>
          </w:rPr>
          <w:fldChar w:fldCharType="separate"/>
        </w:r>
        <w:r>
          <w:rPr>
            <w:noProof/>
            <w:webHidden/>
          </w:rPr>
          <w:t>50</w:t>
        </w:r>
        <w:r>
          <w:rPr>
            <w:noProof/>
            <w:webHidden/>
          </w:rPr>
          <w:fldChar w:fldCharType="end"/>
        </w:r>
      </w:hyperlink>
    </w:p>
    <w:p w14:paraId="4500453A" w14:textId="77777777" w:rsidR="00BC5678" w:rsidRDefault="00BC5678">
      <w:pPr>
        <w:pStyle w:val="TOC3"/>
        <w:rPr>
          <w:rFonts w:asciiTheme="minorHAnsi" w:eastAsiaTheme="minorEastAsia" w:hAnsiTheme="minorHAnsi" w:cstheme="minorBidi"/>
          <w:noProof/>
          <w:sz w:val="22"/>
          <w:szCs w:val="22"/>
          <w:lang w:eastAsia="en-NZ"/>
        </w:rPr>
      </w:pPr>
      <w:hyperlink w:anchor="_Toc2845725" w:history="1">
        <w:r w:rsidRPr="003E188B">
          <w:rPr>
            <w:rStyle w:val="Hyperlink"/>
            <w:noProof/>
          </w:rPr>
          <w:t>Figure 23: Number of people secluded in adult inpatient services per 100,000, by DHB, 1 January to 31 December 2017</w:t>
        </w:r>
        <w:r>
          <w:rPr>
            <w:noProof/>
            <w:webHidden/>
          </w:rPr>
          <w:tab/>
        </w:r>
        <w:r>
          <w:rPr>
            <w:noProof/>
            <w:webHidden/>
          </w:rPr>
          <w:fldChar w:fldCharType="begin"/>
        </w:r>
        <w:r>
          <w:rPr>
            <w:noProof/>
            <w:webHidden/>
          </w:rPr>
          <w:instrText xml:space="preserve"> PAGEREF _Toc2845725 \h </w:instrText>
        </w:r>
        <w:r>
          <w:rPr>
            <w:noProof/>
            <w:webHidden/>
          </w:rPr>
        </w:r>
        <w:r>
          <w:rPr>
            <w:noProof/>
            <w:webHidden/>
          </w:rPr>
          <w:fldChar w:fldCharType="separate"/>
        </w:r>
        <w:r>
          <w:rPr>
            <w:noProof/>
            <w:webHidden/>
          </w:rPr>
          <w:t>51</w:t>
        </w:r>
        <w:r>
          <w:rPr>
            <w:noProof/>
            <w:webHidden/>
          </w:rPr>
          <w:fldChar w:fldCharType="end"/>
        </w:r>
      </w:hyperlink>
    </w:p>
    <w:p w14:paraId="366C8E93" w14:textId="77777777" w:rsidR="00BC5678" w:rsidRDefault="00BC5678">
      <w:pPr>
        <w:pStyle w:val="TOC3"/>
        <w:rPr>
          <w:rFonts w:asciiTheme="minorHAnsi" w:eastAsiaTheme="minorEastAsia" w:hAnsiTheme="minorHAnsi" w:cstheme="minorBidi"/>
          <w:noProof/>
          <w:sz w:val="22"/>
          <w:szCs w:val="22"/>
          <w:lang w:eastAsia="en-NZ"/>
        </w:rPr>
      </w:pPr>
      <w:hyperlink w:anchor="_Toc2845726" w:history="1">
        <w:r w:rsidRPr="003E188B">
          <w:rPr>
            <w:rStyle w:val="Hyperlink"/>
            <w:noProof/>
          </w:rPr>
          <w:t>Figure 24: Number of seclusion events in adult inpatient services per 100,000, by DHB, 1 January to 31 December 2017</w:t>
        </w:r>
        <w:r>
          <w:rPr>
            <w:noProof/>
            <w:webHidden/>
          </w:rPr>
          <w:tab/>
        </w:r>
        <w:r>
          <w:rPr>
            <w:noProof/>
            <w:webHidden/>
          </w:rPr>
          <w:fldChar w:fldCharType="begin"/>
        </w:r>
        <w:r>
          <w:rPr>
            <w:noProof/>
            <w:webHidden/>
          </w:rPr>
          <w:instrText xml:space="preserve"> PAGEREF _Toc2845726 \h </w:instrText>
        </w:r>
        <w:r>
          <w:rPr>
            <w:noProof/>
            <w:webHidden/>
          </w:rPr>
        </w:r>
        <w:r>
          <w:rPr>
            <w:noProof/>
            <w:webHidden/>
          </w:rPr>
          <w:fldChar w:fldCharType="separate"/>
        </w:r>
        <w:r>
          <w:rPr>
            <w:noProof/>
            <w:webHidden/>
          </w:rPr>
          <w:t>51</w:t>
        </w:r>
        <w:r>
          <w:rPr>
            <w:noProof/>
            <w:webHidden/>
          </w:rPr>
          <w:fldChar w:fldCharType="end"/>
        </w:r>
      </w:hyperlink>
    </w:p>
    <w:p w14:paraId="7DA66255" w14:textId="77777777" w:rsidR="00BC5678" w:rsidRDefault="00BC5678">
      <w:pPr>
        <w:pStyle w:val="TOC3"/>
        <w:rPr>
          <w:rFonts w:asciiTheme="minorHAnsi" w:eastAsiaTheme="minorEastAsia" w:hAnsiTheme="minorHAnsi" w:cstheme="minorBidi"/>
          <w:noProof/>
          <w:sz w:val="22"/>
          <w:szCs w:val="22"/>
          <w:lang w:eastAsia="en-NZ"/>
        </w:rPr>
      </w:pPr>
      <w:hyperlink w:anchor="_Toc2845727" w:history="1">
        <w:r w:rsidRPr="003E188B">
          <w:rPr>
            <w:rStyle w:val="Hyperlink"/>
            <w:noProof/>
          </w:rPr>
          <w:t>Figure 25: Seclusion indicators for adult inpatient services, Māori and non-Māori, 1 January to 31 December 2017</w:t>
        </w:r>
        <w:r>
          <w:rPr>
            <w:noProof/>
            <w:webHidden/>
          </w:rPr>
          <w:tab/>
        </w:r>
        <w:r>
          <w:rPr>
            <w:noProof/>
            <w:webHidden/>
          </w:rPr>
          <w:fldChar w:fldCharType="begin"/>
        </w:r>
        <w:r>
          <w:rPr>
            <w:noProof/>
            <w:webHidden/>
          </w:rPr>
          <w:instrText xml:space="preserve"> PAGEREF _Toc2845727 \h </w:instrText>
        </w:r>
        <w:r>
          <w:rPr>
            <w:noProof/>
            <w:webHidden/>
          </w:rPr>
        </w:r>
        <w:r>
          <w:rPr>
            <w:noProof/>
            <w:webHidden/>
          </w:rPr>
          <w:fldChar w:fldCharType="separate"/>
        </w:r>
        <w:r>
          <w:rPr>
            <w:noProof/>
            <w:webHidden/>
          </w:rPr>
          <w:t>52</w:t>
        </w:r>
        <w:r>
          <w:rPr>
            <w:noProof/>
            <w:webHidden/>
          </w:rPr>
          <w:fldChar w:fldCharType="end"/>
        </w:r>
      </w:hyperlink>
    </w:p>
    <w:p w14:paraId="73175B46" w14:textId="77777777" w:rsidR="00BC5678" w:rsidRDefault="00BC5678">
      <w:pPr>
        <w:pStyle w:val="TOC3"/>
        <w:rPr>
          <w:rFonts w:asciiTheme="minorHAnsi" w:eastAsiaTheme="minorEastAsia" w:hAnsiTheme="minorHAnsi" w:cstheme="minorBidi"/>
          <w:noProof/>
          <w:sz w:val="22"/>
          <w:szCs w:val="22"/>
          <w:lang w:eastAsia="en-NZ"/>
        </w:rPr>
      </w:pPr>
      <w:hyperlink w:anchor="_Toc2845728" w:history="1">
        <w:r w:rsidRPr="003E188B">
          <w:rPr>
            <w:rStyle w:val="Hyperlink"/>
            <w:noProof/>
          </w:rPr>
          <w:t>Figure 26: Percentage of people spending time in seclusion in adult inpatient services, Māori and non-Māori males and females, 1 January to 31 December 2017</w:t>
        </w:r>
        <w:r>
          <w:rPr>
            <w:noProof/>
            <w:webHidden/>
          </w:rPr>
          <w:tab/>
        </w:r>
        <w:r>
          <w:rPr>
            <w:noProof/>
            <w:webHidden/>
          </w:rPr>
          <w:fldChar w:fldCharType="begin"/>
        </w:r>
        <w:r>
          <w:rPr>
            <w:noProof/>
            <w:webHidden/>
          </w:rPr>
          <w:instrText xml:space="preserve"> PAGEREF _Toc2845728 \h </w:instrText>
        </w:r>
        <w:r>
          <w:rPr>
            <w:noProof/>
            <w:webHidden/>
          </w:rPr>
        </w:r>
        <w:r>
          <w:rPr>
            <w:noProof/>
            <w:webHidden/>
          </w:rPr>
          <w:fldChar w:fldCharType="separate"/>
        </w:r>
        <w:r>
          <w:rPr>
            <w:noProof/>
            <w:webHidden/>
          </w:rPr>
          <w:t>53</w:t>
        </w:r>
        <w:r>
          <w:rPr>
            <w:noProof/>
            <w:webHidden/>
          </w:rPr>
          <w:fldChar w:fldCharType="end"/>
        </w:r>
      </w:hyperlink>
    </w:p>
    <w:p w14:paraId="62158B22" w14:textId="77777777" w:rsidR="00BC5678" w:rsidRDefault="00BC5678">
      <w:pPr>
        <w:pStyle w:val="TOC3"/>
        <w:rPr>
          <w:rFonts w:asciiTheme="minorHAnsi" w:eastAsiaTheme="minorEastAsia" w:hAnsiTheme="minorHAnsi" w:cstheme="minorBidi"/>
          <w:noProof/>
          <w:sz w:val="22"/>
          <w:szCs w:val="22"/>
          <w:lang w:eastAsia="en-NZ"/>
        </w:rPr>
      </w:pPr>
      <w:hyperlink w:anchor="_Toc2845729" w:history="1">
        <w:r w:rsidRPr="003E188B">
          <w:rPr>
            <w:rStyle w:val="Hyperlink"/>
            <w:noProof/>
          </w:rPr>
          <w:t>Figure 27: Number of Māori and non-Māori aged 20–64 years secluded in adult inpatient services, 2007–2017</w:t>
        </w:r>
        <w:r>
          <w:rPr>
            <w:noProof/>
            <w:webHidden/>
          </w:rPr>
          <w:tab/>
        </w:r>
        <w:r>
          <w:rPr>
            <w:noProof/>
            <w:webHidden/>
          </w:rPr>
          <w:fldChar w:fldCharType="begin"/>
        </w:r>
        <w:r>
          <w:rPr>
            <w:noProof/>
            <w:webHidden/>
          </w:rPr>
          <w:instrText xml:space="preserve"> PAGEREF _Toc2845729 \h </w:instrText>
        </w:r>
        <w:r>
          <w:rPr>
            <w:noProof/>
            <w:webHidden/>
          </w:rPr>
        </w:r>
        <w:r>
          <w:rPr>
            <w:noProof/>
            <w:webHidden/>
          </w:rPr>
          <w:fldChar w:fldCharType="separate"/>
        </w:r>
        <w:r>
          <w:rPr>
            <w:noProof/>
            <w:webHidden/>
          </w:rPr>
          <w:t>53</w:t>
        </w:r>
        <w:r>
          <w:rPr>
            <w:noProof/>
            <w:webHidden/>
          </w:rPr>
          <w:fldChar w:fldCharType="end"/>
        </w:r>
      </w:hyperlink>
    </w:p>
    <w:p w14:paraId="6F87772F" w14:textId="77777777" w:rsidR="00BC5678" w:rsidRDefault="00BC5678">
      <w:pPr>
        <w:pStyle w:val="TOC3"/>
        <w:rPr>
          <w:rFonts w:asciiTheme="minorHAnsi" w:eastAsiaTheme="minorEastAsia" w:hAnsiTheme="minorHAnsi" w:cstheme="minorBidi"/>
          <w:noProof/>
          <w:sz w:val="22"/>
          <w:szCs w:val="22"/>
          <w:lang w:eastAsia="en-NZ"/>
        </w:rPr>
      </w:pPr>
      <w:hyperlink w:anchor="_Toc2845730" w:history="1">
        <w:r w:rsidRPr="003E188B">
          <w:rPr>
            <w:rStyle w:val="Hyperlink"/>
            <w:noProof/>
          </w:rPr>
          <w:t>Figure 28: Total number of special patients, by DHB, 1 January to 31 December 2017</w:t>
        </w:r>
        <w:r>
          <w:rPr>
            <w:noProof/>
            <w:webHidden/>
          </w:rPr>
          <w:tab/>
        </w:r>
        <w:r>
          <w:rPr>
            <w:noProof/>
            <w:webHidden/>
          </w:rPr>
          <w:fldChar w:fldCharType="begin"/>
        </w:r>
        <w:r>
          <w:rPr>
            <w:noProof/>
            <w:webHidden/>
          </w:rPr>
          <w:instrText xml:space="preserve"> PAGEREF _Toc2845730 \h </w:instrText>
        </w:r>
        <w:r>
          <w:rPr>
            <w:noProof/>
            <w:webHidden/>
          </w:rPr>
        </w:r>
        <w:r>
          <w:rPr>
            <w:noProof/>
            <w:webHidden/>
          </w:rPr>
          <w:fldChar w:fldCharType="separate"/>
        </w:r>
        <w:r>
          <w:rPr>
            <w:noProof/>
            <w:webHidden/>
          </w:rPr>
          <w:t>58</w:t>
        </w:r>
        <w:r>
          <w:rPr>
            <w:noProof/>
            <w:webHidden/>
          </w:rPr>
          <w:fldChar w:fldCharType="end"/>
        </w:r>
      </w:hyperlink>
    </w:p>
    <w:p w14:paraId="3AF42C21" w14:textId="77777777" w:rsidR="00BC5678" w:rsidRDefault="00BC5678">
      <w:pPr>
        <w:pStyle w:val="TOC3"/>
        <w:rPr>
          <w:rFonts w:asciiTheme="minorHAnsi" w:eastAsiaTheme="minorEastAsia" w:hAnsiTheme="minorHAnsi" w:cstheme="minorBidi"/>
          <w:noProof/>
          <w:sz w:val="22"/>
          <w:szCs w:val="22"/>
          <w:lang w:eastAsia="en-NZ"/>
        </w:rPr>
      </w:pPr>
      <w:hyperlink w:anchor="_Toc2845731" w:history="1">
        <w:r w:rsidRPr="003E188B">
          <w:rPr>
            <w:rStyle w:val="Hyperlink"/>
            <w:noProof/>
          </w:rPr>
          <w:t>Figure 29: Percentage of extended forensic care and short-term forensic care legal statuses, by DHB, 1 January to 31 December 2017</w:t>
        </w:r>
        <w:r>
          <w:rPr>
            <w:noProof/>
            <w:webHidden/>
          </w:rPr>
          <w:tab/>
        </w:r>
        <w:r>
          <w:rPr>
            <w:noProof/>
            <w:webHidden/>
          </w:rPr>
          <w:fldChar w:fldCharType="begin"/>
        </w:r>
        <w:r>
          <w:rPr>
            <w:noProof/>
            <w:webHidden/>
          </w:rPr>
          <w:instrText xml:space="preserve"> PAGEREF _Toc2845731 \h </w:instrText>
        </w:r>
        <w:r>
          <w:rPr>
            <w:noProof/>
            <w:webHidden/>
          </w:rPr>
        </w:r>
        <w:r>
          <w:rPr>
            <w:noProof/>
            <w:webHidden/>
          </w:rPr>
          <w:fldChar w:fldCharType="separate"/>
        </w:r>
        <w:r>
          <w:rPr>
            <w:noProof/>
            <w:webHidden/>
          </w:rPr>
          <w:t>59</w:t>
        </w:r>
        <w:r>
          <w:rPr>
            <w:noProof/>
            <w:webHidden/>
          </w:rPr>
          <w:fldChar w:fldCharType="end"/>
        </w:r>
      </w:hyperlink>
    </w:p>
    <w:p w14:paraId="444DB0C0" w14:textId="77777777" w:rsidR="00BC5678" w:rsidRDefault="00BC5678">
      <w:pPr>
        <w:pStyle w:val="TOC3"/>
        <w:rPr>
          <w:rFonts w:asciiTheme="minorHAnsi" w:eastAsiaTheme="minorEastAsia" w:hAnsiTheme="minorHAnsi" w:cstheme="minorBidi"/>
          <w:noProof/>
          <w:sz w:val="22"/>
          <w:szCs w:val="22"/>
          <w:lang w:eastAsia="en-NZ"/>
        </w:rPr>
      </w:pPr>
      <w:hyperlink w:anchor="_Toc2845732" w:history="1">
        <w:r w:rsidRPr="003E188B">
          <w:rPr>
            <w:rStyle w:val="Hyperlink"/>
            <w:noProof/>
          </w:rPr>
          <w:t>Figure 30: Total number of special patients, by age group, 1 January to 31 December 2017</w:t>
        </w:r>
        <w:r>
          <w:rPr>
            <w:noProof/>
            <w:webHidden/>
          </w:rPr>
          <w:tab/>
        </w:r>
        <w:r>
          <w:rPr>
            <w:noProof/>
            <w:webHidden/>
          </w:rPr>
          <w:fldChar w:fldCharType="begin"/>
        </w:r>
        <w:r>
          <w:rPr>
            <w:noProof/>
            <w:webHidden/>
          </w:rPr>
          <w:instrText xml:space="preserve"> PAGEREF _Toc2845732 \h </w:instrText>
        </w:r>
        <w:r>
          <w:rPr>
            <w:noProof/>
            <w:webHidden/>
          </w:rPr>
        </w:r>
        <w:r>
          <w:rPr>
            <w:noProof/>
            <w:webHidden/>
          </w:rPr>
          <w:fldChar w:fldCharType="separate"/>
        </w:r>
        <w:r>
          <w:rPr>
            <w:noProof/>
            <w:webHidden/>
          </w:rPr>
          <w:t>60</w:t>
        </w:r>
        <w:r>
          <w:rPr>
            <w:noProof/>
            <w:webHidden/>
          </w:rPr>
          <w:fldChar w:fldCharType="end"/>
        </w:r>
      </w:hyperlink>
    </w:p>
    <w:p w14:paraId="73828984" w14:textId="77777777" w:rsidR="00BC5678" w:rsidRDefault="00BC5678">
      <w:pPr>
        <w:pStyle w:val="TOC3"/>
        <w:rPr>
          <w:rFonts w:asciiTheme="minorHAnsi" w:eastAsiaTheme="minorEastAsia" w:hAnsiTheme="minorHAnsi" w:cstheme="minorBidi"/>
          <w:noProof/>
          <w:sz w:val="22"/>
          <w:szCs w:val="22"/>
          <w:lang w:eastAsia="en-NZ"/>
        </w:rPr>
      </w:pPr>
      <w:hyperlink w:anchor="_Toc2845733" w:history="1">
        <w:r w:rsidRPr="003E188B">
          <w:rPr>
            <w:rStyle w:val="Hyperlink"/>
            <w:noProof/>
          </w:rPr>
          <w:t>Figure 31: Total number of special patients, by ethnicity, 1 January to 31 December 2017</w:t>
        </w:r>
        <w:r>
          <w:rPr>
            <w:noProof/>
            <w:webHidden/>
          </w:rPr>
          <w:tab/>
        </w:r>
        <w:r>
          <w:rPr>
            <w:noProof/>
            <w:webHidden/>
          </w:rPr>
          <w:fldChar w:fldCharType="begin"/>
        </w:r>
        <w:r>
          <w:rPr>
            <w:noProof/>
            <w:webHidden/>
          </w:rPr>
          <w:instrText xml:space="preserve"> PAGEREF _Toc2845733 \h </w:instrText>
        </w:r>
        <w:r>
          <w:rPr>
            <w:noProof/>
            <w:webHidden/>
          </w:rPr>
        </w:r>
        <w:r>
          <w:rPr>
            <w:noProof/>
            <w:webHidden/>
          </w:rPr>
          <w:fldChar w:fldCharType="separate"/>
        </w:r>
        <w:r>
          <w:rPr>
            <w:noProof/>
            <w:webHidden/>
          </w:rPr>
          <w:t>61</w:t>
        </w:r>
        <w:r>
          <w:rPr>
            <w:noProof/>
            <w:webHidden/>
          </w:rPr>
          <w:fldChar w:fldCharType="end"/>
        </w:r>
      </w:hyperlink>
    </w:p>
    <w:p w14:paraId="71E29000" w14:textId="77777777" w:rsidR="00BC5678" w:rsidRDefault="00BC5678">
      <w:pPr>
        <w:pStyle w:val="TOC3"/>
        <w:rPr>
          <w:rFonts w:asciiTheme="minorHAnsi" w:eastAsiaTheme="minorEastAsia" w:hAnsiTheme="minorHAnsi" w:cstheme="minorBidi"/>
          <w:noProof/>
          <w:sz w:val="22"/>
          <w:szCs w:val="22"/>
          <w:lang w:eastAsia="en-NZ"/>
        </w:rPr>
      </w:pPr>
      <w:hyperlink w:anchor="_Toc2845734" w:history="1">
        <w:r w:rsidRPr="003E188B">
          <w:rPr>
            <w:rStyle w:val="Hyperlink"/>
            <w:noProof/>
          </w:rPr>
          <w:t>Figure 32: Total number of special patients, by ethnicity and special patient type, 1 January to 31 December 2017</w:t>
        </w:r>
        <w:r>
          <w:rPr>
            <w:noProof/>
            <w:webHidden/>
          </w:rPr>
          <w:tab/>
        </w:r>
        <w:r>
          <w:rPr>
            <w:noProof/>
            <w:webHidden/>
          </w:rPr>
          <w:fldChar w:fldCharType="begin"/>
        </w:r>
        <w:r>
          <w:rPr>
            <w:noProof/>
            <w:webHidden/>
          </w:rPr>
          <w:instrText xml:space="preserve"> PAGEREF _Toc2845734 \h </w:instrText>
        </w:r>
        <w:r>
          <w:rPr>
            <w:noProof/>
            <w:webHidden/>
          </w:rPr>
        </w:r>
        <w:r>
          <w:rPr>
            <w:noProof/>
            <w:webHidden/>
          </w:rPr>
          <w:fldChar w:fldCharType="separate"/>
        </w:r>
        <w:r>
          <w:rPr>
            <w:noProof/>
            <w:webHidden/>
          </w:rPr>
          <w:t>61</w:t>
        </w:r>
        <w:r>
          <w:rPr>
            <w:noProof/>
            <w:webHidden/>
          </w:rPr>
          <w:fldChar w:fldCharType="end"/>
        </w:r>
      </w:hyperlink>
    </w:p>
    <w:p w14:paraId="1BBB445E" w14:textId="77777777" w:rsidR="00BC5678" w:rsidRDefault="00BC5678">
      <w:pPr>
        <w:pStyle w:val="TOC3"/>
        <w:rPr>
          <w:rFonts w:asciiTheme="minorHAnsi" w:eastAsiaTheme="minorEastAsia" w:hAnsiTheme="minorHAnsi" w:cstheme="minorBidi"/>
          <w:noProof/>
          <w:sz w:val="22"/>
          <w:szCs w:val="22"/>
          <w:lang w:eastAsia="en-NZ"/>
        </w:rPr>
      </w:pPr>
      <w:hyperlink w:anchor="_Toc2845735" w:history="1">
        <w:r w:rsidRPr="003E188B">
          <w:rPr>
            <w:rStyle w:val="Hyperlink"/>
            <w:noProof/>
          </w:rPr>
          <w:t>Figure 33: Age-standardised rate of suicide, by service use, people aged 10–64 years, 2001–2015</w:t>
        </w:r>
        <w:r>
          <w:rPr>
            <w:noProof/>
            <w:webHidden/>
          </w:rPr>
          <w:tab/>
        </w:r>
        <w:r>
          <w:rPr>
            <w:noProof/>
            <w:webHidden/>
          </w:rPr>
          <w:fldChar w:fldCharType="begin"/>
        </w:r>
        <w:r>
          <w:rPr>
            <w:noProof/>
            <w:webHidden/>
          </w:rPr>
          <w:instrText xml:space="preserve"> PAGEREF _Toc2845735 \h </w:instrText>
        </w:r>
        <w:r>
          <w:rPr>
            <w:noProof/>
            <w:webHidden/>
          </w:rPr>
        </w:r>
        <w:r>
          <w:rPr>
            <w:noProof/>
            <w:webHidden/>
          </w:rPr>
          <w:fldChar w:fldCharType="separate"/>
        </w:r>
        <w:r>
          <w:rPr>
            <w:noProof/>
            <w:webHidden/>
          </w:rPr>
          <w:t>69</w:t>
        </w:r>
        <w:r>
          <w:rPr>
            <w:noProof/>
            <w:webHidden/>
          </w:rPr>
          <w:fldChar w:fldCharType="end"/>
        </w:r>
      </w:hyperlink>
    </w:p>
    <w:p w14:paraId="7A3A8111" w14:textId="77777777" w:rsidR="00BC5678" w:rsidRDefault="00BC5678">
      <w:pPr>
        <w:pStyle w:val="TOC3"/>
        <w:rPr>
          <w:rFonts w:asciiTheme="minorHAnsi" w:eastAsiaTheme="minorEastAsia" w:hAnsiTheme="minorHAnsi" w:cstheme="minorBidi"/>
          <w:noProof/>
          <w:sz w:val="22"/>
          <w:szCs w:val="22"/>
          <w:lang w:eastAsia="en-NZ"/>
        </w:rPr>
      </w:pPr>
      <w:hyperlink w:anchor="_Toc2845736" w:history="1">
        <w:r w:rsidRPr="003E188B">
          <w:rPr>
            <w:rStyle w:val="Hyperlink"/>
            <w:noProof/>
          </w:rPr>
          <w:t>Figure 34: Age-specific rate of suicide, by age-group, sex and service use, people aged 10–64 years, 2015</w:t>
        </w:r>
        <w:r>
          <w:rPr>
            <w:noProof/>
            <w:webHidden/>
          </w:rPr>
          <w:tab/>
        </w:r>
        <w:r>
          <w:rPr>
            <w:noProof/>
            <w:webHidden/>
          </w:rPr>
          <w:fldChar w:fldCharType="begin"/>
        </w:r>
        <w:r>
          <w:rPr>
            <w:noProof/>
            <w:webHidden/>
          </w:rPr>
          <w:instrText xml:space="preserve"> PAGEREF _Toc2845736 \h </w:instrText>
        </w:r>
        <w:r>
          <w:rPr>
            <w:noProof/>
            <w:webHidden/>
          </w:rPr>
        </w:r>
        <w:r>
          <w:rPr>
            <w:noProof/>
            <w:webHidden/>
          </w:rPr>
          <w:fldChar w:fldCharType="separate"/>
        </w:r>
        <w:r>
          <w:rPr>
            <w:noProof/>
            <w:webHidden/>
          </w:rPr>
          <w:t>70</w:t>
        </w:r>
        <w:r>
          <w:rPr>
            <w:noProof/>
            <w:webHidden/>
          </w:rPr>
          <w:fldChar w:fldCharType="end"/>
        </w:r>
      </w:hyperlink>
    </w:p>
    <w:p w14:paraId="31766ED9" w14:textId="77777777" w:rsidR="00BC5678" w:rsidRDefault="00BC5678">
      <w:pPr>
        <w:pStyle w:val="TOC3"/>
        <w:rPr>
          <w:rFonts w:asciiTheme="minorHAnsi" w:eastAsiaTheme="minorEastAsia" w:hAnsiTheme="minorHAnsi" w:cstheme="minorBidi"/>
          <w:noProof/>
          <w:sz w:val="22"/>
          <w:szCs w:val="22"/>
          <w:lang w:eastAsia="en-NZ"/>
        </w:rPr>
      </w:pPr>
      <w:hyperlink w:anchor="_Toc2845737" w:history="1">
        <w:r w:rsidRPr="003E188B">
          <w:rPr>
            <w:rStyle w:val="Hyperlink"/>
            <w:noProof/>
          </w:rPr>
          <w:t>Figure 35: Number of opioid substitution treatment clients, by age-group, 2008–2017</w:t>
        </w:r>
        <w:r>
          <w:rPr>
            <w:noProof/>
            <w:webHidden/>
          </w:rPr>
          <w:tab/>
        </w:r>
        <w:r>
          <w:rPr>
            <w:noProof/>
            <w:webHidden/>
          </w:rPr>
          <w:fldChar w:fldCharType="begin"/>
        </w:r>
        <w:r>
          <w:rPr>
            <w:noProof/>
            <w:webHidden/>
          </w:rPr>
          <w:instrText xml:space="preserve"> PAGEREF _Toc2845737 \h </w:instrText>
        </w:r>
        <w:r>
          <w:rPr>
            <w:noProof/>
            <w:webHidden/>
          </w:rPr>
        </w:r>
        <w:r>
          <w:rPr>
            <w:noProof/>
            <w:webHidden/>
          </w:rPr>
          <w:fldChar w:fldCharType="separate"/>
        </w:r>
        <w:r>
          <w:rPr>
            <w:noProof/>
            <w:webHidden/>
          </w:rPr>
          <w:t>73</w:t>
        </w:r>
        <w:r>
          <w:rPr>
            <w:noProof/>
            <w:webHidden/>
          </w:rPr>
          <w:fldChar w:fldCharType="end"/>
        </w:r>
      </w:hyperlink>
    </w:p>
    <w:p w14:paraId="27875679" w14:textId="77777777" w:rsidR="00BC5678" w:rsidRDefault="00BC5678">
      <w:pPr>
        <w:pStyle w:val="TOC3"/>
        <w:rPr>
          <w:rFonts w:asciiTheme="minorHAnsi" w:eastAsiaTheme="minorEastAsia" w:hAnsiTheme="minorHAnsi" w:cstheme="minorBidi"/>
          <w:noProof/>
          <w:sz w:val="22"/>
          <w:szCs w:val="22"/>
          <w:lang w:eastAsia="en-NZ"/>
        </w:rPr>
      </w:pPr>
      <w:hyperlink w:anchor="_Toc2845738" w:history="1">
        <w:r w:rsidRPr="003E188B">
          <w:rPr>
            <w:rStyle w:val="Hyperlink"/>
            <w:noProof/>
          </w:rPr>
          <w:t>Figure 36: Number of people receiving opioid substitution treatment from a specialist service, general practice or prison service, 2008–2017</w:t>
        </w:r>
        <w:r>
          <w:rPr>
            <w:noProof/>
            <w:webHidden/>
          </w:rPr>
          <w:tab/>
        </w:r>
        <w:r>
          <w:rPr>
            <w:noProof/>
            <w:webHidden/>
          </w:rPr>
          <w:fldChar w:fldCharType="begin"/>
        </w:r>
        <w:r>
          <w:rPr>
            <w:noProof/>
            <w:webHidden/>
          </w:rPr>
          <w:instrText xml:space="preserve"> PAGEREF _Toc2845738 \h </w:instrText>
        </w:r>
        <w:r>
          <w:rPr>
            <w:noProof/>
            <w:webHidden/>
          </w:rPr>
        </w:r>
        <w:r>
          <w:rPr>
            <w:noProof/>
            <w:webHidden/>
          </w:rPr>
          <w:fldChar w:fldCharType="separate"/>
        </w:r>
        <w:r>
          <w:rPr>
            <w:noProof/>
            <w:webHidden/>
          </w:rPr>
          <w:t>74</w:t>
        </w:r>
        <w:r>
          <w:rPr>
            <w:noProof/>
            <w:webHidden/>
          </w:rPr>
          <w:fldChar w:fldCharType="end"/>
        </w:r>
      </w:hyperlink>
    </w:p>
    <w:p w14:paraId="0E0D190E" w14:textId="77777777" w:rsidR="00BC5678" w:rsidRDefault="00BC5678">
      <w:pPr>
        <w:pStyle w:val="TOC3"/>
        <w:rPr>
          <w:rFonts w:asciiTheme="minorHAnsi" w:eastAsiaTheme="minorEastAsia" w:hAnsiTheme="minorHAnsi" w:cstheme="minorBidi"/>
          <w:noProof/>
          <w:sz w:val="22"/>
          <w:szCs w:val="22"/>
          <w:lang w:eastAsia="en-NZ"/>
        </w:rPr>
      </w:pPr>
      <w:hyperlink w:anchor="_Toc2845739" w:history="1">
        <w:r w:rsidRPr="003E188B">
          <w:rPr>
            <w:rStyle w:val="Hyperlink"/>
            <w:noProof/>
          </w:rPr>
          <w:t>Figure 37: Percentage of people receiving opioid substitution treatment from specialist services and general practice, by DHB, 1 January to 31 December 2017</w:t>
        </w:r>
        <w:r>
          <w:rPr>
            <w:noProof/>
            <w:webHidden/>
          </w:rPr>
          <w:tab/>
        </w:r>
        <w:r>
          <w:rPr>
            <w:noProof/>
            <w:webHidden/>
          </w:rPr>
          <w:fldChar w:fldCharType="begin"/>
        </w:r>
        <w:r>
          <w:rPr>
            <w:noProof/>
            <w:webHidden/>
          </w:rPr>
          <w:instrText xml:space="preserve"> PAGEREF _Toc2845739 \h </w:instrText>
        </w:r>
        <w:r>
          <w:rPr>
            <w:noProof/>
            <w:webHidden/>
          </w:rPr>
        </w:r>
        <w:r>
          <w:rPr>
            <w:noProof/>
            <w:webHidden/>
          </w:rPr>
          <w:fldChar w:fldCharType="separate"/>
        </w:r>
        <w:r>
          <w:rPr>
            <w:noProof/>
            <w:webHidden/>
          </w:rPr>
          <w:t>75</w:t>
        </w:r>
        <w:r>
          <w:rPr>
            <w:noProof/>
            <w:webHidden/>
          </w:rPr>
          <w:fldChar w:fldCharType="end"/>
        </w:r>
      </w:hyperlink>
    </w:p>
    <w:p w14:paraId="2786F14C" w14:textId="77777777" w:rsidR="00BC5678" w:rsidRDefault="00BC5678">
      <w:pPr>
        <w:pStyle w:val="TOC3"/>
        <w:rPr>
          <w:rFonts w:asciiTheme="minorHAnsi" w:eastAsiaTheme="minorEastAsia" w:hAnsiTheme="minorHAnsi" w:cstheme="minorBidi"/>
          <w:noProof/>
          <w:sz w:val="22"/>
          <w:szCs w:val="22"/>
          <w:lang w:eastAsia="en-NZ"/>
        </w:rPr>
      </w:pPr>
      <w:hyperlink w:anchor="_Toc2845740" w:history="1">
        <w:r w:rsidRPr="003E188B">
          <w:rPr>
            <w:rStyle w:val="Hyperlink"/>
            <w:noProof/>
          </w:rPr>
          <w:t>Figure 38: Percentage of withdrawals from opioid substitution treatment programmes, by reason (voluntary, involuntary or death), 2008–2017</w:t>
        </w:r>
        <w:r>
          <w:rPr>
            <w:noProof/>
            <w:webHidden/>
          </w:rPr>
          <w:tab/>
        </w:r>
        <w:r>
          <w:rPr>
            <w:noProof/>
            <w:webHidden/>
          </w:rPr>
          <w:fldChar w:fldCharType="begin"/>
        </w:r>
        <w:r>
          <w:rPr>
            <w:noProof/>
            <w:webHidden/>
          </w:rPr>
          <w:instrText xml:space="preserve"> PAGEREF _Toc2845740 \h </w:instrText>
        </w:r>
        <w:r>
          <w:rPr>
            <w:noProof/>
            <w:webHidden/>
          </w:rPr>
        </w:r>
        <w:r>
          <w:rPr>
            <w:noProof/>
            <w:webHidden/>
          </w:rPr>
          <w:fldChar w:fldCharType="separate"/>
        </w:r>
        <w:r>
          <w:rPr>
            <w:noProof/>
            <w:webHidden/>
          </w:rPr>
          <w:t>76</w:t>
        </w:r>
        <w:r>
          <w:rPr>
            <w:noProof/>
            <w:webHidden/>
          </w:rPr>
          <w:fldChar w:fldCharType="end"/>
        </w:r>
      </w:hyperlink>
    </w:p>
    <w:p w14:paraId="7EE3C7D3" w14:textId="77777777" w:rsidR="00BC5678" w:rsidRDefault="00BC5678">
      <w:pPr>
        <w:pStyle w:val="TOC3"/>
        <w:rPr>
          <w:rFonts w:asciiTheme="minorHAnsi" w:eastAsiaTheme="minorEastAsia" w:hAnsiTheme="minorHAnsi" w:cstheme="minorBidi"/>
          <w:noProof/>
          <w:sz w:val="22"/>
          <w:szCs w:val="22"/>
          <w:lang w:eastAsia="en-NZ"/>
        </w:rPr>
      </w:pPr>
      <w:hyperlink w:anchor="_Toc2845741" w:history="1">
        <w:r w:rsidRPr="003E188B">
          <w:rPr>
            <w:rStyle w:val="Hyperlink"/>
            <w:noProof/>
          </w:rPr>
          <w:t>Figure 39: Number of people prescribed Suboxone, 2008–2017</w:t>
        </w:r>
        <w:r>
          <w:rPr>
            <w:noProof/>
            <w:webHidden/>
          </w:rPr>
          <w:tab/>
        </w:r>
        <w:r>
          <w:rPr>
            <w:noProof/>
            <w:webHidden/>
          </w:rPr>
          <w:fldChar w:fldCharType="begin"/>
        </w:r>
        <w:r>
          <w:rPr>
            <w:noProof/>
            <w:webHidden/>
          </w:rPr>
          <w:instrText xml:space="preserve"> PAGEREF _Toc2845741 \h </w:instrText>
        </w:r>
        <w:r>
          <w:rPr>
            <w:noProof/>
            <w:webHidden/>
          </w:rPr>
        </w:r>
        <w:r>
          <w:rPr>
            <w:noProof/>
            <w:webHidden/>
          </w:rPr>
          <w:fldChar w:fldCharType="separate"/>
        </w:r>
        <w:r>
          <w:rPr>
            <w:noProof/>
            <w:webHidden/>
          </w:rPr>
          <w:t>76</w:t>
        </w:r>
        <w:r>
          <w:rPr>
            <w:noProof/>
            <w:webHidden/>
          </w:rPr>
          <w:fldChar w:fldCharType="end"/>
        </w:r>
      </w:hyperlink>
    </w:p>
    <w:p w14:paraId="0375D3FB" w14:textId="77777777" w:rsidR="00BC5678" w:rsidRDefault="00BC5678">
      <w:pPr>
        <w:pStyle w:val="TOC3"/>
        <w:rPr>
          <w:rFonts w:asciiTheme="minorHAnsi" w:eastAsiaTheme="minorEastAsia" w:hAnsiTheme="minorHAnsi" w:cstheme="minorBidi"/>
          <w:noProof/>
          <w:sz w:val="22"/>
          <w:szCs w:val="22"/>
          <w:lang w:eastAsia="en-NZ"/>
        </w:rPr>
      </w:pPr>
      <w:hyperlink w:anchor="_Toc2845742" w:history="1">
        <w:r w:rsidRPr="003E188B">
          <w:rPr>
            <w:rStyle w:val="Hyperlink"/>
            <w:noProof/>
          </w:rPr>
          <w:t>Figure 40: Number of people treated with ECT per 100,000 service user population, 2005–2017</w:t>
        </w:r>
        <w:r>
          <w:rPr>
            <w:noProof/>
            <w:webHidden/>
          </w:rPr>
          <w:tab/>
        </w:r>
        <w:r>
          <w:rPr>
            <w:noProof/>
            <w:webHidden/>
          </w:rPr>
          <w:fldChar w:fldCharType="begin"/>
        </w:r>
        <w:r>
          <w:rPr>
            <w:noProof/>
            <w:webHidden/>
          </w:rPr>
          <w:instrText xml:space="preserve"> PAGEREF _Toc2845742 \h </w:instrText>
        </w:r>
        <w:r>
          <w:rPr>
            <w:noProof/>
            <w:webHidden/>
          </w:rPr>
        </w:r>
        <w:r>
          <w:rPr>
            <w:noProof/>
            <w:webHidden/>
          </w:rPr>
          <w:fldChar w:fldCharType="separate"/>
        </w:r>
        <w:r>
          <w:rPr>
            <w:noProof/>
            <w:webHidden/>
          </w:rPr>
          <w:t>80</w:t>
        </w:r>
        <w:r>
          <w:rPr>
            <w:noProof/>
            <w:webHidden/>
          </w:rPr>
          <w:fldChar w:fldCharType="end"/>
        </w:r>
      </w:hyperlink>
    </w:p>
    <w:p w14:paraId="5A51EE11" w14:textId="77777777" w:rsidR="00BC5678" w:rsidRDefault="00BC5678">
      <w:pPr>
        <w:pStyle w:val="TOC3"/>
        <w:rPr>
          <w:rFonts w:asciiTheme="minorHAnsi" w:eastAsiaTheme="minorEastAsia" w:hAnsiTheme="minorHAnsi" w:cstheme="minorBidi"/>
          <w:noProof/>
          <w:sz w:val="22"/>
          <w:szCs w:val="22"/>
          <w:lang w:eastAsia="en-NZ"/>
        </w:rPr>
      </w:pPr>
      <w:hyperlink w:anchor="_Toc2845743" w:history="1">
        <w:r w:rsidRPr="003E188B">
          <w:rPr>
            <w:rStyle w:val="Hyperlink"/>
            <w:noProof/>
          </w:rPr>
          <w:t>Figure 41: Rates of people treated with ECT, by DHB of domicile, 1 January to 31 December 2017</w:t>
        </w:r>
        <w:r>
          <w:rPr>
            <w:noProof/>
            <w:webHidden/>
          </w:rPr>
          <w:tab/>
        </w:r>
        <w:r>
          <w:rPr>
            <w:noProof/>
            <w:webHidden/>
          </w:rPr>
          <w:fldChar w:fldCharType="begin"/>
        </w:r>
        <w:r>
          <w:rPr>
            <w:noProof/>
            <w:webHidden/>
          </w:rPr>
          <w:instrText xml:space="preserve"> PAGEREF _Toc2845743 \h </w:instrText>
        </w:r>
        <w:r>
          <w:rPr>
            <w:noProof/>
            <w:webHidden/>
          </w:rPr>
        </w:r>
        <w:r>
          <w:rPr>
            <w:noProof/>
            <w:webHidden/>
          </w:rPr>
          <w:fldChar w:fldCharType="separate"/>
        </w:r>
        <w:r>
          <w:rPr>
            <w:noProof/>
            <w:webHidden/>
          </w:rPr>
          <w:t>82</w:t>
        </w:r>
        <w:r>
          <w:rPr>
            <w:noProof/>
            <w:webHidden/>
          </w:rPr>
          <w:fldChar w:fldCharType="end"/>
        </w:r>
      </w:hyperlink>
    </w:p>
    <w:p w14:paraId="1426F0A0" w14:textId="77777777" w:rsidR="00BC5678" w:rsidRDefault="00BC5678">
      <w:pPr>
        <w:pStyle w:val="TOC3"/>
        <w:rPr>
          <w:rFonts w:asciiTheme="minorHAnsi" w:eastAsiaTheme="minorEastAsia" w:hAnsiTheme="minorHAnsi" w:cstheme="minorBidi"/>
          <w:noProof/>
          <w:sz w:val="22"/>
          <w:szCs w:val="22"/>
          <w:lang w:eastAsia="en-NZ"/>
        </w:rPr>
      </w:pPr>
      <w:hyperlink w:anchor="_Toc2845744" w:history="1">
        <w:r w:rsidRPr="003E188B">
          <w:rPr>
            <w:rStyle w:val="Hyperlink"/>
            <w:noProof/>
          </w:rPr>
          <w:t>Figure 42: Number of people treated with ECT, by age group and sex, 1 January to 31 December 2017</w:t>
        </w:r>
        <w:r>
          <w:rPr>
            <w:noProof/>
            <w:webHidden/>
          </w:rPr>
          <w:tab/>
        </w:r>
        <w:r>
          <w:rPr>
            <w:noProof/>
            <w:webHidden/>
          </w:rPr>
          <w:fldChar w:fldCharType="begin"/>
        </w:r>
        <w:r>
          <w:rPr>
            <w:noProof/>
            <w:webHidden/>
          </w:rPr>
          <w:instrText xml:space="preserve"> PAGEREF _Toc2845744 \h </w:instrText>
        </w:r>
        <w:r>
          <w:rPr>
            <w:noProof/>
            <w:webHidden/>
          </w:rPr>
        </w:r>
        <w:r>
          <w:rPr>
            <w:noProof/>
            <w:webHidden/>
          </w:rPr>
          <w:fldChar w:fldCharType="separate"/>
        </w:r>
        <w:r>
          <w:rPr>
            <w:noProof/>
            <w:webHidden/>
          </w:rPr>
          <w:t>85</w:t>
        </w:r>
        <w:r>
          <w:rPr>
            <w:noProof/>
            <w:webHidden/>
          </w:rPr>
          <w:fldChar w:fldCharType="end"/>
        </w:r>
      </w:hyperlink>
    </w:p>
    <w:p w14:paraId="09987E06" w14:textId="7728352E" w:rsidR="003A5FEA" w:rsidRDefault="00BC5678" w:rsidP="003A5FEA">
      <w:r>
        <w:fldChar w:fldCharType="end"/>
      </w:r>
    </w:p>
    <w:p w14:paraId="3A27564A" w14:textId="77777777" w:rsidR="002B76A7" w:rsidRDefault="002B76A7" w:rsidP="002B76A7">
      <w:pPr>
        <w:pStyle w:val="TOC1"/>
        <w:keepNext/>
      </w:pPr>
      <w:r>
        <w:t>List of Tables</w:t>
      </w:r>
    </w:p>
    <w:p w14:paraId="7F81DDDA" w14:textId="77777777" w:rsidR="00BC5678" w:rsidRDefault="00BC5678">
      <w:pPr>
        <w:pStyle w:val="TOC3"/>
        <w:rPr>
          <w:rFonts w:asciiTheme="minorHAnsi" w:eastAsiaTheme="minorEastAsia" w:hAnsiTheme="minorHAnsi" w:cstheme="minorBidi"/>
          <w:noProof/>
          <w:sz w:val="22"/>
          <w:szCs w:val="22"/>
          <w:lang w:eastAsia="en-NZ"/>
        </w:rPr>
      </w:pPr>
      <w:r>
        <w:rPr>
          <w:sz w:val="20"/>
        </w:rPr>
        <w:fldChar w:fldCharType="begin"/>
      </w:r>
      <w:r>
        <w:rPr>
          <w:sz w:val="20"/>
        </w:rPr>
        <w:instrText xml:space="preserve"> TOC \h \z \t "Table,3" </w:instrText>
      </w:r>
      <w:r>
        <w:rPr>
          <w:sz w:val="20"/>
        </w:rPr>
        <w:fldChar w:fldCharType="separate"/>
      </w:r>
      <w:r w:rsidRPr="0088788E">
        <w:rPr>
          <w:rStyle w:val="Hyperlink"/>
          <w:noProof/>
        </w:rPr>
        <w:fldChar w:fldCharType="begin"/>
      </w:r>
      <w:r w:rsidRPr="0088788E">
        <w:rPr>
          <w:rStyle w:val="Hyperlink"/>
          <w:noProof/>
        </w:rPr>
        <w:instrText xml:space="preserve"> </w:instrText>
      </w:r>
      <w:r>
        <w:rPr>
          <w:noProof/>
        </w:rPr>
        <w:instrText>HYPERLINK \l "_Toc2845745"</w:instrText>
      </w:r>
      <w:r w:rsidRPr="0088788E">
        <w:rPr>
          <w:rStyle w:val="Hyperlink"/>
          <w:noProof/>
        </w:rPr>
        <w:instrText xml:space="preserve"> </w:instrText>
      </w:r>
      <w:r w:rsidRPr="0088788E">
        <w:rPr>
          <w:rStyle w:val="Hyperlink"/>
          <w:noProof/>
        </w:rPr>
      </w:r>
      <w:r w:rsidRPr="0088788E">
        <w:rPr>
          <w:rStyle w:val="Hyperlink"/>
          <w:noProof/>
        </w:rPr>
        <w:fldChar w:fldCharType="separate"/>
      </w:r>
      <w:r w:rsidRPr="0088788E">
        <w:rPr>
          <w:rStyle w:val="Hyperlink"/>
          <w:noProof/>
        </w:rPr>
        <w:t>Table 1: Number of completed section 95 inquiry reports received by the Director of Mental Health, 2003–2017</w:t>
      </w:r>
      <w:r>
        <w:rPr>
          <w:noProof/>
          <w:webHidden/>
        </w:rPr>
        <w:tab/>
      </w:r>
      <w:r>
        <w:rPr>
          <w:noProof/>
          <w:webHidden/>
        </w:rPr>
        <w:fldChar w:fldCharType="begin"/>
      </w:r>
      <w:r>
        <w:rPr>
          <w:noProof/>
          <w:webHidden/>
        </w:rPr>
        <w:instrText xml:space="preserve"> PAGEREF _Toc2845745 \h </w:instrText>
      </w:r>
      <w:r>
        <w:rPr>
          <w:noProof/>
          <w:webHidden/>
        </w:rPr>
      </w:r>
      <w:r>
        <w:rPr>
          <w:noProof/>
          <w:webHidden/>
        </w:rPr>
        <w:fldChar w:fldCharType="separate"/>
      </w:r>
      <w:r>
        <w:rPr>
          <w:noProof/>
          <w:webHidden/>
        </w:rPr>
        <w:t>9</w:t>
      </w:r>
      <w:r>
        <w:rPr>
          <w:noProof/>
          <w:webHidden/>
        </w:rPr>
        <w:fldChar w:fldCharType="end"/>
      </w:r>
      <w:r w:rsidRPr="0088788E">
        <w:rPr>
          <w:rStyle w:val="Hyperlink"/>
          <w:noProof/>
        </w:rPr>
        <w:fldChar w:fldCharType="end"/>
      </w:r>
    </w:p>
    <w:p w14:paraId="34290123" w14:textId="77777777" w:rsidR="00BC5678" w:rsidRDefault="00BC5678">
      <w:pPr>
        <w:pStyle w:val="TOC3"/>
        <w:rPr>
          <w:rFonts w:asciiTheme="minorHAnsi" w:eastAsiaTheme="minorEastAsia" w:hAnsiTheme="minorHAnsi" w:cstheme="minorBidi"/>
          <w:noProof/>
          <w:sz w:val="22"/>
          <w:szCs w:val="22"/>
          <w:lang w:eastAsia="en-NZ"/>
        </w:rPr>
      </w:pPr>
      <w:r w:rsidRPr="0088788E">
        <w:rPr>
          <w:rStyle w:val="Hyperlink"/>
          <w:noProof/>
        </w:rPr>
        <w:fldChar w:fldCharType="begin"/>
      </w:r>
      <w:r w:rsidRPr="0088788E">
        <w:rPr>
          <w:rStyle w:val="Hyperlink"/>
          <w:noProof/>
        </w:rPr>
        <w:instrText xml:space="preserve"> </w:instrText>
      </w:r>
      <w:r>
        <w:rPr>
          <w:noProof/>
        </w:rPr>
        <w:instrText>HYPERLINK \l "_Toc2845746"</w:instrText>
      </w:r>
      <w:r w:rsidRPr="0088788E">
        <w:rPr>
          <w:rStyle w:val="Hyperlink"/>
          <w:noProof/>
        </w:rPr>
        <w:instrText xml:space="preserve"> </w:instrText>
      </w:r>
      <w:r w:rsidRPr="0088788E">
        <w:rPr>
          <w:rStyle w:val="Hyperlink"/>
          <w:noProof/>
        </w:rPr>
      </w:r>
      <w:r w:rsidRPr="0088788E">
        <w:rPr>
          <w:rStyle w:val="Hyperlink"/>
          <w:noProof/>
        </w:rPr>
        <w:fldChar w:fldCharType="separate"/>
      </w:r>
      <w:r w:rsidRPr="0088788E">
        <w:rPr>
          <w:rStyle w:val="Hyperlink"/>
          <w:noProof/>
        </w:rPr>
        <w:t>Table 2: Average number of people per 100,000 per month required to undergo assessment under sections 11, 13 and 14(4) of the Mental Health Act, by DHB, 1 January to 31 December 2017</w:t>
      </w:r>
      <w:r>
        <w:rPr>
          <w:noProof/>
          <w:webHidden/>
        </w:rPr>
        <w:tab/>
      </w:r>
      <w:r>
        <w:rPr>
          <w:noProof/>
          <w:webHidden/>
        </w:rPr>
        <w:fldChar w:fldCharType="begin"/>
      </w:r>
      <w:r>
        <w:rPr>
          <w:noProof/>
          <w:webHidden/>
        </w:rPr>
        <w:instrText xml:space="preserve"> PAGEREF _Toc2845746 \h </w:instrText>
      </w:r>
      <w:r>
        <w:rPr>
          <w:noProof/>
          <w:webHidden/>
        </w:rPr>
      </w:r>
      <w:r>
        <w:rPr>
          <w:noProof/>
          <w:webHidden/>
        </w:rPr>
        <w:fldChar w:fldCharType="separate"/>
      </w:r>
      <w:r>
        <w:rPr>
          <w:noProof/>
          <w:webHidden/>
        </w:rPr>
        <w:t>31</w:t>
      </w:r>
      <w:r>
        <w:rPr>
          <w:noProof/>
          <w:webHidden/>
        </w:rPr>
        <w:fldChar w:fldCharType="end"/>
      </w:r>
      <w:r w:rsidRPr="0088788E">
        <w:rPr>
          <w:rStyle w:val="Hyperlink"/>
          <w:noProof/>
        </w:rPr>
        <w:fldChar w:fldCharType="end"/>
      </w:r>
    </w:p>
    <w:p w14:paraId="241D68D1" w14:textId="77777777" w:rsidR="00BC5678" w:rsidRDefault="00BC5678">
      <w:pPr>
        <w:pStyle w:val="TOC3"/>
        <w:rPr>
          <w:rFonts w:asciiTheme="minorHAnsi" w:eastAsiaTheme="minorEastAsia" w:hAnsiTheme="minorHAnsi" w:cstheme="minorBidi"/>
          <w:noProof/>
          <w:sz w:val="22"/>
          <w:szCs w:val="22"/>
          <w:lang w:eastAsia="en-NZ"/>
        </w:rPr>
      </w:pPr>
      <w:r w:rsidRPr="0088788E">
        <w:rPr>
          <w:rStyle w:val="Hyperlink"/>
          <w:noProof/>
        </w:rPr>
        <w:fldChar w:fldCharType="begin"/>
      </w:r>
      <w:r w:rsidRPr="0088788E">
        <w:rPr>
          <w:rStyle w:val="Hyperlink"/>
          <w:noProof/>
        </w:rPr>
        <w:instrText xml:space="preserve"> </w:instrText>
      </w:r>
      <w:r>
        <w:rPr>
          <w:noProof/>
        </w:rPr>
        <w:instrText>HYPERLINK \l "_Toc2845747"</w:instrText>
      </w:r>
      <w:r w:rsidRPr="0088788E">
        <w:rPr>
          <w:rStyle w:val="Hyperlink"/>
          <w:noProof/>
        </w:rPr>
        <w:instrText xml:space="preserve"> </w:instrText>
      </w:r>
      <w:r w:rsidRPr="0088788E">
        <w:rPr>
          <w:rStyle w:val="Hyperlink"/>
          <w:noProof/>
        </w:rPr>
      </w:r>
      <w:r w:rsidRPr="0088788E">
        <w:rPr>
          <w:rStyle w:val="Hyperlink"/>
          <w:noProof/>
        </w:rPr>
        <w:fldChar w:fldCharType="separate"/>
      </w:r>
      <w:r w:rsidRPr="0088788E">
        <w:rPr>
          <w:rStyle w:val="Hyperlink"/>
          <w:noProof/>
        </w:rPr>
        <w:t>Table 3: Average number of people per 100,000 on a given day* subject to sections 29, 30 and 31 of the Mental Health Act, by DHB, 1 January to 31 December 2017</w:t>
      </w:r>
      <w:r>
        <w:rPr>
          <w:noProof/>
          <w:webHidden/>
        </w:rPr>
        <w:tab/>
      </w:r>
      <w:r>
        <w:rPr>
          <w:noProof/>
          <w:webHidden/>
        </w:rPr>
        <w:fldChar w:fldCharType="begin"/>
      </w:r>
      <w:r>
        <w:rPr>
          <w:noProof/>
          <w:webHidden/>
        </w:rPr>
        <w:instrText xml:space="preserve"> PAGEREF _Toc2845747 \h </w:instrText>
      </w:r>
      <w:r>
        <w:rPr>
          <w:noProof/>
          <w:webHidden/>
        </w:rPr>
      </w:r>
      <w:r>
        <w:rPr>
          <w:noProof/>
          <w:webHidden/>
        </w:rPr>
        <w:fldChar w:fldCharType="separate"/>
      </w:r>
      <w:r>
        <w:rPr>
          <w:noProof/>
          <w:webHidden/>
        </w:rPr>
        <w:t>32</w:t>
      </w:r>
      <w:r>
        <w:rPr>
          <w:noProof/>
          <w:webHidden/>
        </w:rPr>
        <w:fldChar w:fldCharType="end"/>
      </w:r>
      <w:r w:rsidRPr="0088788E">
        <w:rPr>
          <w:rStyle w:val="Hyperlink"/>
          <w:noProof/>
        </w:rPr>
        <w:fldChar w:fldCharType="end"/>
      </w:r>
    </w:p>
    <w:p w14:paraId="174AF03F" w14:textId="77777777" w:rsidR="00BC5678" w:rsidRDefault="00BC5678">
      <w:pPr>
        <w:pStyle w:val="TOC3"/>
        <w:rPr>
          <w:rFonts w:asciiTheme="minorHAnsi" w:eastAsiaTheme="minorEastAsia" w:hAnsiTheme="minorHAnsi" w:cstheme="minorBidi"/>
          <w:noProof/>
          <w:sz w:val="22"/>
          <w:szCs w:val="22"/>
          <w:lang w:eastAsia="en-NZ"/>
        </w:rPr>
      </w:pPr>
      <w:r w:rsidRPr="0088788E">
        <w:rPr>
          <w:rStyle w:val="Hyperlink"/>
          <w:noProof/>
        </w:rPr>
        <w:fldChar w:fldCharType="begin"/>
      </w:r>
      <w:r w:rsidRPr="0088788E">
        <w:rPr>
          <w:rStyle w:val="Hyperlink"/>
          <w:noProof/>
        </w:rPr>
        <w:instrText xml:space="preserve"> </w:instrText>
      </w:r>
      <w:r>
        <w:rPr>
          <w:noProof/>
        </w:rPr>
        <w:instrText>HYPERLINK \l "_Toc2845748"</w:instrText>
      </w:r>
      <w:r w:rsidRPr="0088788E">
        <w:rPr>
          <w:rStyle w:val="Hyperlink"/>
          <w:noProof/>
        </w:rPr>
        <w:instrText xml:space="preserve"> </w:instrText>
      </w:r>
      <w:r w:rsidRPr="0088788E">
        <w:rPr>
          <w:rStyle w:val="Hyperlink"/>
          <w:noProof/>
        </w:rPr>
      </w:r>
      <w:r w:rsidRPr="0088788E">
        <w:rPr>
          <w:rStyle w:val="Hyperlink"/>
          <w:noProof/>
        </w:rPr>
        <w:fldChar w:fldCharType="separate"/>
      </w:r>
      <w:r w:rsidRPr="0088788E">
        <w:rPr>
          <w:rStyle w:val="Hyperlink"/>
          <w:noProof/>
        </w:rPr>
        <w:t>Table 4: Age-standardised rates of Māori and non-Māori subject to community and inpatient treatment orders (sections 29 and 30 respectively) under the Mental Health Act, by sex, 1 January to 31 December 2017</w:t>
      </w:r>
      <w:r>
        <w:rPr>
          <w:noProof/>
          <w:webHidden/>
        </w:rPr>
        <w:tab/>
      </w:r>
      <w:r>
        <w:rPr>
          <w:noProof/>
          <w:webHidden/>
        </w:rPr>
        <w:fldChar w:fldCharType="begin"/>
      </w:r>
      <w:r>
        <w:rPr>
          <w:noProof/>
          <w:webHidden/>
        </w:rPr>
        <w:instrText xml:space="preserve"> PAGEREF _Toc2845748 \h </w:instrText>
      </w:r>
      <w:r>
        <w:rPr>
          <w:noProof/>
          <w:webHidden/>
        </w:rPr>
      </w:r>
      <w:r>
        <w:rPr>
          <w:noProof/>
          <w:webHidden/>
        </w:rPr>
        <w:fldChar w:fldCharType="separate"/>
      </w:r>
      <w:r>
        <w:rPr>
          <w:noProof/>
          <w:webHidden/>
        </w:rPr>
        <w:t>40</w:t>
      </w:r>
      <w:r>
        <w:rPr>
          <w:noProof/>
          <w:webHidden/>
        </w:rPr>
        <w:fldChar w:fldCharType="end"/>
      </w:r>
      <w:r w:rsidRPr="0088788E">
        <w:rPr>
          <w:rStyle w:val="Hyperlink"/>
          <w:noProof/>
        </w:rPr>
        <w:fldChar w:fldCharType="end"/>
      </w:r>
    </w:p>
    <w:p w14:paraId="30EF5DF4" w14:textId="77777777" w:rsidR="00BC5678" w:rsidRDefault="00BC5678">
      <w:pPr>
        <w:pStyle w:val="TOC3"/>
        <w:rPr>
          <w:rFonts w:asciiTheme="minorHAnsi" w:eastAsiaTheme="minorEastAsia" w:hAnsiTheme="minorHAnsi" w:cstheme="minorBidi"/>
          <w:noProof/>
          <w:sz w:val="22"/>
          <w:szCs w:val="22"/>
          <w:lang w:eastAsia="en-NZ"/>
        </w:rPr>
      </w:pPr>
      <w:r w:rsidRPr="0088788E">
        <w:rPr>
          <w:rStyle w:val="Hyperlink"/>
          <w:noProof/>
        </w:rPr>
        <w:fldChar w:fldCharType="begin"/>
      </w:r>
      <w:r w:rsidRPr="0088788E">
        <w:rPr>
          <w:rStyle w:val="Hyperlink"/>
          <w:noProof/>
        </w:rPr>
        <w:instrText xml:space="preserve"> </w:instrText>
      </w:r>
      <w:r>
        <w:rPr>
          <w:noProof/>
        </w:rPr>
        <w:instrText>HYPERLINK \l "_Toc2845749"</w:instrText>
      </w:r>
      <w:r w:rsidRPr="0088788E">
        <w:rPr>
          <w:rStyle w:val="Hyperlink"/>
          <w:noProof/>
        </w:rPr>
        <w:instrText xml:space="preserve"> </w:instrText>
      </w:r>
      <w:r w:rsidRPr="0088788E">
        <w:rPr>
          <w:rStyle w:val="Hyperlink"/>
          <w:noProof/>
        </w:rPr>
      </w:r>
      <w:r w:rsidRPr="0088788E">
        <w:rPr>
          <w:rStyle w:val="Hyperlink"/>
          <w:noProof/>
        </w:rPr>
        <w:fldChar w:fldCharType="separate"/>
      </w:r>
      <w:r w:rsidRPr="0088788E">
        <w:rPr>
          <w:rStyle w:val="Hyperlink"/>
          <w:noProof/>
        </w:rPr>
        <w:t>Table 5: Seclusion data for people with intellectual disabilities, by DHB and events for the period 1 January to 31 December 2017</w:t>
      </w:r>
      <w:r>
        <w:rPr>
          <w:noProof/>
          <w:webHidden/>
        </w:rPr>
        <w:tab/>
      </w:r>
      <w:r>
        <w:rPr>
          <w:noProof/>
          <w:webHidden/>
        </w:rPr>
        <w:fldChar w:fldCharType="begin"/>
      </w:r>
      <w:r>
        <w:rPr>
          <w:noProof/>
          <w:webHidden/>
        </w:rPr>
        <w:instrText xml:space="preserve"> PAGEREF _Toc2845749 \h </w:instrText>
      </w:r>
      <w:r>
        <w:rPr>
          <w:noProof/>
          <w:webHidden/>
        </w:rPr>
      </w:r>
      <w:r>
        <w:rPr>
          <w:noProof/>
          <w:webHidden/>
        </w:rPr>
        <w:fldChar w:fldCharType="separate"/>
      </w:r>
      <w:r>
        <w:rPr>
          <w:noProof/>
          <w:webHidden/>
        </w:rPr>
        <w:t>55</w:t>
      </w:r>
      <w:r>
        <w:rPr>
          <w:noProof/>
          <w:webHidden/>
        </w:rPr>
        <w:fldChar w:fldCharType="end"/>
      </w:r>
      <w:r w:rsidRPr="0088788E">
        <w:rPr>
          <w:rStyle w:val="Hyperlink"/>
          <w:noProof/>
        </w:rPr>
        <w:fldChar w:fldCharType="end"/>
      </w:r>
    </w:p>
    <w:p w14:paraId="69F434E7" w14:textId="77777777" w:rsidR="00BC5678" w:rsidRDefault="00BC5678">
      <w:pPr>
        <w:pStyle w:val="TOC3"/>
        <w:rPr>
          <w:rFonts w:asciiTheme="minorHAnsi" w:eastAsiaTheme="minorEastAsia" w:hAnsiTheme="minorHAnsi" w:cstheme="minorBidi"/>
          <w:noProof/>
          <w:sz w:val="22"/>
          <w:szCs w:val="22"/>
          <w:lang w:eastAsia="en-NZ"/>
        </w:rPr>
      </w:pPr>
      <w:r w:rsidRPr="0088788E">
        <w:rPr>
          <w:rStyle w:val="Hyperlink"/>
          <w:noProof/>
        </w:rPr>
        <w:fldChar w:fldCharType="begin"/>
      </w:r>
      <w:r w:rsidRPr="0088788E">
        <w:rPr>
          <w:rStyle w:val="Hyperlink"/>
          <w:noProof/>
        </w:rPr>
        <w:instrText xml:space="preserve"> </w:instrText>
      </w:r>
      <w:r>
        <w:rPr>
          <w:noProof/>
        </w:rPr>
        <w:instrText>HYPERLINK \l "_Toc2845750"</w:instrText>
      </w:r>
      <w:r w:rsidRPr="0088788E">
        <w:rPr>
          <w:rStyle w:val="Hyperlink"/>
          <w:noProof/>
        </w:rPr>
        <w:instrText xml:space="preserve"> </w:instrText>
      </w:r>
      <w:r w:rsidRPr="0088788E">
        <w:rPr>
          <w:rStyle w:val="Hyperlink"/>
          <w:noProof/>
        </w:rPr>
      </w:r>
      <w:r w:rsidRPr="0088788E">
        <w:rPr>
          <w:rStyle w:val="Hyperlink"/>
          <w:noProof/>
        </w:rPr>
        <w:fldChar w:fldCharType="separate"/>
      </w:r>
      <w:r w:rsidRPr="0088788E">
        <w:rPr>
          <w:rStyle w:val="Hyperlink"/>
          <w:noProof/>
        </w:rPr>
        <w:t>Table 6: Seclusion data for people with intellectual disabilities, by DHB and seclusion hours for the period 1 January to 31 December 2017</w:t>
      </w:r>
      <w:r>
        <w:rPr>
          <w:noProof/>
          <w:webHidden/>
        </w:rPr>
        <w:tab/>
      </w:r>
      <w:r>
        <w:rPr>
          <w:noProof/>
          <w:webHidden/>
        </w:rPr>
        <w:fldChar w:fldCharType="begin"/>
      </w:r>
      <w:r>
        <w:rPr>
          <w:noProof/>
          <w:webHidden/>
        </w:rPr>
        <w:instrText xml:space="preserve"> PAGEREF _Toc2845750 \h </w:instrText>
      </w:r>
      <w:r>
        <w:rPr>
          <w:noProof/>
          <w:webHidden/>
        </w:rPr>
      </w:r>
      <w:r>
        <w:rPr>
          <w:noProof/>
          <w:webHidden/>
        </w:rPr>
        <w:fldChar w:fldCharType="separate"/>
      </w:r>
      <w:r>
        <w:rPr>
          <w:noProof/>
          <w:webHidden/>
        </w:rPr>
        <w:t>55</w:t>
      </w:r>
      <w:r>
        <w:rPr>
          <w:noProof/>
          <w:webHidden/>
        </w:rPr>
        <w:fldChar w:fldCharType="end"/>
      </w:r>
      <w:r w:rsidRPr="0088788E">
        <w:rPr>
          <w:rStyle w:val="Hyperlink"/>
          <w:noProof/>
        </w:rPr>
        <w:fldChar w:fldCharType="end"/>
      </w:r>
    </w:p>
    <w:p w14:paraId="589E64E6" w14:textId="77777777" w:rsidR="00BC5678" w:rsidRDefault="00BC5678">
      <w:pPr>
        <w:pStyle w:val="TOC3"/>
        <w:rPr>
          <w:rFonts w:asciiTheme="minorHAnsi" w:eastAsiaTheme="minorEastAsia" w:hAnsiTheme="minorHAnsi" w:cstheme="minorBidi"/>
          <w:noProof/>
          <w:sz w:val="22"/>
          <w:szCs w:val="22"/>
          <w:lang w:eastAsia="en-NZ"/>
        </w:rPr>
      </w:pPr>
      <w:r w:rsidRPr="0088788E">
        <w:rPr>
          <w:rStyle w:val="Hyperlink"/>
          <w:noProof/>
        </w:rPr>
        <w:fldChar w:fldCharType="begin"/>
      </w:r>
      <w:r w:rsidRPr="0088788E">
        <w:rPr>
          <w:rStyle w:val="Hyperlink"/>
          <w:noProof/>
        </w:rPr>
        <w:instrText xml:space="preserve"> </w:instrText>
      </w:r>
      <w:r>
        <w:rPr>
          <w:noProof/>
        </w:rPr>
        <w:instrText>HYPERLINK \l "_Toc2845751"</w:instrText>
      </w:r>
      <w:r w:rsidRPr="0088788E">
        <w:rPr>
          <w:rStyle w:val="Hyperlink"/>
          <w:noProof/>
        </w:rPr>
        <w:instrText xml:space="preserve"> </w:instrText>
      </w:r>
      <w:r w:rsidRPr="0088788E">
        <w:rPr>
          <w:rStyle w:val="Hyperlink"/>
          <w:noProof/>
        </w:rPr>
      </w:r>
      <w:r w:rsidRPr="0088788E">
        <w:rPr>
          <w:rStyle w:val="Hyperlink"/>
          <w:noProof/>
        </w:rPr>
        <w:fldChar w:fldCharType="separate"/>
      </w:r>
      <w:r w:rsidRPr="0088788E">
        <w:rPr>
          <w:rStyle w:val="Hyperlink"/>
          <w:noProof/>
        </w:rPr>
        <w:t>Table 7: Seclusion indicators for forensic mental health services, by DHB, 1 January to 31 December 2017</w:t>
      </w:r>
      <w:r>
        <w:rPr>
          <w:noProof/>
          <w:webHidden/>
        </w:rPr>
        <w:tab/>
      </w:r>
      <w:r>
        <w:rPr>
          <w:noProof/>
          <w:webHidden/>
        </w:rPr>
        <w:fldChar w:fldCharType="begin"/>
      </w:r>
      <w:r>
        <w:rPr>
          <w:noProof/>
          <w:webHidden/>
        </w:rPr>
        <w:instrText xml:space="preserve"> PAGEREF _Toc2845751 \h </w:instrText>
      </w:r>
      <w:r>
        <w:rPr>
          <w:noProof/>
          <w:webHidden/>
        </w:rPr>
      </w:r>
      <w:r>
        <w:rPr>
          <w:noProof/>
          <w:webHidden/>
        </w:rPr>
        <w:fldChar w:fldCharType="separate"/>
      </w:r>
      <w:r>
        <w:rPr>
          <w:noProof/>
          <w:webHidden/>
        </w:rPr>
        <w:t>56</w:t>
      </w:r>
      <w:r>
        <w:rPr>
          <w:noProof/>
          <w:webHidden/>
        </w:rPr>
        <w:fldChar w:fldCharType="end"/>
      </w:r>
      <w:r w:rsidRPr="0088788E">
        <w:rPr>
          <w:rStyle w:val="Hyperlink"/>
          <w:noProof/>
        </w:rPr>
        <w:fldChar w:fldCharType="end"/>
      </w:r>
    </w:p>
    <w:p w14:paraId="4F91A35F" w14:textId="77777777" w:rsidR="00BC5678" w:rsidRDefault="00BC5678">
      <w:pPr>
        <w:pStyle w:val="TOC3"/>
        <w:rPr>
          <w:rFonts w:asciiTheme="minorHAnsi" w:eastAsiaTheme="minorEastAsia" w:hAnsiTheme="minorHAnsi" w:cstheme="minorBidi"/>
          <w:noProof/>
          <w:sz w:val="22"/>
          <w:szCs w:val="22"/>
          <w:lang w:eastAsia="en-NZ"/>
        </w:rPr>
      </w:pPr>
      <w:r w:rsidRPr="0088788E">
        <w:rPr>
          <w:rStyle w:val="Hyperlink"/>
          <w:noProof/>
        </w:rPr>
        <w:fldChar w:fldCharType="begin"/>
      </w:r>
      <w:r w:rsidRPr="0088788E">
        <w:rPr>
          <w:rStyle w:val="Hyperlink"/>
          <w:noProof/>
        </w:rPr>
        <w:instrText xml:space="preserve"> </w:instrText>
      </w:r>
      <w:r>
        <w:rPr>
          <w:noProof/>
        </w:rPr>
        <w:instrText>HYPERLINK \l "_Toc2845752"</w:instrText>
      </w:r>
      <w:r w:rsidRPr="0088788E">
        <w:rPr>
          <w:rStyle w:val="Hyperlink"/>
          <w:noProof/>
        </w:rPr>
        <w:instrText xml:space="preserve"> </w:instrText>
      </w:r>
      <w:r w:rsidRPr="0088788E">
        <w:rPr>
          <w:rStyle w:val="Hyperlink"/>
          <w:noProof/>
        </w:rPr>
      </w:r>
      <w:r w:rsidRPr="0088788E">
        <w:rPr>
          <w:rStyle w:val="Hyperlink"/>
          <w:noProof/>
        </w:rPr>
        <w:fldChar w:fldCharType="separate"/>
      </w:r>
      <w:r w:rsidRPr="0088788E">
        <w:rPr>
          <w:rStyle w:val="Hyperlink"/>
          <w:noProof/>
        </w:rPr>
        <w:t>Table 8: Total number of special patients, by type and DHB, 1 January to 31 December 2017</w:t>
      </w:r>
      <w:r>
        <w:rPr>
          <w:noProof/>
          <w:webHidden/>
        </w:rPr>
        <w:tab/>
      </w:r>
      <w:r>
        <w:rPr>
          <w:noProof/>
          <w:webHidden/>
        </w:rPr>
        <w:fldChar w:fldCharType="begin"/>
      </w:r>
      <w:r>
        <w:rPr>
          <w:noProof/>
          <w:webHidden/>
        </w:rPr>
        <w:instrText xml:space="preserve"> PAGEREF _Toc2845752 \h </w:instrText>
      </w:r>
      <w:r>
        <w:rPr>
          <w:noProof/>
          <w:webHidden/>
        </w:rPr>
      </w:r>
      <w:r>
        <w:rPr>
          <w:noProof/>
          <w:webHidden/>
        </w:rPr>
        <w:fldChar w:fldCharType="separate"/>
      </w:r>
      <w:r>
        <w:rPr>
          <w:noProof/>
          <w:webHidden/>
        </w:rPr>
        <w:t>59</w:t>
      </w:r>
      <w:r>
        <w:rPr>
          <w:noProof/>
          <w:webHidden/>
        </w:rPr>
        <w:fldChar w:fldCharType="end"/>
      </w:r>
      <w:r w:rsidRPr="0088788E">
        <w:rPr>
          <w:rStyle w:val="Hyperlink"/>
          <w:noProof/>
        </w:rPr>
        <w:fldChar w:fldCharType="end"/>
      </w:r>
    </w:p>
    <w:p w14:paraId="213548DB" w14:textId="77777777" w:rsidR="00BC5678" w:rsidRDefault="00BC5678">
      <w:pPr>
        <w:pStyle w:val="TOC3"/>
        <w:rPr>
          <w:rFonts w:asciiTheme="minorHAnsi" w:eastAsiaTheme="minorEastAsia" w:hAnsiTheme="minorHAnsi" w:cstheme="minorBidi"/>
          <w:noProof/>
          <w:sz w:val="22"/>
          <w:szCs w:val="22"/>
          <w:lang w:eastAsia="en-NZ"/>
        </w:rPr>
      </w:pPr>
      <w:r w:rsidRPr="0088788E">
        <w:rPr>
          <w:rStyle w:val="Hyperlink"/>
          <w:noProof/>
        </w:rPr>
        <w:fldChar w:fldCharType="begin"/>
      </w:r>
      <w:r w:rsidRPr="0088788E">
        <w:rPr>
          <w:rStyle w:val="Hyperlink"/>
          <w:noProof/>
        </w:rPr>
        <w:instrText xml:space="preserve"> </w:instrText>
      </w:r>
      <w:r>
        <w:rPr>
          <w:noProof/>
        </w:rPr>
        <w:instrText>HYPERLINK \l "_Toc2845753"</w:instrText>
      </w:r>
      <w:r w:rsidRPr="0088788E">
        <w:rPr>
          <w:rStyle w:val="Hyperlink"/>
          <w:noProof/>
        </w:rPr>
        <w:instrText xml:space="preserve"> </w:instrText>
      </w:r>
      <w:r w:rsidRPr="0088788E">
        <w:rPr>
          <w:rStyle w:val="Hyperlink"/>
          <w:noProof/>
        </w:rPr>
      </w:r>
      <w:r w:rsidRPr="0088788E">
        <w:rPr>
          <w:rStyle w:val="Hyperlink"/>
          <w:noProof/>
        </w:rPr>
        <w:fldChar w:fldCharType="separate"/>
      </w:r>
      <w:r w:rsidRPr="0088788E">
        <w:rPr>
          <w:rStyle w:val="Hyperlink"/>
          <w:noProof/>
        </w:rPr>
        <w:t>Table 9: Number of section 50 long leave, revocation and reclassification applications sent to the Minister of Health for special patients and restricted patients, 1 January to 31 December 2017</w:t>
      </w:r>
      <w:r>
        <w:rPr>
          <w:noProof/>
          <w:webHidden/>
        </w:rPr>
        <w:tab/>
      </w:r>
      <w:r>
        <w:rPr>
          <w:noProof/>
          <w:webHidden/>
        </w:rPr>
        <w:fldChar w:fldCharType="begin"/>
      </w:r>
      <w:r>
        <w:rPr>
          <w:noProof/>
          <w:webHidden/>
        </w:rPr>
        <w:instrText xml:space="preserve"> PAGEREF _Toc2845753 \h </w:instrText>
      </w:r>
      <w:r>
        <w:rPr>
          <w:noProof/>
          <w:webHidden/>
        </w:rPr>
      </w:r>
      <w:r>
        <w:rPr>
          <w:noProof/>
          <w:webHidden/>
        </w:rPr>
        <w:fldChar w:fldCharType="separate"/>
      </w:r>
      <w:r>
        <w:rPr>
          <w:noProof/>
          <w:webHidden/>
        </w:rPr>
        <w:t>63</w:t>
      </w:r>
      <w:r>
        <w:rPr>
          <w:noProof/>
          <w:webHidden/>
        </w:rPr>
        <w:fldChar w:fldCharType="end"/>
      </w:r>
      <w:r w:rsidRPr="0088788E">
        <w:rPr>
          <w:rStyle w:val="Hyperlink"/>
          <w:noProof/>
        </w:rPr>
        <w:fldChar w:fldCharType="end"/>
      </w:r>
    </w:p>
    <w:p w14:paraId="1438CF21" w14:textId="77777777" w:rsidR="00BC5678" w:rsidRDefault="00BC5678">
      <w:pPr>
        <w:pStyle w:val="TOC3"/>
        <w:rPr>
          <w:rFonts w:asciiTheme="minorHAnsi" w:eastAsiaTheme="minorEastAsia" w:hAnsiTheme="minorHAnsi" w:cstheme="minorBidi"/>
          <w:noProof/>
          <w:sz w:val="22"/>
          <w:szCs w:val="22"/>
          <w:lang w:eastAsia="en-NZ"/>
        </w:rPr>
      </w:pPr>
      <w:r w:rsidRPr="0088788E">
        <w:rPr>
          <w:rStyle w:val="Hyperlink"/>
          <w:noProof/>
        </w:rPr>
        <w:fldChar w:fldCharType="begin"/>
      </w:r>
      <w:r w:rsidRPr="0088788E">
        <w:rPr>
          <w:rStyle w:val="Hyperlink"/>
          <w:noProof/>
        </w:rPr>
        <w:instrText xml:space="preserve"> </w:instrText>
      </w:r>
      <w:r>
        <w:rPr>
          <w:noProof/>
        </w:rPr>
        <w:instrText>HYPERLINK \l "_Toc2845754"</w:instrText>
      </w:r>
      <w:r w:rsidRPr="0088788E">
        <w:rPr>
          <w:rStyle w:val="Hyperlink"/>
          <w:noProof/>
        </w:rPr>
        <w:instrText xml:space="preserve"> </w:instrText>
      </w:r>
      <w:r w:rsidRPr="0088788E">
        <w:rPr>
          <w:rStyle w:val="Hyperlink"/>
          <w:noProof/>
        </w:rPr>
      </w:r>
      <w:r w:rsidRPr="0088788E">
        <w:rPr>
          <w:rStyle w:val="Hyperlink"/>
          <w:noProof/>
        </w:rPr>
        <w:fldChar w:fldCharType="separate"/>
      </w:r>
      <w:r w:rsidRPr="0088788E">
        <w:rPr>
          <w:rStyle w:val="Hyperlink"/>
          <w:noProof/>
        </w:rPr>
        <w:t>Table 10: Outcomes of reportable death notifications under section 132 of the Mental Health Act, 1 January to 31 December 2017</w:t>
      </w:r>
      <w:r>
        <w:rPr>
          <w:noProof/>
          <w:webHidden/>
        </w:rPr>
        <w:tab/>
      </w:r>
      <w:r>
        <w:rPr>
          <w:noProof/>
          <w:webHidden/>
        </w:rPr>
        <w:fldChar w:fldCharType="begin"/>
      </w:r>
      <w:r>
        <w:rPr>
          <w:noProof/>
          <w:webHidden/>
        </w:rPr>
        <w:instrText xml:space="preserve"> PAGEREF _Toc2845754 \h </w:instrText>
      </w:r>
      <w:r>
        <w:rPr>
          <w:noProof/>
          <w:webHidden/>
        </w:rPr>
      </w:r>
      <w:r>
        <w:rPr>
          <w:noProof/>
          <w:webHidden/>
        </w:rPr>
        <w:fldChar w:fldCharType="separate"/>
      </w:r>
      <w:r>
        <w:rPr>
          <w:noProof/>
          <w:webHidden/>
        </w:rPr>
        <w:t>65</w:t>
      </w:r>
      <w:r>
        <w:rPr>
          <w:noProof/>
          <w:webHidden/>
        </w:rPr>
        <w:fldChar w:fldCharType="end"/>
      </w:r>
      <w:r w:rsidRPr="0088788E">
        <w:rPr>
          <w:rStyle w:val="Hyperlink"/>
          <w:noProof/>
        </w:rPr>
        <w:fldChar w:fldCharType="end"/>
      </w:r>
    </w:p>
    <w:p w14:paraId="626EE919" w14:textId="77777777" w:rsidR="00BC5678" w:rsidRDefault="00BC5678">
      <w:pPr>
        <w:pStyle w:val="TOC3"/>
        <w:rPr>
          <w:rFonts w:asciiTheme="minorHAnsi" w:eastAsiaTheme="minorEastAsia" w:hAnsiTheme="minorHAnsi" w:cstheme="minorBidi"/>
          <w:noProof/>
          <w:sz w:val="22"/>
          <w:szCs w:val="22"/>
          <w:lang w:eastAsia="en-NZ"/>
        </w:rPr>
      </w:pPr>
      <w:r w:rsidRPr="0088788E">
        <w:rPr>
          <w:rStyle w:val="Hyperlink"/>
          <w:noProof/>
        </w:rPr>
        <w:fldChar w:fldCharType="begin"/>
      </w:r>
      <w:r w:rsidRPr="0088788E">
        <w:rPr>
          <w:rStyle w:val="Hyperlink"/>
          <w:noProof/>
        </w:rPr>
        <w:instrText xml:space="preserve"> </w:instrText>
      </w:r>
      <w:r>
        <w:rPr>
          <w:noProof/>
        </w:rPr>
        <w:instrText>HYPERLINK \l "_Toc2845755"</w:instrText>
      </w:r>
      <w:r w:rsidRPr="0088788E">
        <w:rPr>
          <w:rStyle w:val="Hyperlink"/>
          <w:noProof/>
        </w:rPr>
        <w:instrText xml:space="preserve"> </w:instrText>
      </w:r>
      <w:r w:rsidRPr="0088788E">
        <w:rPr>
          <w:rStyle w:val="Hyperlink"/>
          <w:noProof/>
        </w:rPr>
      </w:r>
      <w:r w:rsidRPr="0088788E">
        <w:rPr>
          <w:rStyle w:val="Hyperlink"/>
          <w:noProof/>
        </w:rPr>
        <w:fldChar w:fldCharType="separate"/>
      </w:r>
      <w:r w:rsidRPr="0088788E">
        <w:rPr>
          <w:rStyle w:val="Hyperlink"/>
          <w:noProof/>
        </w:rPr>
        <w:t>Table 11: Adverse events (relating to mental health behaviour) reported by DHBs to the Health Quality &amp; Safety Commission, 1 January to 31 December 2017</w:t>
      </w:r>
      <w:r>
        <w:rPr>
          <w:noProof/>
          <w:webHidden/>
        </w:rPr>
        <w:tab/>
      </w:r>
      <w:r>
        <w:rPr>
          <w:noProof/>
          <w:webHidden/>
        </w:rPr>
        <w:fldChar w:fldCharType="begin"/>
      </w:r>
      <w:r>
        <w:rPr>
          <w:noProof/>
          <w:webHidden/>
        </w:rPr>
        <w:instrText xml:space="preserve"> PAGEREF _Toc2845755 \h </w:instrText>
      </w:r>
      <w:r>
        <w:rPr>
          <w:noProof/>
          <w:webHidden/>
        </w:rPr>
      </w:r>
      <w:r>
        <w:rPr>
          <w:noProof/>
          <w:webHidden/>
        </w:rPr>
        <w:fldChar w:fldCharType="separate"/>
      </w:r>
      <w:r>
        <w:rPr>
          <w:noProof/>
          <w:webHidden/>
        </w:rPr>
        <w:t>66</w:t>
      </w:r>
      <w:r>
        <w:rPr>
          <w:noProof/>
          <w:webHidden/>
        </w:rPr>
        <w:fldChar w:fldCharType="end"/>
      </w:r>
      <w:r w:rsidRPr="0088788E">
        <w:rPr>
          <w:rStyle w:val="Hyperlink"/>
          <w:noProof/>
        </w:rPr>
        <w:fldChar w:fldCharType="end"/>
      </w:r>
    </w:p>
    <w:p w14:paraId="53F14231" w14:textId="77777777" w:rsidR="00BC5678" w:rsidRDefault="00BC5678">
      <w:pPr>
        <w:pStyle w:val="TOC3"/>
        <w:rPr>
          <w:rFonts w:asciiTheme="minorHAnsi" w:eastAsiaTheme="minorEastAsia" w:hAnsiTheme="minorHAnsi" w:cstheme="minorBidi"/>
          <w:noProof/>
          <w:sz w:val="22"/>
          <w:szCs w:val="22"/>
          <w:lang w:eastAsia="en-NZ"/>
        </w:rPr>
      </w:pPr>
      <w:r w:rsidRPr="0088788E">
        <w:rPr>
          <w:rStyle w:val="Hyperlink"/>
          <w:noProof/>
        </w:rPr>
        <w:fldChar w:fldCharType="begin"/>
      </w:r>
      <w:r w:rsidRPr="0088788E">
        <w:rPr>
          <w:rStyle w:val="Hyperlink"/>
          <w:noProof/>
        </w:rPr>
        <w:instrText xml:space="preserve"> </w:instrText>
      </w:r>
      <w:r>
        <w:rPr>
          <w:noProof/>
        </w:rPr>
        <w:instrText>HYPERLINK \l "_Toc2845756"</w:instrText>
      </w:r>
      <w:r w:rsidRPr="0088788E">
        <w:rPr>
          <w:rStyle w:val="Hyperlink"/>
          <w:noProof/>
        </w:rPr>
        <w:instrText xml:space="preserve"> </w:instrText>
      </w:r>
      <w:r w:rsidRPr="0088788E">
        <w:rPr>
          <w:rStyle w:val="Hyperlink"/>
          <w:noProof/>
        </w:rPr>
      </w:r>
      <w:r w:rsidRPr="0088788E">
        <w:rPr>
          <w:rStyle w:val="Hyperlink"/>
          <w:noProof/>
        </w:rPr>
        <w:fldChar w:fldCharType="separate"/>
      </w:r>
      <w:r w:rsidRPr="0088788E">
        <w:rPr>
          <w:rStyle w:val="Hyperlink"/>
          <w:noProof/>
        </w:rPr>
        <w:t>Table 12: Mental health adverse events reported to the Health Quality &amp; Safety Commission, by DHB, 1 January to 31 December 2017</w:t>
      </w:r>
      <w:r>
        <w:rPr>
          <w:noProof/>
          <w:webHidden/>
        </w:rPr>
        <w:tab/>
      </w:r>
      <w:r>
        <w:rPr>
          <w:noProof/>
          <w:webHidden/>
        </w:rPr>
        <w:fldChar w:fldCharType="begin"/>
      </w:r>
      <w:r>
        <w:rPr>
          <w:noProof/>
          <w:webHidden/>
        </w:rPr>
        <w:instrText xml:space="preserve"> PAGEREF _Toc2845756 \h </w:instrText>
      </w:r>
      <w:r>
        <w:rPr>
          <w:noProof/>
          <w:webHidden/>
        </w:rPr>
      </w:r>
      <w:r>
        <w:rPr>
          <w:noProof/>
          <w:webHidden/>
        </w:rPr>
        <w:fldChar w:fldCharType="separate"/>
      </w:r>
      <w:r>
        <w:rPr>
          <w:noProof/>
          <w:webHidden/>
        </w:rPr>
        <w:t>66</w:t>
      </w:r>
      <w:r>
        <w:rPr>
          <w:noProof/>
          <w:webHidden/>
        </w:rPr>
        <w:fldChar w:fldCharType="end"/>
      </w:r>
      <w:r w:rsidRPr="0088788E">
        <w:rPr>
          <w:rStyle w:val="Hyperlink"/>
          <w:noProof/>
        </w:rPr>
        <w:fldChar w:fldCharType="end"/>
      </w:r>
    </w:p>
    <w:p w14:paraId="69853108" w14:textId="77777777" w:rsidR="00BC5678" w:rsidRDefault="00BC5678">
      <w:pPr>
        <w:pStyle w:val="TOC3"/>
        <w:rPr>
          <w:rFonts w:asciiTheme="minorHAnsi" w:eastAsiaTheme="minorEastAsia" w:hAnsiTheme="minorHAnsi" w:cstheme="minorBidi"/>
          <w:noProof/>
          <w:sz w:val="22"/>
          <w:szCs w:val="22"/>
          <w:lang w:eastAsia="en-NZ"/>
        </w:rPr>
      </w:pPr>
      <w:r w:rsidRPr="0088788E">
        <w:rPr>
          <w:rStyle w:val="Hyperlink"/>
          <w:noProof/>
        </w:rPr>
        <w:fldChar w:fldCharType="begin"/>
      </w:r>
      <w:r w:rsidRPr="0088788E">
        <w:rPr>
          <w:rStyle w:val="Hyperlink"/>
          <w:noProof/>
        </w:rPr>
        <w:instrText xml:space="preserve"> </w:instrText>
      </w:r>
      <w:r>
        <w:rPr>
          <w:noProof/>
        </w:rPr>
        <w:instrText>HYPERLINK \l "_Toc2845757"</w:instrText>
      </w:r>
      <w:r w:rsidRPr="0088788E">
        <w:rPr>
          <w:rStyle w:val="Hyperlink"/>
          <w:noProof/>
        </w:rPr>
        <w:instrText xml:space="preserve"> </w:instrText>
      </w:r>
      <w:r w:rsidRPr="0088788E">
        <w:rPr>
          <w:rStyle w:val="Hyperlink"/>
          <w:noProof/>
        </w:rPr>
      </w:r>
      <w:r w:rsidRPr="0088788E">
        <w:rPr>
          <w:rStyle w:val="Hyperlink"/>
          <w:noProof/>
        </w:rPr>
        <w:fldChar w:fldCharType="separate"/>
      </w:r>
      <w:r w:rsidRPr="0088788E">
        <w:rPr>
          <w:rStyle w:val="Hyperlink"/>
          <w:noProof/>
        </w:rPr>
        <w:t>Table 13: Number and age-standardised rate of suicide, by service use, people aged 10–64 years, 2015</w:t>
      </w:r>
      <w:r>
        <w:rPr>
          <w:noProof/>
          <w:webHidden/>
        </w:rPr>
        <w:tab/>
      </w:r>
      <w:r>
        <w:rPr>
          <w:noProof/>
          <w:webHidden/>
        </w:rPr>
        <w:fldChar w:fldCharType="begin"/>
      </w:r>
      <w:r>
        <w:rPr>
          <w:noProof/>
          <w:webHidden/>
        </w:rPr>
        <w:instrText xml:space="preserve"> PAGEREF _Toc2845757 \h </w:instrText>
      </w:r>
      <w:r>
        <w:rPr>
          <w:noProof/>
          <w:webHidden/>
        </w:rPr>
      </w:r>
      <w:r>
        <w:rPr>
          <w:noProof/>
          <w:webHidden/>
        </w:rPr>
        <w:fldChar w:fldCharType="separate"/>
      </w:r>
      <w:r>
        <w:rPr>
          <w:noProof/>
          <w:webHidden/>
        </w:rPr>
        <w:t>68</w:t>
      </w:r>
      <w:r>
        <w:rPr>
          <w:noProof/>
          <w:webHidden/>
        </w:rPr>
        <w:fldChar w:fldCharType="end"/>
      </w:r>
      <w:r w:rsidRPr="0088788E">
        <w:rPr>
          <w:rStyle w:val="Hyperlink"/>
          <w:noProof/>
        </w:rPr>
        <w:fldChar w:fldCharType="end"/>
      </w:r>
    </w:p>
    <w:p w14:paraId="35B6FAF1" w14:textId="77777777" w:rsidR="00BC5678" w:rsidRDefault="00BC5678">
      <w:pPr>
        <w:pStyle w:val="TOC3"/>
        <w:rPr>
          <w:rFonts w:asciiTheme="minorHAnsi" w:eastAsiaTheme="minorEastAsia" w:hAnsiTheme="minorHAnsi" w:cstheme="minorBidi"/>
          <w:noProof/>
          <w:sz w:val="22"/>
          <w:szCs w:val="22"/>
          <w:lang w:eastAsia="en-NZ"/>
        </w:rPr>
      </w:pPr>
      <w:r w:rsidRPr="0088788E">
        <w:rPr>
          <w:rStyle w:val="Hyperlink"/>
          <w:noProof/>
        </w:rPr>
        <w:fldChar w:fldCharType="begin"/>
      </w:r>
      <w:r w:rsidRPr="0088788E">
        <w:rPr>
          <w:rStyle w:val="Hyperlink"/>
          <w:noProof/>
        </w:rPr>
        <w:instrText xml:space="preserve"> </w:instrText>
      </w:r>
      <w:r>
        <w:rPr>
          <w:noProof/>
        </w:rPr>
        <w:instrText>HYPERLINK \l "_Toc2845758"</w:instrText>
      </w:r>
      <w:r w:rsidRPr="0088788E">
        <w:rPr>
          <w:rStyle w:val="Hyperlink"/>
          <w:noProof/>
        </w:rPr>
        <w:instrText xml:space="preserve"> </w:instrText>
      </w:r>
      <w:r w:rsidRPr="0088788E">
        <w:rPr>
          <w:rStyle w:val="Hyperlink"/>
          <w:noProof/>
        </w:rPr>
      </w:r>
      <w:r w:rsidRPr="0088788E">
        <w:rPr>
          <w:rStyle w:val="Hyperlink"/>
          <w:noProof/>
        </w:rPr>
        <w:fldChar w:fldCharType="separate"/>
      </w:r>
      <w:r w:rsidRPr="0088788E">
        <w:rPr>
          <w:rStyle w:val="Hyperlink"/>
          <w:noProof/>
        </w:rPr>
        <w:t>Table 14: Number and age-standardised rate of suicide, by service use and sex, people aged 10–64 years, 2015</w:t>
      </w:r>
      <w:r>
        <w:rPr>
          <w:noProof/>
          <w:webHidden/>
        </w:rPr>
        <w:tab/>
      </w:r>
      <w:r>
        <w:rPr>
          <w:noProof/>
          <w:webHidden/>
        </w:rPr>
        <w:fldChar w:fldCharType="begin"/>
      </w:r>
      <w:r>
        <w:rPr>
          <w:noProof/>
          <w:webHidden/>
        </w:rPr>
        <w:instrText xml:space="preserve"> PAGEREF _Toc2845758 \h </w:instrText>
      </w:r>
      <w:r>
        <w:rPr>
          <w:noProof/>
          <w:webHidden/>
        </w:rPr>
      </w:r>
      <w:r>
        <w:rPr>
          <w:noProof/>
          <w:webHidden/>
        </w:rPr>
        <w:fldChar w:fldCharType="separate"/>
      </w:r>
      <w:r>
        <w:rPr>
          <w:noProof/>
          <w:webHidden/>
        </w:rPr>
        <w:t>69</w:t>
      </w:r>
      <w:r>
        <w:rPr>
          <w:noProof/>
          <w:webHidden/>
        </w:rPr>
        <w:fldChar w:fldCharType="end"/>
      </w:r>
      <w:r w:rsidRPr="0088788E">
        <w:rPr>
          <w:rStyle w:val="Hyperlink"/>
          <w:noProof/>
        </w:rPr>
        <w:fldChar w:fldCharType="end"/>
      </w:r>
    </w:p>
    <w:p w14:paraId="47C5ACC4" w14:textId="77777777" w:rsidR="00BC5678" w:rsidRDefault="00BC5678">
      <w:pPr>
        <w:pStyle w:val="TOC3"/>
        <w:rPr>
          <w:rFonts w:asciiTheme="minorHAnsi" w:eastAsiaTheme="minorEastAsia" w:hAnsiTheme="minorHAnsi" w:cstheme="minorBidi"/>
          <w:noProof/>
          <w:sz w:val="22"/>
          <w:szCs w:val="22"/>
          <w:lang w:eastAsia="en-NZ"/>
        </w:rPr>
      </w:pPr>
      <w:r w:rsidRPr="0088788E">
        <w:rPr>
          <w:rStyle w:val="Hyperlink"/>
          <w:noProof/>
        </w:rPr>
        <w:fldChar w:fldCharType="begin"/>
      </w:r>
      <w:r w:rsidRPr="0088788E">
        <w:rPr>
          <w:rStyle w:val="Hyperlink"/>
          <w:noProof/>
        </w:rPr>
        <w:instrText xml:space="preserve"> </w:instrText>
      </w:r>
      <w:r>
        <w:rPr>
          <w:noProof/>
        </w:rPr>
        <w:instrText>HYPERLINK \l "_Toc2845759"</w:instrText>
      </w:r>
      <w:r w:rsidRPr="0088788E">
        <w:rPr>
          <w:rStyle w:val="Hyperlink"/>
          <w:noProof/>
        </w:rPr>
        <w:instrText xml:space="preserve"> </w:instrText>
      </w:r>
      <w:r w:rsidRPr="0088788E">
        <w:rPr>
          <w:rStyle w:val="Hyperlink"/>
          <w:noProof/>
        </w:rPr>
      </w:r>
      <w:r w:rsidRPr="0088788E">
        <w:rPr>
          <w:rStyle w:val="Hyperlink"/>
          <w:noProof/>
        </w:rPr>
        <w:fldChar w:fldCharType="separate"/>
      </w:r>
      <w:r w:rsidRPr="0088788E">
        <w:rPr>
          <w:rStyle w:val="Hyperlink"/>
          <w:noProof/>
        </w:rPr>
        <w:t>Table 15: Number and age-specific rate of suicide, by age-group, sex and service use, people aged 10–64 years, 2015</w:t>
      </w:r>
      <w:r>
        <w:rPr>
          <w:noProof/>
          <w:webHidden/>
        </w:rPr>
        <w:tab/>
      </w:r>
      <w:r>
        <w:rPr>
          <w:noProof/>
          <w:webHidden/>
        </w:rPr>
        <w:fldChar w:fldCharType="begin"/>
      </w:r>
      <w:r>
        <w:rPr>
          <w:noProof/>
          <w:webHidden/>
        </w:rPr>
        <w:instrText xml:space="preserve"> PAGEREF _Toc2845759 \h </w:instrText>
      </w:r>
      <w:r>
        <w:rPr>
          <w:noProof/>
          <w:webHidden/>
        </w:rPr>
      </w:r>
      <w:r>
        <w:rPr>
          <w:noProof/>
          <w:webHidden/>
        </w:rPr>
        <w:fldChar w:fldCharType="separate"/>
      </w:r>
      <w:r>
        <w:rPr>
          <w:noProof/>
          <w:webHidden/>
        </w:rPr>
        <w:t>70</w:t>
      </w:r>
      <w:r>
        <w:rPr>
          <w:noProof/>
          <w:webHidden/>
        </w:rPr>
        <w:fldChar w:fldCharType="end"/>
      </w:r>
      <w:r w:rsidRPr="0088788E">
        <w:rPr>
          <w:rStyle w:val="Hyperlink"/>
          <w:noProof/>
        </w:rPr>
        <w:fldChar w:fldCharType="end"/>
      </w:r>
    </w:p>
    <w:p w14:paraId="0581C468" w14:textId="77777777" w:rsidR="00BC5678" w:rsidRDefault="00BC5678">
      <w:pPr>
        <w:pStyle w:val="TOC3"/>
        <w:rPr>
          <w:rFonts w:asciiTheme="minorHAnsi" w:eastAsiaTheme="minorEastAsia" w:hAnsiTheme="minorHAnsi" w:cstheme="minorBidi"/>
          <w:noProof/>
          <w:sz w:val="22"/>
          <w:szCs w:val="22"/>
          <w:lang w:eastAsia="en-NZ"/>
        </w:rPr>
      </w:pPr>
      <w:r w:rsidRPr="0088788E">
        <w:rPr>
          <w:rStyle w:val="Hyperlink"/>
          <w:noProof/>
        </w:rPr>
        <w:fldChar w:fldCharType="begin"/>
      </w:r>
      <w:r w:rsidRPr="0088788E">
        <w:rPr>
          <w:rStyle w:val="Hyperlink"/>
          <w:noProof/>
        </w:rPr>
        <w:instrText xml:space="preserve"> </w:instrText>
      </w:r>
      <w:r>
        <w:rPr>
          <w:noProof/>
        </w:rPr>
        <w:instrText>HYPERLINK \l "_Toc2845760"</w:instrText>
      </w:r>
      <w:r w:rsidRPr="0088788E">
        <w:rPr>
          <w:rStyle w:val="Hyperlink"/>
          <w:noProof/>
        </w:rPr>
        <w:instrText xml:space="preserve"> </w:instrText>
      </w:r>
      <w:r w:rsidRPr="0088788E">
        <w:rPr>
          <w:rStyle w:val="Hyperlink"/>
          <w:noProof/>
        </w:rPr>
      </w:r>
      <w:r w:rsidRPr="0088788E">
        <w:rPr>
          <w:rStyle w:val="Hyperlink"/>
          <w:noProof/>
        </w:rPr>
        <w:fldChar w:fldCharType="separate"/>
      </w:r>
      <w:r w:rsidRPr="0088788E">
        <w:rPr>
          <w:rStyle w:val="Hyperlink"/>
          <w:noProof/>
        </w:rPr>
        <w:t>Table 16: Number and age-standardised rate of suicide and deaths of undetermined intent, by ethnicity and service use, people aged 10–64 years, 2015</w:t>
      </w:r>
      <w:r>
        <w:rPr>
          <w:noProof/>
          <w:webHidden/>
        </w:rPr>
        <w:tab/>
      </w:r>
      <w:r>
        <w:rPr>
          <w:noProof/>
          <w:webHidden/>
        </w:rPr>
        <w:fldChar w:fldCharType="begin"/>
      </w:r>
      <w:r>
        <w:rPr>
          <w:noProof/>
          <w:webHidden/>
        </w:rPr>
        <w:instrText xml:space="preserve"> PAGEREF _Toc2845760 \h </w:instrText>
      </w:r>
      <w:r>
        <w:rPr>
          <w:noProof/>
          <w:webHidden/>
        </w:rPr>
      </w:r>
      <w:r>
        <w:rPr>
          <w:noProof/>
          <w:webHidden/>
        </w:rPr>
        <w:fldChar w:fldCharType="separate"/>
      </w:r>
      <w:r>
        <w:rPr>
          <w:noProof/>
          <w:webHidden/>
        </w:rPr>
        <w:t>71</w:t>
      </w:r>
      <w:r>
        <w:rPr>
          <w:noProof/>
          <w:webHidden/>
        </w:rPr>
        <w:fldChar w:fldCharType="end"/>
      </w:r>
      <w:r w:rsidRPr="0088788E">
        <w:rPr>
          <w:rStyle w:val="Hyperlink"/>
          <w:noProof/>
        </w:rPr>
        <w:fldChar w:fldCharType="end"/>
      </w:r>
    </w:p>
    <w:p w14:paraId="5E587E28" w14:textId="77777777" w:rsidR="00BC5678" w:rsidRDefault="00BC5678">
      <w:pPr>
        <w:pStyle w:val="TOC3"/>
        <w:rPr>
          <w:rFonts w:asciiTheme="minorHAnsi" w:eastAsiaTheme="minorEastAsia" w:hAnsiTheme="minorHAnsi" w:cstheme="minorBidi"/>
          <w:noProof/>
          <w:sz w:val="22"/>
          <w:szCs w:val="22"/>
          <w:lang w:eastAsia="en-NZ"/>
        </w:rPr>
      </w:pPr>
      <w:r w:rsidRPr="0088788E">
        <w:rPr>
          <w:rStyle w:val="Hyperlink"/>
          <w:noProof/>
        </w:rPr>
        <w:fldChar w:fldCharType="begin"/>
      </w:r>
      <w:r w:rsidRPr="0088788E">
        <w:rPr>
          <w:rStyle w:val="Hyperlink"/>
          <w:noProof/>
        </w:rPr>
        <w:instrText xml:space="preserve"> </w:instrText>
      </w:r>
      <w:r>
        <w:rPr>
          <w:noProof/>
        </w:rPr>
        <w:instrText>HYPERLINK \l "_Toc2845761"</w:instrText>
      </w:r>
      <w:r w:rsidRPr="0088788E">
        <w:rPr>
          <w:rStyle w:val="Hyperlink"/>
          <w:noProof/>
        </w:rPr>
        <w:instrText xml:space="preserve"> </w:instrText>
      </w:r>
      <w:r w:rsidRPr="0088788E">
        <w:rPr>
          <w:rStyle w:val="Hyperlink"/>
          <w:noProof/>
        </w:rPr>
      </w:r>
      <w:r w:rsidRPr="0088788E">
        <w:rPr>
          <w:rStyle w:val="Hyperlink"/>
          <w:noProof/>
        </w:rPr>
        <w:fldChar w:fldCharType="separate"/>
      </w:r>
      <w:r w:rsidRPr="0088788E">
        <w:rPr>
          <w:rStyle w:val="Hyperlink"/>
          <w:noProof/>
        </w:rPr>
        <w:t>Table 17: Number of applications for detention and committal under the ADA Act, by application outcome, 2004–2017</w:t>
      </w:r>
      <w:r>
        <w:rPr>
          <w:noProof/>
          <w:webHidden/>
        </w:rPr>
        <w:tab/>
      </w:r>
      <w:r>
        <w:rPr>
          <w:noProof/>
          <w:webHidden/>
        </w:rPr>
        <w:fldChar w:fldCharType="begin"/>
      </w:r>
      <w:r>
        <w:rPr>
          <w:noProof/>
          <w:webHidden/>
        </w:rPr>
        <w:instrText xml:space="preserve"> PAGEREF _Toc2845761 \h </w:instrText>
      </w:r>
      <w:r>
        <w:rPr>
          <w:noProof/>
          <w:webHidden/>
        </w:rPr>
      </w:r>
      <w:r>
        <w:rPr>
          <w:noProof/>
          <w:webHidden/>
        </w:rPr>
        <w:fldChar w:fldCharType="separate"/>
      </w:r>
      <w:r>
        <w:rPr>
          <w:noProof/>
          <w:webHidden/>
        </w:rPr>
        <w:t>77</w:t>
      </w:r>
      <w:r>
        <w:rPr>
          <w:noProof/>
          <w:webHidden/>
        </w:rPr>
        <w:fldChar w:fldCharType="end"/>
      </w:r>
      <w:r w:rsidRPr="0088788E">
        <w:rPr>
          <w:rStyle w:val="Hyperlink"/>
          <w:noProof/>
        </w:rPr>
        <w:fldChar w:fldCharType="end"/>
      </w:r>
    </w:p>
    <w:p w14:paraId="03EC9D1A" w14:textId="77777777" w:rsidR="00BC5678" w:rsidRDefault="00BC5678">
      <w:pPr>
        <w:pStyle w:val="TOC3"/>
        <w:rPr>
          <w:rFonts w:asciiTheme="minorHAnsi" w:eastAsiaTheme="minorEastAsia" w:hAnsiTheme="minorHAnsi" w:cstheme="minorBidi"/>
          <w:noProof/>
          <w:sz w:val="22"/>
          <w:szCs w:val="22"/>
          <w:lang w:eastAsia="en-NZ"/>
        </w:rPr>
      </w:pPr>
      <w:r w:rsidRPr="0088788E">
        <w:rPr>
          <w:rStyle w:val="Hyperlink"/>
          <w:noProof/>
        </w:rPr>
        <w:lastRenderedPageBreak/>
        <w:fldChar w:fldCharType="begin"/>
      </w:r>
      <w:r w:rsidRPr="0088788E">
        <w:rPr>
          <w:rStyle w:val="Hyperlink"/>
          <w:noProof/>
        </w:rPr>
        <w:instrText xml:space="preserve"> </w:instrText>
      </w:r>
      <w:r>
        <w:rPr>
          <w:noProof/>
        </w:rPr>
        <w:instrText>HYPERLINK \l "_Toc2845762"</w:instrText>
      </w:r>
      <w:r w:rsidRPr="0088788E">
        <w:rPr>
          <w:rStyle w:val="Hyperlink"/>
          <w:noProof/>
        </w:rPr>
        <w:instrText xml:space="preserve"> </w:instrText>
      </w:r>
      <w:r w:rsidRPr="0088788E">
        <w:rPr>
          <w:rStyle w:val="Hyperlink"/>
          <w:noProof/>
        </w:rPr>
      </w:r>
      <w:r w:rsidRPr="0088788E">
        <w:rPr>
          <w:rStyle w:val="Hyperlink"/>
          <w:noProof/>
        </w:rPr>
        <w:fldChar w:fldCharType="separate"/>
      </w:r>
      <w:r w:rsidRPr="0088788E">
        <w:rPr>
          <w:rStyle w:val="Hyperlink"/>
          <w:noProof/>
        </w:rPr>
        <w:t>Table 18: Number of granted orders for detention and committal, under the ADA Act, 2004–2017</w:t>
      </w:r>
      <w:r>
        <w:rPr>
          <w:noProof/>
          <w:webHidden/>
        </w:rPr>
        <w:tab/>
      </w:r>
      <w:r>
        <w:rPr>
          <w:noProof/>
          <w:webHidden/>
        </w:rPr>
        <w:fldChar w:fldCharType="begin"/>
      </w:r>
      <w:r>
        <w:rPr>
          <w:noProof/>
          <w:webHidden/>
        </w:rPr>
        <w:instrText xml:space="preserve"> PAGEREF _Toc2845762 \h </w:instrText>
      </w:r>
      <w:r>
        <w:rPr>
          <w:noProof/>
          <w:webHidden/>
        </w:rPr>
      </w:r>
      <w:r>
        <w:rPr>
          <w:noProof/>
          <w:webHidden/>
        </w:rPr>
        <w:fldChar w:fldCharType="separate"/>
      </w:r>
      <w:r>
        <w:rPr>
          <w:noProof/>
          <w:webHidden/>
        </w:rPr>
        <w:t>78</w:t>
      </w:r>
      <w:r>
        <w:rPr>
          <w:noProof/>
          <w:webHidden/>
        </w:rPr>
        <w:fldChar w:fldCharType="end"/>
      </w:r>
      <w:r w:rsidRPr="0088788E">
        <w:rPr>
          <w:rStyle w:val="Hyperlink"/>
          <w:noProof/>
        </w:rPr>
        <w:fldChar w:fldCharType="end"/>
      </w:r>
    </w:p>
    <w:p w14:paraId="27539662" w14:textId="77777777" w:rsidR="00BC5678" w:rsidRDefault="00BC5678">
      <w:pPr>
        <w:pStyle w:val="TOC3"/>
        <w:rPr>
          <w:rFonts w:asciiTheme="minorHAnsi" w:eastAsiaTheme="minorEastAsia" w:hAnsiTheme="minorHAnsi" w:cstheme="minorBidi"/>
          <w:noProof/>
          <w:sz w:val="22"/>
          <w:szCs w:val="22"/>
          <w:lang w:eastAsia="en-NZ"/>
        </w:rPr>
      </w:pPr>
      <w:r w:rsidRPr="0088788E">
        <w:rPr>
          <w:rStyle w:val="Hyperlink"/>
          <w:noProof/>
        </w:rPr>
        <w:fldChar w:fldCharType="begin"/>
      </w:r>
      <w:r w:rsidRPr="0088788E">
        <w:rPr>
          <w:rStyle w:val="Hyperlink"/>
          <w:noProof/>
        </w:rPr>
        <w:instrText xml:space="preserve"> </w:instrText>
      </w:r>
      <w:r>
        <w:rPr>
          <w:noProof/>
        </w:rPr>
        <w:instrText>HYPERLINK \l "_Toc2845763"</w:instrText>
      </w:r>
      <w:r w:rsidRPr="0088788E">
        <w:rPr>
          <w:rStyle w:val="Hyperlink"/>
          <w:noProof/>
        </w:rPr>
        <w:instrText xml:space="preserve"> </w:instrText>
      </w:r>
      <w:r w:rsidRPr="0088788E">
        <w:rPr>
          <w:rStyle w:val="Hyperlink"/>
          <w:noProof/>
        </w:rPr>
      </w:r>
      <w:r w:rsidRPr="0088788E">
        <w:rPr>
          <w:rStyle w:val="Hyperlink"/>
          <w:noProof/>
        </w:rPr>
        <w:fldChar w:fldCharType="separate"/>
      </w:r>
      <w:r w:rsidRPr="0088788E">
        <w:rPr>
          <w:rStyle w:val="Hyperlink"/>
          <w:noProof/>
        </w:rPr>
        <w:t>Table 19: ECT therapy indicators, by DHB of domicile, 1 January to 31 December 2017</w:t>
      </w:r>
      <w:r>
        <w:rPr>
          <w:noProof/>
          <w:webHidden/>
        </w:rPr>
        <w:tab/>
      </w:r>
      <w:r>
        <w:rPr>
          <w:noProof/>
          <w:webHidden/>
        </w:rPr>
        <w:fldChar w:fldCharType="begin"/>
      </w:r>
      <w:r>
        <w:rPr>
          <w:noProof/>
          <w:webHidden/>
        </w:rPr>
        <w:instrText xml:space="preserve"> PAGEREF _Toc2845763 \h </w:instrText>
      </w:r>
      <w:r>
        <w:rPr>
          <w:noProof/>
          <w:webHidden/>
        </w:rPr>
      </w:r>
      <w:r>
        <w:rPr>
          <w:noProof/>
          <w:webHidden/>
        </w:rPr>
        <w:fldChar w:fldCharType="separate"/>
      </w:r>
      <w:r>
        <w:rPr>
          <w:noProof/>
          <w:webHidden/>
        </w:rPr>
        <w:t>81</w:t>
      </w:r>
      <w:r>
        <w:rPr>
          <w:noProof/>
          <w:webHidden/>
        </w:rPr>
        <w:fldChar w:fldCharType="end"/>
      </w:r>
      <w:r w:rsidRPr="0088788E">
        <w:rPr>
          <w:rStyle w:val="Hyperlink"/>
          <w:noProof/>
        </w:rPr>
        <w:fldChar w:fldCharType="end"/>
      </w:r>
    </w:p>
    <w:p w14:paraId="4CBD0052" w14:textId="77777777" w:rsidR="00BC5678" w:rsidRDefault="00BC5678">
      <w:pPr>
        <w:pStyle w:val="TOC3"/>
        <w:rPr>
          <w:rFonts w:asciiTheme="minorHAnsi" w:eastAsiaTheme="minorEastAsia" w:hAnsiTheme="minorHAnsi" w:cstheme="minorBidi"/>
          <w:noProof/>
          <w:sz w:val="22"/>
          <w:szCs w:val="22"/>
          <w:lang w:eastAsia="en-NZ"/>
        </w:rPr>
      </w:pPr>
      <w:r w:rsidRPr="0088788E">
        <w:rPr>
          <w:rStyle w:val="Hyperlink"/>
          <w:noProof/>
        </w:rPr>
        <w:fldChar w:fldCharType="begin"/>
      </w:r>
      <w:r w:rsidRPr="0088788E">
        <w:rPr>
          <w:rStyle w:val="Hyperlink"/>
          <w:noProof/>
        </w:rPr>
        <w:instrText xml:space="preserve"> </w:instrText>
      </w:r>
      <w:r>
        <w:rPr>
          <w:noProof/>
        </w:rPr>
        <w:instrText>HYPERLINK \l "_Toc2845764"</w:instrText>
      </w:r>
      <w:r w:rsidRPr="0088788E">
        <w:rPr>
          <w:rStyle w:val="Hyperlink"/>
          <w:noProof/>
        </w:rPr>
        <w:instrText xml:space="preserve"> </w:instrText>
      </w:r>
      <w:r w:rsidRPr="0088788E">
        <w:rPr>
          <w:rStyle w:val="Hyperlink"/>
          <w:noProof/>
        </w:rPr>
      </w:r>
      <w:r w:rsidRPr="0088788E">
        <w:rPr>
          <w:rStyle w:val="Hyperlink"/>
          <w:noProof/>
        </w:rPr>
        <w:fldChar w:fldCharType="separate"/>
      </w:r>
      <w:r w:rsidRPr="0088788E">
        <w:rPr>
          <w:rStyle w:val="Hyperlink"/>
          <w:noProof/>
        </w:rPr>
        <w:t>Table 20: Indicators for situations in which ECT was not consented to, by DHB of service, 1 January to 31 December 2017</w:t>
      </w:r>
      <w:r>
        <w:rPr>
          <w:noProof/>
          <w:webHidden/>
        </w:rPr>
        <w:tab/>
      </w:r>
      <w:r>
        <w:rPr>
          <w:noProof/>
          <w:webHidden/>
        </w:rPr>
        <w:fldChar w:fldCharType="begin"/>
      </w:r>
      <w:r>
        <w:rPr>
          <w:noProof/>
          <w:webHidden/>
        </w:rPr>
        <w:instrText xml:space="preserve"> PAGEREF _Toc2845764 \h </w:instrText>
      </w:r>
      <w:r>
        <w:rPr>
          <w:noProof/>
          <w:webHidden/>
        </w:rPr>
      </w:r>
      <w:r>
        <w:rPr>
          <w:noProof/>
          <w:webHidden/>
        </w:rPr>
        <w:fldChar w:fldCharType="separate"/>
      </w:r>
      <w:r>
        <w:rPr>
          <w:noProof/>
          <w:webHidden/>
        </w:rPr>
        <w:t>83</w:t>
      </w:r>
      <w:r>
        <w:rPr>
          <w:noProof/>
          <w:webHidden/>
        </w:rPr>
        <w:fldChar w:fldCharType="end"/>
      </w:r>
      <w:r w:rsidRPr="0088788E">
        <w:rPr>
          <w:rStyle w:val="Hyperlink"/>
          <w:noProof/>
        </w:rPr>
        <w:fldChar w:fldCharType="end"/>
      </w:r>
    </w:p>
    <w:p w14:paraId="09C23803" w14:textId="77777777" w:rsidR="00BC5678" w:rsidRDefault="00BC5678">
      <w:pPr>
        <w:pStyle w:val="TOC3"/>
        <w:rPr>
          <w:rFonts w:asciiTheme="minorHAnsi" w:eastAsiaTheme="minorEastAsia" w:hAnsiTheme="minorHAnsi" w:cstheme="minorBidi"/>
          <w:noProof/>
          <w:sz w:val="22"/>
          <w:szCs w:val="22"/>
          <w:lang w:eastAsia="en-NZ"/>
        </w:rPr>
      </w:pPr>
      <w:r w:rsidRPr="0088788E">
        <w:rPr>
          <w:rStyle w:val="Hyperlink"/>
          <w:noProof/>
        </w:rPr>
        <w:fldChar w:fldCharType="begin"/>
      </w:r>
      <w:r w:rsidRPr="0088788E">
        <w:rPr>
          <w:rStyle w:val="Hyperlink"/>
          <w:noProof/>
        </w:rPr>
        <w:instrText xml:space="preserve"> </w:instrText>
      </w:r>
      <w:r>
        <w:rPr>
          <w:noProof/>
        </w:rPr>
        <w:instrText>HYPERLINK \l "_Toc2845765"</w:instrText>
      </w:r>
      <w:r w:rsidRPr="0088788E">
        <w:rPr>
          <w:rStyle w:val="Hyperlink"/>
          <w:noProof/>
        </w:rPr>
        <w:instrText xml:space="preserve"> </w:instrText>
      </w:r>
      <w:r w:rsidRPr="0088788E">
        <w:rPr>
          <w:rStyle w:val="Hyperlink"/>
          <w:noProof/>
        </w:rPr>
      </w:r>
      <w:r w:rsidRPr="0088788E">
        <w:rPr>
          <w:rStyle w:val="Hyperlink"/>
          <w:noProof/>
        </w:rPr>
        <w:fldChar w:fldCharType="separate"/>
      </w:r>
      <w:r w:rsidRPr="0088788E">
        <w:rPr>
          <w:rStyle w:val="Hyperlink"/>
          <w:noProof/>
        </w:rPr>
        <w:t>Table 21: Number of people treated with ECT, by age group and sex, 1 January to 31 December 2017</w:t>
      </w:r>
      <w:r>
        <w:rPr>
          <w:noProof/>
          <w:webHidden/>
        </w:rPr>
        <w:tab/>
      </w:r>
      <w:r>
        <w:rPr>
          <w:noProof/>
          <w:webHidden/>
        </w:rPr>
        <w:fldChar w:fldCharType="begin"/>
      </w:r>
      <w:r>
        <w:rPr>
          <w:noProof/>
          <w:webHidden/>
        </w:rPr>
        <w:instrText xml:space="preserve"> PAGEREF _Toc2845765 \h </w:instrText>
      </w:r>
      <w:r>
        <w:rPr>
          <w:noProof/>
          <w:webHidden/>
        </w:rPr>
      </w:r>
      <w:r>
        <w:rPr>
          <w:noProof/>
          <w:webHidden/>
        </w:rPr>
        <w:fldChar w:fldCharType="separate"/>
      </w:r>
      <w:r>
        <w:rPr>
          <w:noProof/>
          <w:webHidden/>
        </w:rPr>
        <w:t>84</w:t>
      </w:r>
      <w:r>
        <w:rPr>
          <w:noProof/>
          <w:webHidden/>
        </w:rPr>
        <w:fldChar w:fldCharType="end"/>
      </w:r>
      <w:r w:rsidRPr="0088788E">
        <w:rPr>
          <w:rStyle w:val="Hyperlink"/>
          <w:noProof/>
        </w:rPr>
        <w:fldChar w:fldCharType="end"/>
      </w:r>
    </w:p>
    <w:p w14:paraId="7AEB85FB" w14:textId="77777777" w:rsidR="00BC5678" w:rsidRDefault="00BC5678">
      <w:pPr>
        <w:pStyle w:val="TOC3"/>
        <w:rPr>
          <w:rFonts w:asciiTheme="minorHAnsi" w:eastAsiaTheme="minorEastAsia" w:hAnsiTheme="minorHAnsi" w:cstheme="minorBidi"/>
          <w:noProof/>
          <w:sz w:val="22"/>
          <w:szCs w:val="22"/>
          <w:lang w:eastAsia="en-NZ"/>
        </w:rPr>
      </w:pPr>
      <w:r w:rsidRPr="0088788E">
        <w:rPr>
          <w:rStyle w:val="Hyperlink"/>
          <w:noProof/>
        </w:rPr>
        <w:fldChar w:fldCharType="begin"/>
      </w:r>
      <w:r w:rsidRPr="0088788E">
        <w:rPr>
          <w:rStyle w:val="Hyperlink"/>
          <w:noProof/>
        </w:rPr>
        <w:instrText xml:space="preserve"> </w:instrText>
      </w:r>
      <w:r>
        <w:rPr>
          <w:noProof/>
        </w:rPr>
        <w:instrText>HYPERLINK \l "_Toc2845766"</w:instrText>
      </w:r>
      <w:r w:rsidRPr="0088788E">
        <w:rPr>
          <w:rStyle w:val="Hyperlink"/>
          <w:noProof/>
        </w:rPr>
        <w:instrText xml:space="preserve"> </w:instrText>
      </w:r>
      <w:r w:rsidRPr="0088788E">
        <w:rPr>
          <w:rStyle w:val="Hyperlink"/>
          <w:noProof/>
        </w:rPr>
      </w:r>
      <w:r w:rsidRPr="0088788E">
        <w:rPr>
          <w:rStyle w:val="Hyperlink"/>
          <w:noProof/>
        </w:rPr>
        <w:fldChar w:fldCharType="separate"/>
      </w:r>
      <w:r w:rsidRPr="0088788E">
        <w:rPr>
          <w:rStyle w:val="Hyperlink"/>
          <w:noProof/>
        </w:rPr>
        <w:t>Table 22: Number of people treated with ECT, by ethnicity, 1 January to 31 December 2017</w:t>
      </w:r>
      <w:r>
        <w:rPr>
          <w:noProof/>
          <w:webHidden/>
        </w:rPr>
        <w:tab/>
      </w:r>
      <w:r>
        <w:rPr>
          <w:noProof/>
          <w:webHidden/>
        </w:rPr>
        <w:fldChar w:fldCharType="begin"/>
      </w:r>
      <w:r>
        <w:rPr>
          <w:noProof/>
          <w:webHidden/>
        </w:rPr>
        <w:instrText xml:space="preserve"> PAGEREF _Toc2845766 \h </w:instrText>
      </w:r>
      <w:r>
        <w:rPr>
          <w:noProof/>
          <w:webHidden/>
        </w:rPr>
      </w:r>
      <w:r>
        <w:rPr>
          <w:noProof/>
          <w:webHidden/>
        </w:rPr>
        <w:fldChar w:fldCharType="separate"/>
      </w:r>
      <w:r>
        <w:rPr>
          <w:noProof/>
          <w:webHidden/>
        </w:rPr>
        <w:t>85</w:t>
      </w:r>
      <w:r>
        <w:rPr>
          <w:noProof/>
          <w:webHidden/>
        </w:rPr>
        <w:fldChar w:fldCharType="end"/>
      </w:r>
      <w:r w:rsidRPr="0088788E">
        <w:rPr>
          <w:rStyle w:val="Hyperlink"/>
          <w:noProof/>
        </w:rPr>
        <w:fldChar w:fldCharType="end"/>
      </w:r>
    </w:p>
    <w:p w14:paraId="387FE58C" w14:textId="77777777" w:rsidR="00BC5678" w:rsidRDefault="00BC5678">
      <w:pPr>
        <w:pStyle w:val="TOC3"/>
        <w:rPr>
          <w:rFonts w:asciiTheme="minorHAnsi" w:eastAsiaTheme="minorEastAsia" w:hAnsiTheme="minorHAnsi" w:cstheme="minorBidi"/>
          <w:noProof/>
          <w:sz w:val="22"/>
          <w:szCs w:val="22"/>
          <w:lang w:eastAsia="en-NZ"/>
        </w:rPr>
      </w:pPr>
      <w:r w:rsidRPr="0088788E">
        <w:rPr>
          <w:rStyle w:val="Hyperlink"/>
          <w:noProof/>
        </w:rPr>
        <w:fldChar w:fldCharType="begin"/>
      </w:r>
      <w:r w:rsidRPr="0088788E">
        <w:rPr>
          <w:rStyle w:val="Hyperlink"/>
          <w:noProof/>
        </w:rPr>
        <w:instrText xml:space="preserve"> </w:instrText>
      </w:r>
      <w:r>
        <w:rPr>
          <w:noProof/>
        </w:rPr>
        <w:instrText>HYPERLINK \l "_Toc2845767"</w:instrText>
      </w:r>
      <w:r w:rsidRPr="0088788E">
        <w:rPr>
          <w:rStyle w:val="Hyperlink"/>
          <w:noProof/>
        </w:rPr>
        <w:instrText xml:space="preserve"> </w:instrText>
      </w:r>
      <w:r w:rsidRPr="0088788E">
        <w:rPr>
          <w:rStyle w:val="Hyperlink"/>
          <w:noProof/>
        </w:rPr>
      </w:r>
      <w:r w:rsidRPr="0088788E">
        <w:rPr>
          <w:rStyle w:val="Hyperlink"/>
          <w:noProof/>
        </w:rPr>
        <w:fldChar w:fldCharType="separate"/>
      </w:r>
      <w:r w:rsidRPr="0088788E">
        <w:rPr>
          <w:rStyle w:val="Hyperlink"/>
          <w:noProof/>
        </w:rPr>
        <w:t>Table A1: Rate ratio Māori to non-Māori subject to a compulsory treatment order (section 29) under the Mental Health Act, by DHB, 2013–2017</w:t>
      </w:r>
      <w:r>
        <w:rPr>
          <w:noProof/>
          <w:webHidden/>
        </w:rPr>
        <w:tab/>
      </w:r>
      <w:r>
        <w:rPr>
          <w:noProof/>
          <w:webHidden/>
        </w:rPr>
        <w:fldChar w:fldCharType="begin"/>
      </w:r>
      <w:r>
        <w:rPr>
          <w:noProof/>
          <w:webHidden/>
        </w:rPr>
        <w:instrText xml:space="preserve"> PAGEREF _Toc2845767 \h </w:instrText>
      </w:r>
      <w:r>
        <w:rPr>
          <w:noProof/>
          <w:webHidden/>
        </w:rPr>
      </w:r>
      <w:r>
        <w:rPr>
          <w:noProof/>
          <w:webHidden/>
        </w:rPr>
        <w:fldChar w:fldCharType="separate"/>
      </w:r>
      <w:r>
        <w:rPr>
          <w:noProof/>
          <w:webHidden/>
        </w:rPr>
        <w:t>90</w:t>
      </w:r>
      <w:r>
        <w:rPr>
          <w:noProof/>
          <w:webHidden/>
        </w:rPr>
        <w:fldChar w:fldCharType="end"/>
      </w:r>
      <w:r w:rsidRPr="0088788E">
        <w:rPr>
          <w:rStyle w:val="Hyperlink"/>
          <w:noProof/>
        </w:rPr>
        <w:fldChar w:fldCharType="end"/>
      </w:r>
    </w:p>
    <w:p w14:paraId="1D95ECF9" w14:textId="77777777" w:rsidR="00BC5678" w:rsidRDefault="00BC5678">
      <w:pPr>
        <w:pStyle w:val="TOC3"/>
        <w:rPr>
          <w:rFonts w:asciiTheme="minorHAnsi" w:eastAsiaTheme="minorEastAsia" w:hAnsiTheme="minorHAnsi" w:cstheme="minorBidi"/>
          <w:noProof/>
          <w:sz w:val="22"/>
          <w:szCs w:val="22"/>
          <w:lang w:eastAsia="en-NZ"/>
        </w:rPr>
      </w:pPr>
      <w:r w:rsidRPr="0088788E">
        <w:rPr>
          <w:rStyle w:val="Hyperlink"/>
          <w:noProof/>
        </w:rPr>
        <w:fldChar w:fldCharType="begin"/>
      </w:r>
      <w:r w:rsidRPr="0088788E">
        <w:rPr>
          <w:rStyle w:val="Hyperlink"/>
          <w:noProof/>
        </w:rPr>
        <w:instrText xml:space="preserve"> </w:instrText>
      </w:r>
      <w:r>
        <w:rPr>
          <w:noProof/>
        </w:rPr>
        <w:instrText>HYPERLINK \l "_Toc2845768"</w:instrText>
      </w:r>
      <w:r w:rsidRPr="0088788E">
        <w:rPr>
          <w:rStyle w:val="Hyperlink"/>
          <w:noProof/>
        </w:rPr>
        <w:instrText xml:space="preserve"> </w:instrText>
      </w:r>
      <w:r w:rsidRPr="0088788E">
        <w:rPr>
          <w:rStyle w:val="Hyperlink"/>
          <w:noProof/>
        </w:rPr>
      </w:r>
      <w:r w:rsidRPr="0088788E">
        <w:rPr>
          <w:rStyle w:val="Hyperlink"/>
          <w:noProof/>
        </w:rPr>
        <w:fldChar w:fldCharType="separate"/>
      </w:r>
      <w:r w:rsidRPr="0088788E">
        <w:rPr>
          <w:rStyle w:val="Hyperlink"/>
          <w:noProof/>
        </w:rPr>
        <w:t>Table A2: Outcome of the Mental Health Act applications received by the Mental Health Review Tribunal, 1 July 2016 to 30 June 2017</w:t>
      </w:r>
      <w:r>
        <w:rPr>
          <w:noProof/>
          <w:webHidden/>
        </w:rPr>
        <w:tab/>
      </w:r>
      <w:r>
        <w:rPr>
          <w:noProof/>
          <w:webHidden/>
        </w:rPr>
        <w:fldChar w:fldCharType="begin"/>
      </w:r>
      <w:r>
        <w:rPr>
          <w:noProof/>
          <w:webHidden/>
        </w:rPr>
        <w:instrText xml:space="preserve"> PAGEREF _Toc2845768 \h </w:instrText>
      </w:r>
      <w:r>
        <w:rPr>
          <w:noProof/>
          <w:webHidden/>
        </w:rPr>
      </w:r>
      <w:r>
        <w:rPr>
          <w:noProof/>
          <w:webHidden/>
        </w:rPr>
        <w:fldChar w:fldCharType="separate"/>
      </w:r>
      <w:r>
        <w:rPr>
          <w:noProof/>
          <w:webHidden/>
        </w:rPr>
        <w:t>92</w:t>
      </w:r>
      <w:r>
        <w:rPr>
          <w:noProof/>
          <w:webHidden/>
        </w:rPr>
        <w:fldChar w:fldCharType="end"/>
      </w:r>
      <w:r w:rsidRPr="0088788E">
        <w:rPr>
          <w:rStyle w:val="Hyperlink"/>
          <w:noProof/>
        </w:rPr>
        <w:fldChar w:fldCharType="end"/>
      </w:r>
    </w:p>
    <w:p w14:paraId="1BB0E061" w14:textId="77777777" w:rsidR="00BC5678" w:rsidRDefault="00BC5678">
      <w:pPr>
        <w:pStyle w:val="TOC3"/>
        <w:rPr>
          <w:rFonts w:asciiTheme="minorHAnsi" w:eastAsiaTheme="minorEastAsia" w:hAnsiTheme="minorHAnsi" w:cstheme="minorBidi"/>
          <w:noProof/>
          <w:sz w:val="22"/>
          <w:szCs w:val="22"/>
          <w:lang w:eastAsia="en-NZ"/>
        </w:rPr>
      </w:pPr>
      <w:r w:rsidRPr="0088788E">
        <w:rPr>
          <w:rStyle w:val="Hyperlink"/>
          <w:noProof/>
        </w:rPr>
        <w:fldChar w:fldCharType="begin"/>
      </w:r>
      <w:r w:rsidRPr="0088788E">
        <w:rPr>
          <w:rStyle w:val="Hyperlink"/>
          <w:noProof/>
        </w:rPr>
        <w:instrText xml:space="preserve"> </w:instrText>
      </w:r>
      <w:r>
        <w:rPr>
          <w:noProof/>
        </w:rPr>
        <w:instrText>HYPERLINK \l "_Toc2845769"</w:instrText>
      </w:r>
      <w:r w:rsidRPr="0088788E">
        <w:rPr>
          <w:rStyle w:val="Hyperlink"/>
          <w:noProof/>
        </w:rPr>
        <w:instrText xml:space="preserve"> </w:instrText>
      </w:r>
      <w:r w:rsidRPr="0088788E">
        <w:rPr>
          <w:rStyle w:val="Hyperlink"/>
          <w:noProof/>
        </w:rPr>
      </w:r>
      <w:r w:rsidRPr="0088788E">
        <w:rPr>
          <w:rStyle w:val="Hyperlink"/>
          <w:noProof/>
        </w:rPr>
        <w:fldChar w:fldCharType="separate"/>
      </w:r>
      <w:r w:rsidRPr="0088788E">
        <w:rPr>
          <w:rStyle w:val="Hyperlink"/>
          <w:noProof/>
        </w:rPr>
        <w:t>Table A3: Results of inquiries under section 79 of the Mental Health Act held by the Mental Health Review Tribunal, 1 July 2016 to 30 June 2017</w:t>
      </w:r>
      <w:r>
        <w:rPr>
          <w:noProof/>
          <w:webHidden/>
        </w:rPr>
        <w:tab/>
      </w:r>
      <w:r>
        <w:rPr>
          <w:noProof/>
          <w:webHidden/>
        </w:rPr>
        <w:fldChar w:fldCharType="begin"/>
      </w:r>
      <w:r>
        <w:rPr>
          <w:noProof/>
          <w:webHidden/>
        </w:rPr>
        <w:instrText xml:space="preserve"> PAGEREF _Toc2845769 \h </w:instrText>
      </w:r>
      <w:r>
        <w:rPr>
          <w:noProof/>
          <w:webHidden/>
        </w:rPr>
      </w:r>
      <w:r>
        <w:rPr>
          <w:noProof/>
          <w:webHidden/>
        </w:rPr>
        <w:fldChar w:fldCharType="separate"/>
      </w:r>
      <w:r>
        <w:rPr>
          <w:noProof/>
          <w:webHidden/>
        </w:rPr>
        <w:t>92</w:t>
      </w:r>
      <w:r>
        <w:rPr>
          <w:noProof/>
          <w:webHidden/>
        </w:rPr>
        <w:fldChar w:fldCharType="end"/>
      </w:r>
      <w:r w:rsidRPr="0088788E">
        <w:rPr>
          <w:rStyle w:val="Hyperlink"/>
          <w:noProof/>
        </w:rPr>
        <w:fldChar w:fldCharType="end"/>
      </w:r>
    </w:p>
    <w:p w14:paraId="6B9CAD7F" w14:textId="77777777" w:rsidR="00BC5678" w:rsidRDefault="00BC5678">
      <w:pPr>
        <w:pStyle w:val="TOC3"/>
        <w:rPr>
          <w:rFonts w:asciiTheme="minorHAnsi" w:eastAsiaTheme="minorEastAsia" w:hAnsiTheme="minorHAnsi" w:cstheme="minorBidi"/>
          <w:noProof/>
          <w:sz w:val="22"/>
          <w:szCs w:val="22"/>
          <w:lang w:eastAsia="en-NZ"/>
        </w:rPr>
      </w:pPr>
      <w:r w:rsidRPr="0088788E">
        <w:rPr>
          <w:rStyle w:val="Hyperlink"/>
          <w:noProof/>
        </w:rPr>
        <w:fldChar w:fldCharType="begin"/>
      </w:r>
      <w:r w:rsidRPr="0088788E">
        <w:rPr>
          <w:rStyle w:val="Hyperlink"/>
          <w:noProof/>
        </w:rPr>
        <w:instrText xml:space="preserve"> </w:instrText>
      </w:r>
      <w:r>
        <w:rPr>
          <w:noProof/>
        </w:rPr>
        <w:instrText>HYPERLINK \l "_Toc2845770"</w:instrText>
      </w:r>
      <w:r w:rsidRPr="0088788E">
        <w:rPr>
          <w:rStyle w:val="Hyperlink"/>
          <w:noProof/>
        </w:rPr>
        <w:instrText xml:space="preserve"> </w:instrText>
      </w:r>
      <w:r w:rsidRPr="0088788E">
        <w:rPr>
          <w:rStyle w:val="Hyperlink"/>
          <w:noProof/>
        </w:rPr>
      </w:r>
      <w:r w:rsidRPr="0088788E">
        <w:rPr>
          <w:rStyle w:val="Hyperlink"/>
          <w:noProof/>
        </w:rPr>
        <w:fldChar w:fldCharType="separate"/>
      </w:r>
      <w:r w:rsidRPr="0088788E">
        <w:rPr>
          <w:rStyle w:val="Hyperlink"/>
          <w:noProof/>
        </w:rPr>
        <w:t>Table A4: Ethnicity of people who identified their ethnicity in Mental Health Review Tribunal applications, 1 July 2016 to 30 June 2017</w:t>
      </w:r>
      <w:r>
        <w:rPr>
          <w:noProof/>
          <w:webHidden/>
        </w:rPr>
        <w:tab/>
      </w:r>
      <w:r>
        <w:rPr>
          <w:noProof/>
          <w:webHidden/>
        </w:rPr>
        <w:fldChar w:fldCharType="begin"/>
      </w:r>
      <w:r>
        <w:rPr>
          <w:noProof/>
          <w:webHidden/>
        </w:rPr>
        <w:instrText xml:space="preserve"> PAGEREF _Toc2845770 \h </w:instrText>
      </w:r>
      <w:r>
        <w:rPr>
          <w:noProof/>
          <w:webHidden/>
        </w:rPr>
      </w:r>
      <w:r>
        <w:rPr>
          <w:noProof/>
          <w:webHidden/>
        </w:rPr>
        <w:fldChar w:fldCharType="separate"/>
      </w:r>
      <w:r>
        <w:rPr>
          <w:noProof/>
          <w:webHidden/>
        </w:rPr>
        <w:t>93</w:t>
      </w:r>
      <w:r>
        <w:rPr>
          <w:noProof/>
          <w:webHidden/>
        </w:rPr>
        <w:fldChar w:fldCharType="end"/>
      </w:r>
      <w:r w:rsidRPr="0088788E">
        <w:rPr>
          <w:rStyle w:val="Hyperlink"/>
          <w:noProof/>
        </w:rPr>
        <w:fldChar w:fldCharType="end"/>
      </w:r>
    </w:p>
    <w:p w14:paraId="74B8CD2E" w14:textId="77777777" w:rsidR="00BC5678" w:rsidRDefault="00BC5678">
      <w:pPr>
        <w:pStyle w:val="TOC3"/>
        <w:rPr>
          <w:rFonts w:asciiTheme="minorHAnsi" w:eastAsiaTheme="minorEastAsia" w:hAnsiTheme="minorHAnsi" w:cstheme="minorBidi"/>
          <w:noProof/>
          <w:sz w:val="22"/>
          <w:szCs w:val="22"/>
          <w:lang w:eastAsia="en-NZ"/>
        </w:rPr>
      </w:pPr>
      <w:r w:rsidRPr="0088788E">
        <w:rPr>
          <w:rStyle w:val="Hyperlink"/>
          <w:noProof/>
        </w:rPr>
        <w:fldChar w:fldCharType="begin"/>
      </w:r>
      <w:r w:rsidRPr="0088788E">
        <w:rPr>
          <w:rStyle w:val="Hyperlink"/>
          <w:noProof/>
        </w:rPr>
        <w:instrText xml:space="preserve"> </w:instrText>
      </w:r>
      <w:r>
        <w:rPr>
          <w:noProof/>
        </w:rPr>
        <w:instrText>HYPERLINK \l "_Toc2845771"</w:instrText>
      </w:r>
      <w:r w:rsidRPr="0088788E">
        <w:rPr>
          <w:rStyle w:val="Hyperlink"/>
          <w:noProof/>
        </w:rPr>
        <w:instrText xml:space="preserve"> </w:instrText>
      </w:r>
      <w:r w:rsidRPr="0088788E">
        <w:rPr>
          <w:rStyle w:val="Hyperlink"/>
          <w:noProof/>
        </w:rPr>
      </w:r>
      <w:r w:rsidRPr="0088788E">
        <w:rPr>
          <w:rStyle w:val="Hyperlink"/>
          <w:noProof/>
        </w:rPr>
        <w:fldChar w:fldCharType="separate"/>
      </w:r>
      <w:r w:rsidRPr="0088788E">
        <w:rPr>
          <w:rStyle w:val="Hyperlink"/>
          <w:noProof/>
        </w:rPr>
        <w:t>Table A5: Sex of people making Mental Health Review Tribunal applications, 1 July 2016 to 30 June 2017</w:t>
      </w:r>
      <w:r>
        <w:rPr>
          <w:noProof/>
          <w:webHidden/>
        </w:rPr>
        <w:tab/>
      </w:r>
      <w:r>
        <w:rPr>
          <w:noProof/>
          <w:webHidden/>
        </w:rPr>
        <w:fldChar w:fldCharType="begin"/>
      </w:r>
      <w:r>
        <w:rPr>
          <w:noProof/>
          <w:webHidden/>
        </w:rPr>
        <w:instrText xml:space="preserve"> PAGEREF _Toc2845771 \h </w:instrText>
      </w:r>
      <w:r>
        <w:rPr>
          <w:noProof/>
          <w:webHidden/>
        </w:rPr>
      </w:r>
      <w:r>
        <w:rPr>
          <w:noProof/>
          <w:webHidden/>
        </w:rPr>
        <w:fldChar w:fldCharType="separate"/>
      </w:r>
      <w:r>
        <w:rPr>
          <w:noProof/>
          <w:webHidden/>
        </w:rPr>
        <w:t>93</w:t>
      </w:r>
      <w:r>
        <w:rPr>
          <w:noProof/>
          <w:webHidden/>
        </w:rPr>
        <w:fldChar w:fldCharType="end"/>
      </w:r>
      <w:r w:rsidRPr="0088788E">
        <w:rPr>
          <w:rStyle w:val="Hyperlink"/>
          <w:noProof/>
        </w:rPr>
        <w:fldChar w:fldCharType="end"/>
      </w:r>
    </w:p>
    <w:p w14:paraId="70A45B37" w14:textId="77777777" w:rsidR="00BC5678" w:rsidRDefault="00BC5678">
      <w:pPr>
        <w:pStyle w:val="TOC3"/>
        <w:rPr>
          <w:rFonts w:asciiTheme="minorHAnsi" w:eastAsiaTheme="minorEastAsia" w:hAnsiTheme="minorHAnsi" w:cstheme="minorBidi"/>
          <w:noProof/>
          <w:sz w:val="22"/>
          <w:szCs w:val="22"/>
          <w:lang w:eastAsia="en-NZ"/>
        </w:rPr>
      </w:pPr>
      <w:r w:rsidRPr="0088788E">
        <w:rPr>
          <w:rStyle w:val="Hyperlink"/>
          <w:noProof/>
        </w:rPr>
        <w:fldChar w:fldCharType="begin"/>
      </w:r>
      <w:r w:rsidRPr="0088788E">
        <w:rPr>
          <w:rStyle w:val="Hyperlink"/>
          <w:noProof/>
        </w:rPr>
        <w:instrText xml:space="preserve"> </w:instrText>
      </w:r>
      <w:r>
        <w:rPr>
          <w:noProof/>
        </w:rPr>
        <w:instrText>HYPERLINK \l "_Toc2845772"</w:instrText>
      </w:r>
      <w:r w:rsidRPr="0088788E">
        <w:rPr>
          <w:rStyle w:val="Hyperlink"/>
          <w:noProof/>
        </w:rPr>
        <w:instrText xml:space="preserve"> </w:instrText>
      </w:r>
      <w:r w:rsidRPr="0088788E">
        <w:rPr>
          <w:rStyle w:val="Hyperlink"/>
          <w:noProof/>
        </w:rPr>
      </w:r>
      <w:r w:rsidRPr="0088788E">
        <w:rPr>
          <w:rStyle w:val="Hyperlink"/>
          <w:noProof/>
        </w:rPr>
        <w:fldChar w:fldCharType="separate"/>
      </w:r>
      <w:r w:rsidRPr="0088788E">
        <w:rPr>
          <w:rStyle w:val="Hyperlink"/>
          <w:noProof/>
        </w:rPr>
        <w:t>Table A6: Applications for compulsory treatment orders (or extensions), 2004–2017</w:t>
      </w:r>
      <w:r>
        <w:rPr>
          <w:noProof/>
          <w:webHidden/>
        </w:rPr>
        <w:tab/>
      </w:r>
      <w:r>
        <w:rPr>
          <w:noProof/>
          <w:webHidden/>
        </w:rPr>
        <w:fldChar w:fldCharType="begin"/>
      </w:r>
      <w:r>
        <w:rPr>
          <w:noProof/>
          <w:webHidden/>
        </w:rPr>
        <w:instrText xml:space="preserve"> PAGEREF _Toc2845772 \h </w:instrText>
      </w:r>
      <w:r>
        <w:rPr>
          <w:noProof/>
          <w:webHidden/>
        </w:rPr>
      </w:r>
      <w:r>
        <w:rPr>
          <w:noProof/>
          <w:webHidden/>
        </w:rPr>
        <w:fldChar w:fldCharType="separate"/>
      </w:r>
      <w:r>
        <w:rPr>
          <w:noProof/>
          <w:webHidden/>
        </w:rPr>
        <w:t>94</w:t>
      </w:r>
      <w:r>
        <w:rPr>
          <w:noProof/>
          <w:webHidden/>
        </w:rPr>
        <w:fldChar w:fldCharType="end"/>
      </w:r>
      <w:r w:rsidRPr="0088788E">
        <w:rPr>
          <w:rStyle w:val="Hyperlink"/>
          <w:noProof/>
        </w:rPr>
        <w:fldChar w:fldCharType="end"/>
      </w:r>
    </w:p>
    <w:p w14:paraId="6C4C3068" w14:textId="77777777" w:rsidR="00BC5678" w:rsidRDefault="00BC5678">
      <w:pPr>
        <w:pStyle w:val="TOC3"/>
        <w:rPr>
          <w:rFonts w:asciiTheme="minorHAnsi" w:eastAsiaTheme="minorEastAsia" w:hAnsiTheme="minorHAnsi" w:cstheme="minorBidi"/>
          <w:noProof/>
          <w:sz w:val="22"/>
          <w:szCs w:val="22"/>
          <w:lang w:eastAsia="en-NZ"/>
        </w:rPr>
      </w:pPr>
      <w:r w:rsidRPr="0088788E">
        <w:rPr>
          <w:rStyle w:val="Hyperlink"/>
          <w:noProof/>
        </w:rPr>
        <w:fldChar w:fldCharType="begin"/>
      </w:r>
      <w:r w:rsidRPr="0088788E">
        <w:rPr>
          <w:rStyle w:val="Hyperlink"/>
          <w:noProof/>
        </w:rPr>
        <w:instrText xml:space="preserve"> </w:instrText>
      </w:r>
      <w:r>
        <w:rPr>
          <w:noProof/>
        </w:rPr>
        <w:instrText>HYPERLINK \l "_Toc2845773"</w:instrText>
      </w:r>
      <w:r w:rsidRPr="0088788E">
        <w:rPr>
          <w:rStyle w:val="Hyperlink"/>
          <w:noProof/>
        </w:rPr>
        <w:instrText xml:space="preserve"> </w:instrText>
      </w:r>
      <w:r w:rsidRPr="0088788E">
        <w:rPr>
          <w:rStyle w:val="Hyperlink"/>
          <w:noProof/>
        </w:rPr>
      </w:r>
      <w:r w:rsidRPr="0088788E">
        <w:rPr>
          <w:rStyle w:val="Hyperlink"/>
          <w:noProof/>
        </w:rPr>
        <w:fldChar w:fldCharType="separate"/>
      </w:r>
      <w:r w:rsidRPr="0088788E">
        <w:rPr>
          <w:rStyle w:val="Hyperlink"/>
          <w:noProof/>
        </w:rPr>
        <w:t>Table A7: Types of compulsory treatment orders made on granted applications, 2004–2017</w:t>
      </w:r>
      <w:r>
        <w:rPr>
          <w:noProof/>
          <w:webHidden/>
        </w:rPr>
        <w:tab/>
      </w:r>
      <w:r>
        <w:rPr>
          <w:noProof/>
          <w:webHidden/>
        </w:rPr>
        <w:fldChar w:fldCharType="begin"/>
      </w:r>
      <w:r>
        <w:rPr>
          <w:noProof/>
          <w:webHidden/>
        </w:rPr>
        <w:instrText xml:space="preserve"> PAGEREF _Toc2845773 \h </w:instrText>
      </w:r>
      <w:r>
        <w:rPr>
          <w:noProof/>
          <w:webHidden/>
        </w:rPr>
      </w:r>
      <w:r>
        <w:rPr>
          <w:noProof/>
          <w:webHidden/>
        </w:rPr>
        <w:fldChar w:fldCharType="separate"/>
      </w:r>
      <w:r>
        <w:rPr>
          <w:noProof/>
          <w:webHidden/>
        </w:rPr>
        <w:t>95</w:t>
      </w:r>
      <w:r>
        <w:rPr>
          <w:noProof/>
          <w:webHidden/>
        </w:rPr>
        <w:fldChar w:fldCharType="end"/>
      </w:r>
      <w:r w:rsidRPr="0088788E">
        <w:rPr>
          <w:rStyle w:val="Hyperlink"/>
          <w:noProof/>
        </w:rPr>
        <w:fldChar w:fldCharType="end"/>
      </w:r>
    </w:p>
    <w:p w14:paraId="5B086ECC" w14:textId="68A190E4" w:rsidR="002B76A7" w:rsidRDefault="00BC5678" w:rsidP="002A0A7A">
      <w:pPr>
        <w:pStyle w:val="TOC3"/>
      </w:pPr>
      <w:r>
        <w:rPr>
          <w:sz w:val="20"/>
        </w:rPr>
        <w:fldChar w:fldCharType="end"/>
      </w:r>
      <w:bookmarkStart w:id="3" w:name="_GoBack"/>
      <w:bookmarkEnd w:id="3"/>
    </w:p>
    <w:p w14:paraId="6D8F7859" w14:textId="77777777" w:rsidR="001D3E4E" w:rsidRDefault="001D3E4E" w:rsidP="003A5FEA">
      <w:pPr>
        <w:sectPr w:rsidR="001D3E4E" w:rsidSect="0078658E">
          <w:headerReference w:type="even" r:id="rId18"/>
          <w:headerReference w:type="default" r:id="rId19"/>
          <w:footerReference w:type="even" r:id="rId20"/>
          <w:footerReference w:type="default" r:id="rId21"/>
          <w:pgSz w:w="11907" w:h="16840" w:code="9"/>
          <w:pgMar w:top="1418" w:right="1701" w:bottom="1134" w:left="1843" w:header="284" w:footer="425" w:gutter="284"/>
          <w:pgNumType w:fmt="lowerRoman"/>
          <w:cols w:space="720"/>
        </w:sectPr>
      </w:pPr>
    </w:p>
    <w:p w14:paraId="0AAD6974" w14:textId="70857B69" w:rsidR="005639E6" w:rsidRDefault="005639E6" w:rsidP="005639E6">
      <w:pPr>
        <w:jc w:val="center"/>
      </w:pPr>
      <w:proofErr w:type="spellStart"/>
      <w:r>
        <w:lastRenderedPageBreak/>
        <w:t>Kaore</w:t>
      </w:r>
      <w:proofErr w:type="spellEnd"/>
      <w:r>
        <w:t xml:space="preserve"> </w:t>
      </w:r>
      <w:proofErr w:type="spellStart"/>
      <w:r>
        <w:t>i</w:t>
      </w:r>
      <w:proofErr w:type="spellEnd"/>
      <w:r>
        <w:t xml:space="preserve"> </w:t>
      </w:r>
      <w:proofErr w:type="spellStart"/>
      <w:r>
        <w:t>hangaia</w:t>
      </w:r>
      <w:proofErr w:type="spellEnd"/>
      <w:r>
        <w:t xml:space="preserve"> </w:t>
      </w:r>
      <w:proofErr w:type="spellStart"/>
      <w:r>
        <w:t>te</w:t>
      </w:r>
      <w:proofErr w:type="spellEnd"/>
      <w:r>
        <w:t xml:space="preserve"> </w:t>
      </w:r>
      <w:proofErr w:type="spellStart"/>
      <w:r>
        <w:t>kupenga</w:t>
      </w:r>
      <w:proofErr w:type="spellEnd"/>
      <w:r>
        <w:t xml:space="preserve"> </w:t>
      </w:r>
      <w:proofErr w:type="spellStart"/>
      <w:r>
        <w:t>hei</w:t>
      </w:r>
      <w:proofErr w:type="spellEnd"/>
      <w:r>
        <w:t xml:space="preserve"> </w:t>
      </w:r>
      <w:proofErr w:type="spellStart"/>
      <w:r>
        <w:t>hopu</w:t>
      </w:r>
      <w:proofErr w:type="spellEnd"/>
      <w:r>
        <w:t xml:space="preserve"> </w:t>
      </w:r>
      <w:proofErr w:type="spellStart"/>
      <w:r>
        <w:t>ika</w:t>
      </w:r>
      <w:proofErr w:type="spellEnd"/>
      <w:r>
        <w:t xml:space="preserve"> </w:t>
      </w:r>
      <w:proofErr w:type="spellStart"/>
      <w:r>
        <w:t>anake</w:t>
      </w:r>
      <w:proofErr w:type="spellEnd"/>
      <w:r>
        <w:t>,</w:t>
      </w:r>
      <w:r w:rsidR="00F35C8F">
        <w:br/>
      </w:r>
      <w:proofErr w:type="spellStart"/>
      <w:r>
        <w:t>engari</w:t>
      </w:r>
      <w:proofErr w:type="spellEnd"/>
      <w:r>
        <w:t xml:space="preserve"> </w:t>
      </w:r>
      <w:proofErr w:type="spellStart"/>
      <w:r>
        <w:t>i</w:t>
      </w:r>
      <w:proofErr w:type="spellEnd"/>
      <w:r>
        <w:t xml:space="preserve"> </w:t>
      </w:r>
      <w:proofErr w:type="spellStart"/>
      <w:r>
        <w:t>hangaia</w:t>
      </w:r>
      <w:proofErr w:type="spellEnd"/>
      <w:r>
        <w:t xml:space="preserve"> </w:t>
      </w:r>
      <w:proofErr w:type="spellStart"/>
      <w:r>
        <w:t>kia</w:t>
      </w:r>
      <w:proofErr w:type="spellEnd"/>
      <w:r>
        <w:t xml:space="preserve"> </w:t>
      </w:r>
      <w:proofErr w:type="spellStart"/>
      <w:r>
        <w:t>oioi</w:t>
      </w:r>
      <w:proofErr w:type="spellEnd"/>
      <w:r>
        <w:t xml:space="preserve"> </w:t>
      </w:r>
      <w:proofErr w:type="spellStart"/>
      <w:r>
        <w:t>i</w:t>
      </w:r>
      <w:proofErr w:type="spellEnd"/>
      <w:r>
        <w:t xml:space="preserve"> </w:t>
      </w:r>
      <w:proofErr w:type="spellStart"/>
      <w:r>
        <w:t>roto</w:t>
      </w:r>
      <w:proofErr w:type="spellEnd"/>
      <w:r>
        <w:t xml:space="preserve"> </w:t>
      </w:r>
      <w:proofErr w:type="spellStart"/>
      <w:r>
        <w:t>i</w:t>
      </w:r>
      <w:proofErr w:type="spellEnd"/>
      <w:r>
        <w:t xml:space="preserve"> </w:t>
      </w:r>
      <w:proofErr w:type="spellStart"/>
      <w:r>
        <w:t>te</w:t>
      </w:r>
      <w:proofErr w:type="spellEnd"/>
      <w:r>
        <w:t xml:space="preserve"> </w:t>
      </w:r>
      <w:proofErr w:type="spellStart"/>
      <w:r>
        <w:t>nekeneke</w:t>
      </w:r>
      <w:proofErr w:type="spellEnd"/>
      <w:r>
        <w:t xml:space="preserve"> o </w:t>
      </w:r>
      <w:proofErr w:type="spellStart"/>
      <w:r>
        <w:t>te</w:t>
      </w:r>
      <w:proofErr w:type="spellEnd"/>
      <w:r>
        <w:t xml:space="preserve"> tai.</w:t>
      </w:r>
    </w:p>
    <w:p w14:paraId="39B32C9B" w14:textId="77777777" w:rsidR="005639E6" w:rsidRDefault="005639E6" w:rsidP="005639E6">
      <w:pPr>
        <w:spacing w:before="240"/>
        <w:jc w:val="center"/>
      </w:pPr>
      <w:r>
        <w:t>The net is not fashioned purely to catch fish,</w:t>
      </w:r>
    </w:p>
    <w:p w14:paraId="29C30942" w14:textId="77777777" w:rsidR="005639E6" w:rsidRDefault="005639E6" w:rsidP="005639E6">
      <w:pPr>
        <w:jc w:val="center"/>
      </w:pPr>
      <w:proofErr w:type="gramStart"/>
      <w:r>
        <w:t>but</w:t>
      </w:r>
      <w:proofErr w:type="gramEnd"/>
      <w:r>
        <w:t xml:space="preserve"> also to be flexible so that it may flow with the tide.</w:t>
      </w:r>
    </w:p>
    <w:p w14:paraId="7D86D25D" w14:textId="3A46DF60" w:rsidR="005639E6" w:rsidRDefault="005639E6" w:rsidP="005639E6">
      <w:pPr>
        <w:spacing w:before="240"/>
        <w:jc w:val="right"/>
      </w:pPr>
      <w:r>
        <w:t xml:space="preserve">A </w:t>
      </w:r>
      <w:proofErr w:type="spellStart"/>
      <w:r>
        <w:t>whakataukī</w:t>
      </w:r>
      <w:proofErr w:type="spellEnd"/>
      <w:r>
        <w:t xml:space="preserve"> from </w:t>
      </w:r>
      <w:proofErr w:type="spellStart"/>
      <w:r>
        <w:t>Ngāti</w:t>
      </w:r>
      <w:proofErr w:type="spellEnd"/>
      <w:r>
        <w:t xml:space="preserve"> </w:t>
      </w:r>
      <w:proofErr w:type="spellStart"/>
      <w:r>
        <w:t>Rangiteaorere</w:t>
      </w:r>
      <w:proofErr w:type="spellEnd"/>
      <w:r>
        <w:t xml:space="preserve"> o </w:t>
      </w:r>
      <w:proofErr w:type="spellStart"/>
      <w:r>
        <w:t>Te</w:t>
      </w:r>
      <w:proofErr w:type="spellEnd"/>
      <w:r>
        <w:t xml:space="preserve"> </w:t>
      </w:r>
      <w:proofErr w:type="spellStart"/>
      <w:r>
        <w:t>Arawa</w:t>
      </w:r>
      <w:proofErr w:type="spellEnd"/>
    </w:p>
    <w:p w14:paraId="3B517A1A" w14:textId="77777777" w:rsidR="005639E6" w:rsidRDefault="005639E6" w:rsidP="003A5FEA"/>
    <w:p w14:paraId="5643890D" w14:textId="77777777" w:rsidR="001D3E4E" w:rsidRDefault="001D3E4E" w:rsidP="003A5FEA">
      <w:pPr>
        <w:sectPr w:rsidR="001D3E4E" w:rsidSect="0078658E">
          <w:footerReference w:type="even" r:id="rId22"/>
          <w:pgSz w:w="11907" w:h="16840" w:code="9"/>
          <w:pgMar w:top="1418" w:right="1701" w:bottom="1134" w:left="1843" w:header="284" w:footer="425" w:gutter="284"/>
          <w:pgNumType w:fmt="lowerRoman"/>
          <w:cols w:space="720"/>
        </w:sectPr>
      </w:pPr>
    </w:p>
    <w:p w14:paraId="77ED89D7" w14:textId="77777777" w:rsidR="009A42D5" w:rsidRDefault="009A42D5" w:rsidP="001D3E4E">
      <w:pPr>
        <w:pStyle w:val="Heading1"/>
      </w:pPr>
      <w:bookmarkStart w:id="4" w:name="_Toc2845608"/>
      <w:r>
        <w:lastRenderedPageBreak/>
        <w:t>Executive summary</w:t>
      </w:r>
      <w:bookmarkEnd w:id="4"/>
    </w:p>
    <w:p w14:paraId="6EC7ED44" w14:textId="1EC74749" w:rsidR="00F737B5" w:rsidRPr="00F737B5" w:rsidRDefault="00F737B5" w:rsidP="00F737B5">
      <w:pPr>
        <w:pStyle w:val="Bullet"/>
        <w:rPr>
          <w:w w:val="105"/>
        </w:rPr>
      </w:pPr>
      <w:r w:rsidRPr="00F737B5">
        <w:rPr>
          <w:w w:val="105"/>
        </w:rPr>
        <w:t>In the 2017 calendar year, a record number of people accessed specialist mental health and addiction services. Most accessed services in the community.</w:t>
      </w:r>
    </w:p>
    <w:p w14:paraId="06E64530" w14:textId="3855B8E1" w:rsidR="00F737B5" w:rsidRPr="00F737B5" w:rsidRDefault="00F737B5" w:rsidP="00F737B5">
      <w:pPr>
        <w:pStyle w:val="Bullet"/>
        <w:rPr>
          <w:w w:val="105"/>
        </w:rPr>
      </w:pPr>
      <w:r w:rsidRPr="00F737B5">
        <w:rPr>
          <w:w w:val="105"/>
        </w:rPr>
        <w:t>In 2017, consumer satisfaction with mental health and addiction services was rated at 83 percent.</w:t>
      </w:r>
    </w:p>
    <w:p w14:paraId="4AF9031A" w14:textId="2DB6C719" w:rsidR="00F737B5" w:rsidRPr="00F737B5" w:rsidRDefault="00F737B5" w:rsidP="00F737B5">
      <w:pPr>
        <w:pStyle w:val="Bullet"/>
        <w:rPr>
          <w:w w:val="105"/>
        </w:rPr>
      </w:pPr>
      <w:r w:rsidRPr="00F737B5">
        <w:rPr>
          <w:w w:val="105"/>
        </w:rPr>
        <w:t>In 2017, a small proportion of all service users received compulsory assessment and/or treatment under the Mental Health (Compulsory Assessment and Treatment) Act 1992 (the Mental Health Act).</w:t>
      </w:r>
    </w:p>
    <w:p w14:paraId="4DF8CCEB" w14:textId="33ECF527" w:rsidR="00F737B5" w:rsidRPr="00F737B5" w:rsidRDefault="00F737B5" w:rsidP="00F737B5">
      <w:pPr>
        <w:pStyle w:val="Bullet"/>
        <w:rPr>
          <w:w w:val="105"/>
        </w:rPr>
      </w:pPr>
      <w:r w:rsidRPr="00F737B5">
        <w:rPr>
          <w:w w:val="105"/>
        </w:rPr>
        <w:t>Māori are over-represented under the Mental Health Act. Reducing the disparity in mental health outcomes for Māori is a priority action for the Ministry of Health and district health boards (DHBs).</w:t>
      </w:r>
    </w:p>
    <w:p w14:paraId="5CDA305B" w14:textId="33CA5818" w:rsidR="00F737B5" w:rsidRPr="00F737B5" w:rsidRDefault="00F737B5" w:rsidP="00F737B5">
      <w:pPr>
        <w:pStyle w:val="Bullet"/>
        <w:rPr>
          <w:w w:val="105"/>
        </w:rPr>
      </w:pPr>
      <w:r w:rsidRPr="00F737B5">
        <w:rPr>
          <w:w w:val="105"/>
        </w:rPr>
        <w:t>In 2017, the use of seclusion in adult mental health inpatient units appeared to have increased following a seven-year decline. Most services in New Zealand that use seclusion had entered a re-planning phase, in which they began to refine and refocus seclusion reduction initiatives. Māori continued to be over-represented in the seclusion figures.</w:t>
      </w:r>
    </w:p>
    <w:p w14:paraId="397DFCDC" w14:textId="166E7B28" w:rsidR="00F737B5" w:rsidRPr="00F737B5" w:rsidRDefault="00F737B5" w:rsidP="00F737B5">
      <w:pPr>
        <w:pStyle w:val="Bullet"/>
        <w:rPr>
          <w:w w:val="105"/>
        </w:rPr>
      </w:pPr>
      <w:r w:rsidRPr="00F737B5">
        <w:rPr>
          <w:w w:val="105"/>
        </w:rPr>
        <w:t>In 2017, 265 people received electroconvulsive therapy (ECT) in mental health services. Females were more likely to receive ECT than males, and older people were more likely to receive ECT than younger people.</w:t>
      </w:r>
    </w:p>
    <w:p w14:paraId="4C0EDE92" w14:textId="45687955" w:rsidR="00D662F8" w:rsidRDefault="00F737B5" w:rsidP="00F737B5">
      <w:pPr>
        <w:pStyle w:val="Bullet"/>
        <w:rPr>
          <w:w w:val="105"/>
        </w:rPr>
      </w:pPr>
      <w:r w:rsidRPr="00F737B5">
        <w:rPr>
          <w:w w:val="105"/>
        </w:rPr>
        <w:t>In 2015</w:t>
      </w:r>
      <w:r>
        <w:rPr>
          <w:w w:val="105"/>
        </w:rPr>
        <w:t>,</w:t>
      </w:r>
      <w:r>
        <w:rPr>
          <w:rStyle w:val="FootnoteReference"/>
          <w:w w:val="105"/>
        </w:rPr>
        <w:footnoteReference w:id="1"/>
      </w:r>
      <w:r w:rsidRPr="00F737B5">
        <w:rPr>
          <w:w w:val="105"/>
        </w:rPr>
        <w:t xml:space="preserve"> a total of 525 people died by suicide. Mental disorders are one of the factors that can increase the likelihood of suicidal behaviour.</w:t>
      </w:r>
    </w:p>
    <w:p w14:paraId="36D63255" w14:textId="77777777" w:rsidR="00C826D4" w:rsidRDefault="00C826D4" w:rsidP="00F737B5">
      <w:pPr>
        <w:rPr>
          <w:w w:val="105"/>
        </w:rPr>
        <w:sectPr w:rsidR="00C826D4" w:rsidSect="0078658E">
          <w:footerReference w:type="even" r:id="rId23"/>
          <w:footerReference w:type="default" r:id="rId24"/>
          <w:pgSz w:w="11907" w:h="16840" w:code="9"/>
          <w:pgMar w:top="1418" w:right="1701" w:bottom="1134" w:left="1843" w:header="284" w:footer="425" w:gutter="284"/>
          <w:pgNumType w:fmt="lowerRoman"/>
          <w:cols w:space="720"/>
        </w:sectPr>
      </w:pPr>
    </w:p>
    <w:p w14:paraId="54038952" w14:textId="16939560" w:rsidR="00F737B5" w:rsidRDefault="00F737B5" w:rsidP="00F737B5">
      <w:pPr>
        <w:rPr>
          <w:w w:val="105"/>
        </w:rPr>
      </w:pPr>
    </w:p>
    <w:p w14:paraId="54118A0E" w14:textId="77777777" w:rsidR="009E1A1F" w:rsidRPr="00C826D4" w:rsidRDefault="009E1A1F" w:rsidP="00C826D4">
      <w:pPr>
        <w:pStyle w:val="Heading2"/>
      </w:pPr>
      <w:bookmarkStart w:id="5" w:name="_Toc2845609"/>
      <w:r w:rsidRPr="00C826D4">
        <w:t>Further reading</w:t>
      </w:r>
      <w:bookmarkEnd w:id="5"/>
    </w:p>
    <w:p w14:paraId="3FEA160D" w14:textId="77777777" w:rsidR="009E1A1F" w:rsidRPr="00C826D4" w:rsidRDefault="009E1A1F" w:rsidP="00C826D4">
      <w:pPr>
        <w:pStyle w:val="Heading3"/>
      </w:pPr>
      <w:bookmarkStart w:id="6" w:name="_Toc2845610"/>
      <w:r w:rsidRPr="00C826D4">
        <w:t>The New Zealand Mental Health and Addictions KPI Programme</w:t>
      </w:r>
      <w:bookmarkEnd w:id="6"/>
    </w:p>
    <w:p w14:paraId="125CB7D5" w14:textId="77777777" w:rsidR="009E1A1F" w:rsidRPr="009E1A1F" w:rsidRDefault="009E1A1F" w:rsidP="009E1A1F">
      <w:pPr>
        <w:rPr>
          <w:w w:val="105"/>
        </w:rPr>
      </w:pPr>
      <w:r w:rsidRPr="009E1A1F">
        <w:rPr>
          <w:w w:val="105"/>
        </w:rPr>
        <w:t xml:space="preserve">The New Zealand Mental Health and Addictions Key Performance Indicators (KPI) programme is a provider-led initiative designed to support quality and performance improvement across the mental health and addiction sector. Further information on the KPI programme can be found at </w:t>
      </w:r>
      <w:r w:rsidRPr="009E1A1F">
        <w:rPr>
          <w:rStyle w:val="Hyperlink"/>
        </w:rPr>
        <w:t>www.mhakpi.health.nz</w:t>
      </w:r>
    </w:p>
    <w:p w14:paraId="2976A1FE" w14:textId="77777777" w:rsidR="009E1A1F" w:rsidRDefault="009E1A1F" w:rsidP="009E1A1F">
      <w:pPr>
        <w:rPr>
          <w:w w:val="105"/>
        </w:rPr>
      </w:pPr>
    </w:p>
    <w:p w14:paraId="0A052852" w14:textId="0C07FCB7" w:rsidR="009E1A1F" w:rsidRPr="009E1A1F" w:rsidRDefault="009E1A1F" w:rsidP="009E1A1F">
      <w:pPr>
        <w:pStyle w:val="Heading3"/>
        <w:spacing w:before="240"/>
        <w:rPr>
          <w:w w:val="105"/>
        </w:rPr>
      </w:pPr>
      <w:bookmarkStart w:id="7" w:name="_Toc2845611"/>
      <w:r w:rsidRPr="009E1A1F">
        <w:rPr>
          <w:w w:val="105"/>
        </w:rPr>
        <w:t>Other PRIMHD publications</w:t>
      </w:r>
      <w:bookmarkEnd w:id="7"/>
    </w:p>
    <w:p w14:paraId="5B53DDAC" w14:textId="26B598FC" w:rsidR="009E1A1F" w:rsidRDefault="009E1A1F" w:rsidP="009E1A1F">
      <w:pPr>
        <w:rPr>
          <w:rStyle w:val="Hyperlink"/>
        </w:rPr>
      </w:pPr>
      <w:r w:rsidRPr="009E1A1F">
        <w:rPr>
          <w:w w:val="105"/>
        </w:rPr>
        <w:t xml:space="preserve">The Ministry of Health publishes additional information provided to PRIMHD on mental health and addiction service use. Further information on these publications can be found at </w:t>
      </w:r>
      <w:hyperlink r:id="rId25" w:history="1">
        <w:r w:rsidRPr="00DB20C3">
          <w:rPr>
            <w:rStyle w:val="Hyperlink"/>
          </w:rPr>
          <w:t>www.health.govt.nz/publications</w:t>
        </w:r>
      </w:hyperlink>
    </w:p>
    <w:p w14:paraId="539F6E76" w14:textId="77777777" w:rsidR="00455CC9" w:rsidRPr="0043478F" w:rsidRDefault="00455CC9" w:rsidP="0086388B"/>
    <w:p w14:paraId="265D76B1" w14:textId="77777777" w:rsidR="00C86248" w:rsidRPr="0043478F" w:rsidRDefault="00C86248">
      <w:pPr>
        <w:sectPr w:rsidR="00C86248" w:rsidRPr="0043478F" w:rsidSect="0078658E">
          <w:pgSz w:w="11907" w:h="16840" w:code="9"/>
          <w:pgMar w:top="1418" w:right="1701" w:bottom="1134" w:left="1843" w:header="284" w:footer="425" w:gutter="284"/>
          <w:pgNumType w:fmt="lowerRoman"/>
          <w:cols w:space="720"/>
        </w:sectPr>
      </w:pPr>
    </w:p>
    <w:p w14:paraId="6A9F2543" w14:textId="77777777" w:rsidR="009A42D5" w:rsidRPr="0043478F" w:rsidRDefault="009A42D5" w:rsidP="0008437D">
      <w:pPr>
        <w:ind w:left="-2268" w:right="-1701"/>
      </w:pPr>
    </w:p>
    <w:p w14:paraId="2B479771" w14:textId="14CBD368" w:rsidR="008C2973" w:rsidRDefault="00141440" w:rsidP="00141440">
      <w:pPr>
        <w:pStyle w:val="Heading1"/>
        <w:pageBreakBefore w:val="0"/>
        <w:rPr>
          <w:spacing w:val="0"/>
        </w:rPr>
      </w:pPr>
      <w:bookmarkStart w:id="8" w:name="_Toc2845612"/>
      <w:r>
        <w:rPr>
          <w:spacing w:val="0"/>
        </w:rPr>
        <w:t>Introduction</w:t>
      </w:r>
      <w:bookmarkEnd w:id="8"/>
    </w:p>
    <w:p w14:paraId="6A7A078F" w14:textId="3AA7AD40" w:rsidR="00D11995" w:rsidRPr="00D11995" w:rsidRDefault="00D11995" w:rsidP="00D11995">
      <w:pPr>
        <w:pStyle w:val="Heading2"/>
      </w:pPr>
      <w:bookmarkStart w:id="9" w:name="_Toc2845613"/>
      <w:r>
        <w:t>Objectives</w:t>
      </w:r>
      <w:bookmarkEnd w:id="9"/>
    </w:p>
    <w:p w14:paraId="480BA63E" w14:textId="77777777" w:rsidR="00740DA6" w:rsidRPr="00EC5EF1" w:rsidRDefault="00740DA6" w:rsidP="00D11995">
      <w:r w:rsidRPr="00EC5EF1">
        <w:t>The objectives of this report are to:</w:t>
      </w:r>
    </w:p>
    <w:p w14:paraId="01F56687" w14:textId="77777777" w:rsidR="00740DA6" w:rsidRPr="00EC5EF1" w:rsidRDefault="00740DA6" w:rsidP="00D11995">
      <w:pPr>
        <w:pStyle w:val="Bullet"/>
      </w:pPr>
      <w:r w:rsidRPr="00EC5EF1">
        <w:t>provide information about specific clinical activities that must be reported to the Director of Mental Health under the Mental Health Act</w:t>
      </w:r>
    </w:p>
    <w:p w14:paraId="3E6AFFE4" w14:textId="77777777" w:rsidR="00740DA6" w:rsidRPr="00EC5EF1" w:rsidRDefault="00740DA6" w:rsidP="00D11995">
      <w:pPr>
        <w:pStyle w:val="Bullet"/>
      </w:pPr>
      <w:r w:rsidRPr="00EC5EF1">
        <w:t>contribute to improving the standards of care and treatment for people with mental illness by actively monitoring services against targets and performance indicators set by the Ministry of Health (the Ministry)</w:t>
      </w:r>
    </w:p>
    <w:p w14:paraId="29E7A62C" w14:textId="77777777" w:rsidR="00740DA6" w:rsidRPr="00EC5EF1" w:rsidRDefault="00740DA6" w:rsidP="00D11995">
      <w:pPr>
        <w:pStyle w:val="Bullet"/>
      </w:pPr>
      <w:r w:rsidRPr="00EC5EF1">
        <w:t>inform mental health service users, their families/whānau, service providers and members of the public about the role, function and activities of the Office of the Director of Mental Health and Addiction Services</w:t>
      </w:r>
    </w:p>
    <w:p w14:paraId="36DEB662" w14:textId="77777777" w:rsidR="00740DA6" w:rsidRPr="00EC5EF1" w:rsidRDefault="00740DA6" w:rsidP="00D11995">
      <w:pPr>
        <w:pStyle w:val="Bullet"/>
      </w:pPr>
      <w:r w:rsidRPr="00EC5EF1">
        <w:t>report on the activities of statutory officers under the Mental Health Act (such as District Inspectors and the Mental Health Review Tribunal)</w:t>
      </w:r>
    </w:p>
    <w:p w14:paraId="1907A39F" w14:textId="4DAE40B9" w:rsidR="00740DA6" w:rsidRDefault="00740DA6" w:rsidP="00D11995">
      <w:pPr>
        <w:pStyle w:val="Bullet"/>
      </w:pPr>
      <w:proofErr w:type="gramStart"/>
      <w:r w:rsidRPr="00EC5EF1">
        <w:t>report</w:t>
      </w:r>
      <w:proofErr w:type="gramEnd"/>
      <w:r w:rsidRPr="00EC5EF1">
        <w:t xml:space="preserve"> on the implementation of the Substance Addiction (Compulsory Assessment and Treatment) Act 2017 (the Substance Addiction Act) in the addiction treatment sector.</w:t>
      </w:r>
    </w:p>
    <w:p w14:paraId="30F5D632" w14:textId="77777777" w:rsidR="00D11995" w:rsidRPr="00EC5EF1" w:rsidRDefault="00D11995" w:rsidP="00D11995"/>
    <w:p w14:paraId="551CD251" w14:textId="77777777" w:rsidR="00740DA6" w:rsidRPr="00EC5EF1" w:rsidRDefault="00740DA6" w:rsidP="00D11995">
      <w:pPr>
        <w:pStyle w:val="Heading2"/>
      </w:pPr>
      <w:bookmarkStart w:id="10" w:name="_Toc2845614"/>
      <w:r w:rsidRPr="00EC5EF1">
        <w:rPr>
          <w:noProof/>
          <w:lang w:eastAsia="en-NZ"/>
        </w:rPr>
        <w:drawing>
          <wp:anchor distT="0" distB="0" distL="0" distR="0" simplePos="0" relativeHeight="251659264" behindDoc="0" locked="0" layoutInCell="1" allowOverlap="1" wp14:anchorId="06D09221" wp14:editId="0A82A08F">
            <wp:simplePos x="0" y="0"/>
            <wp:positionH relativeFrom="page">
              <wp:posOffset>8060163</wp:posOffset>
            </wp:positionH>
            <wp:positionV relativeFrom="paragraph">
              <wp:posOffset>144750</wp:posOffset>
            </wp:positionV>
            <wp:extent cx="155575" cy="155575"/>
            <wp:effectExtent l="0" t="0" r="0" b="0"/>
            <wp:wrapNone/>
            <wp:docPr id="4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png"/>
                    <pic:cNvPicPr/>
                  </pic:nvPicPr>
                  <pic:blipFill>
                    <a:blip r:embed="rId26" cstate="print"/>
                    <a:stretch>
                      <a:fillRect/>
                    </a:stretch>
                  </pic:blipFill>
                  <pic:spPr>
                    <a:xfrm>
                      <a:off x="0" y="0"/>
                      <a:ext cx="155575" cy="155575"/>
                    </a:xfrm>
                    <a:prstGeom prst="rect">
                      <a:avLst/>
                    </a:prstGeom>
                  </pic:spPr>
                </pic:pic>
              </a:graphicData>
            </a:graphic>
          </wp:anchor>
        </w:drawing>
      </w:r>
      <w:r w:rsidRPr="00EC5EF1">
        <w:t>Structure of this report</w:t>
      </w:r>
      <w:bookmarkEnd w:id="10"/>
    </w:p>
    <w:p w14:paraId="4DBD592C" w14:textId="1ECC058A" w:rsidR="00740DA6" w:rsidRPr="00EC5EF1" w:rsidRDefault="00740DA6" w:rsidP="00D11995">
      <w:r w:rsidRPr="00EC5EF1">
        <w:t>This report is divided into three main sections. ‘Context’ provides an overview of the legislative and service delivery contexts in which the Office of the Director of Mental Health and Addiction Services (the Office) operates. ‘Activities for 2017’ describes the work carried out by the Office in 2017. ‘Ensuring service quality’ provides statistical information that covers the use of the Mental Health Act, seclusion, reportable deaths and specialist care regimes (such as ECT and alcohol and drug services) during the reporting</w:t>
      </w:r>
      <w:r w:rsidR="00DE0BB2">
        <w:t xml:space="preserve"> </w:t>
      </w:r>
      <w:r w:rsidRPr="00EC5EF1">
        <w:t>period.</w:t>
      </w:r>
    </w:p>
    <w:p w14:paraId="137F88E8" w14:textId="77777777" w:rsidR="00740DA6" w:rsidRPr="00EC5EF1" w:rsidRDefault="00740DA6" w:rsidP="00740DA6">
      <w:pPr>
        <w:rPr>
          <w:sz w:val="20"/>
        </w:rPr>
      </w:pPr>
    </w:p>
    <w:p w14:paraId="63F8B04A" w14:textId="77777777" w:rsidR="00740DA6" w:rsidRPr="00EC5EF1" w:rsidRDefault="00740DA6" w:rsidP="00D11995">
      <w:pPr>
        <w:pStyle w:val="Heading1"/>
      </w:pPr>
      <w:bookmarkStart w:id="11" w:name="_Toc2845615"/>
      <w:r w:rsidRPr="00EC5EF1">
        <w:lastRenderedPageBreak/>
        <w:t>Context</w:t>
      </w:r>
      <w:bookmarkEnd w:id="11"/>
    </w:p>
    <w:p w14:paraId="568FE152" w14:textId="77777777" w:rsidR="00740DA6" w:rsidRPr="00EC5EF1" w:rsidRDefault="00740DA6" w:rsidP="00D11995">
      <w:pPr>
        <w:pStyle w:val="Heading2"/>
      </w:pPr>
      <w:bookmarkStart w:id="12" w:name="_Toc2845616"/>
      <w:r w:rsidRPr="00EC5EF1">
        <w:t>The Ministry of Health</w:t>
      </w:r>
      <w:bookmarkEnd w:id="12"/>
    </w:p>
    <w:p w14:paraId="68C3E9D8" w14:textId="77777777" w:rsidR="00740DA6" w:rsidRPr="00EC5EF1" w:rsidRDefault="00740DA6" w:rsidP="00D11995">
      <w:r w:rsidRPr="00EC5EF1">
        <w:t>The Ministry improves, promotes and protects the mental health and addiction and independence of New Zealanders by:</w:t>
      </w:r>
    </w:p>
    <w:p w14:paraId="3EEEE241" w14:textId="77777777" w:rsidR="00740DA6" w:rsidRPr="00EC5EF1" w:rsidRDefault="00740DA6" w:rsidP="00D11995">
      <w:pPr>
        <w:pStyle w:val="Bullet"/>
      </w:pPr>
      <w:r w:rsidRPr="00EC5EF1">
        <w:t>providing whole-of-sector leadership of the New Zealand health and disability system</w:t>
      </w:r>
    </w:p>
    <w:p w14:paraId="6D6AA8D5" w14:textId="77777777" w:rsidR="00740DA6" w:rsidRPr="00EC5EF1" w:rsidRDefault="00740DA6" w:rsidP="00D11995">
      <w:pPr>
        <w:pStyle w:val="Bullet"/>
      </w:pPr>
      <w:r w:rsidRPr="00EC5EF1">
        <w:t>advising the Minister of Health and the Government on mental health and addiction issues and priorities</w:t>
      </w:r>
    </w:p>
    <w:p w14:paraId="2FDBEFB0" w14:textId="77777777" w:rsidR="00740DA6" w:rsidRPr="00EC5EF1" w:rsidRDefault="00740DA6" w:rsidP="00D11995">
      <w:pPr>
        <w:pStyle w:val="Bullet"/>
      </w:pPr>
      <w:r w:rsidRPr="00EC5EF1">
        <w:t>directly purchasing a range of important national mental health and addiction services</w:t>
      </w:r>
    </w:p>
    <w:p w14:paraId="2386F39A" w14:textId="74090D93" w:rsidR="00740DA6" w:rsidRDefault="00740DA6" w:rsidP="00D11995">
      <w:pPr>
        <w:pStyle w:val="Bullet"/>
      </w:pPr>
      <w:proofErr w:type="gramStart"/>
      <w:r w:rsidRPr="00EC5EF1">
        <w:t>providing</w:t>
      </w:r>
      <w:proofErr w:type="gramEnd"/>
      <w:r w:rsidRPr="00EC5EF1">
        <w:t xml:space="preserve"> health-sector information and payment services.</w:t>
      </w:r>
    </w:p>
    <w:p w14:paraId="1A5AB8F7" w14:textId="77777777" w:rsidR="00D11995" w:rsidRPr="00EC5EF1" w:rsidRDefault="00D11995" w:rsidP="00D11995"/>
    <w:p w14:paraId="0A8BC3C9" w14:textId="3CFA909A" w:rsidR="00740DA6" w:rsidRDefault="00740DA6" w:rsidP="00D11995">
      <w:r w:rsidRPr="00EC5EF1">
        <w:t>Different teams within the Ministry are responsible for leading and supporting mental health and addiction services. Prior to the restructure in 2018, the Protection, Regulation and Assurance business unit monitored the quality of mental health and addiction services, and the safety of compulsory mental</w:t>
      </w:r>
      <w:r w:rsidR="00D11995">
        <w:t xml:space="preserve"> </w:t>
      </w:r>
      <w:r w:rsidRPr="00EC5EF1">
        <w:t>health and addictions treatment. The Service Commissioning business unit supported the implementation of mental health and addictions policies, pay equity, and DHB funding, monitoring, and planning. Clinical and policy leaders collaborated with the Strategy and Policy business unit to advise the Government on and implement mental health policies.</w:t>
      </w:r>
    </w:p>
    <w:p w14:paraId="25F6BD60" w14:textId="77777777" w:rsidR="00D11995" w:rsidRPr="00EC5EF1" w:rsidRDefault="00D11995" w:rsidP="00D11995"/>
    <w:p w14:paraId="2EE2AC92" w14:textId="77777777" w:rsidR="00740DA6" w:rsidRPr="00EC5EF1" w:rsidRDefault="00740DA6" w:rsidP="00D11995">
      <w:r w:rsidRPr="00EC5EF1">
        <w:t>In 2018, the Mental Health Directorate was established; bringing together the respective mental health and addiction teams, including the Office, Addictions, Policy, Programme Coordinators and Managers, to name a few.</w:t>
      </w:r>
    </w:p>
    <w:p w14:paraId="49031982" w14:textId="77777777" w:rsidR="00740DA6" w:rsidRPr="00EC5EF1" w:rsidRDefault="00740DA6" w:rsidP="00740DA6">
      <w:pPr>
        <w:spacing w:before="10"/>
        <w:rPr>
          <w:sz w:val="22"/>
        </w:rPr>
      </w:pPr>
    </w:p>
    <w:p w14:paraId="16F65A1C" w14:textId="77777777" w:rsidR="00740DA6" w:rsidRPr="00EC5EF1" w:rsidRDefault="00740DA6" w:rsidP="00D11995">
      <w:pPr>
        <w:pStyle w:val="Heading2"/>
      </w:pPr>
      <w:bookmarkStart w:id="13" w:name="_Toc2845617"/>
      <w:r w:rsidRPr="00EC5EF1">
        <w:t>Mental health and addictions care in New Zealand: Continually evolving</w:t>
      </w:r>
      <w:bookmarkEnd w:id="13"/>
    </w:p>
    <w:p w14:paraId="00B54684" w14:textId="74F16BEF" w:rsidR="00740DA6" w:rsidRPr="00700B54" w:rsidRDefault="00740DA6" w:rsidP="00D11995">
      <w:pPr>
        <w:rPr>
          <w:spacing w:val="-2"/>
        </w:rPr>
      </w:pPr>
      <w:r w:rsidRPr="00700B54">
        <w:rPr>
          <w:spacing w:val="-2"/>
        </w:rPr>
        <w:t>Over the last 50 years, mental health and addiction services have moved from an institutional model of care to a recovery model of care. Compulsory inpatient</w:t>
      </w:r>
      <w:r w:rsidR="00D11995" w:rsidRPr="00700B54">
        <w:rPr>
          <w:spacing w:val="-2"/>
        </w:rPr>
        <w:t xml:space="preserve"> </w:t>
      </w:r>
      <w:r w:rsidRPr="00700B54">
        <w:rPr>
          <w:spacing w:val="-2"/>
        </w:rPr>
        <w:t>treatment has largely given way to voluntary engagement with services in community settings. Mental health and addiction services care in New Zealand is continually evolving.</w:t>
      </w:r>
    </w:p>
    <w:p w14:paraId="1A5970F4" w14:textId="77777777" w:rsidR="00D11995" w:rsidRDefault="00D11995" w:rsidP="00D11995"/>
    <w:p w14:paraId="50D4598B" w14:textId="0CEE18C5" w:rsidR="00740DA6" w:rsidRDefault="00740DA6" w:rsidP="00D11995">
      <w:r w:rsidRPr="00EC5EF1">
        <w:t>A focus on recovery will also emphasise the value of the peer support workforce.</w:t>
      </w:r>
      <w:r w:rsidR="00DE0BB2">
        <w:t xml:space="preserve"> </w:t>
      </w:r>
      <w:r w:rsidRPr="00EC5EF1">
        <w:t>The peer support workforce works alongside treatment counsellors, adding value by</w:t>
      </w:r>
      <w:r w:rsidR="00D11995">
        <w:t xml:space="preserve"> </w:t>
      </w:r>
      <w:r w:rsidRPr="00EC5EF1">
        <w:t>demonstrating empathy for life experience and recovery relevant to the service user. This workforce can also provide outreach and community education; inform people about options and solutions; support people to stay in treatment; and be part of a support network through continuing care.</w:t>
      </w:r>
    </w:p>
    <w:p w14:paraId="2538EBE0" w14:textId="77777777" w:rsidR="00D11995" w:rsidRPr="00EC5EF1" w:rsidRDefault="00D11995" w:rsidP="00700B54"/>
    <w:p w14:paraId="7D7C177D" w14:textId="3EAE8F7D" w:rsidR="00740DA6" w:rsidRPr="00EC5EF1" w:rsidRDefault="00740DA6" w:rsidP="00700B54">
      <w:r w:rsidRPr="00EC5EF1">
        <w:lastRenderedPageBreak/>
        <w:t xml:space="preserve">Investment into mental health and addiction has resulted in the establishment of a wide range of community, </w:t>
      </w:r>
      <w:proofErr w:type="spellStart"/>
      <w:r w:rsidRPr="00EC5EF1">
        <w:t>kaupapa</w:t>
      </w:r>
      <w:proofErr w:type="spellEnd"/>
      <w:r w:rsidRPr="00EC5EF1">
        <w:t xml:space="preserve"> Māori, specialist and acute services. Ring-fenced funding for mental health and addiction services has increased from $1.1 billion in 2008/09 to approximately $1.4 billion in 2016/17. The Ministry has led and assisted in many cross-agency initiatives that seek to improve population-level mental health and addiction outcomes</w:t>
      </w:r>
      <w:r w:rsidR="00700B54">
        <w:t>.</w:t>
      </w:r>
      <w:r w:rsidR="00700B54">
        <w:rPr>
          <w:rStyle w:val="FootnoteReference"/>
        </w:rPr>
        <w:footnoteReference w:id="2"/>
      </w:r>
    </w:p>
    <w:p w14:paraId="6EBEC05E" w14:textId="77777777" w:rsidR="00700B54" w:rsidRDefault="00700B54" w:rsidP="00700B54"/>
    <w:p w14:paraId="75D0EE0F" w14:textId="7C58FEE0" w:rsidR="00740DA6" w:rsidRPr="00EC5EF1" w:rsidRDefault="00740DA6" w:rsidP="00700B54">
      <w:r w:rsidRPr="00EC5EF1">
        <w:t>Despite these achievements, the sector faces new and shifting challenges. In 2017, the number of people accessing specialist mental health and addiction services again increased. This increase is consistent with international trends and has occurred in the context of population growth, improved non-governmental organisation (NGO) reporting, growing social awareness and increasingly open discussion of mental health issues, as promoted by initiatives such as the National Telehealth Service for mental health 1737, and Like Minds, Like Mine. Although it is encouraging to see that</w:t>
      </w:r>
      <w:r w:rsidR="00700B54">
        <w:t xml:space="preserve"> </w:t>
      </w:r>
      <w:r w:rsidRPr="00EC5EF1">
        <w:t>more New Zealanders are seeking and receiving specialist mental health care, services are experiencing increasing pressure.</w:t>
      </w:r>
    </w:p>
    <w:p w14:paraId="3C57F62C" w14:textId="77777777" w:rsidR="00700B54" w:rsidRDefault="00700B54" w:rsidP="00700B54"/>
    <w:p w14:paraId="6B49A2B1" w14:textId="738A353D" w:rsidR="00740DA6" w:rsidRDefault="00740DA6" w:rsidP="00700B54">
      <w:r w:rsidRPr="00EC5EF1">
        <w:rPr>
          <w:noProof/>
          <w:lang w:eastAsia="en-NZ"/>
        </w:rPr>
        <w:drawing>
          <wp:anchor distT="0" distB="0" distL="0" distR="0" simplePos="0" relativeHeight="251663360" behindDoc="0" locked="0" layoutInCell="1" allowOverlap="1" wp14:anchorId="68C0508A" wp14:editId="18296870">
            <wp:simplePos x="0" y="0"/>
            <wp:positionH relativeFrom="page">
              <wp:posOffset>8060163</wp:posOffset>
            </wp:positionH>
            <wp:positionV relativeFrom="paragraph">
              <wp:posOffset>485571</wp:posOffset>
            </wp:positionV>
            <wp:extent cx="155575" cy="155575"/>
            <wp:effectExtent l="0" t="0" r="0" b="0"/>
            <wp:wrapNone/>
            <wp:docPr id="5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We know that mental health outcomes continue to be inequitable in New Zealand. Māori, Pacific peoples, people with disabilities, people of the rainbow community, and refugees (among others) disproportionately experience mental health challenges.</w:t>
      </w:r>
    </w:p>
    <w:p w14:paraId="2C80480E" w14:textId="77777777" w:rsidR="00700B54" w:rsidRPr="00EC5EF1" w:rsidRDefault="00700B54" w:rsidP="00700B54"/>
    <w:p w14:paraId="37721C85" w14:textId="02852924" w:rsidR="00740DA6" w:rsidRPr="00EC5EF1" w:rsidRDefault="00740DA6" w:rsidP="00700B54">
      <w:r w:rsidRPr="00EC5EF1">
        <w:t>In addition, we know that there is a group of New Zealanders with moderate mental health needs who are not easily managed in primary care but who do not meet the threshold for specialist care. This can result in their</w:t>
      </w:r>
      <w:r w:rsidR="00700B54">
        <w:t xml:space="preserve"> </w:t>
      </w:r>
      <w:r w:rsidRPr="00EC5EF1">
        <w:t>needs not being fully met and further affecting their wellbeing.</w:t>
      </w:r>
    </w:p>
    <w:p w14:paraId="7F6215EA" w14:textId="77777777" w:rsidR="00700B54" w:rsidRDefault="00700B54" w:rsidP="00700B54"/>
    <w:p w14:paraId="2FBCE82B" w14:textId="410E80E5" w:rsidR="00740DA6" w:rsidRDefault="00740DA6" w:rsidP="00700B54">
      <w:r w:rsidRPr="00EC5EF1">
        <w:t>We also know that mental health can be affected and helped by more than the health sector alone. Because mental health is multifaceted, we as a Ministry must work together with agencies, departments, and organisations to understand how to improve the mental health and wellbeing of New Zealanders from different angles.</w:t>
      </w:r>
    </w:p>
    <w:p w14:paraId="6473B226" w14:textId="77777777" w:rsidR="00122F85" w:rsidRPr="00EC5EF1" w:rsidRDefault="00122F85" w:rsidP="00700B54"/>
    <w:p w14:paraId="7D2388E4" w14:textId="77777777" w:rsidR="00740DA6" w:rsidRPr="00EC5EF1" w:rsidRDefault="00740DA6" w:rsidP="00122F85">
      <w:pPr>
        <w:pStyle w:val="Heading3"/>
      </w:pPr>
      <w:bookmarkStart w:id="14" w:name="_Toc2845618"/>
      <w:r w:rsidRPr="00EC5EF1">
        <w:t>The Mental Health and Addiction Inquiry</w:t>
      </w:r>
      <w:bookmarkEnd w:id="14"/>
    </w:p>
    <w:p w14:paraId="574799C6" w14:textId="77777777" w:rsidR="00740DA6" w:rsidRPr="00EC5EF1" w:rsidRDefault="00740DA6" w:rsidP="00122F85">
      <w:r w:rsidRPr="00EC5EF1">
        <w:t>On 23 January 2018, the Government announced details of the Mental Health and Addiction Inquiry (the Inquiry). The purpose of the Inquiry is to identify unmet needs and make recommendations for a better mental health and addiction system for New Zealand. The Inquiry looked at how to prevent mental health and addiction problems, intervene early and respond better to people in need, and promote wellbeing.</w:t>
      </w:r>
    </w:p>
    <w:p w14:paraId="490409C5" w14:textId="77777777" w:rsidR="00122F85" w:rsidRDefault="00122F85" w:rsidP="00122F85"/>
    <w:p w14:paraId="6AB9BE49" w14:textId="1E0E78E6" w:rsidR="00740DA6" w:rsidRPr="00EC5EF1" w:rsidRDefault="00740DA6" w:rsidP="00122F85">
      <w:r w:rsidRPr="00EC5EF1">
        <w:t>The Inquiry met with individuals and groups, including people with mental health and addiction challenges, their families and whānau, service providers, advocates,</w:t>
      </w:r>
      <w:r w:rsidR="00122F85">
        <w:t xml:space="preserve"> </w:t>
      </w:r>
      <w:r w:rsidRPr="00EC5EF1">
        <w:t>organisations, institutions and experts. It received 5,500 submissions, conducted 400</w:t>
      </w:r>
      <w:r w:rsidR="00122F85">
        <w:t> </w:t>
      </w:r>
      <w:r w:rsidRPr="00EC5EF1">
        <w:t>meetings (including 26 public meetings, which collectively drew an audience of over 2,000 people).</w:t>
      </w:r>
    </w:p>
    <w:p w14:paraId="4D89646E" w14:textId="77777777" w:rsidR="00122F85" w:rsidRDefault="00122F85" w:rsidP="00122F85"/>
    <w:p w14:paraId="72C5E363" w14:textId="2ADEA096" w:rsidR="00740DA6" w:rsidRDefault="00740DA6" w:rsidP="00122F85">
      <w:r w:rsidRPr="00EC5EF1">
        <w:lastRenderedPageBreak/>
        <w:t>Former Health and Disability Commissioner, Professor Ron Paterson chaired the Inquiry. The Chair and members were responsible for conducting the Inquiry within terms of reference set by the Government. The Ministry welcomes the Inquiry and acknowledges the importance of its</w:t>
      </w:r>
      <w:r w:rsidR="00DE0BB2">
        <w:t xml:space="preserve"> </w:t>
      </w:r>
      <w:r w:rsidRPr="00EC5EF1">
        <w:t>independence.</w:t>
      </w:r>
    </w:p>
    <w:p w14:paraId="39C35F0D" w14:textId="77777777" w:rsidR="00122F85" w:rsidRPr="00EC5EF1" w:rsidRDefault="00122F85" w:rsidP="00122F85"/>
    <w:p w14:paraId="2CB14A3F" w14:textId="77777777" w:rsidR="00740DA6" w:rsidRPr="00EC5EF1" w:rsidRDefault="00740DA6" w:rsidP="00122F85">
      <w:pPr>
        <w:pStyle w:val="Heading3"/>
      </w:pPr>
      <w:bookmarkStart w:id="15" w:name="_Toc2845619"/>
      <w:r w:rsidRPr="00EC5EF1">
        <w:t>Looking forward</w:t>
      </w:r>
      <w:bookmarkEnd w:id="15"/>
    </w:p>
    <w:p w14:paraId="705DC0E6" w14:textId="77777777" w:rsidR="00740DA6" w:rsidRPr="00EC5EF1" w:rsidRDefault="00740DA6" w:rsidP="00122F85">
      <w:r w:rsidRPr="00EC5EF1">
        <w:t>The Government and the Ministry are committed to providing high-quality mental health and addiction services to all New Zealanders.</w:t>
      </w:r>
    </w:p>
    <w:p w14:paraId="1B7B2BAB" w14:textId="77777777" w:rsidR="00122F85" w:rsidRDefault="00122F85" w:rsidP="00122F85"/>
    <w:p w14:paraId="214AA550" w14:textId="3F658E4C" w:rsidR="00740DA6" w:rsidRPr="00EC5EF1" w:rsidRDefault="00740DA6" w:rsidP="00122F85">
      <w:r w:rsidRPr="00EC5EF1">
        <w:t>The Ministry continues to engage with members of the public, DHBs, other government agencies and NGOs throughout the health sector to understand the issues for those whose mental health and addiction needs are not currently well supported and</w:t>
      </w:r>
      <w:r w:rsidR="00122F85">
        <w:t xml:space="preserve"> </w:t>
      </w:r>
      <w:r w:rsidRPr="00EC5EF1">
        <w:t>improve New Zealanders’ mental health and wellbeing.</w:t>
      </w:r>
    </w:p>
    <w:p w14:paraId="3F9248AE" w14:textId="77777777" w:rsidR="00122F85" w:rsidRDefault="00122F85" w:rsidP="00122F85"/>
    <w:p w14:paraId="47B4BF23" w14:textId="150CB6BC" w:rsidR="00740DA6" w:rsidRDefault="00740DA6" w:rsidP="00122F85">
      <w:r w:rsidRPr="00EC5EF1">
        <w:t>It is important to recognise that mental health is multifaceted, requiring engagement and open communication between agencies.</w:t>
      </w:r>
    </w:p>
    <w:p w14:paraId="619CB74C" w14:textId="77777777" w:rsidR="00122F85" w:rsidRPr="00EC5EF1" w:rsidRDefault="00122F85" w:rsidP="00122F85"/>
    <w:p w14:paraId="7C1569B8" w14:textId="4DA47AD7" w:rsidR="00740DA6" w:rsidRPr="00EC5EF1" w:rsidRDefault="00740DA6" w:rsidP="00122F85">
      <w:pPr>
        <w:pStyle w:val="Heading3"/>
      </w:pPr>
      <w:bookmarkStart w:id="16" w:name="_Toc2845620"/>
      <w:r w:rsidRPr="00EC5EF1">
        <w:t>Addiction treatment services</w:t>
      </w:r>
      <w:proofErr w:type="gramStart"/>
      <w:r w:rsidRPr="00EC5EF1">
        <w:t>:</w:t>
      </w:r>
      <w:proofErr w:type="gramEnd"/>
      <w:r w:rsidR="00122F85">
        <w:br/>
        <w:t>d</w:t>
      </w:r>
      <w:r w:rsidRPr="00EC5EF1">
        <w:t>eveloping models of care</w:t>
      </w:r>
      <w:bookmarkEnd w:id="16"/>
    </w:p>
    <w:p w14:paraId="5C85A709" w14:textId="3A09775A" w:rsidR="00740DA6" w:rsidRDefault="00740DA6" w:rsidP="00122F85">
      <w:r w:rsidRPr="00EC5EF1">
        <w:t>The four DHB regions (Northern, Midland, Central, and South Island) are to be congratulated for their work in recent years, developing regional models of care for addiction treatment services. Such models of care have been informed by various reviews of withdrawal management services; requirements for residential treatment; and the commencement of the Substance Addiction Act (see the later section on implementation).</w:t>
      </w:r>
    </w:p>
    <w:p w14:paraId="18348B18" w14:textId="77777777" w:rsidR="00122F85" w:rsidRPr="00EC5EF1" w:rsidRDefault="00122F85" w:rsidP="00122F85"/>
    <w:p w14:paraId="7837051D" w14:textId="252F29D7" w:rsidR="00740DA6" w:rsidRDefault="00740DA6" w:rsidP="00122F85">
      <w:r w:rsidRPr="00EC5EF1">
        <w:t>Models of care can be thought of as complex systems, offering multiple options for a person’s progression through the health system. Each model is dynamic and</w:t>
      </w:r>
      <w:r w:rsidR="00122F85">
        <w:t xml:space="preserve"> </w:t>
      </w:r>
      <w:r w:rsidRPr="00EC5EF1">
        <w:t>integrated, supporting and reinforcing prevention with treatment and recovery. Local and national data help regulate such systems of care by providing a valuable source of insight and knowledge, which is integral to delivering appropriate treatment services and clinical practices and consumer satisfaction. This feedback helps to inform actions and decisions to shape change and future development.</w:t>
      </w:r>
    </w:p>
    <w:p w14:paraId="1D64E4D0" w14:textId="77777777" w:rsidR="00122F85" w:rsidRPr="00EC5EF1" w:rsidRDefault="00122F85" w:rsidP="00122F85"/>
    <w:p w14:paraId="71CC15CE" w14:textId="0235D311" w:rsidR="00740DA6" w:rsidRPr="00EC5EF1" w:rsidRDefault="00740DA6" w:rsidP="00122F85">
      <w:r w:rsidRPr="00EC5EF1">
        <w:t>Since 1 July 2015, the Ministry has required DHBs to report information gathered through the Alcohol and Drug Outcome Measure (ADOM) tool</w:t>
      </w:r>
      <w:r w:rsidR="00122F85">
        <w:t>.</w:t>
      </w:r>
      <w:r w:rsidR="00122F85">
        <w:rPr>
          <w:rStyle w:val="FootnoteReference"/>
        </w:rPr>
        <w:footnoteReference w:id="3"/>
      </w:r>
      <w:r w:rsidRPr="00EC5EF1">
        <w:t xml:space="preserve"> In 2017, collection of this data was variable: three DHBs were exempt for a variety of technical reasons, and a further three had limited collections of data. The Office intends to press all services to collect and report on ADOM data and demonstrate how they are using such data to drive service improvements.</w:t>
      </w:r>
    </w:p>
    <w:p w14:paraId="3D6D6BCF" w14:textId="42AAD2E2" w:rsidR="00740DA6" w:rsidRPr="00EC5EF1" w:rsidRDefault="00740DA6" w:rsidP="00122F85"/>
    <w:p w14:paraId="76BA39C1" w14:textId="77777777" w:rsidR="00740DA6" w:rsidRPr="00EC5EF1" w:rsidRDefault="00740DA6" w:rsidP="00122F85">
      <w:pPr>
        <w:keepNext/>
      </w:pPr>
      <w:r w:rsidRPr="00EC5EF1">
        <w:lastRenderedPageBreak/>
        <w:t>In developing a Substance Addiction Act model of care for Northern Region (2017), the Northern Region Alliance noted that:</w:t>
      </w:r>
    </w:p>
    <w:p w14:paraId="61468823" w14:textId="77777777" w:rsidR="00740DA6" w:rsidRPr="00EC5EF1" w:rsidRDefault="00740DA6" w:rsidP="00122F85">
      <w:pPr>
        <w:pStyle w:val="Quote"/>
      </w:pPr>
      <w:r w:rsidRPr="00EC5EF1">
        <w:t>The model of care is structured in line with the ‘service user journey’. The model describes the key stages of the Substance Addiction Act response, from the point of referral to the point at which a person is discharged from the Act. Continuing care (treatment and support) options post discharge are part of the model of care and are also described in detail.</w:t>
      </w:r>
    </w:p>
    <w:p w14:paraId="3A4FA417" w14:textId="77777777" w:rsidR="00122F85" w:rsidRDefault="00122F85" w:rsidP="00122F85"/>
    <w:p w14:paraId="69E19DA0" w14:textId="1C56CCB7" w:rsidR="00740DA6" w:rsidRDefault="00740DA6" w:rsidP="00122F85">
      <w:r w:rsidRPr="00EC5EF1">
        <w:t>Here, the model of care is explicitly about the ‘service user journey’. While there are many aims for having an explicit model of care, the main one should be to articulate what the service user (and their family/whānau) can expect to happen throughout their care.</w:t>
      </w:r>
    </w:p>
    <w:p w14:paraId="48F85176" w14:textId="77777777" w:rsidR="00122F85" w:rsidRPr="00EC5EF1" w:rsidRDefault="00122F85" w:rsidP="00122F85"/>
    <w:p w14:paraId="0F68E715" w14:textId="7959F28E" w:rsidR="00740DA6" w:rsidRDefault="00740DA6" w:rsidP="00122F85">
      <w:r w:rsidRPr="00EC5EF1">
        <w:t>This requires the health sector to consider working in partnership and strengthening relationships with service practitioners and users: whether these be other health services, such as mental health and primary health care, agencies such as the Department of Corrections and Housing New Zealand, or with NGOs providing basic needs, such as shelter, food and health care access.</w:t>
      </w:r>
    </w:p>
    <w:p w14:paraId="0ABB37DC" w14:textId="77777777" w:rsidR="00122F85" w:rsidRPr="00EC5EF1" w:rsidRDefault="00122F85" w:rsidP="00122F85"/>
    <w:p w14:paraId="1B37F366" w14:textId="23CAF8D4" w:rsidR="00740DA6" w:rsidRPr="00EC5EF1" w:rsidRDefault="00740DA6" w:rsidP="00122F85">
      <w:r w:rsidRPr="00EC5EF1">
        <w:t>In light of the Substance Addiction Act legislation,</w:t>
      </w:r>
      <w:r w:rsidR="00122F85">
        <w:t xml:space="preserve"> </w:t>
      </w:r>
      <w:r w:rsidRPr="00EC5EF1">
        <w:t>DHBs must be mindful of the concept of</w:t>
      </w:r>
      <w:r w:rsidR="00122F85">
        <w:t xml:space="preserve"> </w:t>
      </w:r>
      <w:r w:rsidRPr="00EC5EF1">
        <w:rPr>
          <w:noProof/>
          <w:lang w:eastAsia="en-NZ"/>
        </w:rPr>
        <w:drawing>
          <wp:anchor distT="0" distB="0" distL="0" distR="0" simplePos="0" relativeHeight="251667456" behindDoc="0" locked="0" layoutInCell="1" allowOverlap="1" wp14:anchorId="17A15591" wp14:editId="3CB8AF23">
            <wp:simplePos x="0" y="0"/>
            <wp:positionH relativeFrom="page">
              <wp:posOffset>8060163</wp:posOffset>
            </wp:positionH>
            <wp:positionV relativeFrom="paragraph">
              <wp:posOffset>547499</wp:posOffset>
            </wp:positionV>
            <wp:extent cx="155575" cy="155575"/>
            <wp:effectExtent l="0" t="0" r="0" b="0"/>
            <wp:wrapNone/>
            <wp:docPr id="6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‘mana-enhancing’ services. Services will need to consider a person’s guardianship while that person is being cared for under the Substance Addiction Act and</w:t>
      </w:r>
      <w:r w:rsidR="00122F85">
        <w:t xml:space="preserve"> </w:t>
      </w:r>
      <w:r w:rsidRPr="00EC5EF1">
        <w:t>in terms of continuing care. They will also need to consider the mana of the person’s family and whānau.</w:t>
      </w:r>
    </w:p>
    <w:p w14:paraId="21071175" w14:textId="77777777" w:rsidR="00122F85" w:rsidRDefault="00122F85" w:rsidP="00122F85"/>
    <w:p w14:paraId="4C8160C1" w14:textId="273589BA" w:rsidR="00740DA6" w:rsidRDefault="00740DA6" w:rsidP="00122F85">
      <w:r w:rsidRPr="00EC5EF1">
        <w:t>It is a significant development in New Zealand that Parliament has established a health law that recognises the concept of mana enhancement. While the Substance Addiction Act is concerned with a small number of patients in the addictions treatment sector, there will be practice and service implications for the entire health sector in delivering mana-enhancing health services.</w:t>
      </w:r>
    </w:p>
    <w:p w14:paraId="4BF17558" w14:textId="77777777" w:rsidR="00122F85" w:rsidRPr="00EC5EF1" w:rsidRDefault="00122F85" w:rsidP="00122F85"/>
    <w:p w14:paraId="1A6997A5" w14:textId="77777777" w:rsidR="00740DA6" w:rsidRPr="00EC5EF1" w:rsidRDefault="00740DA6" w:rsidP="00122F85">
      <w:pPr>
        <w:pStyle w:val="Heading3"/>
      </w:pPr>
      <w:bookmarkStart w:id="17" w:name="_Toc2845621"/>
      <w:r w:rsidRPr="00EC5EF1">
        <w:t>Specialist mental health and addiction services</w:t>
      </w:r>
      <w:bookmarkEnd w:id="17"/>
    </w:p>
    <w:p w14:paraId="261042A4" w14:textId="5402BE1F" w:rsidR="00740DA6" w:rsidRPr="00EC5EF1" w:rsidRDefault="00740DA6" w:rsidP="00122F85">
      <w:r w:rsidRPr="00EC5EF1">
        <w:t>In 2017, specialist mental health and addiction services engaged with 176,310</w:t>
      </w:r>
      <w:r w:rsidR="00B6785B">
        <w:rPr>
          <w:rStyle w:val="FootnoteReference"/>
        </w:rPr>
        <w:footnoteReference w:id="4"/>
      </w:r>
      <w:r w:rsidR="00B6785B">
        <w:t xml:space="preserve"> </w:t>
      </w:r>
      <w:r w:rsidRPr="00EC5EF1">
        <w:t>people (3.6 percent of the New Zealand population). Within this figure, 124,698 clients saw mental health services only, 16,627 clients</w:t>
      </w:r>
      <w:r w:rsidR="00122F85">
        <w:t xml:space="preserve"> </w:t>
      </w:r>
      <w:r w:rsidRPr="00EC5EF1">
        <w:t>saw both mental health and addiction services, and 34,985 clients saw addiction services only</w:t>
      </w:r>
      <w:r w:rsidR="00B6785B">
        <w:t>.</w:t>
      </w:r>
      <w:r w:rsidR="00B6785B">
        <w:rPr>
          <w:rStyle w:val="FootnoteReference"/>
        </w:rPr>
        <w:footnoteReference w:id="5"/>
      </w:r>
    </w:p>
    <w:p w14:paraId="05BE98A2" w14:textId="77777777" w:rsidR="00D11995" w:rsidRDefault="00D11995" w:rsidP="00122F85"/>
    <w:p w14:paraId="164C368D" w14:textId="444FF785" w:rsidR="00740DA6" w:rsidRPr="00EC5EF1" w:rsidRDefault="00740DA6" w:rsidP="003C1E58">
      <w:r w:rsidRPr="00EC5EF1">
        <w:t>Figure 1 shows that the number of people engaging with specialist services gradually increased from 143,208</w:t>
      </w:r>
      <w:r w:rsidR="003C1E58">
        <w:rPr>
          <w:rStyle w:val="FootnoteReference"/>
        </w:rPr>
        <w:footnoteReference w:id="6"/>
      </w:r>
      <w:r w:rsidR="00F72577">
        <w:t xml:space="preserve"> </w:t>
      </w:r>
      <w:r w:rsidRPr="00EC5EF1">
        <w:t>people in 2011 to 176,310 people in 2017. The rise could be due to several variables, including greater accuracy in capturing data, the growing New Zealand population,</w:t>
      </w:r>
      <w:r w:rsidR="003C1E58">
        <w:rPr>
          <w:rStyle w:val="FootnoteReference"/>
        </w:rPr>
        <w:footnoteReference w:id="7"/>
      </w:r>
      <w:r w:rsidR="00F72577">
        <w:t xml:space="preserve"> </w:t>
      </w:r>
      <w:r w:rsidRPr="00EC5EF1">
        <w:t>improved visibility of and access to services, and stronger referral relationships between providers.</w:t>
      </w:r>
    </w:p>
    <w:p w14:paraId="04D58476" w14:textId="77777777" w:rsidR="00740DA6" w:rsidRPr="00EC5EF1" w:rsidRDefault="00740DA6" w:rsidP="00F72577"/>
    <w:p w14:paraId="0E47500D" w14:textId="1CA723E8" w:rsidR="00740DA6" w:rsidRDefault="00740DA6" w:rsidP="003C1E58">
      <w:pPr>
        <w:pStyle w:val="Figure"/>
      </w:pPr>
      <w:bookmarkStart w:id="18" w:name="_Toc2845703"/>
      <w:r w:rsidRPr="00EC5EF1">
        <w:lastRenderedPageBreak/>
        <w:t>Figure 1: Number of people engaging with specialist services each year, 2011–2017</w:t>
      </w:r>
      <w:bookmarkEnd w:id="18"/>
    </w:p>
    <w:p w14:paraId="53192EAE" w14:textId="3B35E684" w:rsidR="003C1E58" w:rsidRPr="003C1E58" w:rsidRDefault="00C00DB6" w:rsidP="003C1E58">
      <w:r w:rsidRPr="00C00DB6">
        <w:rPr>
          <w:noProof/>
          <w:lang w:eastAsia="en-NZ"/>
        </w:rPr>
        <w:drawing>
          <wp:inline distT="0" distB="0" distL="0" distR="0" wp14:anchorId="1DD91B90" wp14:editId="10785CD3">
            <wp:extent cx="5130165" cy="2491638"/>
            <wp:effectExtent l="0" t="0" r="0" b="4445"/>
            <wp:docPr id="1" name="Picture 1" title="Figure 1: Number of people engaging with specialist services each year, 2011–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30165" cy="2491638"/>
                    </a:xfrm>
                    <a:prstGeom prst="rect">
                      <a:avLst/>
                    </a:prstGeom>
                  </pic:spPr>
                </pic:pic>
              </a:graphicData>
            </a:graphic>
          </wp:inline>
        </w:drawing>
      </w:r>
    </w:p>
    <w:p w14:paraId="19E02810" w14:textId="77777777" w:rsidR="00740DA6" w:rsidRPr="00EC5EF1" w:rsidRDefault="00740DA6" w:rsidP="003C1E58">
      <w:pPr>
        <w:pStyle w:val="Source"/>
      </w:pPr>
      <w:r w:rsidRPr="00EC5EF1">
        <w:t>Source: PRIMHD data</w:t>
      </w:r>
    </w:p>
    <w:p w14:paraId="0A8843BE" w14:textId="77777777" w:rsidR="003C1E58" w:rsidRDefault="003C1E58" w:rsidP="003C1E58"/>
    <w:p w14:paraId="476D9DD7" w14:textId="1423AE8E" w:rsidR="00740DA6" w:rsidRPr="00EC5EF1" w:rsidRDefault="00740DA6" w:rsidP="003C1E58">
      <w:r w:rsidRPr="00EC5EF1">
        <w:t>Most people access mental health and addiction services in the community. In 2017:</w:t>
      </w:r>
    </w:p>
    <w:p w14:paraId="534D2B81" w14:textId="15ADBD29" w:rsidR="00740DA6" w:rsidRPr="00EC5EF1" w:rsidRDefault="00740DA6" w:rsidP="003C1E58">
      <w:pPr>
        <w:pStyle w:val="Bullet"/>
      </w:pPr>
      <w:r w:rsidRPr="00EC5EF1">
        <w:t>92 percent of specialist service users accessed only community mental health and addiction</w:t>
      </w:r>
      <w:r w:rsidR="00DE0BB2">
        <w:t xml:space="preserve"> </w:t>
      </w:r>
      <w:r w:rsidRPr="00EC5EF1">
        <w:t>services</w:t>
      </w:r>
    </w:p>
    <w:p w14:paraId="528ACB01" w14:textId="77777777" w:rsidR="00740DA6" w:rsidRPr="00EC5EF1" w:rsidRDefault="00740DA6" w:rsidP="003C1E58">
      <w:pPr>
        <w:pStyle w:val="Bullet"/>
      </w:pPr>
      <w:r w:rsidRPr="00EC5EF1">
        <w:t>less than 1 percent accessed only inpatient services</w:t>
      </w:r>
    </w:p>
    <w:p w14:paraId="319AC8B8" w14:textId="77777777" w:rsidR="00740DA6" w:rsidRPr="00EC5EF1" w:rsidRDefault="00740DA6" w:rsidP="003C1E58">
      <w:pPr>
        <w:pStyle w:val="Bullet"/>
      </w:pPr>
      <w:proofErr w:type="gramStart"/>
      <w:r w:rsidRPr="00EC5EF1">
        <w:t>the</w:t>
      </w:r>
      <w:proofErr w:type="gramEnd"/>
      <w:r w:rsidRPr="00EC5EF1">
        <w:t xml:space="preserve"> remaining 8 percent accessed a mixture of inpatient and community services (see Figure 2).</w:t>
      </w:r>
    </w:p>
    <w:p w14:paraId="6F86C8E3" w14:textId="77777777" w:rsidR="003C1E58" w:rsidRDefault="003C1E58" w:rsidP="003C1E58"/>
    <w:p w14:paraId="1A130F24" w14:textId="29F37A7A" w:rsidR="00740DA6" w:rsidRPr="00EC5EF1" w:rsidRDefault="00740DA6" w:rsidP="003C1E58">
      <w:r w:rsidRPr="00EC5EF1">
        <w:t>The proportion of people who received treatment only in the community increased by 6</w:t>
      </w:r>
      <w:r w:rsidR="00DC033E">
        <w:t> </w:t>
      </w:r>
      <w:r w:rsidRPr="00EC5EF1">
        <w:t>percent between 2002 (when it was 86 percent) and 2017.</w:t>
      </w:r>
    </w:p>
    <w:p w14:paraId="0EB5B1F9" w14:textId="77777777" w:rsidR="00D11995" w:rsidRDefault="00D11995" w:rsidP="00DC033E"/>
    <w:p w14:paraId="58A2F234" w14:textId="13EC9E98" w:rsidR="00740DA6" w:rsidRDefault="00740DA6" w:rsidP="00DC033E">
      <w:pPr>
        <w:pStyle w:val="Figure"/>
      </w:pPr>
      <w:bookmarkStart w:id="19" w:name="_Toc2845704"/>
      <w:r w:rsidRPr="00EC5EF1">
        <w:t>Figure 2: Percentage of service users accessing only community services, 1 January to 31</w:t>
      </w:r>
      <w:r w:rsidR="00DC033E">
        <w:t> </w:t>
      </w:r>
      <w:r w:rsidRPr="00EC5EF1">
        <w:t>December 2017</w:t>
      </w:r>
      <w:bookmarkEnd w:id="19"/>
    </w:p>
    <w:p w14:paraId="778CEC4E" w14:textId="3779F953" w:rsidR="00DC033E" w:rsidRDefault="00F72074" w:rsidP="00DC033E">
      <w:r w:rsidRPr="00F72074">
        <w:rPr>
          <w:noProof/>
          <w:lang w:eastAsia="en-NZ"/>
        </w:rPr>
        <w:drawing>
          <wp:inline distT="0" distB="0" distL="0" distR="0" wp14:anchorId="5D5EB6F9" wp14:editId="630C69A8">
            <wp:extent cx="2952381" cy="2942857"/>
            <wp:effectExtent l="0" t="0" r="635" b="0"/>
            <wp:docPr id="9" name="Picture 9" title="Figure 2: Percentage of service users accessing only community services, 1 January to 31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952381" cy="2942857"/>
                    </a:xfrm>
                    <a:prstGeom prst="rect">
                      <a:avLst/>
                    </a:prstGeom>
                  </pic:spPr>
                </pic:pic>
              </a:graphicData>
            </a:graphic>
          </wp:inline>
        </w:drawing>
      </w:r>
    </w:p>
    <w:p w14:paraId="2BAF7884" w14:textId="05AF3B98" w:rsidR="00F72074" w:rsidRDefault="00F72074" w:rsidP="00F72074">
      <w:pPr>
        <w:pStyle w:val="Note"/>
      </w:pPr>
      <w:r>
        <w:t>Note: Includes NGOs.</w:t>
      </w:r>
    </w:p>
    <w:p w14:paraId="7513D782" w14:textId="0203064E" w:rsidR="00740DA6" w:rsidRDefault="00740DA6" w:rsidP="00DC033E">
      <w:pPr>
        <w:pStyle w:val="Source"/>
      </w:pPr>
      <w:r w:rsidRPr="00EC5EF1">
        <w:t>Source: PRIMHD data as at 15 August 2018</w:t>
      </w:r>
    </w:p>
    <w:p w14:paraId="49158BAB" w14:textId="77777777" w:rsidR="00DC033E" w:rsidRPr="00DC033E" w:rsidRDefault="00DC033E" w:rsidP="00DC033E"/>
    <w:p w14:paraId="153F9588" w14:textId="77777777" w:rsidR="00740DA6" w:rsidRPr="00EC5EF1" w:rsidRDefault="00740DA6" w:rsidP="00DC033E">
      <w:pPr>
        <w:pStyle w:val="Heading2"/>
      </w:pPr>
      <w:bookmarkStart w:id="20" w:name="_Toc2845622"/>
      <w:r w:rsidRPr="00EC5EF1">
        <w:lastRenderedPageBreak/>
        <w:t>The Mental Health Act</w:t>
      </w:r>
      <w:bookmarkEnd w:id="20"/>
    </w:p>
    <w:p w14:paraId="43584D42" w14:textId="37EC3316" w:rsidR="00740DA6" w:rsidRPr="00EC5EF1" w:rsidRDefault="00740DA6" w:rsidP="00DC033E">
      <w:r w:rsidRPr="00EC5EF1">
        <w:rPr>
          <w:noProof/>
          <w:lang w:eastAsia="en-NZ"/>
        </w:rPr>
        <w:drawing>
          <wp:anchor distT="0" distB="0" distL="0" distR="0" simplePos="0" relativeHeight="251671552" behindDoc="0" locked="0" layoutInCell="1" allowOverlap="1" wp14:anchorId="7CD91921" wp14:editId="7B70A0FD">
            <wp:simplePos x="0" y="0"/>
            <wp:positionH relativeFrom="page">
              <wp:posOffset>8060163</wp:posOffset>
            </wp:positionH>
            <wp:positionV relativeFrom="paragraph">
              <wp:posOffset>240339</wp:posOffset>
            </wp:positionV>
            <wp:extent cx="155575" cy="155575"/>
            <wp:effectExtent l="0" t="0" r="0" b="0"/>
            <wp:wrapNone/>
            <wp:docPr id="7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The Mental Health Act defines the circumstances in which people may be subject to compulsory mental health assessment and treatment. It provides a framework for balancing personal rights with public interests when a person poses a serious danger to themselves or others due to mental</w:t>
      </w:r>
      <w:r w:rsidR="00DE0BB2">
        <w:t xml:space="preserve"> </w:t>
      </w:r>
      <w:r w:rsidRPr="00EC5EF1">
        <w:t>illness.</w:t>
      </w:r>
    </w:p>
    <w:p w14:paraId="2C0CC528" w14:textId="77777777" w:rsidR="00DC033E" w:rsidRDefault="00DC033E" w:rsidP="00DC033E"/>
    <w:p w14:paraId="2D98C86D" w14:textId="5A9BF4D7" w:rsidR="00740DA6" w:rsidRPr="00EC5EF1" w:rsidRDefault="00740DA6" w:rsidP="00DC033E">
      <w:r w:rsidRPr="00EC5EF1">
        <w:t>The long title of the Act states that its purpose is to:</w:t>
      </w:r>
    </w:p>
    <w:p w14:paraId="0A4CB556" w14:textId="398709B0" w:rsidR="00740DA6" w:rsidRPr="00EC5EF1" w:rsidRDefault="00740DA6" w:rsidP="00DC033E">
      <w:pPr>
        <w:pStyle w:val="Quote"/>
      </w:pPr>
      <w:r w:rsidRPr="00EC5EF1">
        <w:t>redefine the circumstances in which and the conditions under which persons may be subjected to compulsory psychiatric assessment and treatment, to define</w:t>
      </w:r>
      <w:r w:rsidR="00DE0BB2">
        <w:t xml:space="preserve"> </w:t>
      </w:r>
      <w:r w:rsidRPr="00EC5EF1">
        <w:t>the</w:t>
      </w:r>
      <w:r w:rsidR="00DC033E">
        <w:t xml:space="preserve"> </w:t>
      </w:r>
      <w:r w:rsidRPr="00EC5EF1">
        <w:t>rights of such persons and to provide better protection for those rights, and generally to reform and consolidate the law relating to the assessment and treatment of persons suffering from mental disorder.</w:t>
      </w:r>
    </w:p>
    <w:p w14:paraId="475D0A71" w14:textId="77777777" w:rsidR="00D11995" w:rsidRDefault="00D11995" w:rsidP="00DC033E"/>
    <w:p w14:paraId="36E816F4" w14:textId="0C8B727E" w:rsidR="00740DA6" w:rsidRDefault="00740DA6" w:rsidP="00DC033E">
      <w:r w:rsidRPr="00EC5EF1">
        <w:t>The ‘Ensuring service quality’ section of this report provides data on the use of the Mental Health Act.</w:t>
      </w:r>
    </w:p>
    <w:p w14:paraId="5CB40AA3" w14:textId="77777777" w:rsidR="00DC033E" w:rsidRPr="00EC5EF1" w:rsidRDefault="00DC033E" w:rsidP="00DC033E"/>
    <w:p w14:paraId="00C5687C" w14:textId="77777777" w:rsidR="00740DA6" w:rsidRPr="00EC5EF1" w:rsidRDefault="00740DA6" w:rsidP="00DC033E">
      <w:pPr>
        <w:pStyle w:val="Heading3"/>
      </w:pPr>
      <w:bookmarkStart w:id="21" w:name="_Toc2845623"/>
      <w:r w:rsidRPr="00EC5EF1">
        <w:t>Administration of the Mental Health Act</w:t>
      </w:r>
      <w:bookmarkEnd w:id="21"/>
    </w:p>
    <w:p w14:paraId="30461F5C" w14:textId="4A44D726" w:rsidR="00740DA6" w:rsidRPr="00EC5EF1" w:rsidRDefault="00740DA6" w:rsidP="00DC033E">
      <w:r w:rsidRPr="00EC5EF1">
        <w:t>The chief statutory officer under the Mental Health Act is the Director of Mental</w:t>
      </w:r>
      <w:r w:rsidR="00DE0BB2">
        <w:t xml:space="preserve"> </w:t>
      </w:r>
      <w:r w:rsidRPr="00EC5EF1">
        <w:t>Health, appointed under section 91 of that Act. The Director is responsible for the general administration of the Mental Health Act under the direction of the Minister of Health and Director-General of Health. The Director is also the Chief Advisor, Mental Health, and is responsible for advising the Minister of Health on mental health issues. The Director’s functions and powers under the Mental Health Act allow the Ministry to provide guidance to mental health services.</w:t>
      </w:r>
    </w:p>
    <w:p w14:paraId="0D2DDCC0" w14:textId="77777777" w:rsidR="00740DA6" w:rsidRPr="00EC5EF1" w:rsidRDefault="00740DA6" w:rsidP="00DC033E"/>
    <w:p w14:paraId="1EA34958" w14:textId="77777777" w:rsidR="00740DA6" w:rsidRPr="00EC5EF1" w:rsidRDefault="00740DA6" w:rsidP="00DC033E">
      <w:r w:rsidRPr="00EC5EF1">
        <w:t>In each DHB, the Director-General of Health appoints a Director of Area Mental Health Services (DAMHS) under section 92 of the Act. The DAMHS is a senior mental health clinician responsible for administering the Mental Health Act within their DHB area. They must report to the Director of Mental Health every three months (quarter) regarding the exercise of their powers, duties and functions under the Mental Health Act (Ministry of Health 2012a).</w:t>
      </w:r>
    </w:p>
    <w:p w14:paraId="2D291582" w14:textId="77777777" w:rsidR="00DC033E" w:rsidRDefault="00DC033E" w:rsidP="00DC033E"/>
    <w:p w14:paraId="5D5C2E91" w14:textId="327A690A" w:rsidR="00740DA6" w:rsidRPr="00EC5EF1" w:rsidRDefault="00740DA6" w:rsidP="00DC033E">
      <w:r w:rsidRPr="00EC5EF1">
        <w:t>Each DAMHS must appoint responsible clinicians and assign them to lead the treatment of every person subject to compulsory assessment or treatment (Ministry of Health 2012a). The DAMHS also appoint competent health practitioners as</w:t>
      </w:r>
      <w:r w:rsidR="00DC033E">
        <w:t xml:space="preserve"> </w:t>
      </w:r>
      <w:r w:rsidRPr="00EC5EF1">
        <w:t>‘duly authorised officers’ to respond to people experiencing mental illness in the community who are in need of intervention. Duly authorised officers are required to provide general advice and assistance in response to requests from members of the public and the New Zealand Police. If a duly authorised officer believes that a person may be mentally disordered, are considered a danger to themselves or other people, and may benefit from a compulsory assessment, the Mental Health Act grants powers to the officer to arrange for a medical examination (Ministry of Health 2012c).</w:t>
      </w:r>
    </w:p>
    <w:p w14:paraId="34736018" w14:textId="77777777" w:rsidR="00740DA6" w:rsidRPr="00EC5EF1" w:rsidRDefault="00740DA6" w:rsidP="00DC033E"/>
    <w:p w14:paraId="493A5661" w14:textId="77777777" w:rsidR="00740DA6" w:rsidRPr="00EC5EF1" w:rsidRDefault="00740DA6" w:rsidP="00DC033E">
      <w:pPr>
        <w:pStyle w:val="Heading3"/>
      </w:pPr>
      <w:bookmarkStart w:id="22" w:name="_Toc2845624"/>
      <w:r w:rsidRPr="00EC5EF1">
        <w:lastRenderedPageBreak/>
        <w:t>Protecting the rights of people subject to compulsory treatment</w:t>
      </w:r>
      <w:bookmarkEnd w:id="22"/>
    </w:p>
    <w:p w14:paraId="5E10A306" w14:textId="77777777" w:rsidR="00740DA6" w:rsidRPr="00EC5EF1" w:rsidRDefault="00740DA6" w:rsidP="00DC033E">
      <w:pPr>
        <w:pStyle w:val="Heading4"/>
      </w:pPr>
      <w:r w:rsidRPr="00EC5EF1">
        <w:t>District inspectors</w:t>
      </w:r>
    </w:p>
    <w:p w14:paraId="3F4B0A93" w14:textId="2ADD0D7C" w:rsidR="00740DA6" w:rsidRPr="00EC5EF1" w:rsidRDefault="00740DA6" w:rsidP="00DC033E">
      <w:r w:rsidRPr="00EC5EF1">
        <w:rPr>
          <w:noProof/>
          <w:lang w:eastAsia="en-NZ"/>
        </w:rPr>
        <w:drawing>
          <wp:anchor distT="0" distB="0" distL="0" distR="0" simplePos="0" relativeHeight="251673600" behindDoc="0" locked="0" layoutInCell="1" allowOverlap="1" wp14:anchorId="7B8F6236" wp14:editId="7D5B2662">
            <wp:simplePos x="0" y="0"/>
            <wp:positionH relativeFrom="page">
              <wp:posOffset>8060163</wp:posOffset>
            </wp:positionH>
            <wp:positionV relativeFrom="paragraph">
              <wp:posOffset>141823</wp:posOffset>
            </wp:positionV>
            <wp:extent cx="155575" cy="155575"/>
            <wp:effectExtent l="0" t="0" r="0" b="0"/>
            <wp:wrapNone/>
            <wp:docPr id="7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Although, under the Mental Health Act, the Ministry expects each DAMHS to protect the rights of people in their area, the Mental Health Act also provides for independent monitoring mechanisms. The Minister appoints qualified lawyers as district inspectors to protect people’s rights under section 94 of the Mental Health Act.</w:t>
      </w:r>
    </w:p>
    <w:p w14:paraId="67CE0968" w14:textId="77777777" w:rsidR="00DC033E" w:rsidRDefault="00DC033E" w:rsidP="00DC033E"/>
    <w:p w14:paraId="3CE18ABC" w14:textId="1D1C7555" w:rsidR="00740DA6" w:rsidRPr="00EC5EF1" w:rsidRDefault="00740DA6" w:rsidP="00DC033E">
      <w:r w:rsidRPr="00EC5EF1">
        <w:t>District inspectors protect specific rights and investigate alleged breaches of rights under the Mental Health Act, address concerns of family/whānau and monitor service compliance with the Mental Health Act process.</w:t>
      </w:r>
    </w:p>
    <w:p w14:paraId="01E7033B" w14:textId="77777777" w:rsidR="00DC033E" w:rsidRDefault="00DC033E" w:rsidP="00DC033E"/>
    <w:p w14:paraId="33942644" w14:textId="664BB837" w:rsidR="00740DA6" w:rsidRPr="00EC5EF1" w:rsidRDefault="00740DA6" w:rsidP="00DC033E">
      <w:r w:rsidRPr="00EC5EF1">
        <w:t>The Mental Health Act requires district inspectors to report to the DAMHS in their area within 14 days of inspecting a mental health service. It also requires them to report monthly to the Director of Mental Health (the Director) on the exercise of their powers, duties and functions. These reports provide the Director with an overview of mental health services and any arising problems.</w:t>
      </w:r>
    </w:p>
    <w:p w14:paraId="6C200470" w14:textId="77777777" w:rsidR="00DC033E" w:rsidRDefault="00DC033E" w:rsidP="00DC033E"/>
    <w:p w14:paraId="558CBB9E" w14:textId="16739B78" w:rsidR="00740DA6" w:rsidRPr="00EC5EF1" w:rsidRDefault="00740DA6" w:rsidP="00DC033E">
      <w:r w:rsidRPr="00EC5EF1">
        <w:t>The Office’s responsibilities in relation to district inspectors include:</w:t>
      </w:r>
    </w:p>
    <w:p w14:paraId="13069017" w14:textId="77777777" w:rsidR="00740DA6" w:rsidRPr="00EC5EF1" w:rsidRDefault="00740DA6" w:rsidP="00DC033E">
      <w:pPr>
        <w:pStyle w:val="Bullet"/>
      </w:pPr>
      <w:r w:rsidRPr="00EC5EF1">
        <w:t>coordinating the appointment and reappointment of district inspectors</w:t>
      </w:r>
    </w:p>
    <w:p w14:paraId="7DD28736" w14:textId="77777777" w:rsidR="00740DA6" w:rsidRPr="00EC5EF1" w:rsidRDefault="00740DA6" w:rsidP="00DC033E">
      <w:pPr>
        <w:pStyle w:val="Bullet"/>
      </w:pPr>
      <w:r w:rsidRPr="00EC5EF1">
        <w:t>managing district inspector remuneration</w:t>
      </w:r>
    </w:p>
    <w:p w14:paraId="109A200D" w14:textId="77777777" w:rsidR="00740DA6" w:rsidRPr="00EC5EF1" w:rsidRDefault="00740DA6" w:rsidP="00DC033E">
      <w:pPr>
        <w:pStyle w:val="Bullet"/>
      </w:pPr>
      <w:r w:rsidRPr="00EC5EF1">
        <w:t>receiving and responding to monthly reports from district inspectors</w:t>
      </w:r>
    </w:p>
    <w:p w14:paraId="03CC48E6" w14:textId="77777777" w:rsidR="00740DA6" w:rsidRPr="00EC5EF1" w:rsidRDefault="00740DA6" w:rsidP="00DC033E">
      <w:pPr>
        <w:pStyle w:val="Bullet"/>
      </w:pPr>
      <w:r w:rsidRPr="00EC5EF1">
        <w:t>organising twice-yearly national meetings of district inspectors</w:t>
      </w:r>
    </w:p>
    <w:p w14:paraId="4F155F8B" w14:textId="77777777" w:rsidR="00740DA6" w:rsidRPr="00EC5EF1" w:rsidRDefault="00740DA6" w:rsidP="00DC033E">
      <w:pPr>
        <w:pStyle w:val="Bullet"/>
      </w:pPr>
      <w:r w:rsidRPr="00EC5EF1">
        <w:t>facilitating inquiries under section 95 of the Mental Health Act</w:t>
      </w:r>
    </w:p>
    <w:p w14:paraId="01FF35FC" w14:textId="77777777" w:rsidR="00740DA6" w:rsidRPr="00EC5EF1" w:rsidRDefault="00740DA6" w:rsidP="00DC033E">
      <w:pPr>
        <w:pStyle w:val="Bullet"/>
      </w:pPr>
      <w:proofErr w:type="gramStart"/>
      <w:r w:rsidRPr="00EC5EF1">
        <w:t>implementing</w:t>
      </w:r>
      <w:proofErr w:type="gramEnd"/>
      <w:r w:rsidRPr="00EC5EF1">
        <w:t xml:space="preserve"> the findings of section 95 inquiries.</w:t>
      </w:r>
    </w:p>
    <w:p w14:paraId="36C6B9E6" w14:textId="77777777" w:rsidR="00740DA6" w:rsidRPr="00EC5EF1" w:rsidRDefault="00740DA6" w:rsidP="00DC033E"/>
    <w:p w14:paraId="79860B43" w14:textId="36543B50" w:rsidR="00740DA6" w:rsidRDefault="00740DA6" w:rsidP="00DC033E">
      <w:r w:rsidRPr="00EC5EF1">
        <w:t>As at 31 December 2017, there were 3</w:t>
      </w:r>
      <w:r w:rsidR="0099470F">
        <w:t>5</w:t>
      </w:r>
      <w:r w:rsidRPr="00EC5EF1">
        <w:t xml:space="preserve"> district inspectors throughout New Zealand.</w:t>
      </w:r>
      <w:r w:rsidR="00DC033E">
        <w:t xml:space="preserve"> </w:t>
      </w:r>
      <w:r w:rsidRPr="00EC5EF1">
        <w:t>A list of current district inspectors is available on the Ministry of Health’s website (</w:t>
      </w:r>
      <w:r w:rsidRPr="00DC033E">
        <w:rPr>
          <w:rStyle w:val="Hyperlink"/>
        </w:rPr>
        <w:t>health.govt.nz</w:t>
      </w:r>
      <w:r w:rsidRPr="00EC5EF1">
        <w:t>) under Mental Health District</w:t>
      </w:r>
      <w:r w:rsidR="00DE0BB2">
        <w:t xml:space="preserve"> </w:t>
      </w:r>
      <w:r w:rsidRPr="00EC5EF1">
        <w:t>Inspectors.</w:t>
      </w:r>
    </w:p>
    <w:p w14:paraId="45647DCA" w14:textId="77777777" w:rsidR="00DC033E" w:rsidRPr="00EC5EF1" w:rsidRDefault="00DC033E" w:rsidP="00DC033E"/>
    <w:p w14:paraId="266AFB88" w14:textId="77777777" w:rsidR="00740DA6" w:rsidRPr="00EC5EF1" w:rsidRDefault="00740DA6" w:rsidP="00DC033E">
      <w:pPr>
        <w:pStyle w:val="Heading4"/>
      </w:pPr>
      <w:r w:rsidRPr="00EC5EF1">
        <w:t>Section 95 inquiries</w:t>
      </w:r>
    </w:p>
    <w:p w14:paraId="35F673EB" w14:textId="4E833026" w:rsidR="00740DA6" w:rsidRPr="00EC5EF1" w:rsidRDefault="00740DA6" w:rsidP="00DC033E">
      <w:r w:rsidRPr="00EC5EF1">
        <w:t>The Director will occasionally require a district</w:t>
      </w:r>
      <w:r w:rsidR="00DE0BB2">
        <w:t xml:space="preserve"> </w:t>
      </w:r>
      <w:r w:rsidRPr="00EC5EF1">
        <w:t>inspector</w:t>
      </w:r>
      <w:r w:rsidR="00DC033E">
        <w:t xml:space="preserve"> </w:t>
      </w:r>
      <w:r w:rsidRPr="00EC5EF1">
        <w:t>to carry out an inquiry under section 95 of the Mental Health Act (Ministry of Health 2012b). Such inquiries generally focus on systemic issues across one or more mental health services. They typically result in the district inspector making specific recommendations about the mental health services and/or their system.</w:t>
      </w:r>
    </w:p>
    <w:p w14:paraId="7F98EA42" w14:textId="77777777" w:rsidR="00DC033E" w:rsidRDefault="00DC033E" w:rsidP="00DC033E"/>
    <w:p w14:paraId="4AC9D2F7" w14:textId="19DAF294" w:rsidR="00740DA6" w:rsidRPr="00EC5EF1" w:rsidRDefault="00740DA6" w:rsidP="00DC033E">
      <w:r w:rsidRPr="00EC5EF1">
        <w:t>The Director considers the recommendations, and acts on any that have implications for the Ministry or the mental health sector. The Director later audits the DHB’s implementation of the recommendations.</w:t>
      </w:r>
    </w:p>
    <w:p w14:paraId="01FA254B" w14:textId="77777777" w:rsidR="00DC033E" w:rsidRDefault="00DC033E" w:rsidP="00DC033E"/>
    <w:p w14:paraId="3BAF2A58" w14:textId="285FE5A8" w:rsidR="00740DA6" w:rsidRPr="00EC5EF1" w:rsidRDefault="00740DA6" w:rsidP="00F72074">
      <w:pPr>
        <w:keepNext/>
      </w:pPr>
      <w:r w:rsidRPr="00EC5EF1">
        <w:lastRenderedPageBreak/>
        <w:t>The inquiry process is not completed until the Director considers that the DHB concerned and, if appropriate, the Ministry and all other DHBs have satisfactorily implemented the recommendations.</w:t>
      </w:r>
    </w:p>
    <w:p w14:paraId="54B47915" w14:textId="77777777" w:rsidR="00DC033E" w:rsidRDefault="00DC033E" w:rsidP="00DC033E"/>
    <w:p w14:paraId="49F838ED" w14:textId="2CDC83BA" w:rsidR="00740DA6" w:rsidRDefault="00740DA6" w:rsidP="00DC033E">
      <w:r w:rsidRPr="00EC5EF1">
        <w:rPr>
          <w:noProof/>
          <w:lang w:eastAsia="en-NZ"/>
        </w:rPr>
        <w:drawing>
          <wp:anchor distT="0" distB="0" distL="0" distR="0" simplePos="0" relativeHeight="251675648" behindDoc="0" locked="0" layoutInCell="1" allowOverlap="1" wp14:anchorId="34AEFE32" wp14:editId="22B62F71">
            <wp:simplePos x="0" y="0"/>
            <wp:positionH relativeFrom="page">
              <wp:posOffset>8060163</wp:posOffset>
            </wp:positionH>
            <wp:positionV relativeFrom="paragraph">
              <wp:posOffset>573762</wp:posOffset>
            </wp:positionV>
            <wp:extent cx="155575" cy="155575"/>
            <wp:effectExtent l="0" t="0" r="0" b="0"/>
            <wp:wrapNone/>
            <wp:docPr id="8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No section 95 inquiries were completed during 2017. Table 1 shows the number of completed section 95 inquiry reports received by the Director of Mental Health between 2003 and 2017.</w:t>
      </w:r>
    </w:p>
    <w:p w14:paraId="5518798B" w14:textId="77777777" w:rsidR="00DC033E" w:rsidRPr="00EC5EF1" w:rsidRDefault="00DC033E" w:rsidP="00DC033E"/>
    <w:p w14:paraId="46E0A8F4" w14:textId="26FB9E18" w:rsidR="00740DA6" w:rsidRPr="00EC5EF1" w:rsidRDefault="00740DA6" w:rsidP="00DC033E">
      <w:pPr>
        <w:pStyle w:val="Table"/>
      </w:pPr>
      <w:bookmarkStart w:id="23" w:name="_Toc2845745"/>
      <w:r w:rsidRPr="00EC5EF1">
        <w:t>Table 1: Number of completed section 95 inquiry reports received by the Director of Mental Health, 2003–2017</w:t>
      </w:r>
      <w:bookmarkEnd w:id="23"/>
    </w:p>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538"/>
        <w:gridCol w:w="539"/>
        <w:gridCol w:w="539"/>
        <w:gridCol w:w="538"/>
        <w:gridCol w:w="539"/>
        <w:gridCol w:w="539"/>
        <w:gridCol w:w="538"/>
        <w:gridCol w:w="539"/>
        <w:gridCol w:w="539"/>
        <w:gridCol w:w="538"/>
        <w:gridCol w:w="539"/>
        <w:gridCol w:w="539"/>
        <w:gridCol w:w="538"/>
        <w:gridCol w:w="539"/>
        <w:gridCol w:w="539"/>
      </w:tblGrid>
      <w:tr w:rsidR="00DC033E" w:rsidRPr="00DC033E" w14:paraId="28B6C6A8" w14:textId="77777777" w:rsidTr="00125224">
        <w:trPr>
          <w:cantSplit/>
        </w:trPr>
        <w:tc>
          <w:tcPr>
            <w:tcW w:w="538" w:type="dxa"/>
            <w:tcBorders>
              <w:top w:val="nil"/>
              <w:bottom w:val="nil"/>
            </w:tcBorders>
            <w:shd w:val="clear" w:color="auto" w:fill="D9D9D9" w:themeFill="background1" w:themeFillShade="D9"/>
          </w:tcPr>
          <w:p w14:paraId="2557E702" w14:textId="77777777" w:rsidR="00DC033E" w:rsidRPr="00DC033E" w:rsidRDefault="00DC033E" w:rsidP="00DC033E">
            <w:pPr>
              <w:pStyle w:val="TableText"/>
              <w:jc w:val="center"/>
              <w:rPr>
                <w:b/>
              </w:rPr>
            </w:pPr>
            <w:r w:rsidRPr="00DC033E">
              <w:rPr>
                <w:b/>
              </w:rPr>
              <w:t>2003</w:t>
            </w:r>
          </w:p>
        </w:tc>
        <w:tc>
          <w:tcPr>
            <w:tcW w:w="539" w:type="dxa"/>
            <w:tcBorders>
              <w:top w:val="nil"/>
              <w:bottom w:val="nil"/>
            </w:tcBorders>
            <w:shd w:val="clear" w:color="auto" w:fill="D9D9D9" w:themeFill="background1" w:themeFillShade="D9"/>
          </w:tcPr>
          <w:p w14:paraId="3845EF8D" w14:textId="77777777" w:rsidR="00DC033E" w:rsidRPr="00DC033E" w:rsidRDefault="00DC033E" w:rsidP="00DC033E">
            <w:pPr>
              <w:pStyle w:val="TableText"/>
              <w:jc w:val="center"/>
              <w:rPr>
                <w:b/>
              </w:rPr>
            </w:pPr>
            <w:r w:rsidRPr="00DC033E">
              <w:rPr>
                <w:b/>
              </w:rPr>
              <w:t>2004</w:t>
            </w:r>
          </w:p>
        </w:tc>
        <w:tc>
          <w:tcPr>
            <w:tcW w:w="539" w:type="dxa"/>
            <w:tcBorders>
              <w:top w:val="nil"/>
              <w:bottom w:val="nil"/>
            </w:tcBorders>
            <w:shd w:val="clear" w:color="auto" w:fill="D9D9D9" w:themeFill="background1" w:themeFillShade="D9"/>
          </w:tcPr>
          <w:p w14:paraId="6E03B40F" w14:textId="77777777" w:rsidR="00DC033E" w:rsidRPr="00DC033E" w:rsidRDefault="00DC033E" w:rsidP="00DC033E">
            <w:pPr>
              <w:pStyle w:val="TableText"/>
              <w:jc w:val="center"/>
              <w:rPr>
                <w:b/>
              </w:rPr>
            </w:pPr>
            <w:r w:rsidRPr="00DC033E">
              <w:rPr>
                <w:b/>
              </w:rPr>
              <w:t>2005</w:t>
            </w:r>
          </w:p>
        </w:tc>
        <w:tc>
          <w:tcPr>
            <w:tcW w:w="538" w:type="dxa"/>
            <w:tcBorders>
              <w:top w:val="nil"/>
              <w:bottom w:val="nil"/>
            </w:tcBorders>
            <w:shd w:val="clear" w:color="auto" w:fill="D9D9D9" w:themeFill="background1" w:themeFillShade="D9"/>
          </w:tcPr>
          <w:p w14:paraId="1F1F9A5D" w14:textId="77777777" w:rsidR="00DC033E" w:rsidRPr="00DC033E" w:rsidRDefault="00DC033E" w:rsidP="00DC033E">
            <w:pPr>
              <w:pStyle w:val="TableText"/>
              <w:jc w:val="center"/>
              <w:rPr>
                <w:b/>
              </w:rPr>
            </w:pPr>
            <w:r w:rsidRPr="00DC033E">
              <w:rPr>
                <w:b/>
              </w:rPr>
              <w:t>2006</w:t>
            </w:r>
          </w:p>
        </w:tc>
        <w:tc>
          <w:tcPr>
            <w:tcW w:w="539" w:type="dxa"/>
            <w:tcBorders>
              <w:top w:val="nil"/>
              <w:bottom w:val="nil"/>
            </w:tcBorders>
            <w:shd w:val="clear" w:color="auto" w:fill="D9D9D9" w:themeFill="background1" w:themeFillShade="D9"/>
          </w:tcPr>
          <w:p w14:paraId="1A719F74" w14:textId="77777777" w:rsidR="00DC033E" w:rsidRPr="00DC033E" w:rsidRDefault="00DC033E" w:rsidP="00DC033E">
            <w:pPr>
              <w:pStyle w:val="TableText"/>
              <w:jc w:val="center"/>
              <w:rPr>
                <w:b/>
              </w:rPr>
            </w:pPr>
            <w:r w:rsidRPr="00DC033E">
              <w:rPr>
                <w:b/>
              </w:rPr>
              <w:t>2007</w:t>
            </w:r>
          </w:p>
        </w:tc>
        <w:tc>
          <w:tcPr>
            <w:tcW w:w="539" w:type="dxa"/>
            <w:tcBorders>
              <w:top w:val="nil"/>
              <w:bottom w:val="nil"/>
            </w:tcBorders>
            <w:shd w:val="clear" w:color="auto" w:fill="D9D9D9" w:themeFill="background1" w:themeFillShade="D9"/>
          </w:tcPr>
          <w:p w14:paraId="13FEEB6D" w14:textId="77777777" w:rsidR="00DC033E" w:rsidRPr="00DC033E" w:rsidRDefault="00DC033E" w:rsidP="00DC033E">
            <w:pPr>
              <w:pStyle w:val="TableText"/>
              <w:jc w:val="center"/>
              <w:rPr>
                <w:b/>
              </w:rPr>
            </w:pPr>
            <w:r w:rsidRPr="00DC033E">
              <w:rPr>
                <w:b/>
              </w:rPr>
              <w:t>2008</w:t>
            </w:r>
          </w:p>
        </w:tc>
        <w:tc>
          <w:tcPr>
            <w:tcW w:w="538" w:type="dxa"/>
            <w:tcBorders>
              <w:top w:val="nil"/>
              <w:bottom w:val="nil"/>
            </w:tcBorders>
            <w:shd w:val="clear" w:color="auto" w:fill="D9D9D9" w:themeFill="background1" w:themeFillShade="D9"/>
          </w:tcPr>
          <w:p w14:paraId="359A769C" w14:textId="77777777" w:rsidR="00DC033E" w:rsidRPr="00DC033E" w:rsidRDefault="00DC033E" w:rsidP="00DC033E">
            <w:pPr>
              <w:pStyle w:val="TableText"/>
              <w:jc w:val="center"/>
              <w:rPr>
                <w:b/>
              </w:rPr>
            </w:pPr>
            <w:r w:rsidRPr="00DC033E">
              <w:rPr>
                <w:b/>
              </w:rPr>
              <w:t>2009</w:t>
            </w:r>
          </w:p>
        </w:tc>
        <w:tc>
          <w:tcPr>
            <w:tcW w:w="539" w:type="dxa"/>
            <w:tcBorders>
              <w:top w:val="nil"/>
              <w:bottom w:val="nil"/>
            </w:tcBorders>
            <w:shd w:val="clear" w:color="auto" w:fill="D9D9D9" w:themeFill="background1" w:themeFillShade="D9"/>
          </w:tcPr>
          <w:p w14:paraId="01C5197D" w14:textId="77777777" w:rsidR="00DC033E" w:rsidRPr="00DC033E" w:rsidRDefault="00DC033E" w:rsidP="00DC033E">
            <w:pPr>
              <w:pStyle w:val="TableText"/>
              <w:jc w:val="center"/>
              <w:rPr>
                <w:b/>
              </w:rPr>
            </w:pPr>
            <w:r w:rsidRPr="00DC033E">
              <w:rPr>
                <w:b/>
              </w:rPr>
              <w:t>2010</w:t>
            </w:r>
          </w:p>
        </w:tc>
        <w:tc>
          <w:tcPr>
            <w:tcW w:w="539" w:type="dxa"/>
            <w:tcBorders>
              <w:top w:val="nil"/>
              <w:bottom w:val="nil"/>
            </w:tcBorders>
            <w:shd w:val="clear" w:color="auto" w:fill="D9D9D9" w:themeFill="background1" w:themeFillShade="D9"/>
          </w:tcPr>
          <w:p w14:paraId="016F8996" w14:textId="77777777" w:rsidR="00DC033E" w:rsidRPr="00DC033E" w:rsidRDefault="00DC033E" w:rsidP="00DC033E">
            <w:pPr>
              <w:pStyle w:val="TableText"/>
              <w:jc w:val="center"/>
              <w:rPr>
                <w:b/>
              </w:rPr>
            </w:pPr>
            <w:r w:rsidRPr="00DC033E">
              <w:rPr>
                <w:b/>
              </w:rPr>
              <w:t>2011</w:t>
            </w:r>
          </w:p>
        </w:tc>
        <w:tc>
          <w:tcPr>
            <w:tcW w:w="538" w:type="dxa"/>
            <w:tcBorders>
              <w:top w:val="nil"/>
              <w:bottom w:val="nil"/>
            </w:tcBorders>
            <w:shd w:val="clear" w:color="auto" w:fill="D9D9D9" w:themeFill="background1" w:themeFillShade="D9"/>
          </w:tcPr>
          <w:p w14:paraId="2EFDE350" w14:textId="77777777" w:rsidR="00DC033E" w:rsidRPr="00DC033E" w:rsidRDefault="00DC033E" w:rsidP="00DC033E">
            <w:pPr>
              <w:pStyle w:val="TableText"/>
              <w:jc w:val="center"/>
              <w:rPr>
                <w:b/>
              </w:rPr>
            </w:pPr>
            <w:r w:rsidRPr="00DC033E">
              <w:rPr>
                <w:b/>
              </w:rPr>
              <w:t>2012</w:t>
            </w:r>
          </w:p>
        </w:tc>
        <w:tc>
          <w:tcPr>
            <w:tcW w:w="539" w:type="dxa"/>
            <w:tcBorders>
              <w:top w:val="nil"/>
              <w:bottom w:val="nil"/>
            </w:tcBorders>
            <w:shd w:val="clear" w:color="auto" w:fill="D9D9D9" w:themeFill="background1" w:themeFillShade="D9"/>
          </w:tcPr>
          <w:p w14:paraId="5D0637CA" w14:textId="77777777" w:rsidR="00DC033E" w:rsidRPr="00DC033E" w:rsidRDefault="00DC033E" w:rsidP="00DC033E">
            <w:pPr>
              <w:pStyle w:val="TableText"/>
              <w:jc w:val="center"/>
              <w:rPr>
                <w:b/>
              </w:rPr>
            </w:pPr>
            <w:r w:rsidRPr="00DC033E">
              <w:rPr>
                <w:b/>
              </w:rPr>
              <w:t>2013</w:t>
            </w:r>
          </w:p>
        </w:tc>
        <w:tc>
          <w:tcPr>
            <w:tcW w:w="539" w:type="dxa"/>
            <w:tcBorders>
              <w:top w:val="nil"/>
              <w:bottom w:val="nil"/>
            </w:tcBorders>
            <w:shd w:val="clear" w:color="auto" w:fill="D9D9D9" w:themeFill="background1" w:themeFillShade="D9"/>
          </w:tcPr>
          <w:p w14:paraId="5297353C" w14:textId="77777777" w:rsidR="00DC033E" w:rsidRPr="00DC033E" w:rsidRDefault="00DC033E" w:rsidP="00DC033E">
            <w:pPr>
              <w:pStyle w:val="TableText"/>
              <w:jc w:val="center"/>
              <w:rPr>
                <w:b/>
              </w:rPr>
            </w:pPr>
            <w:r w:rsidRPr="00DC033E">
              <w:rPr>
                <w:b/>
              </w:rPr>
              <w:t>2014</w:t>
            </w:r>
          </w:p>
        </w:tc>
        <w:tc>
          <w:tcPr>
            <w:tcW w:w="538" w:type="dxa"/>
            <w:tcBorders>
              <w:top w:val="nil"/>
              <w:bottom w:val="nil"/>
            </w:tcBorders>
            <w:shd w:val="clear" w:color="auto" w:fill="D9D9D9" w:themeFill="background1" w:themeFillShade="D9"/>
          </w:tcPr>
          <w:p w14:paraId="0DE20FB9" w14:textId="77777777" w:rsidR="00DC033E" w:rsidRPr="00DC033E" w:rsidRDefault="00DC033E" w:rsidP="00DC033E">
            <w:pPr>
              <w:pStyle w:val="TableText"/>
              <w:jc w:val="center"/>
              <w:rPr>
                <w:b/>
              </w:rPr>
            </w:pPr>
            <w:r w:rsidRPr="00DC033E">
              <w:rPr>
                <w:b/>
              </w:rPr>
              <w:t>2015</w:t>
            </w:r>
          </w:p>
        </w:tc>
        <w:tc>
          <w:tcPr>
            <w:tcW w:w="539" w:type="dxa"/>
            <w:tcBorders>
              <w:top w:val="nil"/>
              <w:bottom w:val="nil"/>
            </w:tcBorders>
            <w:shd w:val="clear" w:color="auto" w:fill="D9D9D9" w:themeFill="background1" w:themeFillShade="D9"/>
          </w:tcPr>
          <w:p w14:paraId="3481E647" w14:textId="77777777" w:rsidR="00DC033E" w:rsidRPr="00DC033E" w:rsidRDefault="00DC033E" w:rsidP="00DC033E">
            <w:pPr>
              <w:pStyle w:val="TableText"/>
              <w:jc w:val="center"/>
              <w:rPr>
                <w:b/>
              </w:rPr>
            </w:pPr>
            <w:r w:rsidRPr="00DC033E">
              <w:rPr>
                <w:b/>
              </w:rPr>
              <w:t>2016</w:t>
            </w:r>
          </w:p>
        </w:tc>
        <w:tc>
          <w:tcPr>
            <w:tcW w:w="539" w:type="dxa"/>
            <w:tcBorders>
              <w:top w:val="nil"/>
              <w:bottom w:val="nil"/>
            </w:tcBorders>
            <w:shd w:val="clear" w:color="auto" w:fill="D9D9D9" w:themeFill="background1" w:themeFillShade="D9"/>
          </w:tcPr>
          <w:p w14:paraId="766C02DD" w14:textId="77777777" w:rsidR="00DC033E" w:rsidRPr="00DC033E" w:rsidRDefault="00DC033E" w:rsidP="00DC033E">
            <w:pPr>
              <w:pStyle w:val="TableText"/>
              <w:jc w:val="center"/>
              <w:rPr>
                <w:b/>
              </w:rPr>
            </w:pPr>
            <w:r w:rsidRPr="00DC033E">
              <w:rPr>
                <w:b/>
              </w:rPr>
              <w:t>2017</w:t>
            </w:r>
          </w:p>
        </w:tc>
      </w:tr>
      <w:tr w:rsidR="00DC033E" w:rsidRPr="00DC033E" w14:paraId="53D6EBA0" w14:textId="77777777" w:rsidTr="00125224">
        <w:trPr>
          <w:cantSplit/>
        </w:trPr>
        <w:tc>
          <w:tcPr>
            <w:tcW w:w="538" w:type="dxa"/>
            <w:tcBorders>
              <w:top w:val="nil"/>
            </w:tcBorders>
          </w:tcPr>
          <w:p w14:paraId="1C8158CE" w14:textId="77777777" w:rsidR="00DC033E" w:rsidRPr="00DC033E" w:rsidRDefault="00DC033E" w:rsidP="00DC033E">
            <w:pPr>
              <w:pStyle w:val="TableText"/>
              <w:jc w:val="center"/>
            </w:pPr>
            <w:r w:rsidRPr="00DC033E">
              <w:t>1</w:t>
            </w:r>
          </w:p>
        </w:tc>
        <w:tc>
          <w:tcPr>
            <w:tcW w:w="539" w:type="dxa"/>
            <w:tcBorders>
              <w:top w:val="nil"/>
            </w:tcBorders>
          </w:tcPr>
          <w:p w14:paraId="29389F71" w14:textId="77777777" w:rsidR="00DC033E" w:rsidRPr="00DC033E" w:rsidRDefault="00DC033E" w:rsidP="00DC033E">
            <w:pPr>
              <w:pStyle w:val="TableText"/>
              <w:jc w:val="center"/>
            </w:pPr>
            <w:r w:rsidRPr="00DC033E">
              <w:t>2</w:t>
            </w:r>
          </w:p>
        </w:tc>
        <w:tc>
          <w:tcPr>
            <w:tcW w:w="539" w:type="dxa"/>
            <w:tcBorders>
              <w:top w:val="nil"/>
            </w:tcBorders>
          </w:tcPr>
          <w:p w14:paraId="7C498C43" w14:textId="77777777" w:rsidR="00DC033E" w:rsidRPr="00DC033E" w:rsidRDefault="00DC033E" w:rsidP="00DC033E">
            <w:pPr>
              <w:pStyle w:val="TableText"/>
              <w:jc w:val="center"/>
            </w:pPr>
            <w:r w:rsidRPr="00DC033E">
              <w:t>1</w:t>
            </w:r>
          </w:p>
        </w:tc>
        <w:tc>
          <w:tcPr>
            <w:tcW w:w="538" w:type="dxa"/>
            <w:tcBorders>
              <w:top w:val="nil"/>
            </w:tcBorders>
          </w:tcPr>
          <w:p w14:paraId="2C96DADB" w14:textId="77777777" w:rsidR="00DC033E" w:rsidRPr="00DC033E" w:rsidRDefault="00DC033E" w:rsidP="00DC033E">
            <w:pPr>
              <w:pStyle w:val="TableText"/>
              <w:jc w:val="center"/>
            </w:pPr>
            <w:r w:rsidRPr="00DC033E">
              <w:t>4</w:t>
            </w:r>
          </w:p>
        </w:tc>
        <w:tc>
          <w:tcPr>
            <w:tcW w:w="539" w:type="dxa"/>
            <w:tcBorders>
              <w:top w:val="nil"/>
            </w:tcBorders>
          </w:tcPr>
          <w:p w14:paraId="3256C86B" w14:textId="77777777" w:rsidR="00DC033E" w:rsidRPr="00DC033E" w:rsidRDefault="00DC033E" w:rsidP="00DC033E">
            <w:pPr>
              <w:pStyle w:val="TableText"/>
              <w:jc w:val="center"/>
            </w:pPr>
            <w:r w:rsidRPr="00DC033E">
              <w:t>1</w:t>
            </w:r>
          </w:p>
        </w:tc>
        <w:tc>
          <w:tcPr>
            <w:tcW w:w="539" w:type="dxa"/>
            <w:tcBorders>
              <w:top w:val="nil"/>
            </w:tcBorders>
          </w:tcPr>
          <w:p w14:paraId="465387F0" w14:textId="77777777" w:rsidR="00DC033E" w:rsidRPr="00DC033E" w:rsidRDefault="00DC033E" w:rsidP="00DC033E">
            <w:pPr>
              <w:pStyle w:val="TableText"/>
              <w:jc w:val="center"/>
            </w:pPr>
            <w:r w:rsidRPr="00DC033E">
              <w:t>1</w:t>
            </w:r>
          </w:p>
        </w:tc>
        <w:tc>
          <w:tcPr>
            <w:tcW w:w="538" w:type="dxa"/>
            <w:tcBorders>
              <w:top w:val="nil"/>
            </w:tcBorders>
          </w:tcPr>
          <w:p w14:paraId="0D92DE94" w14:textId="77777777" w:rsidR="00DC033E" w:rsidRPr="00DC033E" w:rsidRDefault="00DC033E" w:rsidP="00DC033E">
            <w:pPr>
              <w:pStyle w:val="TableText"/>
              <w:jc w:val="center"/>
            </w:pPr>
            <w:r w:rsidRPr="00DC033E">
              <w:t>3</w:t>
            </w:r>
          </w:p>
        </w:tc>
        <w:tc>
          <w:tcPr>
            <w:tcW w:w="539" w:type="dxa"/>
            <w:tcBorders>
              <w:top w:val="nil"/>
            </w:tcBorders>
          </w:tcPr>
          <w:p w14:paraId="567185D1" w14:textId="77777777" w:rsidR="00DC033E" w:rsidRPr="00DC033E" w:rsidRDefault="00DC033E" w:rsidP="00DC033E">
            <w:pPr>
              <w:pStyle w:val="TableText"/>
              <w:jc w:val="center"/>
            </w:pPr>
            <w:r w:rsidRPr="00DC033E">
              <w:t>2</w:t>
            </w:r>
          </w:p>
        </w:tc>
        <w:tc>
          <w:tcPr>
            <w:tcW w:w="539" w:type="dxa"/>
            <w:tcBorders>
              <w:top w:val="nil"/>
            </w:tcBorders>
          </w:tcPr>
          <w:p w14:paraId="5C2789A7" w14:textId="77777777" w:rsidR="00DC033E" w:rsidRPr="00DC033E" w:rsidRDefault="00DC033E" w:rsidP="00DC033E">
            <w:pPr>
              <w:pStyle w:val="TableText"/>
              <w:jc w:val="center"/>
            </w:pPr>
            <w:r w:rsidRPr="00DC033E">
              <w:t>1</w:t>
            </w:r>
          </w:p>
        </w:tc>
        <w:tc>
          <w:tcPr>
            <w:tcW w:w="538" w:type="dxa"/>
            <w:tcBorders>
              <w:top w:val="nil"/>
            </w:tcBorders>
          </w:tcPr>
          <w:p w14:paraId="73D8A6A1" w14:textId="77777777" w:rsidR="00DC033E" w:rsidRPr="00DC033E" w:rsidRDefault="00DC033E" w:rsidP="00DC033E">
            <w:pPr>
              <w:pStyle w:val="TableText"/>
              <w:jc w:val="center"/>
            </w:pPr>
            <w:r w:rsidRPr="00DC033E">
              <w:t>1</w:t>
            </w:r>
          </w:p>
        </w:tc>
        <w:tc>
          <w:tcPr>
            <w:tcW w:w="539" w:type="dxa"/>
            <w:tcBorders>
              <w:top w:val="nil"/>
            </w:tcBorders>
          </w:tcPr>
          <w:p w14:paraId="597D5BF5" w14:textId="77777777" w:rsidR="00DC033E" w:rsidRPr="00DC033E" w:rsidRDefault="00DC033E" w:rsidP="00DC033E">
            <w:pPr>
              <w:pStyle w:val="TableText"/>
              <w:jc w:val="center"/>
            </w:pPr>
            <w:r w:rsidRPr="00DC033E">
              <w:t>0</w:t>
            </w:r>
          </w:p>
        </w:tc>
        <w:tc>
          <w:tcPr>
            <w:tcW w:w="539" w:type="dxa"/>
            <w:tcBorders>
              <w:top w:val="nil"/>
            </w:tcBorders>
          </w:tcPr>
          <w:p w14:paraId="393DAE61" w14:textId="77777777" w:rsidR="00DC033E" w:rsidRPr="00DC033E" w:rsidRDefault="00DC033E" w:rsidP="00DC033E">
            <w:pPr>
              <w:pStyle w:val="TableText"/>
              <w:jc w:val="center"/>
            </w:pPr>
            <w:r w:rsidRPr="00DC033E">
              <w:t>0</w:t>
            </w:r>
          </w:p>
        </w:tc>
        <w:tc>
          <w:tcPr>
            <w:tcW w:w="538" w:type="dxa"/>
            <w:tcBorders>
              <w:top w:val="nil"/>
            </w:tcBorders>
          </w:tcPr>
          <w:p w14:paraId="0E579A0E" w14:textId="77777777" w:rsidR="00DC033E" w:rsidRPr="00DC033E" w:rsidRDefault="00DC033E" w:rsidP="00DC033E">
            <w:pPr>
              <w:pStyle w:val="TableText"/>
              <w:jc w:val="center"/>
            </w:pPr>
            <w:r w:rsidRPr="00DC033E">
              <w:t>1</w:t>
            </w:r>
          </w:p>
        </w:tc>
        <w:tc>
          <w:tcPr>
            <w:tcW w:w="539" w:type="dxa"/>
            <w:tcBorders>
              <w:top w:val="nil"/>
            </w:tcBorders>
          </w:tcPr>
          <w:p w14:paraId="51BDC441" w14:textId="77777777" w:rsidR="00DC033E" w:rsidRPr="00DC033E" w:rsidRDefault="00DC033E" w:rsidP="00DC033E">
            <w:pPr>
              <w:pStyle w:val="TableText"/>
              <w:jc w:val="center"/>
            </w:pPr>
            <w:r w:rsidRPr="00DC033E">
              <w:t>2</w:t>
            </w:r>
          </w:p>
        </w:tc>
        <w:tc>
          <w:tcPr>
            <w:tcW w:w="539" w:type="dxa"/>
            <w:tcBorders>
              <w:top w:val="nil"/>
            </w:tcBorders>
          </w:tcPr>
          <w:p w14:paraId="781EE227" w14:textId="77777777" w:rsidR="00DC033E" w:rsidRPr="00DC033E" w:rsidRDefault="00DC033E" w:rsidP="00DC033E">
            <w:pPr>
              <w:pStyle w:val="TableText"/>
              <w:jc w:val="center"/>
            </w:pPr>
            <w:r w:rsidRPr="00DC033E">
              <w:t>0</w:t>
            </w:r>
          </w:p>
        </w:tc>
      </w:tr>
    </w:tbl>
    <w:p w14:paraId="50C87889" w14:textId="771A43E5" w:rsidR="00740DA6" w:rsidRDefault="00740DA6" w:rsidP="00DC033E">
      <w:pPr>
        <w:pStyle w:val="Source"/>
      </w:pPr>
      <w:r w:rsidRPr="00EC5EF1">
        <w:t>Source: Office of the Director of Mental Health and Addiction Services records</w:t>
      </w:r>
    </w:p>
    <w:p w14:paraId="45ABA22D" w14:textId="77777777" w:rsidR="00DC033E" w:rsidRPr="00DC033E" w:rsidRDefault="00DC033E" w:rsidP="00125224"/>
    <w:p w14:paraId="35C50DC4" w14:textId="77777777" w:rsidR="00740DA6" w:rsidRPr="00EC5EF1" w:rsidRDefault="00740DA6" w:rsidP="005459E0">
      <w:pPr>
        <w:pStyle w:val="Heading4"/>
      </w:pPr>
      <w:r w:rsidRPr="00EC5EF1">
        <w:t>The New Zealand Mental Health Review Tribunal</w:t>
      </w:r>
    </w:p>
    <w:p w14:paraId="63ADF004" w14:textId="3F682C82" w:rsidR="00740DA6" w:rsidRDefault="00740DA6" w:rsidP="005459E0">
      <w:r w:rsidRPr="00EC5EF1">
        <w:t>The New Zealand Mental Health Review Tribunal (the Tribunal) is a specialist independent tribunal empowered by law to review compulsory treatment orders, special patient orders and restricted patient orders. If a person disagrees with their treatment under the Mental Health Act, they can apply to the Tribunal for an examination of their condition and whether it is necessary to continue compulsory treatment. Where the Tribunal considers it appropriate, it may release the person from compulsory treatment status.</w:t>
      </w:r>
    </w:p>
    <w:p w14:paraId="1A8051F8" w14:textId="77777777" w:rsidR="005459E0" w:rsidRPr="00EC5EF1" w:rsidRDefault="005459E0" w:rsidP="005459E0"/>
    <w:p w14:paraId="30E18B77" w14:textId="77777777" w:rsidR="00740DA6" w:rsidRPr="00EC5EF1" w:rsidRDefault="00740DA6" w:rsidP="005459E0">
      <w:r w:rsidRPr="00EC5EF1">
        <w:t>The Tribunal comprises three members, one of whom must be a lawyer, one a psychiatrist and one a community member. A number of deputy members are also appointed to each position, to act where a particular member is not available.</w:t>
      </w:r>
    </w:p>
    <w:p w14:paraId="56FB7C2C" w14:textId="77777777" w:rsidR="00D11995" w:rsidRDefault="00D11995" w:rsidP="005459E0"/>
    <w:p w14:paraId="3E0113F2" w14:textId="77777777" w:rsidR="00740DA6" w:rsidRPr="00EC5EF1" w:rsidRDefault="00740DA6" w:rsidP="005459E0">
      <w:r w:rsidRPr="00EC5EF1">
        <w:t xml:space="preserve">A selection of the Tribunal’s published cases is available online (see </w:t>
      </w:r>
      <w:hyperlink r:id="rId29">
        <w:r w:rsidRPr="006E630C">
          <w:rPr>
            <w:rStyle w:val="Hyperlink"/>
          </w:rPr>
          <w:t>www.nzlii.org/nz/</w:t>
        </w:r>
      </w:hyperlink>
      <w:r w:rsidRPr="006E630C">
        <w:rPr>
          <w:rStyle w:val="Hyperlink"/>
        </w:rPr>
        <w:t xml:space="preserve"> cases/NZMHRT</w:t>
      </w:r>
      <w:r w:rsidRPr="00EC5EF1">
        <w:t>). The Tribunal carefully anonymises these cases to respect the privacy of the individuals and family/whānau involved. The intention of publication is to improve public understanding of both the Tribunal’s work and mental health law and practices.</w:t>
      </w:r>
    </w:p>
    <w:p w14:paraId="3D24347E" w14:textId="77777777" w:rsidR="006E630C" w:rsidRDefault="006E630C" w:rsidP="006E630C"/>
    <w:p w14:paraId="4A66FBE9" w14:textId="1FD157DB" w:rsidR="00740DA6" w:rsidRPr="00EC5EF1" w:rsidRDefault="00740DA6" w:rsidP="006E630C">
      <w:r w:rsidRPr="00EC5EF1">
        <w:t>The main function of the Tribunal is to review the condition of people in accordance with sections 79 and 80 of the Mental Health Act. Section 79 relates to people who are subject to ordinary compulsory treatment orders, and section 80 relates to the status of special patients. During the year ending 30 June 2017, the Tribunal heard 69 cases of contested treatment orders. In six cases (8.7 percent), a person was deemed fit to be released from compulsory status.</w:t>
      </w:r>
    </w:p>
    <w:p w14:paraId="02DBC0C9" w14:textId="77777777" w:rsidR="006E630C" w:rsidRDefault="006E630C" w:rsidP="006E630C"/>
    <w:p w14:paraId="53D87198" w14:textId="156F0931" w:rsidR="00740DA6" w:rsidRPr="00EC5EF1" w:rsidRDefault="00740DA6" w:rsidP="006E630C">
      <w:r w:rsidRPr="00EC5EF1">
        <w:t>The Tribunal has a number of other functions under the Mental Health Act, including</w:t>
      </w:r>
      <w:r w:rsidR="006E630C">
        <w:t xml:space="preserve"> </w:t>
      </w:r>
      <w:r w:rsidRPr="00EC5EF1">
        <w:t>reviewing the condition of restricted patients</w:t>
      </w:r>
      <w:r w:rsidR="006E630C">
        <w:t xml:space="preserve"> </w:t>
      </w:r>
      <w:r w:rsidRPr="00EC5EF1">
        <w:t>(section 81), considering complaints when people are dissatisfied with the outcome of a district inspector’s investigation (section 75) and appointing psychiatrists authorised to carry out second opinions under the Mental Health Act (sections 59–61).</w:t>
      </w:r>
    </w:p>
    <w:p w14:paraId="4F7B6862" w14:textId="77777777" w:rsidR="00D11995" w:rsidRDefault="00D11995" w:rsidP="006E630C"/>
    <w:p w14:paraId="3884F091" w14:textId="4246D6B8" w:rsidR="00740DA6" w:rsidRPr="00EC5EF1" w:rsidRDefault="00740DA6" w:rsidP="006E630C">
      <w:r w:rsidRPr="00EC5EF1">
        <w:rPr>
          <w:noProof/>
          <w:lang w:eastAsia="en-NZ"/>
        </w:rPr>
        <w:lastRenderedPageBreak/>
        <w:drawing>
          <wp:anchor distT="0" distB="0" distL="0" distR="0" simplePos="0" relativeHeight="251677696" behindDoc="0" locked="0" layoutInCell="1" allowOverlap="1" wp14:anchorId="68B33060" wp14:editId="32A8346D">
            <wp:simplePos x="0" y="0"/>
            <wp:positionH relativeFrom="page">
              <wp:posOffset>8060163</wp:posOffset>
            </wp:positionH>
            <wp:positionV relativeFrom="paragraph">
              <wp:posOffset>442578</wp:posOffset>
            </wp:positionV>
            <wp:extent cx="155575" cy="155575"/>
            <wp:effectExtent l="0" t="0" r="0" b="0"/>
            <wp:wrapNone/>
            <wp:docPr id="8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Under section 80 of the Mental Health Act, the Tribunal makes recommendations relating to special patients to the Minister of Health or the Attorney-General, who determine whether there should be a change to the patients’ legal status.</w:t>
      </w:r>
    </w:p>
    <w:p w14:paraId="717B1274" w14:textId="77777777" w:rsidR="006E630C" w:rsidRDefault="006E630C" w:rsidP="006E630C"/>
    <w:p w14:paraId="5F0DBF1E" w14:textId="5FC05B4A" w:rsidR="00740DA6" w:rsidRPr="00EC5EF1" w:rsidRDefault="00740DA6" w:rsidP="006E630C">
      <w:r w:rsidRPr="00EC5EF1">
        <w:t>The Tribunal may also investigate a complaint if the complainant is dissatisfied with a district inspector’s investigation. If the Tribunal decides a complaint has substance, it must report the matter to the relevant DAMHS, with appropriate recommendations. The DAMHS must then take all necessary steps to remedy the matter.</w:t>
      </w:r>
    </w:p>
    <w:p w14:paraId="56FD52CB" w14:textId="77777777" w:rsidR="006E630C" w:rsidRDefault="006E630C" w:rsidP="006E630C"/>
    <w:p w14:paraId="2D69D6F0" w14:textId="197FCD8D" w:rsidR="00740DA6" w:rsidRPr="00EC5EF1" w:rsidRDefault="00740DA6" w:rsidP="006E630C">
      <w:r w:rsidRPr="00EC5EF1">
        <w:t>For more information about the Tribunal’s activities for the year ending 30 June 2017, see Appendix 2: Additional statistics.</w:t>
      </w:r>
    </w:p>
    <w:p w14:paraId="50678463" w14:textId="77777777" w:rsidR="00740DA6" w:rsidRPr="00EC5EF1" w:rsidRDefault="00740DA6" w:rsidP="006E630C"/>
    <w:p w14:paraId="0FFB807D" w14:textId="77777777" w:rsidR="00740DA6" w:rsidRPr="00EC5EF1" w:rsidRDefault="00740DA6" w:rsidP="006E630C">
      <w:pPr>
        <w:pStyle w:val="Heading1"/>
      </w:pPr>
      <w:bookmarkStart w:id="24" w:name="_Toc2845625"/>
      <w:r w:rsidRPr="00EC5EF1">
        <w:lastRenderedPageBreak/>
        <w:t>Activities for 2017</w:t>
      </w:r>
      <w:bookmarkEnd w:id="24"/>
    </w:p>
    <w:p w14:paraId="5A9A63FD" w14:textId="77777777" w:rsidR="00740DA6" w:rsidRPr="00EC5EF1" w:rsidRDefault="00740DA6" w:rsidP="006E630C">
      <w:pPr>
        <w:pStyle w:val="Heading2"/>
      </w:pPr>
      <w:bookmarkStart w:id="25" w:name="_Toc2845626"/>
      <w:r w:rsidRPr="00EC5EF1">
        <w:t>Mental health and addictions sector relationships</w:t>
      </w:r>
      <w:bookmarkEnd w:id="25"/>
    </w:p>
    <w:p w14:paraId="021FFAD0" w14:textId="29FCF7EE" w:rsidR="00740DA6" w:rsidRPr="00EC5EF1" w:rsidRDefault="00740DA6" w:rsidP="006E630C">
      <w:r w:rsidRPr="00EC5EF1">
        <w:t>Each year, the Director of Mental Health visits the different DHBs’ mental health and addictions services. These visits give the Director an opportunity to engage with</w:t>
      </w:r>
      <w:r w:rsidR="006E630C">
        <w:t xml:space="preserve"> </w:t>
      </w:r>
      <w:r w:rsidRPr="00EC5EF1">
        <w:t>the services and understand the types of challenges that local mental health and addictions services face, while offering Ministry support and oversight.</w:t>
      </w:r>
    </w:p>
    <w:p w14:paraId="2D33193B" w14:textId="77777777" w:rsidR="006E630C" w:rsidRDefault="006E630C" w:rsidP="006E630C"/>
    <w:p w14:paraId="1FE5AB59" w14:textId="1C5BB8DD" w:rsidR="00740DA6" w:rsidRDefault="00740DA6" w:rsidP="006E630C">
      <w:r w:rsidRPr="00EC5EF1">
        <w:t>The Office also maintains collaborative relationships with many parts of the mental health and addictions sector, attending and presenting at a large number of mental health and addictions sector meetings each year.</w:t>
      </w:r>
    </w:p>
    <w:p w14:paraId="05CFB441" w14:textId="77777777" w:rsidR="006E630C" w:rsidRPr="00EC5EF1" w:rsidRDefault="006E630C" w:rsidP="006E630C"/>
    <w:p w14:paraId="48EB2823" w14:textId="77777777" w:rsidR="00740DA6" w:rsidRPr="00EC5EF1" w:rsidRDefault="00740DA6" w:rsidP="006E630C">
      <w:pPr>
        <w:pStyle w:val="Heading2"/>
      </w:pPr>
      <w:bookmarkStart w:id="26" w:name="_Toc2845627"/>
      <w:r w:rsidRPr="00EC5EF1">
        <w:t>Cross-government relationships</w:t>
      </w:r>
      <w:bookmarkEnd w:id="26"/>
    </w:p>
    <w:p w14:paraId="540229AE" w14:textId="79EFFC6E" w:rsidR="00740DA6" w:rsidRPr="00EC5EF1" w:rsidRDefault="00740DA6" w:rsidP="006E630C">
      <w:r w:rsidRPr="00EC5EF1">
        <w:rPr>
          <w:noProof/>
          <w:lang w:eastAsia="en-NZ"/>
        </w:rPr>
        <w:drawing>
          <wp:anchor distT="0" distB="0" distL="0" distR="0" simplePos="0" relativeHeight="251679744" behindDoc="0" locked="0" layoutInCell="1" allowOverlap="1" wp14:anchorId="720B4BF2" wp14:editId="06B40911">
            <wp:simplePos x="0" y="0"/>
            <wp:positionH relativeFrom="page">
              <wp:posOffset>8060163</wp:posOffset>
            </wp:positionH>
            <wp:positionV relativeFrom="paragraph">
              <wp:posOffset>454982</wp:posOffset>
            </wp:positionV>
            <wp:extent cx="155575" cy="155575"/>
            <wp:effectExtent l="0" t="0" r="0" b="0"/>
            <wp:wrapNone/>
            <wp:docPr id="9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The Office maintains strong relationships with other government agencies, working to support good clinical practices and person-centred services for people with mental health and addiction problems.</w:t>
      </w:r>
    </w:p>
    <w:p w14:paraId="7C34B6AB" w14:textId="77777777" w:rsidR="006E630C" w:rsidRDefault="006E630C" w:rsidP="006E630C"/>
    <w:p w14:paraId="7205EA40" w14:textId="0C42DD69" w:rsidR="00740DA6" w:rsidRPr="00EC5EF1" w:rsidRDefault="00740DA6" w:rsidP="006E630C">
      <w:r w:rsidRPr="00EC5EF1">
        <w:t>In 2017, the Office worked with a number of agencies on a wide range of projects, including but not limited to:</w:t>
      </w:r>
    </w:p>
    <w:p w14:paraId="67F89016" w14:textId="77777777" w:rsidR="00740DA6" w:rsidRPr="00EC5EF1" w:rsidRDefault="00740DA6" w:rsidP="006E630C">
      <w:pPr>
        <w:pStyle w:val="Bullet"/>
      </w:pPr>
      <w:r w:rsidRPr="00EC5EF1">
        <w:t>the Youth Crime Action Plan</w:t>
      </w:r>
    </w:p>
    <w:p w14:paraId="45BC7921" w14:textId="77777777" w:rsidR="00740DA6" w:rsidRPr="00EC5EF1" w:rsidRDefault="00740DA6" w:rsidP="006E630C">
      <w:pPr>
        <w:pStyle w:val="Bullet"/>
      </w:pPr>
      <w:r w:rsidRPr="00EC5EF1">
        <w:t>the Disability Action Plan</w:t>
      </w:r>
    </w:p>
    <w:p w14:paraId="6A7FB85C" w14:textId="77777777" w:rsidR="00740DA6" w:rsidRPr="00EC5EF1" w:rsidRDefault="00740DA6" w:rsidP="006E630C">
      <w:pPr>
        <w:pStyle w:val="Bullet"/>
      </w:pPr>
      <w:r w:rsidRPr="00EC5EF1">
        <w:t>Traumatic Brain Injury Strategy and Action Plan</w:t>
      </w:r>
    </w:p>
    <w:p w14:paraId="40D0854D" w14:textId="77777777" w:rsidR="00740DA6" w:rsidRPr="00EC5EF1" w:rsidRDefault="00740DA6" w:rsidP="006E630C">
      <w:pPr>
        <w:pStyle w:val="Bullet"/>
      </w:pPr>
      <w:r w:rsidRPr="00EC5EF1">
        <w:t>Treatment Foster Care workshop series</w:t>
      </w:r>
    </w:p>
    <w:p w14:paraId="1A96B9AF" w14:textId="77777777" w:rsidR="00740DA6" w:rsidRPr="00EC5EF1" w:rsidRDefault="00740DA6" w:rsidP="006E630C">
      <w:pPr>
        <w:pStyle w:val="Bullet"/>
      </w:pPr>
      <w:r w:rsidRPr="00EC5EF1">
        <w:t>High and Complex Needs Unit governance board</w:t>
      </w:r>
    </w:p>
    <w:p w14:paraId="3631A0D8" w14:textId="77777777" w:rsidR="00740DA6" w:rsidRPr="00EC5EF1" w:rsidRDefault="00740DA6" w:rsidP="006E630C">
      <w:pPr>
        <w:pStyle w:val="Bullet"/>
      </w:pPr>
      <w:r w:rsidRPr="00EC5EF1">
        <w:t>Intervention and Support project board with Department of Corrections</w:t>
      </w:r>
    </w:p>
    <w:p w14:paraId="28F44B92" w14:textId="77777777" w:rsidR="00740DA6" w:rsidRPr="00EC5EF1" w:rsidRDefault="00740DA6" w:rsidP="006E630C">
      <w:pPr>
        <w:pStyle w:val="Bullet"/>
      </w:pPr>
      <w:r w:rsidRPr="00EC5EF1">
        <w:t>Restraint and Seclusion Advisory Group/Guidelines</w:t>
      </w:r>
    </w:p>
    <w:p w14:paraId="3F03F65B" w14:textId="77777777" w:rsidR="00740DA6" w:rsidRPr="00EC5EF1" w:rsidRDefault="00740DA6" w:rsidP="006E630C">
      <w:pPr>
        <w:pStyle w:val="Bullet"/>
      </w:pPr>
      <w:r w:rsidRPr="00EC5EF1">
        <w:t>the Veteran Rehabilitation Strategy</w:t>
      </w:r>
    </w:p>
    <w:p w14:paraId="160EE47E" w14:textId="77777777" w:rsidR="00740DA6" w:rsidRPr="00EC5EF1" w:rsidRDefault="00740DA6" w:rsidP="006E630C">
      <w:pPr>
        <w:pStyle w:val="Bullet"/>
      </w:pPr>
      <w:r w:rsidRPr="00EC5EF1">
        <w:t>Missing Persons project</w:t>
      </w:r>
    </w:p>
    <w:p w14:paraId="54606AAC" w14:textId="77777777" w:rsidR="00740DA6" w:rsidRPr="00EC5EF1" w:rsidRDefault="00740DA6" w:rsidP="006E630C">
      <w:pPr>
        <w:pStyle w:val="Bullet"/>
      </w:pPr>
      <w:r w:rsidRPr="00EC5EF1">
        <w:t>All Right? campaign</w:t>
      </w:r>
    </w:p>
    <w:p w14:paraId="11E92B78" w14:textId="77777777" w:rsidR="00740DA6" w:rsidRPr="00EC5EF1" w:rsidRDefault="00740DA6" w:rsidP="006E630C">
      <w:pPr>
        <w:pStyle w:val="Bullet"/>
      </w:pPr>
      <w:r w:rsidRPr="00EC5EF1">
        <w:t>Greater Christchurch psychosocial governance</w:t>
      </w:r>
    </w:p>
    <w:p w14:paraId="39354C0C" w14:textId="77777777" w:rsidR="00740DA6" w:rsidRPr="00EC5EF1" w:rsidRDefault="00740DA6" w:rsidP="006E630C">
      <w:pPr>
        <w:pStyle w:val="Bullet"/>
      </w:pPr>
      <w:r w:rsidRPr="00EC5EF1">
        <w:t>Fixated Threat Assessment Centre pilot</w:t>
      </w:r>
    </w:p>
    <w:p w14:paraId="4CB33DB4" w14:textId="77777777" w:rsidR="00740DA6" w:rsidRPr="00EC5EF1" w:rsidRDefault="00740DA6" w:rsidP="006E630C">
      <w:pPr>
        <w:pStyle w:val="Bullet"/>
      </w:pPr>
      <w:r w:rsidRPr="00EC5EF1">
        <w:t xml:space="preserve">the </w:t>
      </w:r>
      <w:proofErr w:type="spellStart"/>
      <w:r w:rsidRPr="00EC5EF1">
        <w:t>Oranga</w:t>
      </w:r>
      <w:proofErr w:type="spellEnd"/>
      <w:r w:rsidRPr="00EC5EF1">
        <w:t xml:space="preserve"> </w:t>
      </w:r>
      <w:proofErr w:type="spellStart"/>
      <w:r w:rsidRPr="00EC5EF1">
        <w:t>Tamariki</w:t>
      </w:r>
      <w:proofErr w:type="spellEnd"/>
      <w:r w:rsidRPr="00EC5EF1">
        <w:t xml:space="preserve"> Ministry for Children (</w:t>
      </w:r>
      <w:proofErr w:type="spellStart"/>
      <w:r w:rsidRPr="00EC5EF1">
        <w:t>Oranga</w:t>
      </w:r>
      <w:proofErr w:type="spellEnd"/>
      <w:r w:rsidRPr="00EC5EF1">
        <w:t xml:space="preserve"> </w:t>
      </w:r>
      <w:proofErr w:type="spellStart"/>
      <w:r w:rsidRPr="00EC5EF1">
        <w:t>Tamariki</w:t>
      </w:r>
      <w:proofErr w:type="spellEnd"/>
      <w:r w:rsidRPr="00EC5EF1">
        <w:t>) model of care</w:t>
      </w:r>
    </w:p>
    <w:p w14:paraId="1352F7F6" w14:textId="77777777" w:rsidR="00740DA6" w:rsidRPr="00EC5EF1" w:rsidRDefault="00740DA6" w:rsidP="006E630C">
      <w:pPr>
        <w:pStyle w:val="Bullet"/>
      </w:pPr>
      <w:r w:rsidRPr="00EC5EF1">
        <w:t xml:space="preserve">the </w:t>
      </w:r>
      <w:proofErr w:type="spellStart"/>
      <w:r w:rsidRPr="00EC5EF1">
        <w:t>Oranga</w:t>
      </w:r>
      <w:proofErr w:type="spellEnd"/>
      <w:r w:rsidRPr="00EC5EF1">
        <w:t xml:space="preserve"> </w:t>
      </w:r>
      <w:proofErr w:type="spellStart"/>
      <w:r w:rsidRPr="00EC5EF1">
        <w:t>Tamariki</w:t>
      </w:r>
      <w:proofErr w:type="spellEnd"/>
      <w:r w:rsidRPr="00EC5EF1">
        <w:t xml:space="preserve"> Gateway Assessments project and direct purchasing trial</w:t>
      </w:r>
    </w:p>
    <w:p w14:paraId="70FF5C79" w14:textId="6E01238E" w:rsidR="00740DA6" w:rsidRPr="00EC5EF1" w:rsidRDefault="00740DA6" w:rsidP="006E630C">
      <w:pPr>
        <w:pStyle w:val="Bullet"/>
      </w:pPr>
      <w:r w:rsidRPr="00EC5EF1">
        <w:t xml:space="preserve">Taking action on </w:t>
      </w:r>
      <w:proofErr w:type="spellStart"/>
      <w:r w:rsidRPr="00EC5EF1">
        <w:t>fetal</w:t>
      </w:r>
      <w:proofErr w:type="spellEnd"/>
      <w:r w:rsidRPr="00EC5EF1">
        <w:t xml:space="preserve"> alcohol spectrum disorder: 2016</w:t>
      </w:r>
      <w:r w:rsidR="006E630C">
        <w:t>–</w:t>
      </w:r>
      <w:r w:rsidRPr="00EC5EF1">
        <w:t>2019: An action plan</w:t>
      </w:r>
    </w:p>
    <w:p w14:paraId="0F8B926F" w14:textId="42D7936A" w:rsidR="00740DA6" w:rsidRPr="00EC5EF1" w:rsidRDefault="00740DA6" w:rsidP="006E630C">
      <w:pPr>
        <w:pStyle w:val="Bullet"/>
      </w:pPr>
      <w:r w:rsidRPr="00EC5EF1">
        <w:t>improving cross-sector responses for children and youth in</w:t>
      </w:r>
      <w:r w:rsidR="00DE0BB2">
        <w:t xml:space="preserve"> </w:t>
      </w:r>
      <w:r w:rsidRPr="00EC5EF1">
        <w:t>crisis</w:t>
      </w:r>
    </w:p>
    <w:p w14:paraId="6E791CCC" w14:textId="77777777" w:rsidR="00740DA6" w:rsidRPr="00EC5EF1" w:rsidRDefault="00740DA6" w:rsidP="006E630C">
      <w:pPr>
        <w:pStyle w:val="Bullet"/>
      </w:pPr>
      <w:r w:rsidRPr="00EC5EF1">
        <w:lastRenderedPageBreak/>
        <w:t>the New Zealand Police-led gap analysis project</w:t>
      </w:r>
    </w:p>
    <w:p w14:paraId="3752BE3D" w14:textId="3CBDE96F" w:rsidR="00740DA6" w:rsidRDefault="00740DA6" w:rsidP="006E630C">
      <w:pPr>
        <w:pStyle w:val="Bullet"/>
      </w:pPr>
      <w:proofErr w:type="gramStart"/>
      <w:r w:rsidRPr="00EC5EF1">
        <w:t>the</w:t>
      </w:r>
      <w:proofErr w:type="gramEnd"/>
      <w:r w:rsidRPr="00EC5EF1">
        <w:t xml:space="preserve"> child wellbeing work programme.</w:t>
      </w:r>
    </w:p>
    <w:p w14:paraId="5CB12210" w14:textId="77777777" w:rsidR="006E630C" w:rsidRPr="00EC5EF1" w:rsidRDefault="006E630C" w:rsidP="006E630C"/>
    <w:p w14:paraId="7C58F503" w14:textId="77777777" w:rsidR="00740DA6" w:rsidRPr="00EC5EF1" w:rsidRDefault="00740DA6" w:rsidP="006E630C">
      <w:pPr>
        <w:pStyle w:val="Heading3"/>
      </w:pPr>
      <w:bookmarkStart w:id="27" w:name="_Toc2845628"/>
      <w:r w:rsidRPr="00EC5EF1">
        <w:t>Relationship with the Department of Corrections</w:t>
      </w:r>
      <w:bookmarkEnd w:id="27"/>
    </w:p>
    <w:p w14:paraId="04A9F6E5" w14:textId="7CBD73DA" w:rsidR="00740DA6" w:rsidRDefault="00740DA6" w:rsidP="006E630C">
      <w:r w:rsidRPr="00EC5EF1">
        <w:t>The Ministry works closely with the Department of Corrections to improve health services for people detained in prisons. Offenders often have complex mental health needs that may require more intensive support than Corrections health services</w:t>
      </w:r>
      <w:r w:rsidR="006E630C">
        <w:t xml:space="preserve"> </w:t>
      </w:r>
      <w:r w:rsidRPr="00EC5EF1">
        <w:t>can give as providers of primary health care. Regional forensic psychiatry services support Corrections to access and treat offenders with complex mental health needs. Offenders may be transferred to a secure forensic mental health facility for treatment in a therapeutic environment.</w:t>
      </w:r>
    </w:p>
    <w:p w14:paraId="0B12606B" w14:textId="77777777" w:rsidR="006E630C" w:rsidRPr="00EC5EF1" w:rsidRDefault="006E630C" w:rsidP="006E630C"/>
    <w:p w14:paraId="077166DE" w14:textId="77777777" w:rsidR="00740DA6" w:rsidRPr="00EC5EF1" w:rsidRDefault="00740DA6" w:rsidP="006E630C">
      <w:pPr>
        <w:pStyle w:val="Heading3"/>
      </w:pPr>
      <w:bookmarkStart w:id="28" w:name="_Toc2845629"/>
      <w:r w:rsidRPr="00EC5EF1">
        <w:t>Relationship with the New Zealand Police</w:t>
      </w:r>
      <w:bookmarkEnd w:id="28"/>
    </w:p>
    <w:p w14:paraId="77AF6E02" w14:textId="5FB660D1" w:rsidR="00740DA6" w:rsidRDefault="00740DA6" w:rsidP="006E630C">
      <w:r w:rsidRPr="00EC5EF1">
        <w:t>Mental health services need to see people who come to the attention of police promptly because of possible mental health problems. Police often provide the initial response to events involving people whose mental illness may render them a danger to themselves or others. Therefore, it is important for police and mental health services to maintain collaborative relationships. During 2017, the Office continued</w:t>
      </w:r>
      <w:r w:rsidR="006E630C">
        <w:t xml:space="preserve"> </w:t>
      </w:r>
      <w:r w:rsidRPr="00EC5EF1">
        <w:t>to work with New Zealand Police to ensure that police responded appropriately to people with mental illness and their families/whānau.</w:t>
      </w:r>
    </w:p>
    <w:p w14:paraId="72AD259D" w14:textId="77777777" w:rsidR="006E630C" w:rsidRPr="00EC5EF1" w:rsidRDefault="006E630C" w:rsidP="006E630C"/>
    <w:p w14:paraId="201C4C4C" w14:textId="43CC8374" w:rsidR="00740DA6" w:rsidRPr="00EC5EF1" w:rsidRDefault="00740DA6" w:rsidP="006E630C">
      <w:pPr>
        <w:pStyle w:val="Heading3"/>
      </w:pPr>
      <w:bookmarkStart w:id="29" w:name="_Toc2845630"/>
      <w:r w:rsidRPr="00EC5EF1">
        <w:rPr>
          <w:noProof/>
          <w:lang w:eastAsia="en-NZ"/>
        </w:rPr>
        <w:drawing>
          <wp:anchor distT="0" distB="0" distL="0" distR="0" simplePos="0" relativeHeight="251681792" behindDoc="0" locked="0" layoutInCell="1" allowOverlap="1" wp14:anchorId="66055DC6" wp14:editId="17DBCE69">
            <wp:simplePos x="0" y="0"/>
            <wp:positionH relativeFrom="page">
              <wp:posOffset>8060163</wp:posOffset>
            </wp:positionH>
            <wp:positionV relativeFrom="paragraph">
              <wp:posOffset>402585</wp:posOffset>
            </wp:positionV>
            <wp:extent cx="155575" cy="155575"/>
            <wp:effectExtent l="0" t="0" r="0" b="0"/>
            <wp:wrapNone/>
            <wp:docPr id="9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Victims of crime interagency working group</w:t>
      </w:r>
      <w:bookmarkEnd w:id="29"/>
    </w:p>
    <w:p w14:paraId="78A7C5F7" w14:textId="7788E341" w:rsidR="00740DA6" w:rsidRDefault="00740DA6" w:rsidP="006E630C">
      <w:r w:rsidRPr="00EC5EF1">
        <w:t xml:space="preserve">Forensic mental health services have a dual role to both facilitate special patients’ rehabilitative journeys and protect members of the public, including registered victims of the special patients’ offending. The Ministry works with the Ministry of Justice; New Zealand Police; </w:t>
      </w:r>
      <w:proofErr w:type="spellStart"/>
      <w:r w:rsidRPr="00EC5EF1">
        <w:t>Oranga</w:t>
      </w:r>
      <w:proofErr w:type="spellEnd"/>
      <w:r w:rsidRPr="00EC5EF1">
        <w:t xml:space="preserve"> </w:t>
      </w:r>
      <w:proofErr w:type="spellStart"/>
      <w:r w:rsidRPr="00EC5EF1">
        <w:t>Tamariki</w:t>
      </w:r>
      <w:proofErr w:type="spellEnd"/>
      <w:r w:rsidRPr="00EC5EF1">
        <w:t xml:space="preserve">; Department of Corrections; Ministry of Business, Innovation and Employment; Ministry of Social Development; Accident Compensation Corporation (ACC) and </w:t>
      </w:r>
      <w:proofErr w:type="spellStart"/>
      <w:r w:rsidRPr="00EC5EF1">
        <w:t>WorkSafe</w:t>
      </w:r>
      <w:proofErr w:type="spellEnd"/>
      <w:r w:rsidRPr="00EC5EF1">
        <w:t xml:space="preserve"> New Zealand on the victims of crime interagency working group.</w:t>
      </w:r>
    </w:p>
    <w:p w14:paraId="5983321E" w14:textId="77777777" w:rsidR="006E630C" w:rsidRPr="00EC5EF1" w:rsidRDefault="006E630C" w:rsidP="006E630C"/>
    <w:p w14:paraId="57628413" w14:textId="77777777" w:rsidR="00740DA6" w:rsidRPr="00EC5EF1" w:rsidRDefault="00740DA6" w:rsidP="006E630C">
      <w:pPr>
        <w:pStyle w:val="Heading3"/>
      </w:pPr>
      <w:bookmarkStart w:id="30" w:name="_Toc2845631"/>
      <w:r w:rsidRPr="00EC5EF1">
        <w:t>Nova Trust</w:t>
      </w:r>
      <w:bookmarkEnd w:id="30"/>
    </w:p>
    <w:p w14:paraId="17A39DDF" w14:textId="62CEAE45" w:rsidR="00740DA6" w:rsidRDefault="00740DA6" w:rsidP="006E630C">
      <w:r w:rsidRPr="00EC5EF1">
        <w:t>The Substance Addiction Act requires patients to reside at a treatment centre in order to receive compulsory treatment and other related services. Core constituents of this Act are to restore a person’s severely diminished capacity (as a result of their alcohol or substance use) while engaging in mana-enhancing practice for that individual.</w:t>
      </w:r>
      <w:r w:rsidR="006E630C">
        <w:t xml:space="preserve"> </w:t>
      </w:r>
      <w:r w:rsidRPr="00EC5EF1">
        <w:t>Nova Trust are the first ‘approved provider’ who have developed a designated nine- bed unit, called Nova Supported Treatment and Recovery (Nova STAR), to respond to the Act’s requirements. At the unit, among other things, Nova STAR will deliver medical care and oversight, cognitive assessments, remediation interventions, occupational therapy support, harm reduction and relapse prevention input.</w:t>
      </w:r>
    </w:p>
    <w:p w14:paraId="7AEC3293" w14:textId="77777777" w:rsidR="00740DA6" w:rsidRPr="00EC5EF1" w:rsidRDefault="00740DA6" w:rsidP="006E630C">
      <w:pPr>
        <w:pStyle w:val="Heading2"/>
        <w:spacing w:before="720"/>
      </w:pPr>
      <w:bookmarkStart w:id="31" w:name="_Toc2845632"/>
      <w:r w:rsidRPr="00EC5EF1">
        <w:lastRenderedPageBreak/>
        <w:t>Social initiatives</w:t>
      </w:r>
      <w:bookmarkEnd w:id="31"/>
    </w:p>
    <w:p w14:paraId="189C649D" w14:textId="7D666B81" w:rsidR="00740DA6" w:rsidRPr="00EC5EF1" w:rsidRDefault="00740DA6" w:rsidP="006E630C">
      <w:r w:rsidRPr="00EC5EF1">
        <w:t>Budget 2017 planned a $100 million cross-agency contingency to trial 17 new, evidence-based mental health initiatives. The Office played a role in developing these initiatives and coordinating proposals from different services in order to identify what</w:t>
      </w:r>
      <w:r w:rsidR="006E630C">
        <w:t xml:space="preserve"> </w:t>
      </w:r>
      <w:r w:rsidRPr="00EC5EF1">
        <w:t>was most needed to improve the mental health services, particularly when engaging communities.</w:t>
      </w:r>
    </w:p>
    <w:p w14:paraId="42CC9B53" w14:textId="77777777" w:rsidR="00740DA6" w:rsidRPr="00EC5EF1" w:rsidRDefault="00740DA6" w:rsidP="006E630C"/>
    <w:p w14:paraId="3E6F9326" w14:textId="77777777" w:rsidR="00740DA6" w:rsidRPr="00EC5EF1" w:rsidRDefault="00740DA6" w:rsidP="007F22A0">
      <w:pPr>
        <w:pStyle w:val="Heading2"/>
      </w:pPr>
      <w:bookmarkStart w:id="32" w:name="_Toc2845633"/>
      <w:r w:rsidRPr="00EC5EF1">
        <w:t>The Prime Minister’s Youth Mental Health Project</w:t>
      </w:r>
      <w:bookmarkEnd w:id="32"/>
    </w:p>
    <w:p w14:paraId="4174EED5" w14:textId="5D281030" w:rsidR="00740DA6" w:rsidRPr="00EC5EF1" w:rsidRDefault="00740DA6" w:rsidP="007F22A0">
      <w:r w:rsidRPr="00EC5EF1">
        <w:t>The Prime Minister’s Youth Mental Health Project (the Project) began in 2012, launching 26 initiatives and six key outcomes for youth mental health. It was a four-year cross-agency programme focusing on prevention and early intervention for youth aged 12 to 19 years with, or at risk of, mental health problems. The</w:t>
      </w:r>
      <w:r w:rsidR="007F22A0">
        <w:t xml:space="preserve"> </w:t>
      </w:r>
      <w:r w:rsidRPr="00EC5EF1">
        <w:t>six outcomes were:</w:t>
      </w:r>
    </w:p>
    <w:p w14:paraId="3DFB38BF" w14:textId="77777777" w:rsidR="00740DA6" w:rsidRPr="00EC5EF1" w:rsidRDefault="00740DA6" w:rsidP="007F22A0">
      <w:pPr>
        <w:pStyle w:val="Bullet"/>
      </w:pPr>
      <w:r w:rsidRPr="00EC5EF1">
        <w:t>greater knowledge of what works to improve youth mental health</w:t>
      </w:r>
    </w:p>
    <w:p w14:paraId="69BCC948" w14:textId="77777777" w:rsidR="00740DA6" w:rsidRPr="00EC5EF1" w:rsidRDefault="00740DA6" w:rsidP="007F22A0">
      <w:pPr>
        <w:pStyle w:val="Bullet"/>
      </w:pPr>
      <w:r w:rsidRPr="00EC5EF1">
        <w:t>increased resilience among youth</w:t>
      </w:r>
    </w:p>
    <w:p w14:paraId="0A82BD74" w14:textId="77777777" w:rsidR="00740DA6" w:rsidRPr="00EC5EF1" w:rsidRDefault="00740DA6" w:rsidP="007F22A0">
      <w:pPr>
        <w:pStyle w:val="Bullet"/>
      </w:pPr>
      <w:r w:rsidRPr="00EC5EF1">
        <w:t>better access to timely and appropriate treatment and follow-up</w:t>
      </w:r>
    </w:p>
    <w:p w14:paraId="54AACD00" w14:textId="77777777" w:rsidR="00740DA6" w:rsidRPr="00EC5EF1" w:rsidRDefault="00740DA6" w:rsidP="007F22A0">
      <w:pPr>
        <w:pStyle w:val="Bullet"/>
      </w:pPr>
      <w:r w:rsidRPr="00EC5EF1">
        <w:t>more support in schools, communities and health services</w:t>
      </w:r>
    </w:p>
    <w:p w14:paraId="37876C3E" w14:textId="77777777" w:rsidR="00740DA6" w:rsidRPr="00EC5EF1" w:rsidRDefault="00740DA6" w:rsidP="007F22A0">
      <w:pPr>
        <w:pStyle w:val="Bullet"/>
      </w:pPr>
      <w:r w:rsidRPr="00EC5EF1">
        <w:t>early identification of mild to moderate mental health issues in youth</w:t>
      </w:r>
    </w:p>
    <w:p w14:paraId="615047EF" w14:textId="77777777" w:rsidR="00740DA6" w:rsidRPr="00EC5EF1" w:rsidRDefault="00740DA6" w:rsidP="007F22A0">
      <w:pPr>
        <w:pStyle w:val="Bullet"/>
      </w:pPr>
      <w:proofErr w:type="gramStart"/>
      <w:r w:rsidRPr="00EC5EF1">
        <w:t>better</w:t>
      </w:r>
      <w:proofErr w:type="gramEnd"/>
      <w:r w:rsidRPr="00EC5EF1">
        <w:t xml:space="preserve"> access to appropriate information for youth and their families and whānau.</w:t>
      </w:r>
    </w:p>
    <w:p w14:paraId="2FD36DCD" w14:textId="77777777" w:rsidR="007F22A0" w:rsidRDefault="007F22A0" w:rsidP="007F22A0"/>
    <w:p w14:paraId="5FE48B9E" w14:textId="668A60BE" w:rsidR="00740DA6" w:rsidRPr="00EC5EF1" w:rsidRDefault="00740DA6" w:rsidP="007F22A0">
      <w:r w:rsidRPr="00EC5EF1">
        <w:rPr>
          <w:noProof/>
          <w:lang w:eastAsia="en-NZ"/>
        </w:rPr>
        <w:drawing>
          <wp:anchor distT="0" distB="0" distL="0" distR="0" simplePos="0" relativeHeight="251683840" behindDoc="0" locked="0" layoutInCell="1" allowOverlap="1" wp14:anchorId="66457FA8" wp14:editId="65AE479E">
            <wp:simplePos x="0" y="0"/>
            <wp:positionH relativeFrom="page">
              <wp:posOffset>8060163</wp:posOffset>
            </wp:positionH>
            <wp:positionV relativeFrom="paragraph">
              <wp:posOffset>799251</wp:posOffset>
            </wp:positionV>
            <wp:extent cx="155575" cy="155575"/>
            <wp:effectExtent l="0" t="0" r="0" b="0"/>
            <wp:wrapNone/>
            <wp:docPr id="10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In December 2016, the government’s Social Policy Evaluation and Research Unit (</w:t>
      </w:r>
      <w:proofErr w:type="spellStart"/>
      <w:r w:rsidRPr="00EC5EF1">
        <w:t>Superu</w:t>
      </w:r>
      <w:proofErr w:type="spellEnd"/>
      <w:r w:rsidRPr="00EC5EF1">
        <w:t>), which focused on improving the lives of families and whānau, published The Prime Minister’s Youth Mental Health Project: Summative evaluation report (</w:t>
      </w:r>
      <w:proofErr w:type="spellStart"/>
      <w:r w:rsidRPr="00EC5EF1">
        <w:t>Superu</w:t>
      </w:r>
      <w:proofErr w:type="spellEnd"/>
      <w:r w:rsidRPr="00EC5EF1">
        <w:t xml:space="preserve"> 2016). This evaluation report assessed the Project progress towards its intended outcomes. The evaluation found key improvements, such as increased service capacity and access for youth. By 2016, the Project had successfully implemented all 26</w:t>
      </w:r>
      <w:r w:rsidR="007F22A0">
        <w:t> </w:t>
      </w:r>
      <w:r w:rsidRPr="00EC5EF1">
        <w:t>initiatives in its portfolio and has reached over 180,000 youth.</w:t>
      </w:r>
    </w:p>
    <w:p w14:paraId="0A1C4F70" w14:textId="77777777" w:rsidR="007F22A0" w:rsidRDefault="007F22A0" w:rsidP="007F22A0"/>
    <w:p w14:paraId="5DCD0689" w14:textId="52D32AC3" w:rsidR="00740DA6" w:rsidRPr="00EC5EF1" w:rsidRDefault="00740DA6" w:rsidP="007F22A0">
      <w:r w:rsidRPr="00EC5EF1">
        <w:t>The evaluation also highlighted areas needing improvement, data gaps and limitations, and the need for better coordination of initiatives amongst local services.</w:t>
      </w:r>
    </w:p>
    <w:p w14:paraId="1D288B26" w14:textId="77777777" w:rsidR="007F22A0" w:rsidRDefault="007F22A0" w:rsidP="007F22A0"/>
    <w:p w14:paraId="1D80A351" w14:textId="376EE4E1" w:rsidR="00740DA6" w:rsidRDefault="00740DA6" w:rsidP="007F22A0">
      <w:r w:rsidRPr="00EC5EF1">
        <w:t xml:space="preserve">The Ministry took the lead on the Project, working alongside the Department of the Prime Minister and Cabinet, The Treasury, Ministry of Education, Ministry of Social Development, Ministry for Pacific Peoples and </w:t>
      </w:r>
      <w:proofErr w:type="spellStart"/>
      <w:r w:rsidRPr="00EC5EF1">
        <w:t>Te</w:t>
      </w:r>
      <w:proofErr w:type="spellEnd"/>
      <w:r w:rsidRPr="00EC5EF1">
        <w:t xml:space="preserve"> </w:t>
      </w:r>
      <w:proofErr w:type="spellStart"/>
      <w:r w:rsidRPr="00EC5EF1">
        <w:t>Puni</w:t>
      </w:r>
      <w:proofErr w:type="spellEnd"/>
      <w:r w:rsidRPr="00EC5EF1">
        <w:t xml:space="preserve"> </w:t>
      </w:r>
      <w:proofErr w:type="spellStart"/>
      <w:r w:rsidRPr="00EC5EF1">
        <w:t>Kōkiri</w:t>
      </w:r>
      <w:proofErr w:type="spellEnd"/>
      <w:r w:rsidRPr="00EC5EF1">
        <w:t>. The Project has worked well to identify the needs of youth mental health and facilitate action on its initiatives.</w:t>
      </w:r>
      <w:r w:rsidR="00DE0BB2">
        <w:t xml:space="preserve"> </w:t>
      </w:r>
      <w:r w:rsidRPr="00EC5EF1">
        <w:t xml:space="preserve">It has encouraged further cross-agency work in other areas of youth mental health, including youth with </w:t>
      </w:r>
      <w:proofErr w:type="spellStart"/>
      <w:r w:rsidRPr="00EC5EF1">
        <w:t>fetal</w:t>
      </w:r>
      <w:proofErr w:type="spellEnd"/>
      <w:r w:rsidRPr="00EC5EF1">
        <w:t xml:space="preserve"> alcohol syndrome.</w:t>
      </w:r>
    </w:p>
    <w:p w14:paraId="344F6ECB" w14:textId="77777777" w:rsidR="007F22A0" w:rsidRPr="00EC5EF1" w:rsidRDefault="007F22A0" w:rsidP="007F22A0"/>
    <w:p w14:paraId="6B062354" w14:textId="77777777" w:rsidR="00740DA6" w:rsidRPr="00EC5EF1" w:rsidRDefault="00740DA6" w:rsidP="007F22A0">
      <w:pPr>
        <w:pStyle w:val="Heading2"/>
      </w:pPr>
      <w:bookmarkStart w:id="33" w:name="_Toc2845634"/>
      <w:r w:rsidRPr="00EC5EF1">
        <w:lastRenderedPageBreak/>
        <w:t>Response to Christchurch earthquake 2011</w:t>
      </w:r>
      <w:bookmarkEnd w:id="33"/>
    </w:p>
    <w:p w14:paraId="6586439A" w14:textId="77777777" w:rsidR="00740DA6" w:rsidRPr="00EC5EF1" w:rsidRDefault="00740DA6" w:rsidP="007F22A0">
      <w:r w:rsidRPr="00EC5EF1">
        <w:t>Since the Christchurch earthquakes, the Ministry has partnered with local and central government agencies and organisations to improve support services for Cantabrians, particularly in relation to psychosocial wellbeing. The Ministry is responsible for coordinating the provision of psychosocial support and providing the required health services by funding, planning, and contracting services.</w:t>
      </w:r>
    </w:p>
    <w:p w14:paraId="2F6A72A1" w14:textId="77777777" w:rsidR="007F22A0" w:rsidRDefault="007F22A0" w:rsidP="007F22A0"/>
    <w:p w14:paraId="6ADC4EF9" w14:textId="665A4087" w:rsidR="00740DA6" w:rsidRPr="00EC5EF1" w:rsidRDefault="00740DA6" w:rsidP="007F22A0">
      <w:r w:rsidRPr="00EC5EF1">
        <w:t xml:space="preserve">The Ministry helped develop a psychosocial governance committee; a package of targeted supports; a boost in the number of primary and community mental health services, information services and workforce wellbeing support; and extended the successful All Right? </w:t>
      </w:r>
      <w:proofErr w:type="gramStart"/>
      <w:r w:rsidRPr="00EC5EF1">
        <w:t>mental</w:t>
      </w:r>
      <w:proofErr w:type="gramEnd"/>
      <w:r w:rsidRPr="00EC5EF1">
        <w:t xml:space="preserve"> health and wellbeing promotion campaign.</w:t>
      </w:r>
    </w:p>
    <w:p w14:paraId="20CE931B" w14:textId="77777777" w:rsidR="00740DA6" w:rsidRPr="00EC5EF1" w:rsidRDefault="00740DA6" w:rsidP="007F22A0"/>
    <w:p w14:paraId="2D2C347E" w14:textId="21BC606F" w:rsidR="00740DA6" w:rsidRDefault="00740DA6" w:rsidP="007F22A0">
      <w:r w:rsidRPr="00EC5EF1">
        <w:t>A $28 million programme will be implemented over the next three years, aiming to allocate one mental health worker to every 500 primary- and intermediate-aged school children in Canterbury. The children will receive specialist support that is individualised to their needs, and it is hoped that children will in future feel more comfortable asking for help.</w:t>
      </w:r>
    </w:p>
    <w:p w14:paraId="52CC42E9" w14:textId="77777777" w:rsidR="007F22A0" w:rsidRPr="00EC5EF1" w:rsidRDefault="007F22A0" w:rsidP="007F22A0"/>
    <w:p w14:paraId="13E68BE9" w14:textId="77777777" w:rsidR="00740DA6" w:rsidRPr="00EC5EF1" w:rsidRDefault="00740DA6" w:rsidP="007F22A0">
      <w:pPr>
        <w:pStyle w:val="Heading2"/>
      </w:pPr>
      <w:bookmarkStart w:id="34" w:name="_Toc2845635"/>
      <w:r w:rsidRPr="00EC5EF1">
        <w:t xml:space="preserve">Response to </w:t>
      </w:r>
      <w:proofErr w:type="spellStart"/>
      <w:r w:rsidRPr="00EC5EF1">
        <w:t>Kaikoura</w:t>
      </w:r>
      <w:proofErr w:type="spellEnd"/>
      <w:r w:rsidRPr="00EC5EF1">
        <w:t xml:space="preserve"> earthquake 2016</w:t>
      </w:r>
      <w:bookmarkEnd w:id="34"/>
    </w:p>
    <w:p w14:paraId="168AFEE7" w14:textId="22F886B3" w:rsidR="00740DA6" w:rsidRPr="00EC5EF1" w:rsidRDefault="00740DA6" w:rsidP="007F22A0">
      <w:r w:rsidRPr="00EC5EF1">
        <w:t xml:space="preserve">In 2017, the Ministry approved $3.76 million to assist </w:t>
      </w:r>
      <w:proofErr w:type="spellStart"/>
      <w:r w:rsidRPr="00EC5EF1">
        <w:t>Kaikoura</w:t>
      </w:r>
      <w:proofErr w:type="spellEnd"/>
      <w:r w:rsidRPr="00EC5EF1">
        <w:t xml:space="preserve"> and Marlborough after the earthquake in November 2016. The budget was used to provide free or subsidised GP visits until May, increase mental health services, hire additional health</w:t>
      </w:r>
      <w:r w:rsidR="007F22A0">
        <w:t xml:space="preserve"> </w:t>
      </w:r>
      <w:r w:rsidRPr="00EC5EF1">
        <w:t xml:space="preserve">practitioners (including mental health experts) and pay for the balance of the </w:t>
      </w:r>
      <w:proofErr w:type="spellStart"/>
      <w:r w:rsidRPr="00EC5EF1">
        <w:t>Kaikoura</w:t>
      </w:r>
      <w:proofErr w:type="spellEnd"/>
      <w:r w:rsidRPr="00EC5EF1">
        <w:t xml:space="preserve"> Health </w:t>
      </w:r>
      <w:proofErr w:type="spellStart"/>
      <w:r w:rsidRPr="00EC5EF1">
        <w:t>Te</w:t>
      </w:r>
      <w:proofErr w:type="spellEnd"/>
      <w:r w:rsidRPr="00EC5EF1">
        <w:t xml:space="preserve"> </w:t>
      </w:r>
      <w:proofErr w:type="spellStart"/>
      <w:r w:rsidRPr="00EC5EF1">
        <w:t>Hā</w:t>
      </w:r>
      <w:proofErr w:type="spellEnd"/>
      <w:r w:rsidRPr="00EC5EF1">
        <w:t xml:space="preserve"> o </w:t>
      </w:r>
      <w:proofErr w:type="spellStart"/>
      <w:r w:rsidRPr="00EC5EF1">
        <w:t>Te</w:t>
      </w:r>
      <w:proofErr w:type="spellEnd"/>
      <w:r w:rsidRPr="00EC5EF1">
        <w:t xml:space="preserve"> Ora health centre. Further, the All Right? </w:t>
      </w:r>
      <w:proofErr w:type="gramStart"/>
      <w:r w:rsidRPr="00EC5EF1">
        <w:t>campaign</w:t>
      </w:r>
      <w:proofErr w:type="gramEnd"/>
      <w:r w:rsidRPr="00EC5EF1">
        <w:t xml:space="preserve"> was extended to include the Marlborough region.</w:t>
      </w:r>
    </w:p>
    <w:p w14:paraId="42C4FB23" w14:textId="77777777" w:rsidR="007F22A0" w:rsidRDefault="007F22A0" w:rsidP="007F22A0"/>
    <w:p w14:paraId="6D619C56" w14:textId="69FE5622" w:rsidR="00740DA6" w:rsidRDefault="00740DA6" w:rsidP="007F22A0">
      <w:r w:rsidRPr="00EC5EF1">
        <w:rPr>
          <w:noProof/>
          <w:lang w:eastAsia="en-NZ"/>
        </w:rPr>
        <w:drawing>
          <wp:anchor distT="0" distB="0" distL="0" distR="0" simplePos="0" relativeHeight="251685888" behindDoc="0" locked="0" layoutInCell="1" allowOverlap="1" wp14:anchorId="2BBDEDA9" wp14:editId="5D3B391B">
            <wp:simplePos x="0" y="0"/>
            <wp:positionH relativeFrom="page">
              <wp:posOffset>8060163</wp:posOffset>
            </wp:positionH>
            <wp:positionV relativeFrom="paragraph">
              <wp:posOffset>1675011</wp:posOffset>
            </wp:positionV>
            <wp:extent cx="155575" cy="155575"/>
            <wp:effectExtent l="0" t="0" r="0" b="0"/>
            <wp:wrapNone/>
            <wp:docPr id="10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 xml:space="preserve">The Ministry provided oversight of the Psychosocial Recovery Plan for 2017 by establishing a cross-sectoral psychosocial steering group. The Psychosocial Recovery Plan was developed to deliver a comprehensive and coordinated approach to addressing psychosocial needs in the recovery phase of the </w:t>
      </w:r>
      <w:proofErr w:type="spellStart"/>
      <w:r w:rsidRPr="00EC5EF1">
        <w:t>Kaikoura</w:t>
      </w:r>
      <w:proofErr w:type="spellEnd"/>
      <w:r w:rsidRPr="00EC5EF1">
        <w:t xml:space="preserve"> earthquake. This may include providing basic, universal services and security; community and family supports; focussed supports; and specialist services. The steering group promotes</w:t>
      </w:r>
      <w:r w:rsidR="00DE0BB2">
        <w:t xml:space="preserve"> </w:t>
      </w:r>
      <w:r w:rsidRPr="00EC5EF1">
        <w:t>and monitors the psychosocial recovery and wellbeing of the people of the Hurunui</w:t>
      </w:r>
      <w:r w:rsidR="00DE0BB2">
        <w:t xml:space="preserve"> </w:t>
      </w:r>
      <w:r w:rsidRPr="00EC5EF1">
        <w:t xml:space="preserve">and </w:t>
      </w:r>
      <w:proofErr w:type="spellStart"/>
      <w:r w:rsidRPr="00EC5EF1">
        <w:t>Kaikoura</w:t>
      </w:r>
      <w:proofErr w:type="spellEnd"/>
      <w:r w:rsidRPr="00EC5EF1">
        <w:t xml:space="preserve"> districts; identifies gaps and, where possible, solutions; and provides advice and guidance to other components of the plan.</w:t>
      </w:r>
    </w:p>
    <w:p w14:paraId="3F63B28D" w14:textId="77777777" w:rsidR="007F22A0" w:rsidRPr="00EC5EF1" w:rsidRDefault="007F22A0" w:rsidP="007F22A0"/>
    <w:p w14:paraId="54B786D4" w14:textId="77777777" w:rsidR="00740DA6" w:rsidRPr="00EC5EF1" w:rsidRDefault="00740DA6" w:rsidP="007F22A0">
      <w:pPr>
        <w:pStyle w:val="Heading2"/>
      </w:pPr>
      <w:bookmarkStart w:id="35" w:name="_Toc2845636"/>
      <w:r w:rsidRPr="00EC5EF1">
        <w:lastRenderedPageBreak/>
        <w:t>Fixated Threat Assessment Centre pilot</w:t>
      </w:r>
      <w:bookmarkEnd w:id="35"/>
    </w:p>
    <w:p w14:paraId="1FBC48F6" w14:textId="77777777" w:rsidR="00740DA6" w:rsidRPr="00EC5EF1" w:rsidRDefault="00740DA6" w:rsidP="007F22A0">
      <w:r w:rsidRPr="00EC5EF1">
        <w:t>Research conducted in 2014 found that, of 102 New Zealand’s Members of Parliament (MPs) surveyed, 87 percent report various forms of harassment, stalking, threats and attacks (Dr Every-Palmer et al 2015). The researchers suggested the establishment of a New Zealand Fixated Threat Assessment Centre (FTAC).</w:t>
      </w:r>
    </w:p>
    <w:p w14:paraId="2D38010F" w14:textId="77777777" w:rsidR="007F22A0" w:rsidRDefault="007F22A0" w:rsidP="007F22A0"/>
    <w:p w14:paraId="7D821181" w14:textId="428A6E63" w:rsidR="00740DA6" w:rsidRPr="00EC5EF1" w:rsidRDefault="00740DA6" w:rsidP="007F22A0">
      <w:r w:rsidRPr="00EC5EF1">
        <w:t>In 2017, the Office, in conjunction with Capital &amp; Coast DHB, New Zealand Police and Parliamentary Services, commenced the FTAC pilot. The pilot aims to test whether</w:t>
      </w:r>
      <w:r w:rsidR="007F22A0">
        <w:t xml:space="preserve"> </w:t>
      </w:r>
      <w:r w:rsidRPr="00EC5EF1">
        <w:t>or not this mechanism can reliably identify and manage potential fixated and threatening behaviour of people who are presenting as a risk to people in public office.</w:t>
      </w:r>
    </w:p>
    <w:p w14:paraId="1487DC99" w14:textId="77777777" w:rsidR="007F22A0" w:rsidRDefault="007F22A0" w:rsidP="007F22A0"/>
    <w:p w14:paraId="042F6B4F" w14:textId="50745054" w:rsidR="00740DA6" w:rsidRPr="00EC5EF1" w:rsidRDefault="00740DA6" w:rsidP="007F22A0">
      <w:r w:rsidRPr="00EC5EF1">
        <w:t>FTAC uses a prevention framework, which involves a focus on the underlying causes of behaviour by looking beyond single incidents, and engages mental health services or other interventions earlier. International research has found that there is a high rate of mental health problems among people whose fixated behaviour is posing a risk</w:t>
      </w:r>
      <w:r w:rsidR="007F22A0">
        <w:t xml:space="preserve"> </w:t>
      </w:r>
      <w:r w:rsidRPr="00EC5EF1">
        <w:t>to themselves or others. Often it is the fixated person themselves who experiences the most harm. Therefore, an important aspect of the FTAC is early engagement with mental health services if necessary, to ensure that the person is offered the help they need. In May 2018, the pilot was extended until 28 December 2018.</w:t>
      </w:r>
    </w:p>
    <w:p w14:paraId="2A34589F" w14:textId="77777777" w:rsidR="00740DA6" w:rsidRPr="00EC5EF1" w:rsidRDefault="00740DA6" w:rsidP="007F22A0"/>
    <w:p w14:paraId="51FDBC85" w14:textId="77777777" w:rsidR="00740DA6" w:rsidRPr="00EC5EF1" w:rsidRDefault="00740DA6" w:rsidP="004522E2">
      <w:pPr>
        <w:pStyle w:val="Heading2"/>
      </w:pPr>
      <w:bookmarkStart w:id="36" w:name="_Toc2845637"/>
      <w:r w:rsidRPr="00EC5EF1">
        <w:t>Let’s get real</w:t>
      </w:r>
      <w:bookmarkEnd w:id="36"/>
    </w:p>
    <w:p w14:paraId="4ADE3DA5" w14:textId="31ABDE5A" w:rsidR="00740DA6" w:rsidRPr="00EC5EF1" w:rsidRDefault="00740DA6" w:rsidP="004522E2">
      <w:r w:rsidRPr="00EC5EF1">
        <w:t xml:space="preserve">In 2008, the Ministry developed </w:t>
      </w:r>
      <w:proofErr w:type="gramStart"/>
      <w:r w:rsidRPr="00EC5EF1">
        <w:t>Let’s</w:t>
      </w:r>
      <w:proofErr w:type="gramEnd"/>
      <w:r w:rsidRPr="00EC5EF1">
        <w:t xml:space="preserve"> get real; a knowledge, skills, values and attitudes framework for anyone working in mental health and addiction services. Let’s get real aims to strengthen the way in which health services are able to support people and families and whānau experiencing mental health and addiction, regardless of what health service they are accessing. Services, education providers and professional bodies can use the framework to identify the essential knowledge and skills</w:t>
      </w:r>
      <w:r w:rsidR="004522E2">
        <w:t xml:space="preserve"> </w:t>
      </w:r>
      <w:r w:rsidRPr="00EC5EF1">
        <w:t xml:space="preserve">required in the workforce. Since its inception, </w:t>
      </w:r>
      <w:proofErr w:type="spellStart"/>
      <w:r w:rsidRPr="00EC5EF1">
        <w:t>Te</w:t>
      </w:r>
      <w:proofErr w:type="spellEnd"/>
      <w:r w:rsidRPr="00EC5EF1">
        <w:t xml:space="preserve"> </w:t>
      </w:r>
      <w:proofErr w:type="spellStart"/>
      <w:r w:rsidRPr="00EC5EF1">
        <w:t>Pou</w:t>
      </w:r>
      <w:proofErr w:type="spellEnd"/>
      <w:r w:rsidRPr="00EC5EF1">
        <w:t xml:space="preserve"> o </w:t>
      </w:r>
      <w:proofErr w:type="spellStart"/>
      <w:proofErr w:type="gramStart"/>
      <w:r w:rsidRPr="00EC5EF1">
        <w:t>te</w:t>
      </w:r>
      <w:proofErr w:type="spellEnd"/>
      <w:proofErr w:type="gramEnd"/>
      <w:r w:rsidRPr="00EC5EF1">
        <w:t xml:space="preserve"> </w:t>
      </w:r>
      <w:proofErr w:type="spellStart"/>
      <w:r w:rsidRPr="00EC5EF1">
        <w:t>Whakaaro</w:t>
      </w:r>
      <w:proofErr w:type="spellEnd"/>
      <w:r w:rsidRPr="00EC5EF1">
        <w:t xml:space="preserve"> Nui (</w:t>
      </w:r>
      <w:proofErr w:type="spellStart"/>
      <w:r w:rsidRPr="00EC5EF1">
        <w:t>Te</w:t>
      </w:r>
      <w:proofErr w:type="spellEnd"/>
      <w:r w:rsidRPr="00EC5EF1">
        <w:t xml:space="preserve"> </w:t>
      </w:r>
      <w:proofErr w:type="spellStart"/>
      <w:r w:rsidRPr="00EC5EF1">
        <w:t>Pou</w:t>
      </w:r>
      <w:proofErr w:type="spellEnd"/>
      <w:r w:rsidRPr="00EC5EF1">
        <w:t>), a national centre for addiction, disability and mental health workforce development, has provided ongoing support to organisations using Let’s get real in developing appropriate tools and resources.</w:t>
      </w:r>
    </w:p>
    <w:p w14:paraId="5FC13749" w14:textId="77777777" w:rsidR="004522E2" w:rsidRDefault="004522E2" w:rsidP="004522E2"/>
    <w:p w14:paraId="69300194" w14:textId="4BB680A0" w:rsidR="00740DA6" w:rsidRDefault="00740DA6" w:rsidP="004522E2">
      <w:pPr>
        <w:rPr>
          <w:rStyle w:val="Hyperlink"/>
        </w:rPr>
      </w:pPr>
      <w:r w:rsidRPr="00EC5EF1">
        <w:t xml:space="preserve">In 2017, </w:t>
      </w:r>
      <w:proofErr w:type="spellStart"/>
      <w:r w:rsidRPr="00EC5EF1">
        <w:t>Te</w:t>
      </w:r>
      <w:proofErr w:type="spellEnd"/>
      <w:r w:rsidRPr="00EC5EF1">
        <w:t xml:space="preserve"> </w:t>
      </w:r>
      <w:proofErr w:type="spellStart"/>
      <w:r w:rsidRPr="00EC5EF1">
        <w:t>Pou</w:t>
      </w:r>
      <w:proofErr w:type="spellEnd"/>
      <w:r w:rsidRPr="00EC5EF1">
        <w:t xml:space="preserve"> led a refresh of </w:t>
      </w:r>
      <w:proofErr w:type="gramStart"/>
      <w:r w:rsidRPr="00EC5EF1">
        <w:t>Let’s</w:t>
      </w:r>
      <w:proofErr w:type="gramEnd"/>
      <w:r w:rsidRPr="00EC5EF1">
        <w:t xml:space="preserve"> get real. This refresh has been a priority of the Mental Health and Addiction Workforce Action Plan 2017–2021 (see Ministry of Health 2018b). The refresh process included an e-survey, focus groups and a draft framework for consultation. The feedback and results were published in </w:t>
      </w:r>
      <w:proofErr w:type="gramStart"/>
      <w:r w:rsidRPr="00EC5EF1">
        <w:t>Let’s</w:t>
      </w:r>
      <w:proofErr w:type="gramEnd"/>
      <w:r w:rsidRPr="00EC5EF1">
        <w:t xml:space="preserve"> get real (2018) and are available for organisations to use. You can read more about </w:t>
      </w:r>
      <w:proofErr w:type="gramStart"/>
      <w:r w:rsidRPr="00EC5EF1">
        <w:t>Let’s</w:t>
      </w:r>
      <w:proofErr w:type="gramEnd"/>
      <w:r w:rsidRPr="00EC5EF1">
        <w:t xml:space="preserve"> get real at:</w:t>
      </w:r>
      <w:r w:rsidR="004522E2">
        <w:t xml:space="preserve"> </w:t>
      </w:r>
      <w:hyperlink r:id="rId30">
        <w:r w:rsidRPr="004522E2">
          <w:rPr>
            <w:rStyle w:val="Hyperlink"/>
          </w:rPr>
          <w:t>www.tepou.co.nz/initiatives/lets-get-real/107</w:t>
        </w:r>
      </w:hyperlink>
    </w:p>
    <w:p w14:paraId="33714AC0" w14:textId="77777777" w:rsidR="004522E2" w:rsidRPr="00DE0BB2" w:rsidRDefault="004522E2" w:rsidP="004522E2"/>
    <w:p w14:paraId="71B9716A" w14:textId="77777777" w:rsidR="00740DA6" w:rsidRPr="00EC5EF1" w:rsidRDefault="00740DA6" w:rsidP="004522E2">
      <w:pPr>
        <w:pStyle w:val="Heading2"/>
      </w:pPr>
      <w:bookmarkStart w:id="37" w:name="_Toc2845638"/>
      <w:r w:rsidRPr="00DE0BB2">
        <w:lastRenderedPageBreak/>
        <w:t>E</w:t>
      </w:r>
      <w:r w:rsidRPr="00EC5EF1">
        <w:t>qually Well</w:t>
      </w:r>
      <w:bookmarkEnd w:id="37"/>
    </w:p>
    <w:p w14:paraId="3F58B4F4" w14:textId="440AAA15" w:rsidR="00740DA6" w:rsidRPr="00EC5EF1" w:rsidRDefault="00740DA6" w:rsidP="004522E2">
      <w:r w:rsidRPr="00EC5EF1">
        <w:rPr>
          <w:noProof/>
          <w:lang w:eastAsia="en-NZ"/>
        </w:rPr>
        <w:drawing>
          <wp:anchor distT="0" distB="0" distL="0" distR="0" simplePos="0" relativeHeight="251687936" behindDoc="0" locked="0" layoutInCell="1" allowOverlap="1" wp14:anchorId="68102198" wp14:editId="682BC955">
            <wp:simplePos x="0" y="0"/>
            <wp:positionH relativeFrom="page">
              <wp:posOffset>8060163</wp:posOffset>
            </wp:positionH>
            <wp:positionV relativeFrom="paragraph">
              <wp:posOffset>328689</wp:posOffset>
            </wp:positionV>
            <wp:extent cx="155575" cy="155575"/>
            <wp:effectExtent l="0" t="0" r="0" b="0"/>
            <wp:wrapNone/>
            <wp:docPr id="11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Service users of specialist mental health and addiction services have higher rates of premature mortality, two-thirds of which are a result of preventable and treatable physical health issues (Cunningham et al 2014). Following an evidence</w:t>
      </w:r>
      <w:r w:rsidR="004522E2">
        <w:t xml:space="preserve"> </w:t>
      </w:r>
      <w:r w:rsidRPr="00EC5EF1">
        <w:t xml:space="preserve">review conducted by </w:t>
      </w:r>
      <w:proofErr w:type="spellStart"/>
      <w:r w:rsidRPr="00EC5EF1">
        <w:t>Te</w:t>
      </w:r>
      <w:proofErr w:type="spellEnd"/>
      <w:r w:rsidRPr="00EC5EF1">
        <w:t xml:space="preserve"> </w:t>
      </w:r>
      <w:proofErr w:type="spellStart"/>
      <w:r w:rsidRPr="00EC5EF1">
        <w:t>Pou</w:t>
      </w:r>
      <w:proofErr w:type="spellEnd"/>
      <w:r w:rsidRPr="00EC5EF1">
        <w:t xml:space="preserve">, a consensus position paper coordinated by </w:t>
      </w:r>
      <w:proofErr w:type="spellStart"/>
      <w:r w:rsidRPr="00EC5EF1">
        <w:t>Te</w:t>
      </w:r>
      <w:proofErr w:type="spellEnd"/>
      <w:r w:rsidRPr="00EC5EF1">
        <w:t xml:space="preserve"> </w:t>
      </w:r>
      <w:proofErr w:type="spellStart"/>
      <w:r w:rsidRPr="00EC5EF1">
        <w:t>Pou</w:t>
      </w:r>
      <w:proofErr w:type="spellEnd"/>
      <w:r w:rsidRPr="00EC5EF1">
        <w:t xml:space="preserve"> (in consultation with other organisations),</w:t>
      </w:r>
      <w:r w:rsidR="004522E2">
        <w:rPr>
          <w:rStyle w:val="FootnoteReference"/>
        </w:rPr>
        <w:footnoteReference w:id="8"/>
      </w:r>
      <w:r w:rsidR="00DA319F">
        <w:t xml:space="preserve"> </w:t>
      </w:r>
      <w:r w:rsidRPr="00EC5EF1">
        <w:t>and a hui, the Equally Well collaboration formally commenced in 2014. More than 120 organisations formally endorsed the consensus position paper, committing to actions in their spheres of influence.</w:t>
      </w:r>
    </w:p>
    <w:p w14:paraId="2BBAC1F7" w14:textId="77777777" w:rsidR="004522E2" w:rsidRDefault="004522E2" w:rsidP="004522E2"/>
    <w:p w14:paraId="4922BD3F" w14:textId="13E74E7D" w:rsidR="00740DA6" w:rsidRPr="00EC5EF1" w:rsidRDefault="00740DA6" w:rsidP="004522E2">
      <w:r w:rsidRPr="00EC5EF1">
        <w:t xml:space="preserve">Equally </w:t>
      </w:r>
      <w:proofErr w:type="gramStart"/>
      <w:r w:rsidRPr="00EC5EF1">
        <w:t>Well</w:t>
      </w:r>
      <w:proofErr w:type="gramEnd"/>
      <w:r w:rsidRPr="00EC5EF1">
        <w:t xml:space="preserve"> is a collaborative group of organisations and individuals with a common goal of reducing physical health disparities of those who experience mental health and addiction conditions. The collaborative comprises a diverse range of stakeholders, including service users, family and whānau, psychiatrists, general practitioners, support workers, pharmacists, public health physicians, academics, funders and planners, policymakers, and more.</w:t>
      </w:r>
    </w:p>
    <w:p w14:paraId="1677985F" w14:textId="77777777" w:rsidR="004522E2" w:rsidRDefault="004522E2" w:rsidP="004522E2"/>
    <w:p w14:paraId="54C2F419" w14:textId="36AFEF2E" w:rsidR="00740DA6" w:rsidRPr="00EC5EF1" w:rsidRDefault="00740DA6" w:rsidP="004522E2">
      <w:r w:rsidRPr="00EC5EF1">
        <w:t>The Ministry has included actions to address the Equally Well goal in the New Zealand Diabetes Strategy (Living Well with Diabetes: 2015–2020 – see Ministry of Health 2015a) and the updated Cardiovascular Disease Risk Assessment and Management for Primary Care guide (Ministry of Health 2018a). For the past three years, the Ministry has been conducting an evidence review to inform the update of primary health care guidance on the risk assessment and management of cardiovascular disease.</w:t>
      </w:r>
    </w:p>
    <w:p w14:paraId="4C6591A1" w14:textId="77777777" w:rsidR="004522E2" w:rsidRDefault="004522E2" w:rsidP="004522E2"/>
    <w:p w14:paraId="01CEA4F6" w14:textId="04755E6E" w:rsidR="00740DA6" w:rsidRPr="00EC5EF1" w:rsidRDefault="00740DA6" w:rsidP="00DA319F">
      <w:r w:rsidRPr="00EC5EF1">
        <w:t>Mental health was a priority area in the literature review and as a result of the greater risk and under-management of cardiovascular disease in people with mental health and addiction issues. The updated guidance reminds clinicians that the current risk</w:t>
      </w:r>
      <w:r w:rsidR="00DA319F">
        <w:t xml:space="preserve"> </w:t>
      </w:r>
      <w:r w:rsidRPr="00EC5EF1">
        <w:t>assessment algorithms that are available will underestimate the risks for this patient population.</w:t>
      </w:r>
    </w:p>
    <w:p w14:paraId="1058B138" w14:textId="77777777" w:rsidR="00DA319F" w:rsidRDefault="00DA319F" w:rsidP="00DA319F"/>
    <w:p w14:paraId="6F9B1DF2" w14:textId="25B448C7" w:rsidR="00740DA6" w:rsidRPr="00EC5EF1" w:rsidRDefault="00740DA6" w:rsidP="00DA319F">
      <w:r w:rsidRPr="00EC5EF1">
        <w:t>In 2017, the Ministry launched a five-year quality improvement programme for mental health and addiction services, led by the Health Quality and Safety Commission New Zealand (HQSC). Maximising the physical health of people with mental health and addiction problems is one of the five priority areas of quality improvement. The HQSC will be setting out their action plan in this area early in 2019.</w:t>
      </w:r>
    </w:p>
    <w:p w14:paraId="73617484" w14:textId="77777777" w:rsidR="00DA319F" w:rsidRDefault="00DA319F" w:rsidP="00DA319F"/>
    <w:p w14:paraId="2CD8D00B" w14:textId="35936A4A" w:rsidR="00740DA6" w:rsidRPr="00EC5EF1" w:rsidRDefault="00740DA6" w:rsidP="00DA319F">
      <w:r w:rsidRPr="00EC5EF1">
        <w:t>The Office will be working to support the rest of the Ministry to address this health inequity and to provide leadership to the mental health and addiction sector to maximise the physical health of people with mental health and addiction problems.</w:t>
      </w:r>
    </w:p>
    <w:p w14:paraId="14B1FB9C" w14:textId="77777777" w:rsidR="00740DA6" w:rsidRPr="00EC5EF1" w:rsidRDefault="00740DA6" w:rsidP="00DA319F"/>
    <w:p w14:paraId="0B0E3956" w14:textId="77777777" w:rsidR="00740DA6" w:rsidRPr="00EC5EF1" w:rsidRDefault="00740DA6" w:rsidP="00DA319F">
      <w:pPr>
        <w:pStyle w:val="Heading2"/>
      </w:pPr>
      <w:bookmarkStart w:id="38" w:name="_Toc2845639"/>
      <w:r w:rsidRPr="00EC5EF1">
        <w:lastRenderedPageBreak/>
        <w:t>Strategies for suicide prevention in New Zealand</w:t>
      </w:r>
      <w:bookmarkEnd w:id="38"/>
    </w:p>
    <w:p w14:paraId="3BBA4B6B" w14:textId="7CBFF1C6" w:rsidR="00740DA6" w:rsidRDefault="00740DA6" w:rsidP="00DA319F">
      <w:r w:rsidRPr="00EC5EF1">
        <w:t xml:space="preserve">As the New Zealand Suicide Prevention Strategy 2006–2016 (see Associate Minister of Health 2006) was nearing its end, the Ministry developed a draft suicide prevention strategy on behalf of and with input from other government agencies. </w:t>
      </w:r>
      <w:r w:rsidRPr="00D83D0A">
        <w:rPr>
          <w:i/>
        </w:rPr>
        <w:t xml:space="preserve">A Strategy to Prevent Suicide in New Zealand: Draft for public consultation </w:t>
      </w:r>
      <w:r w:rsidRPr="00EC5EF1">
        <w:t>(Ministry of Health 2017a) was publicly consulted on between 12 April and 26 June 2017.</w:t>
      </w:r>
    </w:p>
    <w:p w14:paraId="6AAB22A7" w14:textId="77777777" w:rsidR="00DA319F" w:rsidRPr="00EC5EF1" w:rsidRDefault="00DA319F" w:rsidP="00DA319F"/>
    <w:p w14:paraId="74EC2408" w14:textId="72D7BCAF" w:rsidR="00740DA6" w:rsidRDefault="00740DA6" w:rsidP="00DA319F">
      <w:r w:rsidRPr="00EC5EF1">
        <w:rPr>
          <w:noProof/>
          <w:lang w:eastAsia="en-NZ"/>
        </w:rPr>
        <w:drawing>
          <wp:anchor distT="0" distB="0" distL="0" distR="0" simplePos="0" relativeHeight="251689984" behindDoc="0" locked="0" layoutInCell="1" allowOverlap="1" wp14:anchorId="751F11F7" wp14:editId="596E7A9C">
            <wp:simplePos x="0" y="0"/>
            <wp:positionH relativeFrom="page">
              <wp:posOffset>8060163</wp:posOffset>
            </wp:positionH>
            <wp:positionV relativeFrom="paragraph">
              <wp:posOffset>386531</wp:posOffset>
            </wp:positionV>
            <wp:extent cx="155575" cy="155575"/>
            <wp:effectExtent l="0" t="0" r="0" b="0"/>
            <wp:wrapNone/>
            <wp:docPr id="11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During the public consultation period, over 300 people attended 15 public consultation meetings around the country, and almost 500 substantive submissions were received. Copies of the submissions received and a draft summary of the submissions will inform the way forward for suicide prevention and have been provided to the Mental Health and Addiction Inquiry.</w:t>
      </w:r>
    </w:p>
    <w:p w14:paraId="0F4F4B3F" w14:textId="77777777" w:rsidR="00DA319F" w:rsidRPr="00EC5EF1" w:rsidRDefault="00DA319F" w:rsidP="00DA319F"/>
    <w:p w14:paraId="222F30C8" w14:textId="77777777" w:rsidR="00740DA6" w:rsidRPr="00EC5EF1" w:rsidRDefault="00740DA6" w:rsidP="00DA319F">
      <w:pPr>
        <w:pStyle w:val="Heading3"/>
      </w:pPr>
      <w:bookmarkStart w:id="39" w:name="_Toc2845640"/>
      <w:proofErr w:type="spellStart"/>
      <w:r w:rsidRPr="00EC5EF1">
        <w:t>LifeKeepers</w:t>
      </w:r>
      <w:bookmarkEnd w:id="39"/>
      <w:proofErr w:type="spellEnd"/>
    </w:p>
    <w:p w14:paraId="076F3576" w14:textId="77777777" w:rsidR="00740DA6" w:rsidRPr="00EC5EF1" w:rsidRDefault="00740DA6" w:rsidP="00DA319F">
      <w:r w:rsidRPr="00EC5EF1">
        <w:t xml:space="preserve">In September 2017, </w:t>
      </w:r>
      <w:proofErr w:type="spellStart"/>
      <w:r w:rsidRPr="00EC5EF1">
        <w:t>LifeKeepers</w:t>
      </w:r>
      <w:proofErr w:type="spellEnd"/>
      <w:r w:rsidRPr="00EC5EF1">
        <w:t xml:space="preserve">, a suicide prevention training programme, was officially launched. </w:t>
      </w:r>
      <w:proofErr w:type="spellStart"/>
      <w:r w:rsidRPr="00EC5EF1">
        <w:t>LifeKeepers</w:t>
      </w:r>
      <w:proofErr w:type="spellEnd"/>
      <w:r w:rsidRPr="00EC5EF1">
        <w:t xml:space="preserve"> was created by Le </w:t>
      </w:r>
      <w:proofErr w:type="spellStart"/>
      <w:proofErr w:type="gramStart"/>
      <w:r w:rsidRPr="00EC5EF1">
        <w:t>Va</w:t>
      </w:r>
      <w:proofErr w:type="spellEnd"/>
      <w:proofErr w:type="gramEnd"/>
      <w:r w:rsidRPr="00EC5EF1">
        <w:t xml:space="preserve">, and is funded by the Ministry. </w:t>
      </w:r>
      <w:proofErr w:type="spellStart"/>
      <w:r w:rsidRPr="00EC5EF1">
        <w:t>LifeKeepers</w:t>
      </w:r>
      <w:proofErr w:type="spellEnd"/>
      <w:r w:rsidRPr="00EC5EF1">
        <w:t xml:space="preserve"> combines evidence-based practices with local knowledge and experience to provide a community-focused, clinically safe and culturally responsive programme.</w:t>
      </w:r>
    </w:p>
    <w:p w14:paraId="3E2A8EF6" w14:textId="77777777" w:rsidR="00DA319F" w:rsidRDefault="00DA319F" w:rsidP="00DA319F"/>
    <w:p w14:paraId="5062AA50" w14:textId="01BB40EC" w:rsidR="00740DA6" w:rsidRDefault="00740DA6" w:rsidP="00DA319F">
      <w:proofErr w:type="spellStart"/>
      <w:r w:rsidRPr="00EC5EF1">
        <w:t>LifeKeepers</w:t>
      </w:r>
      <w:proofErr w:type="spellEnd"/>
      <w:r w:rsidRPr="00EC5EF1">
        <w:t xml:space="preserve"> is designed for people who work in communities and frontline roles and is available nationwide and free of charge to New Zealand adults who are likely to interact with people at risk of suicide.</w:t>
      </w:r>
    </w:p>
    <w:p w14:paraId="07B65124" w14:textId="77777777" w:rsidR="00DA319F" w:rsidRPr="00EC5EF1" w:rsidRDefault="00DA319F" w:rsidP="00DA319F"/>
    <w:p w14:paraId="742C8C9C" w14:textId="77777777" w:rsidR="00740DA6" w:rsidRPr="00EC5EF1" w:rsidRDefault="00740DA6" w:rsidP="00DA319F">
      <w:pPr>
        <w:pStyle w:val="Heading3"/>
      </w:pPr>
      <w:bookmarkStart w:id="40" w:name="_Toc2845641"/>
      <w:r w:rsidRPr="00EC5EF1">
        <w:t>Waka Hourua</w:t>
      </w:r>
      <w:bookmarkEnd w:id="40"/>
    </w:p>
    <w:p w14:paraId="6C1B3CCC" w14:textId="77777777" w:rsidR="00740DA6" w:rsidRPr="00EC5EF1" w:rsidRDefault="00740DA6" w:rsidP="00DA319F">
      <w:r w:rsidRPr="00EC5EF1">
        <w:t xml:space="preserve">In 2014, the Ministry contracted </w:t>
      </w:r>
      <w:proofErr w:type="spellStart"/>
      <w:r w:rsidRPr="00EC5EF1">
        <w:t>Te</w:t>
      </w:r>
      <w:proofErr w:type="spellEnd"/>
      <w:r w:rsidRPr="00EC5EF1">
        <w:t xml:space="preserve"> Rau </w:t>
      </w:r>
      <w:proofErr w:type="spellStart"/>
      <w:r w:rsidRPr="00EC5EF1">
        <w:t>Matatini</w:t>
      </w:r>
      <w:proofErr w:type="spellEnd"/>
      <w:r w:rsidRPr="00EC5EF1">
        <w:t xml:space="preserve">, the national centre for Māori Health, Māori workforce development and excellence, and Le </w:t>
      </w:r>
      <w:proofErr w:type="spellStart"/>
      <w:proofErr w:type="gramStart"/>
      <w:r w:rsidRPr="00EC5EF1">
        <w:t>Va</w:t>
      </w:r>
      <w:proofErr w:type="spellEnd"/>
      <w:proofErr w:type="gramEnd"/>
      <w:r w:rsidRPr="00EC5EF1">
        <w:t xml:space="preserve"> to establish a national Māori and Pacific community suicide prevention programme called Waka Hourua. The aim of Waka Hourua is to build the capacity and capability of Māori and Pacific communities to prevent suicide.</w:t>
      </w:r>
    </w:p>
    <w:p w14:paraId="34F2DB60" w14:textId="77777777" w:rsidR="00DA319F" w:rsidRDefault="00DA319F" w:rsidP="00DA319F"/>
    <w:p w14:paraId="6BF84F53" w14:textId="7853766B" w:rsidR="00740DA6" w:rsidRPr="00EC5EF1" w:rsidRDefault="00740DA6" w:rsidP="00DA319F">
      <w:r w:rsidRPr="00EC5EF1">
        <w:t>Governance for Waka Hourua is provided by the Waka Hourua Leadership Group. The Ministry, including the Office, is represented as observatory members on this group.</w:t>
      </w:r>
    </w:p>
    <w:p w14:paraId="42A27988" w14:textId="77777777" w:rsidR="00DA319F" w:rsidRDefault="00DA319F" w:rsidP="00DA319F"/>
    <w:p w14:paraId="30080EAD" w14:textId="63D6CDCF" w:rsidR="00740DA6" w:rsidRPr="00EC5EF1" w:rsidRDefault="00740DA6" w:rsidP="00DA319F">
      <w:r w:rsidRPr="00EC5EF1">
        <w:t>The work of Waka Hourua continued throughout 2017.</w:t>
      </w:r>
    </w:p>
    <w:p w14:paraId="71A68468" w14:textId="77777777" w:rsidR="00740DA6" w:rsidRPr="00EC5EF1" w:rsidRDefault="00740DA6" w:rsidP="00DA319F"/>
    <w:p w14:paraId="5788B573" w14:textId="77777777" w:rsidR="00740DA6" w:rsidRPr="00EC5EF1" w:rsidRDefault="00740DA6" w:rsidP="00DA319F">
      <w:pPr>
        <w:pStyle w:val="Heading2"/>
      </w:pPr>
      <w:bookmarkStart w:id="41" w:name="_Toc2845642"/>
      <w:r w:rsidRPr="00EC5EF1">
        <w:lastRenderedPageBreak/>
        <w:t>Human Rights and the Mental Health Act: Action 9(d) of the Disability Action Plan 2014–2018</w:t>
      </w:r>
      <w:bookmarkEnd w:id="41"/>
    </w:p>
    <w:p w14:paraId="32A5F291" w14:textId="77777777" w:rsidR="00740DA6" w:rsidRPr="00EC5EF1" w:rsidRDefault="00740DA6" w:rsidP="00DA319F">
      <w:r w:rsidRPr="00EC5EF1">
        <w:t xml:space="preserve">In partnership with Balance </w:t>
      </w:r>
      <w:proofErr w:type="spellStart"/>
      <w:r w:rsidRPr="00EC5EF1">
        <w:t>Aotearoa</w:t>
      </w:r>
      <w:proofErr w:type="spellEnd"/>
      <w:r w:rsidRPr="00EC5EF1">
        <w:t>, the Office led Action 9(d) of the Disability Action Plan 2014–2018 (see Office for Disability Issues 2015), to ‘explore how the Mental Health (Compulsory Assessment and Treatment) Act 1992 relates to the New Zealand Bill of Rights Act 1990 and the CRPD (the Convention on the Rights of Persons with Disabilities)’. This project was developed in response to the United Nations Committee on the Rights of Persons with Disabilities’ concerns over the Mental Health Act’s compliance with the CRPD.</w:t>
      </w:r>
    </w:p>
    <w:p w14:paraId="70B3F3D9" w14:textId="77777777" w:rsidR="00DA319F" w:rsidRDefault="00DA319F" w:rsidP="00DA319F"/>
    <w:p w14:paraId="23576CD5" w14:textId="6E1D2F7E" w:rsidR="00740DA6" w:rsidRPr="00EC5EF1" w:rsidRDefault="00740DA6" w:rsidP="00DA319F">
      <w:r w:rsidRPr="00EC5EF1">
        <w:t>In February 2017, a discussion document was released to consult targeted populations who have been directly involved with the Mental Health Act; service users/</w:t>
      </w:r>
      <w:proofErr w:type="spellStart"/>
      <w:r w:rsidRPr="00EC5EF1">
        <w:t>tangata</w:t>
      </w:r>
      <w:proofErr w:type="spellEnd"/>
      <w:r w:rsidRPr="00EC5EF1">
        <w:t xml:space="preserve"> </w:t>
      </w:r>
      <w:proofErr w:type="spellStart"/>
      <w:r w:rsidRPr="00EC5EF1">
        <w:t>whaiora</w:t>
      </w:r>
      <w:proofErr w:type="spellEnd"/>
      <w:r w:rsidRPr="00EC5EF1">
        <w:t xml:space="preserve"> (people seeking wellness), family/whānau, clinicians and services, academics and researchers, agencies and organisations involved with the health sector. The discussion document gathered comprehensive perspectives and knowledge in order to understand the breadth of the Mental Health Act’s impact on those affected by it.</w:t>
      </w:r>
    </w:p>
    <w:p w14:paraId="616242E0" w14:textId="77777777" w:rsidR="00DA319F" w:rsidRDefault="00DA319F" w:rsidP="00DA319F"/>
    <w:p w14:paraId="6BF6FE25" w14:textId="429ECE6F" w:rsidR="00740DA6" w:rsidRPr="00EC5EF1" w:rsidRDefault="00740DA6" w:rsidP="00DA319F">
      <w:r w:rsidRPr="00EC5EF1">
        <w:t>Action 9(d) was completed and the findings were reported back to Ministers in July 2017. The key issues and concerns raised as a result of Action 9(d) are as follows:</w:t>
      </w:r>
    </w:p>
    <w:p w14:paraId="7D80B851" w14:textId="7E62A861" w:rsidR="00740DA6" w:rsidRPr="00EC5EF1" w:rsidRDefault="00740DA6" w:rsidP="00DA319F">
      <w:pPr>
        <w:pStyle w:val="Bullet"/>
      </w:pPr>
      <w:r w:rsidRPr="00EC5EF1">
        <w:rPr>
          <w:noProof/>
          <w:lang w:eastAsia="en-NZ"/>
        </w:rPr>
        <w:drawing>
          <wp:anchor distT="0" distB="0" distL="0" distR="0" simplePos="0" relativeHeight="251692032" behindDoc="0" locked="0" layoutInCell="1" allowOverlap="1" wp14:anchorId="1E4E3B9A" wp14:editId="29E29F27">
            <wp:simplePos x="0" y="0"/>
            <wp:positionH relativeFrom="page">
              <wp:posOffset>8060163</wp:posOffset>
            </wp:positionH>
            <wp:positionV relativeFrom="paragraph">
              <wp:posOffset>102275</wp:posOffset>
            </wp:positionV>
            <wp:extent cx="155575" cy="155575"/>
            <wp:effectExtent l="0" t="0" r="0" b="0"/>
            <wp:wrapNone/>
            <wp:docPr id="11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The Mental Health Act is inconsistent with our human rights obligations under the CRPD and the Bill of Rights Act 1990.</w:t>
      </w:r>
    </w:p>
    <w:p w14:paraId="4E2BE466" w14:textId="77777777" w:rsidR="00740DA6" w:rsidRPr="00EC5EF1" w:rsidRDefault="00740DA6" w:rsidP="00DA319F">
      <w:pPr>
        <w:pStyle w:val="Bullet"/>
      </w:pPr>
      <w:r w:rsidRPr="00EC5EF1">
        <w:t>There needs to be increased recognition of the views and preferences of service users/</w:t>
      </w:r>
      <w:proofErr w:type="spellStart"/>
      <w:r w:rsidRPr="00EC5EF1">
        <w:t>tangata</w:t>
      </w:r>
      <w:proofErr w:type="spellEnd"/>
      <w:r w:rsidRPr="00EC5EF1">
        <w:t xml:space="preserve"> </w:t>
      </w:r>
      <w:proofErr w:type="spellStart"/>
      <w:r w:rsidRPr="00EC5EF1">
        <w:t>whaiora</w:t>
      </w:r>
      <w:proofErr w:type="spellEnd"/>
      <w:r w:rsidRPr="00EC5EF1">
        <w:t>.</w:t>
      </w:r>
    </w:p>
    <w:p w14:paraId="04E60954" w14:textId="77777777" w:rsidR="00740DA6" w:rsidRPr="00EC5EF1" w:rsidRDefault="00740DA6" w:rsidP="00DA319F">
      <w:pPr>
        <w:pStyle w:val="Bullet"/>
      </w:pPr>
      <w:r w:rsidRPr="00EC5EF1">
        <w:t>There must be informed consent.</w:t>
      </w:r>
    </w:p>
    <w:p w14:paraId="0800A10E" w14:textId="77777777" w:rsidR="00740DA6" w:rsidRPr="00EC5EF1" w:rsidRDefault="00740DA6" w:rsidP="00DA319F">
      <w:pPr>
        <w:pStyle w:val="Bullet"/>
      </w:pPr>
      <w:r w:rsidRPr="00EC5EF1">
        <w:t>Service users need greater choice in treatment options – not just medication.</w:t>
      </w:r>
    </w:p>
    <w:p w14:paraId="1B2F38C8" w14:textId="77777777" w:rsidR="00740DA6" w:rsidRPr="00EC5EF1" w:rsidRDefault="00740DA6" w:rsidP="00DA319F">
      <w:pPr>
        <w:pStyle w:val="Bullet"/>
      </w:pPr>
      <w:r w:rsidRPr="00EC5EF1">
        <w:t>There is a lack of access to early intervention services.</w:t>
      </w:r>
    </w:p>
    <w:p w14:paraId="7DA207F3" w14:textId="77777777" w:rsidR="00740DA6" w:rsidRPr="00EC5EF1" w:rsidRDefault="00740DA6" w:rsidP="00DA319F">
      <w:pPr>
        <w:pStyle w:val="Bullet"/>
      </w:pPr>
      <w:r w:rsidRPr="00EC5EF1">
        <w:t>There is conflict between a ‘recovery model’ of mental health and the culture of risk avoidance/management.</w:t>
      </w:r>
    </w:p>
    <w:p w14:paraId="4C17F76D" w14:textId="77777777" w:rsidR="00740DA6" w:rsidRPr="00EC5EF1" w:rsidRDefault="00740DA6" w:rsidP="00DA319F">
      <w:pPr>
        <w:pStyle w:val="Bullet"/>
      </w:pPr>
      <w:r w:rsidRPr="00EC5EF1">
        <w:t>Services need to improve family/whānau consultation.</w:t>
      </w:r>
    </w:p>
    <w:p w14:paraId="4E7BFE11" w14:textId="77777777" w:rsidR="00740DA6" w:rsidRPr="00EC5EF1" w:rsidRDefault="00740DA6" w:rsidP="00DA319F">
      <w:pPr>
        <w:pStyle w:val="Bullet"/>
      </w:pPr>
      <w:r w:rsidRPr="00EC5EF1">
        <w:t xml:space="preserve">We need to strengthen cultural responsiveness, competency and assessment, including </w:t>
      </w:r>
      <w:proofErr w:type="spellStart"/>
      <w:r w:rsidRPr="00EC5EF1">
        <w:t>kaupapa</w:t>
      </w:r>
      <w:proofErr w:type="spellEnd"/>
      <w:r w:rsidRPr="00EC5EF1">
        <w:t xml:space="preserve"> Māori approaches.</w:t>
      </w:r>
    </w:p>
    <w:p w14:paraId="05CEBA7B" w14:textId="77777777" w:rsidR="00740DA6" w:rsidRPr="00EC5EF1" w:rsidRDefault="00740DA6" w:rsidP="00DA319F">
      <w:pPr>
        <w:pStyle w:val="Bullet"/>
      </w:pPr>
      <w:r w:rsidRPr="00EC5EF1">
        <w:t>There must be greater priority given to reducing and eliminating seclusion and restraint.</w:t>
      </w:r>
    </w:p>
    <w:p w14:paraId="21E9B028" w14:textId="77777777" w:rsidR="00DA319F" w:rsidRDefault="00DA319F" w:rsidP="00DA319F"/>
    <w:p w14:paraId="66D4AE2A" w14:textId="11AC8151" w:rsidR="00740DA6" w:rsidRPr="00EC5EF1" w:rsidRDefault="00740DA6" w:rsidP="00DA319F">
      <w:r w:rsidRPr="00EC5EF1">
        <w:t>The findings will inform existing work programmes as well as new work to ensure the rights of service users/</w:t>
      </w:r>
      <w:proofErr w:type="spellStart"/>
      <w:r w:rsidRPr="00EC5EF1">
        <w:t>tangata</w:t>
      </w:r>
      <w:proofErr w:type="spellEnd"/>
      <w:r w:rsidRPr="00EC5EF1">
        <w:t xml:space="preserve"> </w:t>
      </w:r>
      <w:proofErr w:type="spellStart"/>
      <w:r w:rsidRPr="00EC5EF1">
        <w:t>whaiora</w:t>
      </w:r>
      <w:proofErr w:type="spellEnd"/>
      <w:r w:rsidRPr="00EC5EF1">
        <w:t xml:space="preserve"> are promoted. The work will involve ongoing engagement with service users/</w:t>
      </w:r>
      <w:proofErr w:type="spellStart"/>
      <w:r w:rsidRPr="00EC5EF1">
        <w:t>tangata</w:t>
      </w:r>
      <w:proofErr w:type="spellEnd"/>
      <w:r w:rsidRPr="00EC5EF1">
        <w:t xml:space="preserve"> </w:t>
      </w:r>
      <w:proofErr w:type="spellStart"/>
      <w:r w:rsidRPr="00EC5EF1">
        <w:t>whaiora</w:t>
      </w:r>
      <w:proofErr w:type="spellEnd"/>
      <w:r w:rsidRPr="00EC5EF1">
        <w:t>, the health sector, independent monitoring agencies and other organisations.</w:t>
      </w:r>
    </w:p>
    <w:p w14:paraId="32BCA9B7" w14:textId="77777777" w:rsidR="00DA319F" w:rsidRDefault="00DA319F" w:rsidP="00DA319F"/>
    <w:p w14:paraId="6706B82D" w14:textId="2CDE148A" w:rsidR="00740DA6" w:rsidRPr="00DE0BB2" w:rsidRDefault="00740DA6" w:rsidP="00DA319F">
      <w:pPr>
        <w:keepLines/>
      </w:pPr>
      <w:r w:rsidRPr="00EC5EF1">
        <w:lastRenderedPageBreak/>
        <w:t>You can read more about the summary of submissions on the Mental Health Act and human rights at the Ministry of Health’s webpage Mental Health and human rights</w:t>
      </w:r>
      <w:r w:rsidR="00DA319F">
        <w:t xml:space="preserve"> </w:t>
      </w:r>
      <w:r w:rsidRPr="00EC5EF1">
        <w:t xml:space="preserve">– an assessment: </w:t>
      </w:r>
      <w:r w:rsidRPr="00DA319F">
        <w:rPr>
          <w:rStyle w:val="Hyperlink"/>
        </w:rPr>
        <w:t>health.govt.nz/our-work/mental-health-and-addictions/mental-health/mental-health-and-human-rights-assessment</w:t>
      </w:r>
    </w:p>
    <w:p w14:paraId="4C0C2DB5" w14:textId="77777777" w:rsidR="00740DA6" w:rsidRPr="00EC5EF1" w:rsidRDefault="00740DA6" w:rsidP="00DA319F"/>
    <w:p w14:paraId="0A4254D8" w14:textId="77777777" w:rsidR="00740DA6" w:rsidRPr="00EC5EF1" w:rsidRDefault="00740DA6" w:rsidP="00780F32">
      <w:pPr>
        <w:pStyle w:val="Heading2"/>
      </w:pPr>
      <w:bookmarkStart w:id="42" w:name="_Toc2845643"/>
      <w:r w:rsidRPr="00EC5EF1">
        <w:t>Guidelines</w:t>
      </w:r>
      <w:bookmarkEnd w:id="42"/>
    </w:p>
    <w:p w14:paraId="2DBD9F03" w14:textId="77777777" w:rsidR="00740DA6" w:rsidRPr="00EC5EF1" w:rsidRDefault="00740DA6" w:rsidP="00780F32">
      <w:pPr>
        <w:pStyle w:val="Heading3"/>
      </w:pPr>
      <w:bookmarkStart w:id="43" w:name="_Toc2845644"/>
      <w:r w:rsidRPr="00EC5EF1">
        <w:t>Special patient guidelines</w:t>
      </w:r>
      <w:bookmarkEnd w:id="43"/>
    </w:p>
    <w:p w14:paraId="5E8A06F0" w14:textId="77777777" w:rsidR="00740DA6" w:rsidRPr="00EC5EF1" w:rsidRDefault="00740DA6" w:rsidP="007D0316">
      <w:r w:rsidRPr="00EC5EF1">
        <w:t xml:space="preserve">In 2017, the Ministry released </w:t>
      </w:r>
      <w:r w:rsidRPr="00D83D0A">
        <w:rPr>
          <w:i/>
        </w:rPr>
        <w:t>Special Patients and Restricted Patients: Guidelines for Regional Forensic Mental Health Services</w:t>
      </w:r>
      <w:r w:rsidRPr="007D0316">
        <w:t xml:space="preserve"> (</w:t>
      </w:r>
      <w:r w:rsidRPr="00EC5EF1">
        <w:t>Ministry of Health 2017b)</w:t>
      </w:r>
      <w:r w:rsidRPr="00EC5EF1">
        <w:rPr>
          <w:rFonts w:ascii="Calibri"/>
          <w:i/>
        </w:rPr>
        <w:t xml:space="preserve">. </w:t>
      </w:r>
      <w:r w:rsidRPr="00EC5EF1">
        <w:t>The guidelines are intended to support forensic mental health services to work effectively with the Office in treating special and restricted patients under part 4 of the Mental Health Act. More specifically, they aim to:</w:t>
      </w:r>
    </w:p>
    <w:p w14:paraId="7038FEA6" w14:textId="77777777" w:rsidR="00740DA6" w:rsidRPr="00EC5EF1" w:rsidRDefault="00740DA6" w:rsidP="007D0316">
      <w:pPr>
        <w:pStyle w:val="Bullet"/>
      </w:pPr>
      <w:r w:rsidRPr="00EC5EF1">
        <w:t>provide clarity and reduce frustration for forensic mental health services by facilitating the smooth processing of requests from those services</w:t>
      </w:r>
    </w:p>
    <w:p w14:paraId="558E21DC" w14:textId="77777777" w:rsidR="00740DA6" w:rsidRPr="00EC5EF1" w:rsidRDefault="00740DA6" w:rsidP="007D0316">
      <w:pPr>
        <w:pStyle w:val="Bullet"/>
      </w:pPr>
      <w:r w:rsidRPr="00EC5EF1">
        <w:t>establish a commitment from the Office to process requests within defined timeframes</w:t>
      </w:r>
    </w:p>
    <w:p w14:paraId="48B5E2FE" w14:textId="77777777" w:rsidR="00740DA6" w:rsidRPr="00EC5EF1" w:rsidRDefault="00740DA6" w:rsidP="007D0316">
      <w:pPr>
        <w:pStyle w:val="Bullet"/>
      </w:pPr>
      <w:proofErr w:type="gramStart"/>
      <w:r w:rsidRPr="00EC5EF1">
        <w:t>provide</w:t>
      </w:r>
      <w:proofErr w:type="gramEnd"/>
      <w:r w:rsidRPr="00EC5EF1">
        <w:t xml:space="preserve"> transparency around the processes that need to be undertaken when seeking leave or considering a change of status for special patients.</w:t>
      </w:r>
    </w:p>
    <w:p w14:paraId="71B0AD07" w14:textId="77777777" w:rsidR="007D0316" w:rsidRDefault="007D0316" w:rsidP="007D0316"/>
    <w:p w14:paraId="04D1FD99" w14:textId="4BE14B2D" w:rsidR="00740DA6" w:rsidRDefault="00740DA6" w:rsidP="007D0316">
      <w:r w:rsidRPr="00EC5EF1">
        <w:t xml:space="preserve">More information about special, and restricted patients can be found on </w:t>
      </w:r>
      <w:r w:rsidRPr="00A8552F">
        <w:t>page 5</w:t>
      </w:r>
      <w:r w:rsidR="00A8552F">
        <w:t>6</w:t>
      </w:r>
      <w:r w:rsidRPr="00EC5EF1">
        <w:t xml:space="preserve"> of this report.</w:t>
      </w:r>
    </w:p>
    <w:p w14:paraId="479A0EE1" w14:textId="77777777" w:rsidR="007D0316" w:rsidRPr="00EC5EF1" w:rsidRDefault="007D0316" w:rsidP="007D0316"/>
    <w:p w14:paraId="06FA8976" w14:textId="77777777" w:rsidR="00740DA6" w:rsidRPr="00EC5EF1" w:rsidRDefault="00740DA6" w:rsidP="007D0316">
      <w:pPr>
        <w:pStyle w:val="Heading3"/>
      </w:pPr>
      <w:bookmarkStart w:id="44" w:name="_Toc2845645"/>
      <w:r w:rsidRPr="00EC5EF1">
        <w:t>Night safety procedures</w:t>
      </w:r>
      <w:bookmarkEnd w:id="44"/>
    </w:p>
    <w:p w14:paraId="54783428" w14:textId="76007634" w:rsidR="00740DA6" w:rsidRPr="00EC5EF1" w:rsidRDefault="00740DA6" w:rsidP="007D0316">
      <w:r w:rsidRPr="00EC5EF1">
        <w:rPr>
          <w:noProof/>
          <w:lang w:eastAsia="en-NZ"/>
        </w:rPr>
        <w:drawing>
          <wp:anchor distT="0" distB="0" distL="0" distR="0" simplePos="0" relativeHeight="251694080" behindDoc="0" locked="0" layoutInCell="1" allowOverlap="1" wp14:anchorId="3C1DB984" wp14:editId="0AC39D55">
            <wp:simplePos x="0" y="0"/>
            <wp:positionH relativeFrom="page">
              <wp:posOffset>8060163</wp:posOffset>
            </wp:positionH>
            <wp:positionV relativeFrom="paragraph">
              <wp:posOffset>485239</wp:posOffset>
            </wp:positionV>
            <wp:extent cx="155575" cy="155575"/>
            <wp:effectExtent l="0" t="0" r="0" b="0"/>
            <wp:wrapNone/>
            <wp:docPr id="12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 xml:space="preserve">During 2017, the Office worked to develop the </w:t>
      </w:r>
      <w:r w:rsidRPr="007D0316">
        <w:rPr>
          <w:i/>
        </w:rPr>
        <w:t>Night Safety Procedures: Transitional Guideline</w:t>
      </w:r>
      <w:r w:rsidRPr="00D83D0A">
        <w:t xml:space="preserve"> </w:t>
      </w:r>
      <w:r w:rsidRPr="00EC5EF1">
        <w:t>(Ministry of Health 2018c). Night safety procedures include locking a patient in their bedroom overnight for safety purposes. Such a practice has been ruled as having no therapeutic function and constitutes a use of force.</w:t>
      </w:r>
    </w:p>
    <w:p w14:paraId="4CCFF410" w14:textId="77777777" w:rsidR="007D0316" w:rsidRDefault="007D0316" w:rsidP="007D0316"/>
    <w:p w14:paraId="2275B687" w14:textId="60D2F33C" w:rsidR="00740DA6" w:rsidRDefault="00740DA6" w:rsidP="007D0316">
      <w:r w:rsidRPr="00EC5EF1">
        <w:t>While only two DHB forensic services use night safety procedures, and only in their medium secure inpatient units, the night safety guidelines from 1995 are considered no longer fit for purpose or aligned with a human rights approach to mental health care. It is anticipated that night safety procedures will be eliminated by 30 December 2022.</w:t>
      </w:r>
    </w:p>
    <w:p w14:paraId="17CA3471" w14:textId="77777777" w:rsidR="007D0316" w:rsidRPr="00EC5EF1" w:rsidRDefault="007D0316" w:rsidP="007D0316"/>
    <w:p w14:paraId="18E82446" w14:textId="77777777" w:rsidR="00740DA6" w:rsidRPr="00EC5EF1" w:rsidRDefault="00740DA6" w:rsidP="007D0316">
      <w:pPr>
        <w:pStyle w:val="Heading2"/>
      </w:pPr>
      <w:bookmarkStart w:id="45" w:name="_Toc2845646"/>
      <w:r w:rsidRPr="00EC5EF1">
        <w:lastRenderedPageBreak/>
        <w:t>Section 65 of the Land Transport Act 1998</w:t>
      </w:r>
      <w:bookmarkEnd w:id="45"/>
    </w:p>
    <w:p w14:paraId="1CC452FF" w14:textId="77777777" w:rsidR="00740DA6" w:rsidRPr="00EC5EF1" w:rsidRDefault="00740DA6" w:rsidP="007D0316">
      <w:r w:rsidRPr="00EC5EF1">
        <w:t xml:space="preserve">During 2017, the Ministry worked together with the New Zealand Transport Agency (NZTA), Matua </w:t>
      </w:r>
      <w:proofErr w:type="spellStart"/>
      <w:r w:rsidRPr="00EC5EF1">
        <w:t>Raḵi</w:t>
      </w:r>
      <w:proofErr w:type="spellEnd"/>
      <w:r w:rsidRPr="00EC5EF1">
        <w:t xml:space="preserve"> (the national centre for addiction workforce development), </w:t>
      </w:r>
      <w:proofErr w:type="spellStart"/>
      <w:r w:rsidRPr="00EC5EF1">
        <w:t>dapaanz</w:t>
      </w:r>
      <w:proofErr w:type="spellEnd"/>
      <w:r w:rsidRPr="00EC5EF1">
        <w:t xml:space="preserve"> (the association representing the professional interests of practitioners working in addiction treatment) and the Ministry of Transport to update the standard operating procedures (SOPs) for section 65 of the Land Transport Act 1998 (the LTA).</w:t>
      </w:r>
    </w:p>
    <w:p w14:paraId="20CC500A" w14:textId="77777777" w:rsidR="007D0316" w:rsidRDefault="007D0316" w:rsidP="007D0316"/>
    <w:p w14:paraId="32B0B1A4" w14:textId="434A9F41" w:rsidR="00740DA6" w:rsidRPr="00EC5EF1" w:rsidRDefault="00740DA6" w:rsidP="007D0316">
      <w:r w:rsidRPr="00EC5EF1">
        <w:t>Section 65 of the LTA provides for the mandatory disqualification of drivers’ licences and assessment for repeat offenders. That is, people who have driven repeatedly whilst inebriated and are convicted by the courts may undergo an indefinite disqualification of their licence. To reinstate their licence, they must attend an assessment centre and undergo an assessment of how well they are managing their substance use or addictive behaviour issues. The assessment centres send copies of the reports to NZTA, who may or may not reinstate the person’s licence, depending on the assessment centres’ recommendations.</w:t>
      </w:r>
    </w:p>
    <w:p w14:paraId="3F9BB27A" w14:textId="77777777" w:rsidR="00740DA6" w:rsidRPr="00EC5EF1" w:rsidRDefault="00740DA6" w:rsidP="007D0316"/>
    <w:p w14:paraId="6C4A8E66" w14:textId="2D0E0B3F" w:rsidR="007D0316" w:rsidRDefault="00740DA6" w:rsidP="007D0316">
      <w:pPr>
        <w:rPr>
          <w:color w:val="231F20"/>
        </w:rPr>
      </w:pPr>
      <w:r w:rsidRPr="00EC5EF1">
        <w:t xml:space="preserve">The SOPs provide a framework for assessing a person’s alcohol and other drug use in relation to the risk of them re-offending because of impaired driving. These SOPs can be found on the Ministry’s website at: </w:t>
      </w:r>
      <w:r w:rsidRPr="007D0316">
        <w:rPr>
          <w:rStyle w:val="Hyperlink"/>
        </w:rPr>
        <w:t>health.govt.nz/publication/assessing-fitness-drive-people-sentenced-under-section-65-land-transport-act-1998-standard-operating</w:t>
      </w:r>
      <w:r w:rsidR="007D0316">
        <w:rPr>
          <w:color w:val="231F20"/>
        </w:rPr>
        <w:t>.</w:t>
      </w:r>
    </w:p>
    <w:p w14:paraId="271D608F" w14:textId="77777777" w:rsidR="007D0316" w:rsidRDefault="007D0316" w:rsidP="007D0316"/>
    <w:p w14:paraId="7818F6F4" w14:textId="0345C82F" w:rsidR="00740DA6" w:rsidRPr="00EC5EF1" w:rsidRDefault="00740DA6" w:rsidP="007D0316">
      <w:r w:rsidRPr="00DE0BB2">
        <w:t>T</w:t>
      </w:r>
      <w:r w:rsidRPr="00EC5EF1">
        <w:t>he Director-General of Health approves assessment centres. Establishments and individuals applying to be an approved assessment centre must demonstrate that they are competent in assessing alcohol and other drug problems. The applicant for approval must:</w:t>
      </w:r>
    </w:p>
    <w:p w14:paraId="70C6D956" w14:textId="2790D3F0" w:rsidR="00740DA6" w:rsidRPr="00EC5EF1" w:rsidRDefault="00740DA6" w:rsidP="007D0316">
      <w:pPr>
        <w:pStyle w:val="Bullet"/>
      </w:pPr>
      <w:r w:rsidRPr="00EC5EF1">
        <w:t xml:space="preserve">hold full registration as a registered alcohol and drug practitioner with the </w:t>
      </w:r>
      <w:proofErr w:type="spellStart"/>
      <w:r w:rsidRPr="00EC5EF1">
        <w:t>dapaanz</w:t>
      </w:r>
      <w:proofErr w:type="spellEnd"/>
      <w:r w:rsidR="00DE0BB2">
        <w:t xml:space="preserve"> </w:t>
      </w:r>
      <w:r w:rsidRPr="00EC5EF1">
        <w:t>or be a Fellow of the Australasian Chapter of Addiction Medicine of The Royal Australasian College of Physicians</w:t>
      </w:r>
    </w:p>
    <w:p w14:paraId="178CAB43" w14:textId="20F6C821" w:rsidR="00740DA6" w:rsidRPr="00EC5EF1" w:rsidRDefault="00740DA6" w:rsidP="007D0316">
      <w:pPr>
        <w:pStyle w:val="Bullet"/>
      </w:pPr>
      <w:r w:rsidRPr="00EC5EF1">
        <w:t>have at least three years supervised experience working as a practitioner in the assessment and treatment of addictive</w:t>
      </w:r>
      <w:r w:rsidR="00DE0BB2">
        <w:t xml:space="preserve"> </w:t>
      </w:r>
      <w:r w:rsidRPr="00EC5EF1">
        <w:t>behaviours</w:t>
      </w:r>
    </w:p>
    <w:p w14:paraId="0A92D5ED" w14:textId="77777777" w:rsidR="00740DA6" w:rsidRPr="00EC5EF1" w:rsidRDefault="00740DA6" w:rsidP="007D0316">
      <w:pPr>
        <w:pStyle w:val="Bullet"/>
      </w:pPr>
      <w:proofErr w:type="gramStart"/>
      <w:r w:rsidRPr="00EC5EF1">
        <w:t>hold</w:t>
      </w:r>
      <w:proofErr w:type="gramEnd"/>
      <w:r w:rsidRPr="00EC5EF1">
        <w:t xml:space="preserve"> a qualification equivalent to or greater than the New Zealand Qualifications Framework level 7 qualification related to assessing and/or treating addictive behaviours, particularly substance use disorders.</w:t>
      </w:r>
    </w:p>
    <w:p w14:paraId="2FAECC6E" w14:textId="77777777" w:rsidR="007D0316" w:rsidRDefault="007D0316" w:rsidP="007D0316"/>
    <w:p w14:paraId="3E259B7F" w14:textId="0ED22A56" w:rsidR="00740DA6" w:rsidRPr="00EC5EF1" w:rsidRDefault="00740DA6" w:rsidP="007D0316">
      <w:r w:rsidRPr="00EC5EF1">
        <w:t>The rationale for requiring minimum criteria to become an assessment centre are:</w:t>
      </w:r>
    </w:p>
    <w:p w14:paraId="43CB2C08" w14:textId="77777777" w:rsidR="00740DA6" w:rsidRPr="00EC5EF1" w:rsidRDefault="00740DA6" w:rsidP="007D0316">
      <w:pPr>
        <w:pStyle w:val="Bullet"/>
      </w:pPr>
      <w:r w:rsidRPr="00EC5EF1">
        <w:t>to ensure that clients receive an honest and accurate reflection of their readiness to have their licence reinstated</w:t>
      </w:r>
    </w:p>
    <w:p w14:paraId="64650107" w14:textId="0D7783D9" w:rsidR="00740DA6" w:rsidRDefault="00740DA6" w:rsidP="007D0316">
      <w:pPr>
        <w:pStyle w:val="Bullet"/>
      </w:pPr>
      <w:r w:rsidRPr="00EC5EF1">
        <w:rPr>
          <w:noProof/>
          <w:lang w:eastAsia="en-NZ"/>
        </w:rPr>
        <w:drawing>
          <wp:anchor distT="0" distB="0" distL="0" distR="0" simplePos="0" relativeHeight="251696128" behindDoc="0" locked="0" layoutInCell="1" allowOverlap="1" wp14:anchorId="4E6543F6" wp14:editId="3D09D7A0">
            <wp:simplePos x="0" y="0"/>
            <wp:positionH relativeFrom="page">
              <wp:posOffset>8060163</wp:posOffset>
            </wp:positionH>
            <wp:positionV relativeFrom="paragraph">
              <wp:posOffset>235612</wp:posOffset>
            </wp:positionV>
            <wp:extent cx="155575" cy="155575"/>
            <wp:effectExtent l="0" t="0" r="0" b="0"/>
            <wp:wrapNone/>
            <wp:docPr id="12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3.png"/>
                    <pic:cNvPicPr/>
                  </pic:nvPicPr>
                  <pic:blipFill>
                    <a:blip r:embed="rId26" cstate="print"/>
                    <a:stretch>
                      <a:fillRect/>
                    </a:stretch>
                  </pic:blipFill>
                  <pic:spPr>
                    <a:xfrm>
                      <a:off x="0" y="0"/>
                      <a:ext cx="155575" cy="155575"/>
                    </a:xfrm>
                    <a:prstGeom prst="rect">
                      <a:avLst/>
                    </a:prstGeom>
                  </pic:spPr>
                </pic:pic>
              </a:graphicData>
            </a:graphic>
          </wp:anchor>
        </w:drawing>
      </w:r>
      <w:proofErr w:type="gramStart"/>
      <w:r w:rsidRPr="00EC5EF1">
        <w:t>if</w:t>
      </w:r>
      <w:proofErr w:type="gramEnd"/>
      <w:r w:rsidRPr="00EC5EF1">
        <w:t xml:space="preserve"> the client came back through the courts for driving under the influence, assessment centres must be able to provide evidence supporting their decision to have that client’s licence reinstated.</w:t>
      </w:r>
    </w:p>
    <w:p w14:paraId="0048B747" w14:textId="77777777" w:rsidR="007D0316" w:rsidRPr="00EC5EF1" w:rsidRDefault="007D0316" w:rsidP="007D0316"/>
    <w:p w14:paraId="11E54662" w14:textId="77777777" w:rsidR="00740DA6" w:rsidRPr="00EC5EF1" w:rsidRDefault="00740DA6" w:rsidP="007D0316">
      <w:pPr>
        <w:pStyle w:val="Heading2"/>
      </w:pPr>
      <w:bookmarkStart w:id="46" w:name="_Toc2845647"/>
      <w:r w:rsidRPr="00EC5EF1">
        <w:lastRenderedPageBreak/>
        <w:t>Appointment of statutory roles</w:t>
      </w:r>
      <w:bookmarkEnd w:id="46"/>
    </w:p>
    <w:p w14:paraId="23C9D31A" w14:textId="77777777" w:rsidR="00740DA6" w:rsidRPr="00EC5EF1" w:rsidRDefault="00740DA6" w:rsidP="007D0316">
      <w:pPr>
        <w:pStyle w:val="Heading3"/>
      </w:pPr>
      <w:bookmarkStart w:id="47" w:name="_Toc2845648"/>
      <w:r w:rsidRPr="00EC5EF1">
        <w:t>District inspectors under the Mental Health Act</w:t>
      </w:r>
      <w:bookmarkEnd w:id="47"/>
    </w:p>
    <w:p w14:paraId="10B45A73" w14:textId="17F93A6C" w:rsidR="00740DA6" w:rsidRDefault="00740DA6" w:rsidP="007D0316">
      <w:r w:rsidRPr="00EC5EF1">
        <w:t>District inspectors are appointed under section 94 of the Mental Health Act. As mentioned earlier, they uphold the rights of patients who are subject to compulsory assessment and treatment under the Mental Health Act. District inspectors hold office for a three-year term. In 2017, an appointment round for district inspectors was held as all 33</w:t>
      </w:r>
      <w:r w:rsidR="007D0316">
        <w:t> </w:t>
      </w:r>
      <w:r w:rsidRPr="00EC5EF1">
        <w:t>warrants were due to expire in June 2017. The appointment round saw 35</w:t>
      </w:r>
      <w:r w:rsidR="007D0316">
        <w:t> </w:t>
      </w:r>
      <w:r w:rsidRPr="00EC5EF1">
        <w:t>recommended district inspectors being appointed by the Minister of Health.</w:t>
      </w:r>
    </w:p>
    <w:p w14:paraId="4F4308CA" w14:textId="77777777" w:rsidR="007D0316" w:rsidRPr="00EC5EF1" w:rsidRDefault="007D0316" w:rsidP="007D0316"/>
    <w:p w14:paraId="71FEA49F" w14:textId="77777777" w:rsidR="00740DA6" w:rsidRPr="00EC5EF1" w:rsidRDefault="00740DA6" w:rsidP="007D0316">
      <w:pPr>
        <w:pStyle w:val="Heading3"/>
      </w:pPr>
      <w:bookmarkStart w:id="48" w:name="_Toc2845649"/>
      <w:r w:rsidRPr="00EC5EF1">
        <w:t>District inspectors under the Substance Addiction Act</w:t>
      </w:r>
      <w:bookmarkEnd w:id="48"/>
    </w:p>
    <w:p w14:paraId="50FE6677" w14:textId="77777777" w:rsidR="00740DA6" w:rsidRPr="00EC5EF1" w:rsidRDefault="00740DA6" w:rsidP="007D0316">
      <w:r w:rsidRPr="00EC5EF1">
        <w:t>District inspectors are also appointed under section 90 of the Substance Addiction Act. These inspectors perform similar duties in that they uphold the rights of patients who are subject to compulsory assessment and treatment under the Substance Addiction Act. They too hold office for a three-year term. In 2017, the Minister of Health appointed all 10 recommended district inspectors. In 2018, a further seven district inspectors were appointed.</w:t>
      </w:r>
    </w:p>
    <w:p w14:paraId="4AADC310" w14:textId="77777777" w:rsidR="00740DA6" w:rsidRPr="00EC5EF1" w:rsidRDefault="00740DA6" w:rsidP="007D0316"/>
    <w:p w14:paraId="4200ED6E" w14:textId="77777777" w:rsidR="00740DA6" w:rsidRPr="00EC5EF1" w:rsidRDefault="00740DA6" w:rsidP="007D0316">
      <w:pPr>
        <w:pStyle w:val="Heading3"/>
      </w:pPr>
      <w:bookmarkStart w:id="49" w:name="_Toc2845650"/>
      <w:r w:rsidRPr="00EC5EF1">
        <w:t>Directors of Area Addiction Services under the Substance Addiction Act</w:t>
      </w:r>
      <w:bookmarkEnd w:id="49"/>
    </w:p>
    <w:p w14:paraId="38A16788" w14:textId="7EBECB31" w:rsidR="00740DA6" w:rsidRPr="00EC5EF1" w:rsidRDefault="00740DA6" w:rsidP="007D0316">
      <w:r w:rsidRPr="00EC5EF1">
        <w:t>Director of Area Addiction Services (area directors) are appointed under section 8</w:t>
      </w:r>
      <w:r w:rsidR="0099470F">
        <w:t>9</w:t>
      </w:r>
      <w:r w:rsidRPr="00EC5EF1">
        <w:t xml:space="preserve"> of the Substance Addiction Act. Area directors are experienced addiction treatment professionals who hold a senior role within a DHB addiction treatment service. Their primary statutory obligations are the administration and clinical oversight of the Substance Addiction Act within their region.</w:t>
      </w:r>
    </w:p>
    <w:p w14:paraId="1391E879" w14:textId="77777777" w:rsidR="007D0316" w:rsidRDefault="007D0316" w:rsidP="007D0316"/>
    <w:p w14:paraId="230DACB1" w14:textId="5F90297F" w:rsidR="00740DA6" w:rsidRDefault="00740DA6" w:rsidP="007D0316">
      <w:r w:rsidRPr="00EC5EF1">
        <w:t>There is no requirement for an area director to be appointed for each DHB. In 2017, the Director of Addiction Services appointed nine area directors. A Gazette notice states each appointee and the areas for which they are responsible.</w:t>
      </w:r>
    </w:p>
    <w:p w14:paraId="3894C82D" w14:textId="77777777" w:rsidR="007D0316" w:rsidRPr="00EC5EF1" w:rsidRDefault="007D0316" w:rsidP="007D0316"/>
    <w:p w14:paraId="5EA6C56F" w14:textId="77777777" w:rsidR="00740DA6" w:rsidRPr="00EC5EF1" w:rsidRDefault="00740DA6" w:rsidP="007D0316">
      <w:pPr>
        <w:pStyle w:val="Heading3"/>
      </w:pPr>
      <w:bookmarkStart w:id="50" w:name="_Toc2845651"/>
      <w:r w:rsidRPr="00EC5EF1">
        <w:t>Approval of opioid substitution treatment services</w:t>
      </w:r>
      <w:bookmarkEnd w:id="50"/>
    </w:p>
    <w:p w14:paraId="3EF129F0" w14:textId="77777777" w:rsidR="00740DA6" w:rsidRPr="00EC5EF1" w:rsidRDefault="00740DA6" w:rsidP="007D0316">
      <w:r w:rsidRPr="00EC5EF1">
        <w:t>The Ministry invests in opioid substitution treatment (OST) to ensure people with opioid dependence have access to a comprehensive treatment package that provides them with the opportunity to recover their health and wellbeing.</w:t>
      </w:r>
    </w:p>
    <w:p w14:paraId="5477F76A" w14:textId="77777777" w:rsidR="007D0316" w:rsidRDefault="007D0316" w:rsidP="007D0316"/>
    <w:p w14:paraId="44E2A445" w14:textId="3DA1ED04" w:rsidR="00740DA6" w:rsidRPr="00EC5EF1" w:rsidRDefault="00740DA6" w:rsidP="007D0316">
      <w:pPr>
        <w:keepLines/>
      </w:pPr>
      <w:r w:rsidRPr="00EC5EF1">
        <w:rPr>
          <w:noProof/>
          <w:lang w:eastAsia="en-NZ"/>
        </w:rPr>
        <w:lastRenderedPageBreak/>
        <w:drawing>
          <wp:anchor distT="0" distB="0" distL="0" distR="0" simplePos="0" relativeHeight="251698176" behindDoc="0" locked="0" layoutInCell="1" allowOverlap="1" wp14:anchorId="132D669A" wp14:editId="080E8EC5">
            <wp:simplePos x="0" y="0"/>
            <wp:positionH relativeFrom="page">
              <wp:posOffset>8060163</wp:posOffset>
            </wp:positionH>
            <wp:positionV relativeFrom="paragraph">
              <wp:posOffset>1039210</wp:posOffset>
            </wp:positionV>
            <wp:extent cx="155575" cy="155575"/>
            <wp:effectExtent l="0" t="0" r="0" b="0"/>
            <wp:wrapNone/>
            <wp:docPr id="13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The Director of Mental Health, acting under delegated authority from the Minister of Health, designates specialist services and lead clinicians to provide treatment with controlled drugs to people who are dependent on controlled drugs, pursuant to Section 24(7</w:t>
      </w:r>
      <w:proofErr w:type="gramStart"/>
      <w:r w:rsidRPr="00EC5EF1">
        <w:t>)(</w:t>
      </w:r>
      <w:proofErr w:type="gramEnd"/>
      <w:r w:rsidRPr="00EC5EF1">
        <w:t>b) of the Misuse of Drugs Act 1975. A Gazette notice will specify the service and lead clinician, and any conditions attached to the approval, including the expiry of that Gazette notice (usually every three years). On 31 December 2017, the Gazette notices of 18 services and lead clinicians were due to expire, all of whom reapplied.</w:t>
      </w:r>
    </w:p>
    <w:p w14:paraId="0437346C" w14:textId="77777777" w:rsidR="007D0316" w:rsidRDefault="007D0316" w:rsidP="007D0316"/>
    <w:p w14:paraId="45C4BADD" w14:textId="1F8674B0" w:rsidR="00740DA6" w:rsidRPr="00EC5EF1" w:rsidRDefault="00740DA6" w:rsidP="007D0316">
      <w:r w:rsidRPr="00EC5EF1">
        <w:t>The Ministry has worked closely with providers and services throughout New Zealand, across all the processes involved with designating specialist services and lead clinicians, as well as guidelines issued to OST. Notably, the National Association of Opioid Treatment Providers (NAOTP) has provided invaluable leadership, advice and support to OST services.</w:t>
      </w:r>
    </w:p>
    <w:p w14:paraId="51D28B7A" w14:textId="77777777" w:rsidR="007D0316" w:rsidRDefault="007D0316" w:rsidP="007D0316"/>
    <w:p w14:paraId="27419B49" w14:textId="2EFD9890" w:rsidR="00740DA6" w:rsidRPr="00EC5EF1" w:rsidRDefault="00740DA6" w:rsidP="007D0316">
      <w:r w:rsidRPr="00EC5EF1">
        <w:t xml:space="preserve">Further information about OST services can be found in this report under ‘Specialist treatment </w:t>
      </w:r>
      <w:proofErr w:type="spellStart"/>
      <w:r w:rsidRPr="00EC5EF1">
        <w:t>regimes</w:t>
      </w:r>
      <w:proofErr w:type="spellEnd"/>
      <w:r w:rsidRPr="00EC5EF1">
        <w:t>: Opioid substitution treatment’ on page 70 or on the Ministry’s website.</w:t>
      </w:r>
    </w:p>
    <w:p w14:paraId="1AEF01AF" w14:textId="77777777" w:rsidR="00740DA6" w:rsidRPr="00EC5EF1" w:rsidRDefault="00740DA6" w:rsidP="007D0316"/>
    <w:p w14:paraId="5E2058F6" w14:textId="77777777" w:rsidR="00740DA6" w:rsidRPr="00EC5EF1" w:rsidRDefault="00740DA6" w:rsidP="007D0316">
      <w:pPr>
        <w:pStyle w:val="Heading2"/>
      </w:pPr>
      <w:bookmarkStart w:id="51" w:name="_Toc2845652"/>
      <w:r w:rsidRPr="00EC5EF1">
        <w:t>Office of the Auditor-General performance audit</w:t>
      </w:r>
      <w:bookmarkEnd w:id="51"/>
    </w:p>
    <w:p w14:paraId="1A01ACA9" w14:textId="77777777" w:rsidR="00740DA6" w:rsidRPr="00EC5EF1" w:rsidRDefault="00740DA6" w:rsidP="007D0316">
      <w:r w:rsidRPr="00EC5EF1">
        <w:t>In May 2017, the Office of the Auditor-General (the OAG) carried out a performance audit, the results of which contributed to their report Mental Health: Effectiveness of the planning to discharge people from hospital (OAG 2017).</w:t>
      </w:r>
    </w:p>
    <w:p w14:paraId="79118B6A" w14:textId="77777777" w:rsidR="007D0316" w:rsidRDefault="007D0316" w:rsidP="007D0316"/>
    <w:p w14:paraId="4D499A53" w14:textId="153DA5E2" w:rsidR="00740DA6" w:rsidRPr="00EC5EF1" w:rsidRDefault="00740DA6" w:rsidP="007D0316">
      <w:r w:rsidRPr="00EC5EF1">
        <w:t>The performance audit focused on the relatively few people who are most unwell with mental health problems and require a high level of care, including care in an inpatient unit. The audit considered whether:</w:t>
      </w:r>
    </w:p>
    <w:p w14:paraId="1BB22E35" w14:textId="77777777" w:rsidR="00740DA6" w:rsidRPr="00EC5EF1" w:rsidRDefault="00740DA6" w:rsidP="007D0316">
      <w:pPr>
        <w:pStyle w:val="Bullet"/>
      </w:pPr>
      <w:r w:rsidRPr="00EC5EF1">
        <w:t>planning for these people’s discharge from an inpatient unit to community care was completed as intended</w:t>
      </w:r>
    </w:p>
    <w:p w14:paraId="68CC18A1" w14:textId="77777777" w:rsidR="00740DA6" w:rsidRPr="00EC5EF1" w:rsidRDefault="00740DA6" w:rsidP="007D0316">
      <w:pPr>
        <w:pStyle w:val="Bullet"/>
      </w:pPr>
      <w:r w:rsidRPr="00EC5EF1">
        <w:t>the needs identified by discharge planning were followed up after discharge</w:t>
      </w:r>
    </w:p>
    <w:p w14:paraId="78D9B59F" w14:textId="77777777" w:rsidR="00740DA6" w:rsidRPr="00EC5EF1" w:rsidRDefault="00740DA6" w:rsidP="007D0316">
      <w:pPr>
        <w:pStyle w:val="Bullet"/>
      </w:pPr>
      <w:proofErr w:type="gramStart"/>
      <w:r w:rsidRPr="00EC5EF1">
        <w:t>discharge</w:t>
      </w:r>
      <w:proofErr w:type="gramEnd"/>
      <w:r w:rsidRPr="00EC5EF1">
        <w:t xml:space="preserve"> planning was helping to improve outcomes for people with acute mental</w:t>
      </w:r>
      <w:r w:rsidRPr="00EC5EF1">
        <w:rPr>
          <w:color w:val="231F20"/>
        </w:rPr>
        <w:t xml:space="preserve"> health problems.</w:t>
      </w:r>
    </w:p>
    <w:p w14:paraId="76DC262C" w14:textId="77777777" w:rsidR="007D0316" w:rsidRDefault="007D0316" w:rsidP="007D0316"/>
    <w:p w14:paraId="162FC82B" w14:textId="0DCCBB38" w:rsidR="00740DA6" w:rsidRPr="00EC5EF1" w:rsidRDefault="00740DA6" w:rsidP="007D0316">
      <w:r w:rsidRPr="00EC5EF1">
        <w:t>The audit covered a cohort of 20,000 people aged 20–64 years who had at least one acute mental health admission to a hospital during the four years from 2011/12</w:t>
      </w:r>
      <w:r w:rsidR="007D0316">
        <w:t xml:space="preserve"> </w:t>
      </w:r>
      <w:r w:rsidRPr="00EC5EF1">
        <w:t>to 2014/15. The audit did not include primary mental health services; services for children, youth and older people; forensic mental health services; or those who only accessed addiction services or community mental health services. Various techniques were used, including data analysis, 110 case file reviews, 150 interviews, a survey of DHB staff and a workshop with Canterbury DHB staff. The final report also drew on stories submitted to the People’s Mental Health Report (Elliott 2017).</w:t>
      </w:r>
    </w:p>
    <w:p w14:paraId="17A54E94" w14:textId="77777777" w:rsidR="007D0316" w:rsidRDefault="007D0316" w:rsidP="007D0316"/>
    <w:p w14:paraId="421EDFE7" w14:textId="02371ECD" w:rsidR="00740DA6" w:rsidRPr="00EC5EF1" w:rsidRDefault="00740DA6" w:rsidP="007D0316">
      <w:pPr>
        <w:keepLines/>
      </w:pPr>
      <w:r w:rsidRPr="00EC5EF1">
        <w:lastRenderedPageBreak/>
        <w:t>The OAG report recognised that there are pressures on parts of the mental health system and support services that demand urgent attention and, potentially, innovative solutions. The report made a set of recommendations regarding discharge planning. It recommended that DHBs:</w:t>
      </w:r>
    </w:p>
    <w:p w14:paraId="3580894B" w14:textId="6B0E88FD" w:rsidR="00740DA6" w:rsidRPr="00EC5EF1" w:rsidRDefault="007D0316" w:rsidP="007D0316">
      <w:pPr>
        <w:spacing w:before="120"/>
        <w:ind w:left="567" w:hanging="567"/>
      </w:pPr>
      <w:r>
        <w:t>1.</w:t>
      </w:r>
      <w:r>
        <w:tab/>
      </w:r>
      <w:proofErr w:type="gramStart"/>
      <w:r w:rsidR="00740DA6" w:rsidRPr="00EC5EF1">
        <w:t>urgently</w:t>
      </w:r>
      <w:proofErr w:type="gramEnd"/>
      <w:r w:rsidR="00740DA6" w:rsidRPr="00EC5EF1">
        <w:t xml:space="preserve"> find ways for inpatient and community mental health teams to work together more effectively to prepare and implement discharge plans, ensuring that all relevant people (the person to be discharged, family, other carers and all service providers) are appropriately involved and informed</w:t>
      </w:r>
    </w:p>
    <w:p w14:paraId="1F1FDD10" w14:textId="3187C6A7" w:rsidR="00740DA6" w:rsidRPr="00EC5EF1" w:rsidRDefault="00740DA6" w:rsidP="007D0316">
      <w:pPr>
        <w:spacing w:before="120"/>
        <w:ind w:left="567" w:hanging="567"/>
      </w:pPr>
      <w:r w:rsidRPr="00EC5EF1">
        <w:rPr>
          <w:noProof/>
          <w:lang w:eastAsia="en-NZ"/>
        </w:rPr>
        <w:drawing>
          <wp:anchor distT="0" distB="0" distL="0" distR="0" simplePos="0" relativeHeight="251700224" behindDoc="0" locked="0" layoutInCell="1" allowOverlap="1" wp14:anchorId="59E18D37" wp14:editId="40DCB927">
            <wp:simplePos x="0" y="0"/>
            <wp:positionH relativeFrom="page">
              <wp:posOffset>8060163</wp:posOffset>
            </wp:positionH>
            <wp:positionV relativeFrom="paragraph">
              <wp:posOffset>485377</wp:posOffset>
            </wp:positionV>
            <wp:extent cx="155575" cy="155575"/>
            <wp:effectExtent l="0" t="0" r="0" b="0"/>
            <wp:wrapNone/>
            <wp:docPr id="13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3.png"/>
                    <pic:cNvPicPr/>
                  </pic:nvPicPr>
                  <pic:blipFill>
                    <a:blip r:embed="rId26" cstate="print"/>
                    <a:stretch>
                      <a:fillRect/>
                    </a:stretch>
                  </pic:blipFill>
                  <pic:spPr>
                    <a:xfrm>
                      <a:off x="0" y="0"/>
                      <a:ext cx="155575" cy="155575"/>
                    </a:xfrm>
                    <a:prstGeom prst="rect">
                      <a:avLst/>
                    </a:prstGeom>
                  </pic:spPr>
                </pic:pic>
              </a:graphicData>
            </a:graphic>
          </wp:anchor>
        </w:drawing>
      </w:r>
      <w:r w:rsidR="007D0316">
        <w:t>2.</w:t>
      </w:r>
      <w:r w:rsidR="007D0316">
        <w:tab/>
      </w:r>
      <w:proofErr w:type="gramStart"/>
      <w:r w:rsidRPr="00EC5EF1">
        <w:t>help</w:t>
      </w:r>
      <w:proofErr w:type="gramEnd"/>
      <w:r w:rsidRPr="00EC5EF1">
        <w:t xml:space="preserve"> staff by improving the guidance and tools to support discharge planning (including information systems) so that the necessary information can be accessed and compiled efficiently</w:t>
      </w:r>
    </w:p>
    <w:p w14:paraId="247067FC" w14:textId="2F4CB497" w:rsidR="00740DA6" w:rsidRPr="00EC5EF1" w:rsidRDefault="007D0316" w:rsidP="007D0316">
      <w:pPr>
        <w:spacing w:before="120"/>
        <w:ind w:left="567" w:hanging="567"/>
      </w:pPr>
      <w:r>
        <w:t>3.</w:t>
      </w:r>
      <w:r>
        <w:tab/>
      </w:r>
      <w:proofErr w:type="gramStart"/>
      <w:r w:rsidR="00740DA6" w:rsidRPr="00EC5EF1">
        <w:t>regularly</w:t>
      </w:r>
      <w:proofErr w:type="gramEnd"/>
      <w:r w:rsidR="00740DA6" w:rsidRPr="00EC5EF1">
        <w:t xml:space="preserve"> review the standard of discharge planning and follow-up work to identify issues and make improvements.</w:t>
      </w:r>
    </w:p>
    <w:p w14:paraId="4AA04BB5" w14:textId="77777777" w:rsidR="007D0316" w:rsidRDefault="007D0316" w:rsidP="007D0316"/>
    <w:p w14:paraId="0751F8BB" w14:textId="2CB8DA6D" w:rsidR="00740DA6" w:rsidRPr="00EC5EF1" w:rsidRDefault="00740DA6" w:rsidP="007D0316">
      <w:r w:rsidRPr="00EC5EF1">
        <w:t>The report further recommended that the Ministry and DHBs:</w:t>
      </w:r>
    </w:p>
    <w:p w14:paraId="6EBFCAAA" w14:textId="0BEEE604" w:rsidR="00740DA6" w:rsidRPr="00EC5EF1" w:rsidRDefault="007D0316" w:rsidP="007D0316">
      <w:pPr>
        <w:spacing w:before="120"/>
        <w:ind w:left="567" w:hanging="567"/>
      </w:pPr>
      <w:r>
        <w:t>4.</w:t>
      </w:r>
      <w:r>
        <w:tab/>
      </w:r>
      <w:proofErr w:type="gramStart"/>
      <w:r w:rsidR="00740DA6" w:rsidRPr="00EC5EF1">
        <w:t>quickly</w:t>
      </w:r>
      <w:proofErr w:type="gramEnd"/>
      <w:r w:rsidR="00740DA6" w:rsidRPr="00EC5EF1">
        <w:t xml:space="preserve"> make improvements to how they use information to monitor and report on outcomes for mental health service users</w:t>
      </w:r>
    </w:p>
    <w:p w14:paraId="4ECEC675" w14:textId="344DD890" w:rsidR="00740DA6" w:rsidRPr="00EC5EF1" w:rsidRDefault="007D0316" w:rsidP="007D0316">
      <w:pPr>
        <w:spacing w:before="120"/>
        <w:ind w:left="567" w:hanging="567"/>
      </w:pPr>
      <w:r>
        <w:t>5.</w:t>
      </w:r>
      <w:r>
        <w:tab/>
      </w:r>
      <w:proofErr w:type="gramStart"/>
      <w:r w:rsidR="00740DA6" w:rsidRPr="00EC5EF1">
        <w:t>use</w:t>
      </w:r>
      <w:proofErr w:type="gramEnd"/>
      <w:r w:rsidR="00740DA6" w:rsidRPr="00EC5EF1">
        <w:t xml:space="preserve"> the information from this monitoring to identify issues and make service improvements.</w:t>
      </w:r>
    </w:p>
    <w:p w14:paraId="35E13561" w14:textId="77777777" w:rsidR="00740DA6" w:rsidRPr="00EC5EF1" w:rsidRDefault="00740DA6" w:rsidP="007D0316"/>
    <w:p w14:paraId="4A8EECD5" w14:textId="77777777" w:rsidR="00740DA6" w:rsidRPr="00EC5EF1" w:rsidRDefault="00740DA6" w:rsidP="0039233E">
      <w:pPr>
        <w:pStyle w:val="Heading1"/>
      </w:pPr>
      <w:bookmarkStart w:id="52" w:name="_Toc2845653"/>
      <w:r w:rsidRPr="00EC5EF1">
        <w:lastRenderedPageBreak/>
        <w:t>Ensuring service quality</w:t>
      </w:r>
      <w:bookmarkEnd w:id="52"/>
    </w:p>
    <w:p w14:paraId="682078D3" w14:textId="77777777" w:rsidR="00740DA6" w:rsidRPr="00EC5EF1" w:rsidRDefault="00740DA6" w:rsidP="00F70813">
      <w:r w:rsidRPr="00EC5EF1">
        <w:t>As a sector, we are working to get better mental health and addiction care to more people sooner. Central government, DHBs, NGOs, Crown entities, international bodies (such as the United Nations and the World Health Organization (WHO)) and independent watchdogs (such the Office of the Ombudsman and district inspectors) collaborate to achieve this goal.</w:t>
      </w:r>
    </w:p>
    <w:p w14:paraId="3728479F" w14:textId="77777777" w:rsidR="00F70813" w:rsidRDefault="00F70813" w:rsidP="00F70813"/>
    <w:p w14:paraId="17E5D182" w14:textId="585AB5F1" w:rsidR="00740DA6" w:rsidRPr="00EC5EF1" w:rsidRDefault="00740DA6" w:rsidP="00F70813">
      <w:r w:rsidRPr="00EC5EF1">
        <w:t>Actively monitoring the performance of DHBs and NGOs and gathering their feedback and data is vital to ensuring service quality and safety. The Ministry – and the wider government – sets goals</w:t>
      </w:r>
      <w:r w:rsidR="00F70813">
        <w:t xml:space="preserve"> </w:t>
      </w:r>
      <w:r w:rsidRPr="00EC5EF1">
        <w:t>and targets for the health sector that are aimed at improving outcomes for the people who use</w:t>
      </w:r>
      <w:r w:rsidR="00F70813">
        <w:t xml:space="preserve"> </w:t>
      </w:r>
      <w:r w:rsidRPr="00EC5EF1">
        <w:t>mental health services. Reporting from the health sector is integral to this process, as it allows the Ministry to measure progress against these goals.</w:t>
      </w:r>
    </w:p>
    <w:p w14:paraId="2639FA08" w14:textId="77777777" w:rsidR="00F70813" w:rsidRDefault="00F70813" w:rsidP="00F70813"/>
    <w:p w14:paraId="66A3267D" w14:textId="2B02D1DE" w:rsidR="00740DA6" w:rsidRPr="00F70813" w:rsidRDefault="00740DA6" w:rsidP="00F70813">
      <w:pPr>
        <w:ind w:right="-142"/>
        <w:rPr>
          <w:spacing w:val="-2"/>
        </w:rPr>
      </w:pPr>
      <w:r w:rsidRPr="00F70813">
        <w:rPr>
          <w:spacing w:val="-2"/>
        </w:rPr>
        <w:t>This section presents statistics on multiple mental health indicators concerned with general mental health service use, as well as compulsory care under the Mental Health Act.</w:t>
      </w:r>
    </w:p>
    <w:p w14:paraId="590F7A7E" w14:textId="77777777" w:rsidR="00F70813" w:rsidRDefault="00F70813" w:rsidP="00F70813"/>
    <w:p w14:paraId="1C088771" w14:textId="6EB7E7C1" w:rsidR="00740DA6" w:rsidRPr="00EC5EF1" w:rsidRDefault="00740DA6" w:rsidP="00F70813">
      <w:r w:rsidRPr="00EC5EF1">
        <w:rPr>
          <w:noProof/>
          <w:lang w:eastAsia="en-NZ"/>
        </w:rPr>
        <w:drawing>
          <wp:anchor distT="0" distB="0" distL="0" distR="0" simplePos="0" relativeHeight="251702272" behindDoc="0" locked="0" layoutInCell="1" allowOverlap="1" wp14:anchorId="7FD2FDBA" wp14:editId="2042C81B">
            <wp:simplePos x="0" y="0"/>
            <wp:positionH relativeFrom="page">
              <wp:posOffset>8060163</wp:posOffset>
            </wp:positionH>
            <wp:positionV relativeFrom="paragraph">
              <wp:posOffset>90809</wp:posOffset>
            </wp:positionV>
            <wp:extent cx="155575" cy="155575"/>
            <wp:effectExtent l="0" t="0" r="0" b="0"/>
            <wp:wrapNone/>
            <wp:docPr id="14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Statistics cover consumer satisfaction, waiting times, transition plans, the Mental Health Act, Māori and the Mental Health Act, family/whānau consultation and the Mental Health Act, seclusion in inpatient units, special patients, serious adverse events, ECT, OST and the Alcoholism and Drug Addiction Act 1966.</w:t>
      </w:r>
    </w:p>
    <w:p w14:paraId="0E40C176" w14:textId="77777777" w:rsidR="00740DA6" w:rsidRPr="00EC5EF1" w:rsidRDefault="00740DA6" w:rsidP="00F70813"/>
    <w:p w14:paraId="654A8350" w14:textId="77777777" w:rsidR="00740DA6" w:rsidRPr="00EC5EF1" w:rsidRDefault="00740DA6" w:rsidP="00F70813">
      <w:pPr>
        <w:pStyle w:val="Heading2"/>
      </w:pPr>
      <w:bookmarkStart w:id="53" w:name="_Toc2845654"/>
      <w:r w:rsidRPr="00EC5EF1">
        <w:t>Specialist mental health and addiction services</w:t>
      </w:r>
      <w:bookmarkEnd w:id="53"/>
    </w:p>
    <w:p w14:paraId="769C7DC9" w14:textId="77777777" w:rsidR="00740DA6" w:rsidRPr="00EC5EF1" w:rsidRDefault="00740DA6" w:rsidP="00F70813">
      <w:pPr>
        <w:pStyle w:val="Heading3"/>
      </w:pPr>
      <w:bookmarkStart w:id="54" w:name="_Toc2845655"/>
      <w:r w:rsidRPr="00EC5EF1">
        <w:t>Consumer experience</w:t>
      </w:r>
      <w:bookmarkEnd w:id="54"/>
    </w:p>
    <w:p w14:paraId="6C926D2C" w14:textId="77777777" w:rsidR="00740DA6" w:rsidRPr="00EC5EF1" w:rsidRDefault="00740DA6" w:rsidP="00F70813">
      <w:r w:rsidRPr="00EC5EF1">
        <w:t>Since 2006, the Ministry has conducted national consumer satisfaction surveys for mental health and addiction service users as one measurement of DHB service quality and consumer outcomes. Survey participants have received treatment from specialist mental health and addiction community services in DHBs around New Zealand.</w:t>
      </w:r>
    </w:p>
    <w:p w14:paraId="0E12F5C7" w14:textId="77777777" w:rsidR="00F70813" w:rsidRDefault="00F70813" w:rsidP="00F70813"/>
    <w:p w14:paraId="48731337" w14:textId="7C697836" w:rsidR="00740DA6" w:rsidRPr="00F70813" w:rsidRDefault="00740DA6" w:rsidP="00F70813">
      <w:r w:rsidRPr="00EC5EF1">
        <w:t xml:space="preserve">In 2006, half the DHBs in New Zealand participated in the survey, providing a total of 596 respondents. In 2015, there was a shift in method from paper-based survey to the </w:t>
      </w:r>
      <w:proofErr w:type="spellStart"/>
      <w:r w:rsidRPr="00EC5EF1">
        <w:t>Mārama</w:t>
      </w:r>
      <w:proofErr w:type="spellEnd"/>
      <w:r w:rsidRPr="00EC5EF1">
        <w:t xml:space="preserve"> electronic real-time survey, developed by CBG Health Research for the Health and Disability Commissioner. In the 2017/18 financial year, the paper-based survey was discontinued completely. </w:t>
      </w:r>
      <w:proofErr w:type="spellStart"/>
      <w:r w:rsidRPr="00EC5EF1">
        <w:t>Mārama</w:t>
      </w:r>
      <w:proofErr w:type="spellEnd"/>
      <w:r w:rsidRPr="00EC5EF1">
        <w:t>, which is collated on a calendar-year basis, had 15</w:t>
      </w:r>
      <w:r w:rsidR="00F70813">
        <w:t> </w:t>
      </w:r>
      <w:r w:rsidRPr="00EC5EF1">
        <w:t>DHBs participating in real-time surveys, with 5,177 responses in the 2017 calendar year.</w:t>
      </w:r>
      <w:r w:rsidR="00F70813">
        <w:rPr>
          <w:rStyle w:val="FootnoteReference"/>
        </w:rPr>
        <w:footnoteReference w:id="9"/>
      </w:r>
    </w:p>
    <w:p w14:paraId="01B503EB" w14:textId="7535A5ED" w:rsidR="00740DA6" w:rsidRPr="00EC5EF1" w:rsidRDefault="00740DA6" w:rsidP="00F70813">
      <w:pPr>
        <w:rPr>
          <w:sz w:val="20"/>
        </w:rPr>
      </w:pPr>
    </w:p>
    <w:p w14:paraId="35E128C8" w14:textId="77777777" w:rsidR="00740DA6" w:rsidRPr="00EC5EF1" w:rsidRDefault="00740DA6" w:rsidP="00F70813">
      <w:pPr>
        <w:pStyle w:val="Heading3"/>
      </w:pPr>
      <w:bookmarkStart w:id="55" w:name="_Toc2845656"/>
      <w:r w:rsidRPr="00EC5EF1">
        <w:lastRenderedPageBreak/>
        <w:t>Survey results</w:t>
      </w:r>
      <w:bookmarkEnd w:id="55"/>
    </w:p>
    <w:p w14:paraId="19E64B36" w14:textId="19BF64CF" w:rsidR="00740DA6" w:rsidRPr="00F70813" w:rsidRDefault="00740DA6" w:rsidP="00F70813">
      <w:r w:rsidRPr="00EC5EF1">
        <w:t>In the 2017 calendar year, 83 percent of those surveyed agreed or strongly agreed that they ‘would recommend this service to friends and family if they needed similar care or treatment’ (see Figure 3).</w:t>
      </w:r>
      <w:r w:rsidR="00F70813">
        <w:rPr>
          <w:rStyle w:val="FootnoteReference"/>
        </w:rPr>
        <w:footnoteReference w:id="10"/>
      </w:r>
    </w:p>
    <w:p w14:paraId="32E02631" w14:textId="77777777" w:rsidR="00740DA6" w:rsidRPr="00EC5EF1" w:rsidRDefault="00740DA6" w:rsidP="00F70813"/>
    <w:p w14:paraId="5C25FBE4" w14:textId="7C8F74D4" w:rsidR="00740DA6" w:rsidRPr="00EC5EF1" w:rsidRDefault="00740DA6" w:rsidP="00F70813">
      <w:pPr>
        <w:pStyle w:val="Figure"/>
      </w:pPr>
      <w:bookmarkStart w:id="56" w:name="_Toc2845705"/>
      <w:r w:rsidRPr="00EC5EF1">
        <w:t>Figure 3: Responses to the statement ‘I would recommend this service to friends and family if they needed similar care or treatment’, 1 January to 31 December 2017</w:t>
      </w:r>
      <w:bookmarkEnd w:id="56"/>
    </w:p>
    <w:p w14:paraId="383D4EB8" w14:textId="6E197317" w:rsidR="00740DA6" w:rsidRDefault="00F72074" w:rsidP="00F70813">
      <w:r w:rsidRPr="00F72074">
        <w:rPr>
          <w:noProof/>
          <w:lang w:eastAsia="en-NZ"/>
        </w:rPr>
        <w:drawing>
          <wp:inline distT="0" distB="0" distL="0" distR="0" wp14:anchorId="6161289F" wp14:editId="5BCFAF75">
            <wp:extent cx="2885714" cy="3171429"/>
            <wp:effectExtent l="0" t="0" r="0" b="0"/>
            <wp:docPr id="10" name="Picture 10" title="Figure 3: Responses to the statement ‘I would recommend this service to friends and family if they needed similar care or treatment’, 1 January to 31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885714" cy="3171429"/>
                    </a:xfrm>
                    <a:prstGeom prst="rect">
                      <a:avLst/>
                    </a:prstGeom>
                  </pic:spPr>
                </pic:pic>
              </a:graphicData>
            </a:graphic>
          </wp:inline>
        </w:drawing>
      </w:r>
    </w:p>
    <w:p w14:paraId="7B02A75A" w14:textId="77777777" w:rsidR="00740DA6" w:rsidRPr="00EC5EF1" w:rsidRDefault="00740DA6" w:rsidP="00F70813">
      <w:pPr>
        <w:pStyle w:val="Source"/>
      </w:pPr>
      <w:r w:rsidRPr="00EC5EF1">
        <w:t xml:space="preserve">Source: </w:t>
      </w:r>
      <w:proofErr w:type="spellStart"/>
      <w:r w:rsidRPr="00EC5EF1">
        <w:t>Mārama</w:t>
      </w:r>
      <w:proofErr w:type="spellEnd"/>
      <w:r w:rsidRPr="00EC5EF1">
        <w:t xml:space="preserve"> real-time feedback system, 2017 calendar year</w:t>
      </w:r>
    </w:p>
    <w:p w14:paraId="2FDB183D" w14:textId="77777777" w:rsidR="00740DA6" w:rsidRPr="00EC5EF1" w:rsidRDefault="00740DA6" w:rsidP="00F70813"/>
    <w:p w14:paraId="033DAF69" w14:textId="2681E373" w:rsidR="00740DA6" w:rsidRDefault="00740DA6" w:rsidP="00F70813">
      <w:r w:rsidRPr="00EC5EF1">
        <w:t xml:space="preserve">Previous annual reports published the results of the paper-based National Mental Health Consumer Satisfaction Survey. However, that survey has been phased out since the </w:t>
      </w:r>
      <w:proofErr w:type="spellStart"/>
      <w:r w:rsidRPr="00EC5EF1">
        <w:t>Mārama</w:t>
      </w:r>
      <w:proofErr w:type="spellEnd"/>
      <w:r w:rsidRPr="00EC5EF1">
        <w:t xml:space="preserve"> real-time feedback system was established, and the questions have changed. The new questions may be described in the 2018 annual report.</w:t>
      </w:r>
    </w:p>
    <w:p w14:paraId="5FFF851F" w14:textId="77777777" w:rsidR="00F70813" w:rsidRPr="00EC5EF1" w:rsidRDefault="00F70813" w:rsidP="00F70813"/>
    <w:p w14:paraId="707EFB0D" w14:textId="77777777" w:rsidR="00740DA6" w:rsidRPr="00EC5EF1" w:rsidRDefault="00740DA6" w:rsidP="00F70813">
      <w:pPr>
        <w:pStyle w:val="Heading3"/>
      </w:pPr>
      <w:bookmarkStart w:id="57" w:name="_Toc2845657"/>
      <w:r w:rsidRPr="00EC5EF1">
        <w:t>Waiting times</w:t>
      </w:r>
      <w:bookmarkEnd w:id="57"/>
    </w:p>
    <w:p w14:paraId="52720C7F" w14:textId="77777777" w:rsidR="00740DA6" w:rsidRPr="00EC5EF1" w:rsidRDefault="00740DA6" w:rsidP="00F70813">
      <w:r w:rsidRPr="00EC5EF1">
        <w:t>Waiting times are a measure of how long new clients wait to be seen by mental health and addiction services. New clients are defined as people who have not accessed mental health or addiction services in the past year. Waiting time is reflected as the length of time from the day mental health and addiction services receive a referral to the day the person first receives a service.</w:t>
      </w:r>
    </w:p>
    <w:p w14:paraId="4CAB3DDD" w14:textId="77777777" w:rsidR="00F70813" w:rsidRDefault="00F70813" w:rsidP="00F70813"/>
    <w:p w14:paraId="16185487" w14:textId="6D758CCA" w:rsidR="00740DA6" w:rsidRPr="00EC5EF1" w:rsidRDefault="00740DA6" w:rsidP="00F70813">
      <w:r w:rsidRPr="00EC5EF1">
        <w:t>A sector-wide target for DHBs specified that mental health or addiction services should see 80 percent of people referred for services within three weeks,</w:t>
      </w:r>
      <w:r w:rsidR="00DE0BB2">
        <w:t xml:space="preserve"> </w:t>
      </w:r>
      <w:r w:rsidRPr="00EC5EF1">
        <w:t>and</w:t>
      </w:r>
      <w:r w:rsidR="00F70813">
        <w:t xml:space="preserve"> </w:t>
      </w:r>
      <w:r w:rsidRPr="00EC5EF1">
        <w:t>95 percent within eight weeks. Some referrals must be seen within 48 hours. In the 2017 calendar year, 47.2 percent of people new to mental health services were seen within 48 hours.</w:t>
      </w:r>
    </w:p>
    <w:p w14:paraId="75CEA156" w14:textId="77777777" w:rsidR="007F22A0" w:rsidRDefault="007F22A0" w:rsidP="00F70813"/>
    <w:p w14:paraId="481D56EA" w14:textId="77777777" w:rsidR="00740DA6" w:rsidRPr="00EC5EF1" w:rsidRDefault="00740DA6" w:rsidP="00F70813">
      <w:r w:rsidRPr="00EC5EF1">
        <w:lastRenderedPageBreak/>
        <w:t>DHB-provided services saw 78 percent of all mental health service clients within three weeks and 93 percent within eight weeks (see Figure 4). Combined, DHB and NGO addiction services saw 82 percent of clients within three weeks and 94 percent within eight weeks (see Figure 5).</w:t>
      </w:r>
    </w:p>
    <w:p w14:paraId="289C3104" w14:textId="77777777" w:rsidR="00740DA6" w:rsidRPr="00EC5EF1" w:rsidRDefault="00740DA6" w:rsidP="00F3441B"/>
    <w:p w14:paraId="0B113069" w14:textId="0EA1F305" w:rsidR="00740DA6" w:rsidRDefault="00740DA6" w:rsidP="00F3441B">
      <w:pPr>
        <w:pStyle w:val="Figure"/>
      </w:pPr>
      <w:bookmarkStart w:id="58" w:name="_Toc2845706"/>
      <w:r w:rsidRPr="00EC5EF1">
        <w:t>Figure 4: Percentage of people seen by mental health services within three weeks (left) and within eight weeks (right), 1 January to 31 December 2017</w:t>
      </w:r>
      <w:bookmarkEnd w:id="58"/>
    </w:p>
    <w:p w14:paraId="75F4BBCA" w14:textId="19902FC6" w:rsidR="00F3441B" w:rsidRDefault="00F72074" w:rsidP="00F3441B">
      <w:r>
        <w:rPr>
          <w:noProof/>
          <w:lang w:eastAsia="en-NZ"/>
        </w:rPr>
        <w:drawing>
          <wp:inline distT="0" distB="0" distL="0" distR="0" wp14:anchorId="4B858C8E" wp14:editId="06F85537">
            <wp:extent cx="4810125" cy="2133600"/>
            <wp:effectExtent l="0" t="0" r="9525" b="0"/>
            <wp:docPr id="11" name="Picture 11" title="Figure 4: Percentage of people seen by mental health services within three weeks (left) and within eight weeks (right), 1 January to 31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810125" cy="2133600"/>
                    </a:xfrm>
                    <a:prstGeom prst="rect">
                      <a:avLst/>
                    </a:prstGeom>
                  </pic:spPr>
                </pic:pic>
              </a:graphicData>
            </a:graphic>
          </wp:inline>
        </w:drawing>
      </w:r>
    </w:p>
    <w:p w14:paraId="4CFBD585" w14:textId="77777777" w:rsidR="00740DA6" w:rsidRPr="00EC5EF1" w:rsidRDefault="00740DA6" w:rsidP="00F3441B">
      <w:pPr>
        <w:pStyle w:val="Source"/>
      </w:pPr>
      <w:r w:rsidRPr="00EC5EF1">
        <w:t>Source: PRIMHD data as at 18 June 2018</w:t>
      </w:r>
    </w:p>
    <w:p w14:paraId="743B372A" w14:textId="77777777" w:rsidR="00740DA6" w:rsidRPr="00EC5EF1" w:rsidRDefault="00740DA6" w:rsidP="00F3441B"/>
    <w:p w14:paraId="1EC03D06" w14:textId="2306A2D6" w:rsidR="00740DA6" w:rsidRDefault="00740DA6" w:rsidP="00F3441B">
      <w:pPr>
        <w:pStyle w:val="Figure"/>
      </w:pPr>
      <w:bookmarkStart w:id="59" w:name="_Toc2845707"/>
      <w:r w:rsidRPr="00EC5EF1">
        <w:t>Figure 5: Percentage of people seen by addiction services within three weeks (left) and within eight weeks (right), 1 January to 31 December 2017</w:t>
      </w:r>
      <w:bookmarkEnd w:id="59"/>
    </w:p>
    <w:p w14:paraId="50A1A9DB" w14:textId="4400E5AD" w:rsidR="00F3441B" w:rsidRDefault="00F72074" w:rsidP="00F3441B">
      <w:r>
        <w:rPr>
          <w:noProof/>
          <w:lang w:eastAsia="en-NZ"/>
        </w:rPr>
        <w:drawing>
          <wp:inline distT="0" distB="0" distL="0" distR="0" wp14:anchorId="7177EA59" wp14:editId="3A1795B4">
            <wp:extent cx="4810125" cy="2047875"/>
            <wp:effectExtent l="0" t="0" r="9525" b="9525"/>
            <wp:docPr id="13" name="Picture 13" title="Figure 5: Percentage of people seen by addiction services within three weeks (left) and within eight weeks (right), 1 January to 31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10125" cy="2047875"/>
                    </a:xfrm>
                    <a:prstGeom prst="rect">
                      <a:avLst/>
                    </a:prstGeom>
                  </pic:spPr>
                </pic:pic>
              </a:graphicData>
            </a:graphic>
          </wp:inline>
        </w:drawing>
      </w:r>
    </w:p>
    <w:p w14:paraId="7AB414C8" w14:textId="20EB7E45" w:rsidR="00740DA6" w:rsidRDefault="00740DA6" w:rsidP="00F3441B">
      <w:pPr>
        <w:pStyle w:val="Source"/>
      </w:pPr>
      <w:r w:rsidRPr="00EC5EF1">
        <w:t>Source: PRIMHD data as at 18 June 2018</w:t>
      </w:r>
    </w:p>
    <w:p w14:paraId="0557F376" w14:textId="77777777" w:rsidR="00F3441B" w:rsidRPr="00F3441B" w:rsidRDefault="00F3441B" w:rsidP="00F3441B"/>
    <w:p w14:paraId="698E421A" w14:textId="77777777" w:rsidR="00740DA6" w:rsidRPr="00EC5EF1" w:rsidRDefault="00740DA6" w:rsidP="00F3441B">
      <w:pPr>
        <w:pStyle w:val="Heading3"/>
      </w:pPr>
      <w:bookmarkStart w:id="60" w:name="_Toc2845658"/>
      <w:r w:rsidRPr="00EC5EF1">
        <w:t>Transition (discharge) plans</w:t>
      </w:r>
      <w:bookmarkEnd w:id="60"/>
    </w:p>
    <w:p w14:paraId="53F8A3FB" w14:textId="77777777" w:rsidR="00740DA6" w:rsidRPr="00EC5EF1" w:rsidRDefault="00740DA6" w:rsidP="00F3441B">
      <w:r w:rsidRPr="00EC5EF1">
        <w:t>In 2014, the Ministry introduced a target of ensuring at least 95 percent of all people who have used mental health and addiction services have a transition (discharge) plan. Transition planning aims to ensure that:</w:t>
      </w:r>
    </w:p>
    <w:p w14:paraId="04B7B658" w14:textId="77777777" w:rsidR="00740DA6" w:rsidRPr="00EC5EF1" w:rsidRDefault="00740DA6" w:rsidP="00F3441B">
      <w:pPr>
        <w:pStyle w:val="Bullet"/>
      </w:pPr>
      <w:r w:rsidRPr="00EC5EF1">
        <w:t>service provision is matched as closely as possible to the needs of individuals and is delivered by the most appropriate services</w:t>
      </w:r>
    </w:p>
    <w:p w14:paraId="16DAFF80" w14:textId="77777777" w:rsidR="00740DA6" w:rsidRPr="00EC5EF1" w:rsidRDefault="00740DA6" w:rsidP="00F3441B">
      <w:pPr>
        <w:pStyle w:val="Bullet"/>
      </w:pPr>
      <w:r w:rsidRPr="00EC5EF1">
        <w:t>individuals and their families/whānau are the key decision-makers regarding the services they receive</w:t>
      </w:r>
    </w:p>
    <w:p w14:paraId="6A888772" w14:textId="77777777" w:rsidR="00740DA6" w:rsidRPr="00EC5EF1" w:rsidRDefault="00740DA6" w:rsidP="00F3441B">
      <w:pPr>
        <w:pStyle w:val="Bullet"/>
      </w:pPr>
      <w:r w:rsidRPr="00EC5EF1">
        <w:lastRenderedPageBreak/>
        <w:t>care is delivered across a dynamic continuum of specialist- and primary-health- care-level services and decisions are based on the needs and wishes of individuals and their families/whānau (not service boundaries)</w:t>
      </w:r>
    </w:p>
    <w:p w14:paraId="66DC83E4" w14:textId="77777777" w:rsidR="00740DA6" w:rsidRPr="00EC5EF1" w:rsidRDefault="00740DA6" w:rsidP="00F3441B">
      <w:pPr>
        <w:pStyle w:val="Bullet"/>
      </w:pPr>
      <w:proofErr w:type="gramStart"/>
      <w:r w:rsidRPr="00EC5EF1">
        <w:t>processes</w:t>
      </w:r>
      <w:proofErr w:type="gramEnd"/>
      <w:r w:rsidRPr="00EC5EF1">
        <w:t xml:space="preserve"> are in place to identify and respond early should individuals experience a </w:t>
      </w:r>
      <w:proofErr w:type="spellStart"/>
      <w:r w:rsidRPr="00EC5EF1">
        <w:t>reemergence</w:t>
      </w:r>
      <w:proofErr w:type="spellEnd"/>
      <w:r w:rsidRPr="00EC5EF1">
        <w:t xml:space="preserve"> of a mental health or alcohol and other drugs (AOD) concern.</w:t>
      </w:r>
    </w:p>
    <w:p w14:paraId="679FAA0F" w14:textId="77777777" w:rsidR="00F3441B" w:rsidRDefault="00F3441B" w:rsidP="00F3441B"/>
    <w:p w14:paraId="34BCA329" w14:textId="41958721" w:rsidR="00740DA6" w:rsidRPr="00EC5EF1" w:rsidRDefault="00740DA6" w:rsidP="00F3441B">
      <w:r w:rsidRPr="00EC5EF1">
        <w:t>Following the 2016 Office of the Auditor General audit, the Ministry is required to report on the number of transition plans at discharge from inpatient services. The 95</w:t>
      </w:r>
      <w:r w:rsidR="00F3441B">
        <w:t> </w:t>
      </w:r>
      <w:r w:rsidRPr="00EC5EF1">
        <w:t>percent goal is an important measure to support work being undertaken by the HQSC to improve mental health and addiction services. This work has a particular focus on improving service transitions.</w:t>
      </w:r>
    </w:p>
    <w:p w14:paraId="32D6FDAB" w14:textId="77777777" w:rsidR="00F3441B" w:rsidRDefault="00F3441B" w:rsidP="00F3441B"/>
    <w:p w14:paraId="0BEE6235" w14:textId="3C07CC5C" w:rsidR="00740DA6" w:rsidRPr="00EC5EF1" w:rsidRDefault="00740DA6" w:rsidP="00F3441B">
      <w:r w:rsidRPr="00EC5EF1">
        <w:t>Figure 6 shows the percentage of all service users with a transition plan as at 31</w:t>
      </w:r>
      <w:r w:rsidR="00F3441B">
        <w:t> </w:t>
      </w:r>
      <w:r w:rsidRPr="00EC5EF1">
        <w:t>December 2017, but only by DHB. In 2017, the reporting requirements for</w:t>
      </w:r>
      <w:r w:rsidR="00F3441B">
        <w:t xml:space="preserve"> </w:t>
      </w:r>
      <w:r w:rsidRPr="00EC5EF1">
        <w:t>transition plans changed. Further, DHBs have different reporting systems, and some DHBs work with NGOs to streamline care and reintegration for the service user. For these reasons, it has not been feasible to collect all the transition plan data from the DHBs yet. Moreover, this means that Figure 6 is likely an underestimation of how many service users are receiving transition plans upon discharge into the community.</w:t>
      </w:r>
    </w:p>
    <w:p w14:paraId="533A3237" w14:textId="77777777" w:rsidR="00740DA6" w:rsidRPr="00EC5EF1" w:rsidRDefault="00740DA6" w:rsidP="00F3441B"/>
    <w:p w14:paraId="7AA55333" w14:textId="5DB745F9" w:rsidR="00740DA6" w:rsidRDefault="00740DA6" w:rsidP="00F3441B">
      <w:pPr>
        <w:pStyle w:val="Figure"/>
      </w:pPr>
      <w:bookmarkStart w:id="61" w:name="_Toc2845708"/>
      <w:r w:rsidRPr="00EC5EF1">
        <w:t>Figure 6: Percentage of service users with a transition plan, by DHB, 1 January to 31</w:t>
      </w:r>
      <w:r w:rsidR="00F3441B">
        <w:t> </w:t>
      </w:r>
      <w:r w:rsidRPr="00EC5EF1">
        <w:t>December 2017</w:t>
      </w:r>
      <w:bookmarkEnd w:id="61"/>
    </w:p>
    <w:p w14:paraId="7DBD1583" w14:textId="1409A564" w:rsidR="00F3441B" w:rsidRDefault="00F72074" w:rsidP="00F3441B">
      <w:r>
        <w:rPr>
          <w:noProof/>
          <w:lang w:eastAsia="en-NZ"/>
        </w:rPr>
        <w:drawing>
          <wp:inline distT="0" distB="0" distL="0" distR="0" wp14:anchorId="511ABA81" wp14:editId="6C2E7200">
            <wp:extent cx="5130165" cy="3259164"/>
            <wp:effectExtent l="0" t="0" r="0" b="0"/>
            <wp:docPr id="14" name="Picture 14" title="Figure 6: Percentage of service users with a transition plan, by DHB, 1 January to 31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30165" cy="3259164"/>
                    </a:xfrm>
                    <a:prstGeom prst="rect">
                      <a:avLst/>
                    </a:prstGeom>
                  </pic:spPr>
                </pic:pic>
              </a:graphicData>
            </a:graphic>
          </wp:inline>
        </w:drawing>
      </w:r>
    </w:p>
    <w:p w14:paraId="4F02AF95" w14:textId="77777777" w:rsidR="00740DA6" w:rsidRPr="00EC5EF1" w:rsidRDefault="00740DA6" w:rsidP="00F3441B">
      <w:pPr>
        <w:pStyle w:val="Note"/>
      </w:pPr>
      <w:r w:rsidRPr="00EC5EF1">
        <w:t>Note: DHBs that did not collect data are not included in this figure. The measures definition changed to include all adults from 1 July 2017. DHBs are working to improve their methods for gathering these data.</w:t>
      </w:r>
    </w:p>
    <w:p w14:paraId="3516C3D1" w14:textId="77777777" w:rsidR="00740DA6" w:rsidRPr="00EC5EF1" w:rsidRDefault="00740DA6" w:rsidP="00F3441B">
      <w:pPr>
        <w:pStyle w:val="Source"/>
      </w:pPr>
      <w:r w:rsidRPr="00EC5EF1">
        <w:t>Source: DHB quarterly reporting data</w:t>
      </w:r>
    </w:p>
    <w:p w14:paraId="00E369FA" w14:textId="77777777" w:rsidR="00F3441B" w:rsidRDefault="00F3441B" w:rsidP="00F3441B"/>
    <w:p w14:paraId="4562F6DA" w14:textId="29A02CCC" w:rsidR="00740DA6" w:rsidRPr="00EC5EF1" w:rsidRDefault="00740DA6" w:rsidP="00F72074">
      <w:pPr>
        <w:keepLines/>
      </w:pPr>
      <w:r w:rsidRPr="00EC5EF1">
        <w:lastRenderedPageBreak/>
        <w:t>PRIMHD also captures supplementary consumer records (SCRs), which can be seen in Figure 7. The SCRs identify and monitor the changing social and environmental factors that can affect a service user’s journey. The variables measured include accommodation, employment, education and training status and presence of a transition/wellness plan for an individual. Similar to a transition plan, a wellness plan is personalised to monitor and maintain a service user’s wellbeing while they are receiving mental health and addiction services.</w:t>
      </w:r>
    </w:p>
    <w:p w14:paraId="00A4DF71" w14:textId="77777777" w:rsidR="00740DA6" w:rsidRPr="00EC5EF1" w:rsidRDefault="00740DA6" w:rsidP="00F3441B"/>
    <w:p w14:paraId="613CADD3" w14:textId="77777777" w:rsidR="00740DA6" w:rsidRPr="00EC5EF1" w:rsidRDefault="00740DA6" w:rsidP="00F3441B">
      <w:r w:rsidRPr="00EC5EF1">
        <w:t>Figure 7 displays the percentage of all service users with a transition/wellness plan in place in 2017, as reported by DHBs or NGOs.</w:t>
      </w:r>
    </w:p>
    <w:p w14:paraId="6FE55AC8" w14:textId="77777777" w:rsidR="00740DA6" w:rsidRPr="00EC5EF1" w:rsidRDefault="00740DA6" w:rsidP="00F3441B"/>
    <w:p w14:paraId="4CD89069" w14:textId="6E299C52" w:rsidR="00740DA6" w:rsidRDefault="00740DA6" w:rsidP="00F3441B">
      <w:pPr>
        <w:pStyle w:val="Figure"/>
      </w:pPr>
      <w:bookmarkStart w:id="62" w:name="_Toc2845709"/>
      <w:r w:rsidRPr="00F72074">
        <w:t>Fi</w:t>
      </w:r>
      <w:r w:rsidRPr="00EC5EF1">
        <w:t>gure 7: Percentage of service users with a transition/wellness plan, 1 January to 31</w:t>
      </w:r>
      <w:r w:rsidR="00F3441B">
        <w:t> </w:t>
      </w:r>
      <w:r w:rsidRPr="00EC5EF1">
        <w:t>December 2017</w:t>
      </w:r>
      <w:bookmarkEnd w:id="62"/>
    </w:p>
    <w:p w14:paraId="4D5EE43C" w14:textId="4B6EE098" w:rsidR="00F3441B" w:rsidRDefault="00F72074" w:rsidP="00F3441B">
      <w:r>
        <w:rPr>
          <w:noProof/>
          <w:lang w:eastAsia="en-NZ"/>
        </w:rPr>
        <w:drawing>
          <wp:inline distT="0" distB="0" distL="0" distR="0" wp14:anchorId="77AAFE5B" wp14:editId="0408200B">
            <wp:extent cx="5130165" cy="3136533"/>
            <wp:effectExtent l="0" t="0" r="0" b="6985"/>
            <wp:docPr id="15" name="Picture 15" title="Figure 7: Percentage of service users with a transition/wellness plan, 1 January to 31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130165" cy="3136533"/>
                    </a:xfrm>
                    <a:prstGeom prst="rect">
                      <a:avLst/>
                    </a:prstGeom>
                  </pic:spPr>
                </pic:pic>
              </a:graphicData>
            </a:graphic>
          </wp:inline>
        </w:drawing>
      </w:r>
    </w:p>
    <w:p w14:paraId="6E9A0A7B" w14:textId="3D038A5A" w:rsidR="00740DA6" w:rsidRPr="00EC5EF1" w:rsidRDefault="00740DA6" w:rsidP="00F3441B">
      <w:pPr>
        <w:pStyle w:val="Note"/>
      </w:pPr>
      <w:r w:rsidRPr="00EC5EF1">
        <w:rPr>
          <w:noProof/>
          <w:lang w:eastAsia="en-NZ"/>
        </w:rPr>
        <w:drawing>
          <wp:anchor distT="0" distB="0" distL="0" distR="0" simplePos="0" relativeHeight="251710464" behindDoc="0" locked="0" layoutInCell="1" allowOverlap="1" wp14:anchorId="26A5D0C8" wp14:editId="4BDF70AB">
            <wp:simplePos x="0" y="0"/>
            <wp:positionH relativeFrom="page">
              <wp:posOffset>8060163</wp:posOffset>
            </wp:positionH>
            <wp:positionV relativeFrom="paragraph">
              <wp:posOffset>147582</wp:posOffset>
            </wp:positionV>
            <wp:extent cx="155575" cy="155575"/>
            <wp:effectExtent l="0" t="0" r="0" b="0"/>
            <wp:wrapNone/>
            <wp:docPr id="16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Notes:</w:t>
      </w:r>
      <w:r w:rsidR="00DE0BB2">
        <w:t xml:space="preserve"> </w:t>
      </w:r>
      <w:r w:rsidRPr="00EC5EF1">
        <w:t xml:space="preserve">The measure definition changed to include all adults from 1 July 2017. DHBs are working to improve their methods for gathering this data. </w:t>
      </w:r>
      <w:proofErr w:type="spellStart"/>
      <w:r w:rsidRPr="00EC5EF1">
        <w:t>MidCentral</w:t>
      </w:r>
      <w:proofErr w:type="spellEnd"/>
      <w:r w:rsidRPr="00EC5EF1">
        <w:t xml:space="preserve">, Capital &amp; Coast, Hutt Valley, Canterbury, </w:t>
      </w:r>
      <w:proofErr w:type="spellStart"/>
      <w:r w:rsidRPr="00EC5EF1">
        <w:t>Wairarapa</w:t>
      </w:r>
      <w:proofErr w:type="spellEnd"/>
      <w:r w:rsidRPr="00EC5EF1">
        <w:t xml:space="preserve"> and Nelson Marlborough DHBs did not collect transition plan data (*); the SCR volumes relate to NGO submitted data.</w:t>
      </w:r>
    </w:p>
    <w:p w14:paraId="269110E3" w14:textId="77777777" w:rsidR="00740DA6" w:rsidRPr="00EC5EF1" w:rsidRDefault="00740DA6" w:rsidP="00F3441B">
      <w:pPr>
        <w:pStyle w:val="Source"/>
      </w:pPr>
      <w:r w:rsidRPr="00EC5EF1">
        <w:t>Source: PRIMHD data as at 12 October 2018</w:t>
      </w:r>
    </w:p>
    <w:p w14:paraId="2641A637" w14:textId="77777777" w:rsidR="00740DA6" w:rsidRPr="00EC5EF1" w:rsidRDefault="00740DA6" w:rsidP="00F3441B"/>
    <w:p w14:paraId="3F9245FA" w14:textId="44B89EF4" w:rsidR="00740DA6" w:rsidRDefault="00740DA6" w:rsidP="00F3441B">
      <w:r w:rsidRPr="00EC5EF1">
        <w:t>The SCR percentage varies across DHBs relative to the percentage of transition plans because the collection is relatively new and not all people have transition plans.</w:t>
      </w:r>
    </w:p>
    <w:p w14:paraId="79B6E262" w14:textId="77777777" w:rsidR="00F3441B" w:rsidRPr="00EC5EF1" w:rsidRDefault="00F3441B" w:rsidP="00F3441B"/>
    <w:p w14:paraId="699351EC" w14:textId="77777777" w:rsidR="00740DA6" w:rsidRPr="00EC5EF1" w:rsidRDefault="00740DA6" w:rsidP="00F3441B">
      <w:pPr>
        <w:pStyle w:val="Heading2"/>
      </w:pPr>
      <w:bookmarkStart w:id="63" w:name="_Toc2845659"/>
      <w:r w:rsidRPr="00EC5EF1">
        <w:lastRenderedPageBreak/>
        <w:t>Use of the Mental Health Act</w:t>
      </w:r>
      <w:bookmarkEnd w:id="63"/>
    </w:p>
    <w:p w14:paraId="53BABD39" w14:textId="77777777" w:rsidR="00740DA6" w:rsidRPr="00EC5EF1" w:rsidRDefault="00740DA6" w:rsidP="00F72074">
      <w:pPr>
        <w:keepNext/>
      </w:pPr>
      <w:r w:rsidRPr="00EC5EF1">
        <w:t>The Mental Health Act defines the circumstances under which people may be subject to compulsory mental health assessment and treatment. In summary, in 2017:</w:t>
      </w:r>
    </w:p>
    <w:p w14:paraId="0FA15D2F" w14:textId="0B72A61F" w:rsidR="00740DA6" w:rsidRPr="00EC5EF1" w:rsidRDefault="00740DA6" w:rsidP="00F72074">
      <w:pPr>
        <w:pStyle w:val="Bullet"/>
        <w:keepLines/>
      </w:pPr>
      <w:r w:rsidRPr="00EC5EF1">
        <w:t>10,286 people (approximately 5.8 percent of specialist mental health and addiction service users) were subject to the Mental Health Act</w:t>
      </w:r>
      <w:r w:rsidR="00F3441B">
        <w:rPr>
          <w:rStyle w:val="FootnoteReference"/>
        </w:rPr>
        <w:footnoteReference w:id="11"/>
      </w:r>
      <w:r w:rsidRPr="00F3441B">
        <w:rPr>
          <w:sz w:val="12"/>
        </w:rPr>
        <w:t xml:space="preserve">11 </w:t>
      </w:r>
      <w:r w:rsidRPr="00EC5EF1">
        <w:t>on the last day of 2017,</w:t>
      </w:r>
      <w:r w:rsidR="00F3441B">
        <w:t xml:space="preserve"> </w:t>
      </w:r>
      <w:r w:rsidRPr="00EC5EF1">
        <w:t>approximately 5,284 people were subject to either compulsory assessment or compulsory treatment under the Mental Health Act</w:t>
      </w:r>
    </w:p>
    <w:p w14:paraId="3C80981C" w14:textId="77777777" w:rsidR="00740DA6" w:rsidRPr="00EC5EF1" w:rsidRDefault="00740DA6" w:rsidP="00F3441B">
      <w:pPr>
        <w:pStyle w:val="Bullet"/>
      </w:pPr>
      <w:r w:rsidRPr="00EC5EF1">
        <w:t>use of the Mental Health Act varied across DHBs</w:t>
      </w:r>
    </w:p>
    <w:p w14:paraId="1CAE462B" w14:textId="77777777" w:rsidR="00740DA6" w:rsidRPr="00EC5EF1" w:rsidRDefault="00740DA6" w:rsidP="00F3441B">
      <w:pPr>
        <w:pStyle w:val="Bullet"/>
      </w:pPr>
      <w:r w:rsidRPr="00EC5EF1">
        <w:t>males were more likely to be subject to the Mental Health Act than females</w:t>
      </w:r>
    </w:p>
    <w:p w14:paraId="64C6A05B" w14:textId="77777777" w:rsidR="00740DA6" w:rsidRPr="00EC5EF1" w:rsidRDefault="00740DA6" w:rsidP="00F3441B">
      <w:pPr>
        <w:pStyle w:val="Bullet"/>
      </w:pPr>
      <w:r w:rsidRPr="00EC5EF1">
        <w:t>people aged 25–34 years were the most likely to be subject to compulsory treatment, and people over 65 years of age were the least likely</w:t>
      </w:r>
    </w:p>
    <w:p w14:paraId="3302C0DD" w14:textId="77777777" w:rsidR="00740DA6" w:rsidRPr="00EC5EF1" w:rsidRDefault="00740DA6" w:rsidP="00F3441B">
      <w:pPr>
        <w:pStyle w:val="Bullet"/>
      </w:pPr>
      <w:r w:rsidRPr="00EC5EF1">
        <w:t>Māori were more likely to be assessed or treated under the Mental Health Act than non-Māori.</w:t>
      </w:r>
    </w:p>
    <w:p w14:paraId="000EE52F" w14:textId="77777777" w:rsidR="00740DA6" w:rsidRPr="00EC5EF1" w:rsidRDefault="00740DA6" w:rsidP="00F3441B"/>
    <w:p w14:paraId="420EAAE2" w14:textId="17672FCC" w:rsidR="00740DA6" w:rsidRPr="00EC5EF1" w:rsidRDefault="00740DA6" w:rsidP="00F3441B">
      <w:pPr>
        <w:pStyle w:val="Heading3"/>
      </w:pPr>
      <w:bookmarkStart w:id="64" w:name="_Toc2845660"/>
      <w:r w:rsidRPr="00EC5EF1">
        <w:t>The Mental Health Act process</w:t>
      </w:r>
      <w:bookmarkEnd w:id="64"/>
    </w:p>
    <w:p w14:paraId="47BE7C7D" w14:textId="6CA16DF0" w:rsidR="00740DA6" w:rsidRDefault="00F72074" w:rsidP="00F3441B">
      <w:r>
        <w:rPr>
          <w:noProof/>
          <w:lang w:eastAsia="en-NZ"/>
        </w:rPr>
        <w:drawing>
          <wp:anchor distT="0" distB="0" distL="180340" distR="0" simplePos="0" relativeHeight="252073984" behindDoc="1" locked="0" layoutInCell="1" allowOverlap="1" wp14:anchorId="7D600A80" wp14:editId="19F5AD2F">
            <wp:simplePos x="0" y="0"/>
            <wp:positionH relativeFrom="column">
              <wp:posOffset>2719070</wp:posOffset>
            </wp:positionH>
            <wp:positionV relativeFrom="paragraph">
              <wp:posOffset>54610</wp:posOffset>
            </wp:positionV>
            <wp:extent cx="2360930" cy="3549015"/>
            <wp:effectExtent l="0" t="0" r="1270" b="0"/>
            <wp:wrapSquare wrapText="lef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360930" cy="3549015"/>
                    </a:xfrm>
                    <a:prstGeom prst="rect">
                      <a:avLst/>
                    </a:prstGeom>
                  </pic:spPr>
                </pic:pic>
              </a:graphicData>
            </a:graphic>
            <wp14:sizeRelH relativeFrom="margin">
              <wp14:pctWidth>0</wp14:pctWidth>
            </wp14:sizeRelH>
            <wp14:sizeRelV relativeFrom="margin">
              <wp14:pctHeight>0</wp14:pctHeight>
            </wp14:sizeRelV>
          </wp:anchor>
        </w:drawing>
      </w:r>
      <w:r w:rsidR="00740DA6" w:rsidRPr="00EC5EF1">
        <w:t>The compulsory assessment and treatment process begins with a referral and an initial assessment by a psychiatrist. If the psychiatrist believes a person fits the statutory criteria, the person will become subject to the Act and will receive further assessment accordingly.</w:t>
      </w:r>
    </w:p>
    <w:p w14:paraId="6DB728F6" w14:textId="58620FF9" w:rsidR="00F3441B" w:rsidRDefault="00F3441B" w:rsidP="00F3441B"/>
    <w:p w14:paraId="71BA9FD3" w14:textId="77950964" w:rsidR="00740DA6" w:rsidRPr="00EC5EF1" w:rsidRDefault="00740DA6" w:rsidP="00F3441B">
      <w:pPr>
        <w:pStyle w:val="Heading4"/>
      </w:pPr>
      <w:r w:rsidRPr="00EC5EF1">
        <w:t>Compulsory assessment</w:t>
      </w:r>
    </w:p>
    <w:p w14:paraId="49EF8C47" w14:textId="709979EC" w:rsidR="00740DA6" w:rsidRDefault="00740DA6" w:rsidP="00F3441B">
      <w:r w:rsidRPr="00EC5EF1">
        <w:t>Compulsory assessment can take place in either a community or a hospital setting. There</w:t>
      </w:r>
      <w:r w:rsidR="00F3441B">
        <w:t xml:space="preserve"> </w:t>
      </w:r>
      <w:r w:rsidRPr="00EC5EF1">
        <w:t>are two periods of compulsory assessment, during which a person’s clinician may release them from assessment at any time.</w:t>
      </w:r>
    </w:p>
    <w:p w14:paraId="4AE740F4" w14:textId="77777777" w:rsidR="00F3441B" w:rsidRPr="00EC5EF1" w:rsidRDefault="00F3441B" w:rsidP="00F3441B"/>
    <w:p w14:paraId="05E54DDF" w14:textId="0776084A" w:rsidR="00740DA6" w:rsidRPr="00EC5EF1" w:rsidRDefault="00740DA6" w:rsidP="00F3441B">
      <w:r w:rsidRPr="00EC5EF1">
        <w:rPr>
          <w:noProof/>
          <w:lang w:eastAsia="en-NZ"/>
        </w:rPr>
        <w:drawing>
          <wp:anchor distT="0" distB="0" distL="0" distR="0" simplePos="0" relativeHeight="251712512" behindDoc="0" locked="0" layoutInCell="1" allowOverlap="1" wp14:anchorId="5E330BD6" wp14:editId="449CE6EC">
            <wp:simplePos x="0" y="0"/>
            <wp:positionH relativeFrom="page">
              <wp:posOffset>8060163</wp:posOffset>
            </wp:positionH>
            <wp:positionV relativeFrom="paragraph">
              <wp:posOffset>609641</wp:posOffset>
            </wp:positionV>
            <wp:extent cx="155575" cy="155575"/>
            <wp:effectExtent l="0" t="0" r="0" b="0"/>
            <wp:wrapNone/>
            <wp:docPr id="16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During</w:t>
      </w:r>
      <w:r w:rsidR="00DE0BB2">
        <w:t xml:space="preserve"> </w:t>
      </w:r>
      <w:r w:rsidRPr="00EC5EF1">
        <w:t>the</w:t>
      </w:r>
      <w:r w:rsidR="00DE0BB2">
        <w:t xml:space="preserve"> </w:t>
      </w:r>
      <w:r w:rsidRPr="00EC5EF1">
        <w:t>assessment</w:t>
      </w:r>
      <w:r w:rsidR="00DE0BB2">
        <w:t xml:space="preserve"> </w:t>
      </w:r>
      <w:r w:rsidRPr="00EC5EF1">
        <w:t>period, a person is obliged to receive treatment as prescribed by their responsible clinician. The first period (section 11 of the Mental Health Act) is for up to five days. The second period (section 13) can last up to 14</w:t>
      </w:r>
      <w:r w:rsidR="00F72074">
        <w:t> </w:t>
      </w:r>
      <w:r w:rsidRPr="00EC5EF1">
        <w:t>days.</w:t>
      </w:r>
    </w:p>
    <w:p w14:paraId="1CBF756D" w14:textId="77777777" w:rsidR="00F3441B" w:rsidRDefault="00F3441B" w:rsidP="00F3441B"/>
    <w:p w14:paraId="48E921D4" w14:textId="24B3B1F9" w:rsidR="00740DA6" w:rsidRPr="00EC5EF1" w:rsidRDefault="00740DA6" w:rsidP="00F3441B">
      <w:r w:rsidRPr="00EC5EF1">
        <w:t>Following the first two assessment periods, a person’s responsible clinician can make an application to the Family or District Court (section 14(4)) to place the person on a compulsory treatment order.</w:t>
      </w:r>
    </w:p>
    <w:p w14:paraId="7C0FFC47" w14:textId="77777777" w:rsidR="00F3441B" w:rsidRDefault="00F3441B" w:rsidP="00F3441B"/>
    <w:p w14:paraId="32C3963C" w14:textId="78089383" w:rsidR="00740DA6" w:rsidRPr="00EC5EF1" w:rsidRDefault="00740DA6" w:rsidP="00F3441B">
      <w:r w:rsidRPr="00EC5EF1">
        <w:lastRenderedPageBreak/>
        <w:t>At any time during the compulsory assessment process, the person (or someone acting on their behalf) can request a judicial review of their condition to determine whether it is appropriate that they continue to be assessed under the Mental Health Act. A judicial review consists of a hearing in the District Court. Based on information provided by clinicians, a judge will decide whether the person should continue to be compulsorily assessed.</w:t>
      </w:r>
    </w:p>
    <w:p w14:paraId="2B6F3F99" w14:textId="77777777" w:rsidR="00F3441B" w:rsidRDefault="00F3441B" w:rsidP="00F3441B"/>
    <w:p w14:paraId="14675BEF" w14:textId="171059AE" w:rsidR="00740DA6" w:rsidRPr="00F3441B" w:rsidRDefault="00740DA6" w:rsidP="00F3441B">
      <w:r w:rsidRPr="00EC5EF1">
        <w:t>During 2017, approximately 1,257 applications for compulsory treatment orders were considered under section 16 (review of patient’s condition by Judge) of the Mental Health Act. Of this total, an order for release from compulsory status was issued in 31</w:t>
      </w:r>
      <w:r w:rsidR="00F3441B">
        <w:t> </w:t>
      </w:r>
      <w:r w:rsidRPr="00EC5EF1">
        <w:t>cases (4 percent of the applications that proceeded to hearings).</w:t>
      </w:r>
      <w:r w:rsidR="00F3441B">
        <w:rPr>
          <w:rStyle w:val="FootnoteReference"/>
        </w:rPr>
        <w:footnoteReference w:id="12"/>
      </w:r>
    </w:p>
    <w:p w14:paraId="5C3E9506" w14:textId="77777777" w:rsidR="00740DA6" w:rsidRPr="00EC5EF1" w:rsidRDefault="00740DA6" w:rsidP="00F3441B"/>
    <w:p w14:paraId="5A07B646" w14:textId="77777777" w:rsidR="00740DA6" w:rsidRPr="00EC5EF1" w:rsidRDefault="00740DA6" w:rsidP="00F3441B">
      <w:pPr>
        <w:pStyle w:val="Heading4"/>
      </w:pPr>
      <w:r w:rsidRPr="00EC5EF1">
        <w:t>Compulsory treatment</w:t>
      </w:r>
    </w:p>
    <w:p w14:paraId="45A16D0C" w14:textId="7A42289E" w:rsidR="00740DA6" w:rsidRPr="00EC5EF1" w:rsidRDefault="00740DA6" w:rsidP="00F3441B">
      <w:r w:rsidRPr="00EC5EF1">
        <w:t>There are two types of compulsory treatment orders. One is for treatment in the</w:t>
      </w:r>
      <w:r w:rsidR="00F3441B">
        <w:t xml:space="preserve"> </w:t>
      </w:r>
      <w:r w:rsidRPr="00EC5EF1">
        <w:t>community (a section 29 order) and the other is for treatment in an inpatient unit (a section</w:t>
      </w:r>
      <w:r w:rsidR="00F3441B">
        <w:t> </w:t>
      </w:r>
      <w:r w:rsidRPr="00EC5EF1">
        <w:t>30 order). A person’s responsible clinician can convert an inpatient treatment order into a community treatment order at any time. A responsible clinician may also grant a person leave from the inpatient unit for treatment in the community for up to three months (section 31).</w:t>
      </w:r>
    </w:p>
    <w:p w14:paraId="5BCD1020" w14:textId="77777777" w:rsidR="00D11995" w:rsidRDefault="00D11995" w:rsidP="00F3441B"/>
    <w:p w14:paraId="07D2A64B" w14:textId="571D275D" w:rsidR="00740DA6" w:rsidRDefault="00740DA6" w:rsidP="00F3441B">
      <w:r w:rsidRPr="00EC5EF1">
        <w:t>Most people subject to compulsory treatment access that treatment in the community (approximately 87 percent in 2017).</w:t>
      </w:r>
    </w:p>
    <w:p w14:paraId="147BFF44" w14:textId="77777777" w:rsidR="00F3441B" w:rsidRPr="00EC5EF1" w:rsidRDefault="00F3441B" w:rsidP="00F3441B"/>
    <w:p w14:paraId="37422F96" w14:textId="77777777" w:rsidR="00740DA6" w:rsidRPr="00EC5EF1" w:rsidRDefault="00740DA6" w:rsidP="00F3441B">
      <w:pPr>
        <w:pStyle w:val="Heading3"/>
      </w:pPr>
      <w:bookmarkStart w:id="65" w:name="_Toc2845661"/>
      <w:r w:rsidRPr="00EC5EF1">
        <w:t>2017 statistics</w:t>
      </w:r>
      <w:bookmarkEnd w:id="65"/>
    </w:p>
    <w:p w14:paraId="01286B02" w14:textId="1DF45740" w:rsidR="00740DA6" w:rsidRPr="00F3441B" w:rsidRDefault="00740DA6" w:rsidP="00F3441B">
      <w:r w:rsidRPr="00EC5EF1">
        <w:t>On the last day of 2017, a total of 5,284 people were subject to either compulsory assessment or compulsory treatment.</w:t>
      </w:r>
      <w:r w:rsidR="00F3441B">
        <w:rPr>
          <w:rStyle w:val="FootnoteReference"/>
        </w:rPr>
        <w:footnoteReference w:id="13"/>
      </w:r>
    </w:p>
    <w:p w14:paraId="15398C42" w14:textId="77777777" w:rsidR="00F3441B" w:rsidRDefault="00F3441B" w:rsidP="00F3441B"/>
    <w:p w14:paraId="069DD338" w14:textId="53700222" w:rsidR="00740DA6" w:rsidRDefault="00740DA6" w:rsidP="00F72074">
      <w:pPr>
        <w:spacing w:after="120"/>
      </w:pPr>
      <w:r w:rsidRPr="00EC5EF1">
        <w:t>In New Zealand in each month of 2017, on average, the assessment provisions of the Mental Health Act were applied as follows.</w:t>
      </w:r>
      <w:r w:rsidR="00F3441B">
        <w:rPr>
          <w:rStyle w:val="FootnoteReference"/>
        </w:rPr>
        <w:footnoteReference w:id="14"/>
      </w:r>
    </w:p>
    <w:p w14:paraId="747E1416" w14:textId="7A7708E4" w:rsidR="00F3441B" w:rsidRDefault="00F72074" w:rsidP="00F3441B">
      <w:r>
        <w:rPr>
          <w:noProof/>
          <w:lang w:eastAsia="en-NZ"/>
        </w:rPr>
        <w:drawing>
          <wp:inline distT="0" distB="0" distL="0" distR="0" wp14:anchorId="439D00F9" wp14:editId="757F0617">
            <wp:extent cx="3125585" cy="1782781"/>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142231" cy="1792276"/>
                    </a:xfrm>
                    <a:prstGeom prst="rect">
                      <a:avLst/>
                    </a:prstGeom>
                  </pic:spPr>
                </pic:pic>
              </a:graphicData>
            </a:graphic>
          </wp:inline>
        </w:drawing>
      </w:r>
    </w:p>
    <w:p w14:paraId="619A51D9" w14:textId="77777777" w:rsidR="00F3441B" w:rsidRPr="00F3441B" w:rsidRDefault="00F3441B" w:rsidP="00F3441B"/>
    <w:p w14:paraId="7A8F6A2F" w14:textId="52DB1C7D" w:rsidR="00740DA6" w:rsidRPr="00F3441B" w:rsidRDefault="00740DA6" w:rsidP="00F72074">
      <w:pPr>
        <w:spacing w:after="120"/>
      </w:pPr>
      <w:r w:rsidRPr="00EC5EF1">
        <w:lastRenderedPageBreak/>
        <w:t>In New Zealand on a given day in 2017, on average, the treatment provisions of the Mental Health Act were applied as follows.</w:t>
      </w:r>
      <w:r w:rsidR="00F3441B">
        <w:rPr>
          <w:rStyle w:val="FootnoteReference"/>
        </w:rPr>
        <w:footnoteReference w:id="15"/>
      </w:r>
    </w:p>
    <w:p w14:paraId="5E9B80CE" w14:textId="661DD650" w:rsidR="00F3441B" w:rsidRDefault="00F72074" w:rsidP="00F3441B">
      <w:r>
        <w:rPr>
          <w:noProof/>
          <w:lang w:eastAsia="en-NZ"/>
        </w:rPr>
        <w:drawing>
          <wp:inline distT="0" distB="0" distL="0" distR="0" wp14:anchorId="21B3A337" wp14:editId="103CC517">
            <wp:extent cx="3133898" cy="181314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134639" cy="1813570"/>
                    </a:xfrm>
                    <a:prstGeom prst="rect">
                      <a:avLst/>
                    </a:prstGeom>
                  </pic:spPr>
                </pic:pic>
              </a:graphicData>
            </a:graphic>
          </wp:inline>
        </w:drawing>
      </w:r>
    </w:p>
    <w:p w14:paraId="11A34D25" w14:textId="77777777" w:rsidR="00F3441B" w:rsidRPr="00EC5EF1" w:rsidRDefault="00F3441B" w:rsidP="00F3441B"/>
    <w:p w14:paraId="1E33BF3A" w14:textId="77777777" w:rsidR="00740DA6" w:rsidRPr="00EC5EF1" w:rsidRDefault="00740DA6" w:rsidP="00F3441B">
      <w:pPr>
        <w:pStyle w:val="Heading3"/>
      </w:pPr>
      <w:bookmarkStart w:id="66" w:name="_Toc2845662"/>
      <w:r w:rsidRPr="00EC5EF1">
        <w:t>Compulsory assessment and treatment by district health board</w:t>
      </w:r>
      <w:bookmarkEnd w:id="66"/>
    </w:p>
    <w:p w14:paraId="423BDD6D" w14:textId="34616859" w:rsidR="00740DA6" w:rsidRPr="00EC5EF1" w:rsidRDefault="00740DA6" w:rsidP="00574F24">
      <w:r w:rsidRPr="00EC5EF1">
        <w:rPr>
          <w:noProof/>
          <w:lang w:eastAsia="en-NZ"/>
        </w:rPr>
        <w:drawing>
          <wp:anchor distT="0" distB="0" distL="0" distR="0" simplePos="0" relativeHeight="251716608" behindDoc="0" locked="0" layoutInCell="1" allowOverlap="1" wp14:anchorId="55FEFC3F" wp14:editId="17ECF8B3">
            <wp:simplePos x="0" y="0"/>
            <wp:positionH relativeFrom="page">
              <wp:posOffset>8060163</wp:posOffset>
            </wp:positionH>
            <wp:positionV relativeFrom="paragraph">
              <wp:posOffset>480962</wp:posOffset>
            </wp:positionV>
            <wp:extent cx="155575" cy="155575"/>
            <wp:effectExtent l="0" t="0" r="0" b="0"/>
            <wp:wrapNone/>
            <wp:docPr id="17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 xml:space="preserve">Table 2 shows the average number of people per month in 2017 who were required to undergo assessment under the Mental Health Act, by DHB. Table 3 shows the average number of people subject to a compulsory treatment order on a given day in 2017, by DHB. Following those tables, </w:t>
      </w:r>
      <w:r w:rsidR="00574F24">
        <w:t>F</w:t>
      </w:r>
      <w:r w:rsidRPr="00EC5EF1">
        <w:t>igures 8 and 9 present the average number of people subject to a compulsory treatment order on a given day, but focus specifically on community treatment orders (Figure 8) and inpatient treatment orders (Figure 9).</w:t>
      </w:r>
    </w:p>
    <w:p w14:paraId="0DAA71C5" w14:textId="77777777" w:rsidR="00740DA6" w:rsidRPr="00EC5EF1" w:rsidRDefault="00740DA6" w:rsidP="00616F19"/>
    <w:p w14:paraId="4787A4A5" w14:textId="7EB96D54" w:rsidR="00740DA6" w:rsidRPr="00EC5EF1" w:rsidRDefault="00740DA6" w:rsidP="002F7673">
      <w:pPr>
        <w:pStyle w:val="Table"/>
      </w:pPr>
      <w:bookmarkStart w:id="67" w:name="_Toc2845746"/>
      <w:r w:rsidRPr="00EC5EF1">
        <w:t>Table 2: Average number of people per 100,000 per month required to undergo assessment under sections 11, 13 and 14(4) of the Mental Health Act, by DHB, 1</w:t>
      </w:r>
      <w:r w:rsidR="002F7673">
        <w:t> </w:t>
      </w:r>
      <w:r w:rsidRPr="00EC5EF1">
        <w:t>January to 31 December 2017</w:t>
      </w:r>
      <w:bookmarkEnd w:id="67"/>
    </w:p>
    <w:p w14:paraId="36E901CD" w14:textId="67414F78" w:rsidR="00740DA6" w:rsidRPr="00EC5EF1" w:rsidRDefault="00740DA6" w:rsidP="00740DA6">
      <w:pPr>
        <w:tabs>
          <w:tab w:val="left" w:pos="6736"/>
        </w:tabs>
        <w:spacing w:line="24" w:lineRule="exact"/>
        <w:ind w:left="2285" w:right="-1811"/>
        <w:rPr>
          <w:rFonts w:ascii="Arial Black"/>
          <w:sz w:val="2"/>
        </w:rPr>
      </w:pPr>
      <w:r w:rsidRPr="00EC5EF1">
        <w:tab/>
      </w:r>
    </w:p>
    <w:tbl>
      <w:tblPr>
        <w:tblStyle w:val="TableGrid"/>
        <w:tblW w:w="8082" w:type="dxa"/>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843"/>
        <w:gridCol w:w="638"/>
        <w:gridCol w:w="638"/>
        <w:gridCol w:w="850"/>
        <w:gridCol w:w="426"/>
        <w:gridCol w:w="1843"/>
        <w:gridCol w:w="567"/>
        <w:gridCol w:w="568"/>
        <w:gridCol w:w="709"/>
      </w:tblGrid>
      <w:tr w:rsidR="00616F19" w:rsidRPr="009B6361" w14:paraId="4A34D8B6" w14:textId="515B2D03" w:rsidTr="00616F19">
        <w:trPr>
          <w:cantSplit/>
          <w:tblHeader/>
        </w:trPr>
        <w:tc>
          <w:tcPr>
            <w:tcW w:w="1843" w:type="dxa"/>
            <w:tcBorders>
              <w:top w:val="nil"/>
              <w:bottom w:val="nil"/>
            </w:tcBorders>
            <w:shd w:val="clear" w:color="auto" w:fill="D9D9D9" w:themeFill="background1" w:themeFillShade="D9"/>
          </w:tcPr>
          <w:p w14:paraId="3AC8B3D2" w14:textId="77777777" w:rsidR="00616F19" w:rsidRPr="009B6361" w:rsidRDefault="00616F19" w:rsidP="00616F19">
            <w:pPr>
              <w:pStyle w:val="TableText"/>
              <w:spacing w:before="55" w:after="55"/>
              <w:rPr>
                <w:b/>
                <w:u w:color="231F20"/>
              </w:rPr>
            </w:pPr>
            <w:r w:rsidRPr="009B6361">
              <w:rPr>
                <w:b/>
                <w:u w:color="231F20"/>
              </w:rPr>
              <w:t>DHB</w:t>
            </w:r>
          </w:p>
        </w:tc>
        <w:tc>
          <w:tcPr>
            <w:tcW w:w="638" w:type="dxa"/>
            <w:tcBorders>
              <w:top w:val="nil"/>
              <w:bottom w:val="nil"/>
            </w:tcBorders>
            <w:shd w:val="clear" w:color="auto" w:fill="D9D9D9" w:themeFill="background1" w:themeFillShade="D9"/>
          </w:tcPr>
          <w:p w14:paraId="40A75010" w14:textId="77777777" w:rsidR="00616F19" w:rsidRPr="009B6361" w:rsidRDefault="00616F19" w:rsidP="00616F19">
            <w:pPr>
              <w:pStyle w:val="TableText"/>
              <w:spacing w:before="55" w:after="55"/>
              <w:jc w:val="center"/>
              <w:rPr>
                <w:b/>
                <w:u w:color="231F20"/>
              </w:rPr>
            </w:pPr>
            <w:r w:rsidRPr="009B6361">
              <w:rPr>
                <w:b/>
                <w:u w:color="231F20"/>
              </w:rPr>
              <w:t>s 11</w:t>
            </w:r>
          </w:p>
        </w:tc>
        <w:tc>
          <w:tcPr>
            <w:tcW w:w="638" w:type="dxa"/>
            <w:tcBorders>
              <w:top w:val="nil"/>
              <w:bottom w:val="nil"/>
            </w:tcBorders>
            <w:shd w:val="clear" w:color="auto" w:fill="D9D9D9" w:themeFill="background1" w:themeFillShade="D9"/>
          </w:tcPr>
          <w:p w14:paraId="6DB7484E" w14:textId="314776FD" w:rsidR="00616F19" w:rsidRPr="009B6361" w:rsidRDefault="00616F19" w:rsidP="00616F19">
            <w:pPr>
              <w:pStyle w:val="TableText"/>
              <w:spacing w:before="55" w:after="55"/>
              <w:jc w:val="center"/>
              <w:rPr>
                <w:b/>
              </w:rPr>
            </w:pPr>
            <w:r w:rsidRPr="009B6361">
              <w:rPr>
                <w:b/>
                <w:u w:color="231F20"/>
              </w:rPr>
              <w:t>s 13</w:t>
            </w:r>
          </w:p>
        </w:tc>
        <w:tc>
          <w:tcPr>
            <w:tcW w:w="850" w:type="dxa"/>
            <w:tcBorders>
              <w:top w:val="nil"/>
              <w:bottom w:val="nil"/>
            </w:tcBorders>
            <w:shd w:val="clear" w:color="auto" w:fill="D9D9D9" w:themeFill="background1" w:themeFillShade="D9"/>
          </w:tcPr>
          <w:p w14:paraId="2B5DD804" w14:textId="1DAC84AE" w:rsidR="00616F19" w:rsidRPr="009B6361" w:rsidRDefault="00616F19" w:rsidP="00616F19">
            <w:pPr>
              <w:pStyle w:val="TableText"/>
              <w:spacing w:before="55" w:after="55"/>
              <w:jc w:val="center"/>
              <w:rPr>
                <w:b/>
              </w:rPr>
            </w:pPr>
            <w:r w:rsidRPr="009B6361">
              <w:rPr>
                <w:b/>
                <w:u w:color="231F20"/>
              </w:rPr>
              <w:t>s 14(4)</w:t>
            </w:r>
          </w:p>
        </w:tc>
        <w:tc>
          <w:tcPr>
            <w:tcW w:w="426" w:type="dxa"/>
            <w:tcBorders>
              <w:top w:val="nil"/>
              <w:bottom w:val="nil"/>
            </w:tcBorders>
            <w:shd w:val="clear" w:color="auto" w:fill="auto"/>
          </w:tcPr>
          <w:p w14:paraId="0737DB90" w14:textId="77777777" w:rsidR="00616F19" w:rsidRPr="009B6361" w:rsidRDefault="00616F19" w:rsidP="00616F19">
            <w:pPr>
              <w:pStyle w:val="TableText"/>
              <w:spacing w:before="55" w:after="55"/>
              <w:jc w:val="center"/>
              <w:rPr>
                <w:b/>
                <w:u w:color="231F20"/>
              </w:rPr>
            </w:pPr>
          </w:p>
        </w:tc>
        <w:tc>
          <w:tcPr>
            <w:tcW w:w="1843" w:type="dxa"/>
            <w:tcBorders>
              <w:top w:val="nil"/>
              <w:bottom w:val="nil"/>
            </w:tcBorders>
            <w:shd w:val="clear" w:color="auto" w:fill="D9D9D9" w:themeFill="background1" w:themeFillShade="D9"/>
          </w:tcPr>
          <w:p w14:paraId="7EE8ED1E" w14:textId="349CFFFC" w:rsidR="00616F19" w:rsidRPr="009B6361" w:rsidRDefault="00616F19" w:rsidP="00616F19">
            <w:pPr>
              <w:pStyle w:val="TableText"/>
              <w:spacing w:before="55" w:after="55"/>
              <w:rPr>
                <w:b/>
                <w:u w:color="231F20"/>
              </w:rPr>
            </w:pPr>
            <w:r w:rsidRPr="009B6361">
              <w:rPr>
                <w:b/>
                <w:u w:color="231F20"/>
              </w:rPr>
              <w:t>DHB</w:t>
            </w:r>
          </w:p>
        </w:tc>
        <w:tc>
          <w:tcPr>
            <w:tcW w:w="567" w:type="dxa"/>
            <w:tcBorders>
              <w:top w:val="nil"/>
              <w:bottom w:val="nil"/>
            </w:tcBorders>
            <w:shd w:val="clear" w:color="auto" w:fill="D9D9D9" w:themeFill="background1" w:themeFillShade="D9"/>
          </w:tcPr>
          <w:p w14:paraId="24E595E8" w14:textId="06154423" w:rsidR="00616F19" w:rsidRPr="009B6361" w:rsidRDefault="00616F19" w:rsidP="00616F19">
            <w:pPr>
              <w:pStyle w:val="TableText"/>
              <w:spacing w:before="55" w:after="55"/>
              <w:jc w:val="center"/>
              <w:rPr>
                <w:b/>
                <w:u w:color="231F20"/>
              </w:rPr>
            </w:pPr>
            <w:r w:rsidRPr="009B6361">
              <w:rPr>
                <w:b/>
                <w:u w:color="231F20"/>
              </w:rPr>
              <w:t>s 11</w:t>
            </w:r>
          </w:p>
        </w:tc>
        <w:tc>
          <w:tcPr>
            <w:tcW w:w="568" w:type="dxa"/>
            <w:tcBorders>
              <w:top w:val="nil"/>
              <w:bottom w:val="nil"/>
            </w:tcBorders>
            <w:shd w:val="clear" w:color="auto" w:fill="D9D9D9" w:themeFill="background1" w:themeFillShade="D9"/>
          </w:tcPr>
          <w:p w14:paraId="3FFD32CF" w14:textId="78E3A12B" w:rsidR="00616F19" w:rsidRPr="009B6361" w:rsidRDefault="00616F19" w:rsidP="00616F19">
            <w:pPr>
              <w:pStyle w:val="TableText"/>
              <w:spacing w:before="55" w:after="55"/>
              <w:jc w:val="center"/>
              <w:rPr>
                <w:b/>
                <w:u w:color="231F20"/>
              </w:rPr>
            </w:pPr>
            <w:r w:rsidRPr="009B6361">
              <w:rPr>
                <w:b/>
                <w:u w:color="231F20"/>
              </w:rPr>
              <w:t>s 13</w:t>
            </w:r>
          </w:p>
        </w:tc>
        <w:tc>
          <w:tcPr>
            <w:tcW w:w="709" w:type="dxa"/>
            <w:tcBorders>
              <w:top w:val="nil"/>
              <w:bottom w:val="nil"/>
            </w:tcBorders>
            <w:shd w:val="clear" w:color="auto" w:fill="D9D9D9" w:themeFill="background1" w:themeFillShade="D9"/>
          </w:tcPr>
          <w:p w14:paraId="31DAA987" w14:textId="4FAAE023" w:rsidR="00616F19" w:rsidRPr="009B6361" w:rsidRDefault="00616F19" w:rsidP="00616F19">
            <w:pPr>
              <w:pStyle w:val="TableText"/>
              <w:spacing w:before="55" w:after="55"/>
              <w:jc w:val="center"/>
              <w:rPr>
                <w:b/>
                <w:u w:color="231F20"/>
              </w:rPr>
            </w:pPr>
            <w:r w:rsidRPr="009B6361">
              <w:rPr>
                <w:b/>
                <w:u w:color="231F20"/>
              </w:rPr>
              <w:t>s 14(4)</w:t>
            </w:r>
          </w:p>
        </w:tc>
      </w:tr>
      <w:tr w:rsidR="00616F19" w:rsidRPr="009B6361" w14:paraId="420E0CA4" w14:textId="2CA666ED" w:rsidTr="00616F19">
        <w:trPr>
          <w:cantSplit/>
        </w:trPr>
        <w:tc>
          <w:tcPr>
            <w:tcW w:w="1843" w:type="dxa"/>
            <w:tcBorders>
              <w:top w:val="nil"/>
            </w:tcBorders>
          </w:tcPr>
          <w:p w14:paraId="686A8DFD" w14:textId="7E6AC699" w:rsidR="00616F19" w:rsidRPr="009B6361" w:rsidRDefault="00616F19" w:rsidP="00616F19">
            <w:pPr>
              <w:pStyle w:val="TableText"/>
              <w:spacing w:before="55" w:after="55"/>
              <w:rPr>
                <w:u w:color="808285"/>
              </w:rPr>
            </w:pPr>
            <w:r w:rsidRPr="009B6361">
              <w:rPr>
                <w:u w:color="808285"/>
              </w:rPr>
              <w:t>Auckland</w:t>
            </w:r>
          </w:p>
        </w:tc>
        <w:tc>
          <w:tcPr>
            <w:tcW w:w="638" w:type="dxa"/>
            <w:tcBorders>
              <w:top w:val="nil"/>
            </w:tcBorders>
          </w:tcPr>
          <w:p w14:paraId="5AD614E0" w14:textId="77777777" w:rsidR="00616F19" w:rsidRPr="009B6361" w:rsidRDefault="00616F19" w:rsidP="00616F19">
            <w:pPr>
              <w:pStyle w:val="TableText"/>
              <w:tabs>
                <w:tab w:val="decimal" w:pos="368"/>
              </w:tabs>
              <w:spacing w:before="55" w:after="55"/>
              <w:rPr>
                <w:u w:color="808285"/>
              </w:rPr>
            </w:pPr>
            <w:r w:rsidRPr="009B6361">
              <w:rPr>
                <w:u w:color="808285"/>
              </w:rPr>
              <w:t>14</w:t>
            </w:r>
          </w:p>
        </w:tc>
        <w:tc>
          <w:tcPr>
            <w:tcW w:w="638" w:type="dxa"/>
            <w:tcBorders>
              <w:top w:val="nil"/>
            </w:tcBorders>
          </w:tcPr>
          <w:p w14:paraId="61EBB9C7" w14:textId="77777777" w:rsidR="00616F19" w:rsidRPr="009B6361" w:rsidRDefault="00616F19" w:rsidP="00616F19">
            <w:pPr>
              <w:pStyle w:val="TableText"/>
              <w:tabs>
                <w:tab w:val="decimal" w:pos="368"/>
              </w:tabs>
              <w:spacing w:before="55" w:after="55"/>
              <w:rPr>
                <w:u w:color="808285"/>
              </w:rPr>
            </w:pPr>
            <w:r w:rsidRPr="009B6361">
              <w:rPr>
                <w:u w:color="808285"/>
              </w:rPr>
              <w:t>16</w:t>
            </w:r>
          </w:p>
        </w:tc>
        <w:tc>
          <w:tcPr>
            <w:tcW w:w="850" w:type="dxa"/>
            <w:tcBorders>
              <w:top w:val="nil"/>
            </w:tcBorders>
          </w:tcPr>
          <w:p w14:paraId="2B42F06B" w14:textId="77777777" w:rsidR="00616F19" w:rsidRPr="009B6361" w:rsidRDefault="00616F19" w:rsidP="00616F19">
            <w:pPr>
              <w:pStyle w:val="TableText"/>
              <w:tabs>
                <w:tab w:val="decimal" w:pos="454"/>
              </w:tabs>
              <w:spacing w:before="55" w:after="55"/>
              <w:rPr>
                <w:u w:color="808285"/>
              </w:rPr>
            </w:pPr>
            <w:r w:rsidRPr="009B6361">
              <w:rPr>
                <w:u w:color="808285"/>
              </w:rPr>
              <w:t>11</w:t>
            </w:r>
          </w:p>
        </w:tc>
        <w:tc>
          <w:tcPr>
            <w:tcW w:w="426" w:type="dxa"/>
            <w:tcBorders>
              <w:top w:val="nil"/>
              <w:bottom w:val="nil"/>
            </w:tcBorders>
            <w:shd w:val="clear" w:color="auto" w:fill="auto"/>
          </w:tcPr>
          <w:p w14:paraId="598D8464" w14:textId="77777777" w:rsidR="00616F19" w:rsidRPr="009B6361" w:rsidRDefault="00616F19" w:rsidP="00616F19">
            <w:pPr>
              <w:pStyle w:val="TableText"/>
              <w:tabs>
                <w:tab w:val="decimal" w:pos="636"/>
              </w:tabs>
              <w:spacing w:before="55" w:after="55"/>
              <w:rPr>
                <w:u w:color="808285"/>
              </w:rPr>
            </w:pPr>
          </w:p>
        </w:tc>
        <w:tc>
          <w:tcPr>
            <w:tcW w:w="1843" w:type="dxa"/>
            <w:tcBorders>
              <w:top w:val="nil"/>
            </w:tcBorders>
          </w:tcPr>
          <w:p w14:paraId="76AE1FCC" w14:textId="08BC4C6C" w:rsidR="00616F19" w:rsidRPr="009B6361" w:rsidRDefault="00616F19" w:rsidP="00616F19">
            <w:pPr>
              <w:pStyle w:val="TableText"/>
              <w:spacing w:before="55" w:after="55"/>
              <w:jc w:val="both"/>
              <w:rPr>
                <w:u w:color="808285"/>
              </w:rPr>
            </w:pPr>
            <w:r w:rsidRPr="009B6361">
              <w:rPr>
                <w:u w:color="808285"/>
              </w:rPr>
              <w:t>Northland</w:t>
            </w:r>
          </w:p>
        </w:tc>
        <w:tc>
          <w:tcPr>
            <w:tcW w:w="567" w:type="dxa"/>
            <w:tcBorders>
              <w:top w:val="nil"/>
            </w:tcBorders>
          </w:tcPr>
          <w:p w14:paraId="29EA956D" w14:textId="3ACC720C" w:rsidR="00616F19" w:rsidRPr="009B6361" w:rsidRDefault="00616F19" w:rsidP="00616F19">
            <w:pPr>
              <w:pStyle w:val="TableText"/>
              <w:tabs>
                <w:tab w:val="decimal" w:pos="368"/>
              </w:tabs>
              <w:spacing w:before="55" w:after="55"/>
              <w:rPr>
                <w:u w:color="808285"/>
              </w:rPr>
            </w:pPr>
            <w:r w:rsidRPr="009B6361">
              <w:rPr>
                <w:u w:color="808285"/>
              </w:rPr>
              <w:t>16</w:t>
            </w:r>
          </w:p>
        </w:tc>
        <w:tc>
          <w:tcPr>
            <w:tcW w:w="568" w:type="dxa"/>
            <w:tcBorders>
              <w:top w:val="nil"/>
            </w:tcBorders>
          </w:tcPr>
          <w:p w14:paraId="7669FAD4" w14:textId="504013A5" w:rsidR="00616F19" w:rsidRPr="009B6361" w:rsidRDefault="00616F19" w:rsidP="00616F19">
            <w:pPr>
              <w:pStyle w:val="TableText"/>
              <w:tabs>
                <w:tab w:val="decimal" w:pos="368"/>
              </w:tabs>
              <w:spacing w:before="55" w:after="55"/>
              <w:rPr>
                <w:u w:color="808285"/>
              </w:rPr>
            </w:pPr>
            <w:r w:rsidRPr="009B6361">
              <w:rPr>
                <w:u w:color="808285"/>
              </w:rPr>
              <w:t>18</w:t>
            </w:r>
          </w:p>
        </w:tc>
        <w:tc>
          <w:tcPr>
            <w:tcW w:w="709" w:type="dxa"/>
            <w:tcBorders>
              <w:top w:val="nil"/>
            </w:tcBorders>
          </w:tcPr>
          <w:p w14:paraId="06C7657F" w14:textId="453E8040" w:rsidR="00616F19" w:rsidRPr="009B6361" w:rsidRDefault="00616F19" w:rsidP="00616F19">
            <w:pPr>
              <w:pStyle w:val="TableText"/>
              <w:tabs>
                <w:tab w:val="decimal" w:pos="454"/>
              </w:tabs>
              <w:spacing w:before="55" w:after="55"/>
              <w:rPr>
                <w:u w:color="808285"/>
              </w:rPr>
            </w:pPr>
            <w:r w:rsidRPr="009B6361">
              <w:rPr>
                <w:u w:color="808285"/>
              </w:rPr>
              <w:t>15</w:t>
            </w:r>
          </w:p>
        </w:tc>
      </w:tr>
      <w:tr w:rsidR="00616F19" w:rsidRPr="009B6361" w14:paraId="5F79C413" w14:textId="2A8D72FC" w:rsidTr="00616F19">
        <w:trPr>
          <w:cantSplit/>
        </w:trPr>
        <w:tc>
          <w:tcPr>
            <w:tcW w:w="1843" w:type="dxa"/>
          </w:tcPr>
          <w:p w14:paraId="3007CC44" w14:textId="6151CF0B" w:rsidR="00616F19" w:rsidRPr="009B6361" w:rsidRDefault="00616F19" w:rsidP="00616F19">
            <w:pPr>
              <w:pStyle w:val="TableText"/>
              <w:spacing w:before="55" w:after="55"/>
              <w:rPr>
                <w:u w:color="808285"/>
              </w:rPr>
            </w:pPr>
            <w:r w:rsidRPr="009B6361">
              <w:rPr>
                <w:u w:color="808285"/>
              </w:rPr>
              <w:t>Bay of Plenty</w:t>
            </w:r>
          </w:p>
        </w:tc>
        <w:tc>
          <w:tcPr>
            <w:tcW w:w="638" w:type="dxa"/>
          </w:tcPr>
          <w:p w14:paraId="36341AA1" w14:textId="77777777" w:rsidR="00616F19" w:rsidRPr="009B6361" w:rsidRDefault="00616F19" w:rsidP="00616F19">
            <w:pPr>
              <w:pStyle w:val="TableText"/>
              <w:tabs>
                <w:tab w:val="decimal" w:pos="368"/>
              </w:tabs>
              <w:spacing w:before="55" w:after="55"/>
              <w:rPr>
                <w:u w:color="808285"/>
              </w:rPr>
            </w:pPr>
            <w:r w:rsidRPr="009B6361">
              <w:rPr>
                <w:u w:color="808285"/>
              </w:rPr>
              <w:t>13</w:t>
            </w:r>
          </w:p>
        </w:tc>
        <w:tc>
          <w:tcPr>
            <w:tcW w:w="638" w:type="dxa"/>
          </w:tcPr>
          <w:p w14:paraId="07EE68BC" w14:textId="77777777" w:rsidR="00616F19" w:rsidRPr="009B6361" w:rsidRDefault="00616F19" w:rsidP="00616F19">
            <w:pPr>
              <w:pStyle w:val="TableText"/>
              <w:tabs>
                <w:tab w:val="decimal" w:pos="368"/>
              </w:tabs>
              <w:spacing w:before="55" w:after="55"/>
              <w:rPr>
                <w:u w:color="808285"/>
              </w:rPr>
            </w:pPr>
            <w:r w:rsidRPr="009B6361">
              <w:rPr>
                <w:u w:color="808285"/>
              </w:rPr>
              <w:t>10</w:t>
            </w:r>
          </w:p>
        </w:tc>
        <w:tc>
          <w:tcPr>
            <w:tcW w:w="850" w:type="dxa"/>
          </w:tcPr>
          <w:p w14:paraId="6034AA65" w14:textId="77777777" w:rsidR="00616F19" w:rsidRPr="009B6361" w:rsidRDefault="00616F19" w:rsidP="00616F19">
            <w:pPr>
              <w:pStyle w:val="TableText"/>
              <w:tabs>
                <w:tab w:val="decimal" w:pos="454"/>
              </w:tabs>
              <w:spacing w:before="55" w:after="55"/>
              <w:rPr>
                <w:u w:color="808285"/>
              </w:rPr>
            </w:pPr>
            <w:r w:rsidRPr="009B6361">
              <w:rPr>
                <w:u w:color="808285"/>
              </w:rPr>
              <w:t>5</w:t>
            </w:r>
          </w:p>
        </w:tc>
        <w:tc>
          <w:tcPr>
            <w:tcW w:w="426" w:type="dxa"/>
            <w:tcBorders>
              <w:top w:val="nil"/>
              <w:bottom w:val="nil"/>
            </w:tcBorders>
            <w:shd w:val="clear" w:color="auto" w:fill="auto"/>
          </w:tcPr>
          <w:p w14:paraId="5DE40D76" w14:textId="77777777" w:rsidR="00616F19" w:rsidRPr="009B6361" w:rsidRDefault="00616F19" w:rsidP="00616F19">
            <w:pPr>
              <w:pStyle w:val="TableText"/>
              <w:tabs>
                <w:tab w:val="decimal" w:pos="636"/>
              </w:tabs>
              <w:spacing w:before="55" w:after="55"/>
              <w:rPr>
                <w:u w:color="808285"/>
              </w:rPr>
            </w:pPr>
          </w:p>
        </w:tc>
        <w:tc>
          <w:tcPr>
            <w:tcW w:w="1843" w:type="dxa"/>
          </w:tcPr>
          <w:p w14:paraId="4D4F19F3" w14:textId="09CAF2E4" w:rsidR="00616F19" w:rsidRPr="009B6361" w:rsidRDefault="00616F19" w:rsidP="00616F19">
            <w:pPr>
              <w:pStyle w:val="TableText"/>
              <w:spacing w:before="55" w:after="55"/>
              <w:jc w:val="both"/>
              <w:rPr>
                <w:u w:color="808285"/>
              </w:rPr>
            </w:pPr>
            <w:r w:rsidRPr="009B6361">
              <w:rPr>
                <w:u w:color="808285"/>
              </w:rPr>
              <w:t>South Canterbury</w:t>
            </w:r>
          </w:p>
        </w:tc>
        <w:tc>
          <w:tcPr>
            <w:tcW w:w="567" w:type="dxa"/>
          </w:tcPr>
          <w:p w14:paraId="0A7211F0" w14:textId="49D4CDEC" w:rsidR="00616F19" w:rsidRPr="009B6361" w:rsidRDefault="00616F19" w:rsidP="00616F19">
            <w:pPr>
              <w:pStyle w:val="TableText"/>
              <w:tabs>
                <w:tab w:val="decimal" w:pos="368"/>
              </w:tabs>
              <w:spacing w:before="55" w:after="55"/>
              <w:rPr>
                <w:u w:color="808285"/>
              </w:rPr>
            </w:pPr>
            <w:r w:rsidRPr="009B6361">
              <w:rPr>
                <w:u w:color="808285"/>
              </w:rPr>
              <w:t>5</w:t>
            </w:r>
          </w:p>
        </w:tc>
        <w:tc>
          <w:tcPr>
            <w:tcW w:w="568" w:type="dxa"/>
          </w:tcPr>
          <w:p w14:paraId="5AEE21A5" w14:textId="03ECC050" w:rsidR="00616F19" w:rsidRPr="009B6361" w:rsidRDefault="00616F19" w:rsidP="00616F19">
            <w:pPr>
              <w:pStyle w:val="TableText"/>
              <w:tabs>
                <w:tab w:val="decimal" w:pos="368"/>
              </w:tabs>
              <w:spacing w:before="55" w:after="55"/>
              <w:rPr>
                <w:u w:color="808285"/>
              </w:rPr>
            </w:pPr>
            <w:r w:rsidRPr="009B6361">
              <w:rPr>
                <w:u w:color="808285"/>
              </w:rPr>
              <w:t>4</w:t>
            </w:r>
          </w:p>
        </w:tc>
        <w:tc>
          <w:tcPr>
            <w:tcW w:w="709" w:type="dxa"/>
          </w:tcPr>
          <w:p w14:paraId="0F80E9B8" w14:textId="2C9A6DEB" w:rsidR="00616F19" w:rsidRPr="009B6361" w:rsidRDefault="00616F19" w:rsidP="00616F19">
            <w:pPr>
              <w:pStyle w:val="TableText"/>
              <w:tabs>
                <w:tab w:val="decimal" w:pos="454"/>
              </w:tabs>
              <w:spacing w:before="55" w:after="55"/>
              <w:rPr>
                <w:u w:color="808285"/>
              </w:rPr>
            </w:pPr>
            <w:r w:rsidRPr="009B6361">
              <w:rPr>
                <w:u w:color="808285"/>
              </w:rPr>
              <w:t>4</w:t>
            </w:r>
          </w:p>
        </w:tc>
      </w:tr>
      <w:tr w:rsidR="00616F19" w:rsidRPr="009B6361" w14:paraId="1EFC8FFD" w14:textId="5F92E5D9" w:rsidTr="00616F19">
        <w:trPr>
          <w:cantSplit/>
        </w:trPr>
        <w:tc>
          <w:tcPr>
            <w:tcW w:w="1843" w:type="dxa"/>
          </w:tcPr>
          <w:p w14:paraId="5D63EF82" w14:textId="1A80D5C1" w:rsidR="00616F19" w:rsidRPr="009B6361" w:rsidRDefault="00616F19" w:rsidP="00616F19">
            <w:pPr>
              <w:pStyle w:val="TableText"/>
              <w:spacing w:before="55" w:after="55"/>
              <w:rPr>
                <w:u w:color="808285"/>
              </w:rPr>
            </w:pPr>
            <w:r w:rsidRPr="009B6361">
              <w:rPr>
                <w:u w:color="808285"/>
              </w:rPr>
              <w:t>Canterbury</w:t>
            </w:r>
          </w:p>
        </w:tc>
        <w:tc>
          <w:tcPr>
            <w:tcW w:w="638" w:type="dxa"/>
          </w:tcPr>
          <w:p w14:paraId="5DE82990" w14:textId="77777777" w:rsidR="00616F19" w:rsidRPr="009B6361" w:rsidRDefault="00616F19" w:rsidP="00616F19">
            <w:pPr>
              <w:pStyle w:val="TableText"/>
              <w:tabs>
                <w:tab w:val="decimal" w:pos="368"/>
              </w:tabs>
              <w:spacing w:before="55" w:after="55"/>
              <w:rPr>
                <w:u w:color="808285"/>
              </w:rPr>
            </w:pPr>
            <w:r w:rsidRPr="009B6361">
              <w:rPr>
                <w:u w:color="808285"/>
              </w:rPr>
              <w:t>11</w:t>
            </w:r>
          </w:p>
        </w:tc>
        <w:tc>
          <w:tcPr>
            <w:tcW w:w="638" w:type="dxa"/>
          </w:tcPr>
          <w:p w14:paraId="2E8F6343" w14:textId="77777777" w:rsidR="00616F19" w:rsidRPr="009B6361" w:rsidRDefault="00616F19" w:rsidP="00616F19">
            <w:pPr>
              <w:pStyle w:val="TableText"/>
              <w:tabs>
                <w:tab w:val="decimal" w:pos="368"/>
              </w:tabs>
              <w:spacing w:before="55" w:after="55"/>
              <w:rPr>
                <w:u w:color="808285"/>
              </w:rPr>
            </w:pPr>
            <w:r w:rsidRPr="009B6361">
              <w:rPr>
                <w:u w:color="808285"/>
              </w:rPr>
              <w:t>11</w:t>
            </w:r>
          </w:p>
        </w:tc>
        <w:tc>
          <w:tcPr>
            <w:tcW w:w="850" w:type="dxa"/>
          </w:tcPr>
          <w:p w14:paraId="4DDFD509" w14:textId="77777777" w:rsidR="00616F19" w:rsidRPr="009B6361" w:rsidRDefault="00616F19" w:rsidP="00616F19">
            <w:pPr>
              <w:pStyle w:val="TableText"/>
              <w:tabs>
                <w:tab w:val="decimal" w:pos="454"/>
              </w:tabs>
              <w:spacing w:before="55" w:after="55"/>
              <w:rPr>
                <w:u w:color="808285"/>
              </w:rPr>
            </w:pPr>
            <w:r w:rsidRPr="009B6361">
              <w:rPr>
                <w:u w:color="808285"/>
              </w:rPr>
              <w:t>9</w:t>
            </w:r>
          </w:p>
        </w:tc>
        <w:tc>
          <w:tcPr>
            <w:tcW w:w="426" w:type="dxa"/>
            <w:tcBorders>
              <w:top w:val="nil"/>
              <w:bottom w:val="nil"/>
            </w:tcBorders>
            <w:shd w:val="clear" w:color="auto" w:fill="auto"/>
          </w:tcPr>
          <w:p w14:paraId="4ABF78C1" w14:textId="77777777" w:rsidR="00616F19" w:rsidRPr="009B6361" w:rsidRDefault="00616F19" w:rsidP="00616F19">
            <w:pPr>
              <w:pStyle w:val="TableText"/>
              <w:tabs>
                <w:tab w:val="decimal" w:pos="636"/>
              </w:tabs>
              <w:spacing w:before="55" w:after="55"/>
              <w:rPr>
                <w:u w:color="808285"/>
              </w:rPr>
            </w:pPr>
          </w:p>
        </w:tc>
        <w:tc>
          <w:tcPr>
            <w:tcW w:w="1843" w:type="dxa"/>
          </w:tcPr>
          <w:p w14:paraId="0E592626" w14:textId="3B779455" w:rsidR="00616F19" w:rsidRPr="009B6361" w:rsidRDefault="00616F19" w:rsidP="00616F19">
            <w:pPr>
              <w:pStyle w:val="TableText"/>
              <w:spacing w:before="55" w:after="55"/>
              <w:jc w:val="both"/>
              <w:rPr>
                <w:u w:color="808285"/>
              </w:rPr>
            </w:pPr>
            <w:r w:rsidRPr="009B6361">
              <w:rPr>
                <w:u w:color="808285"/>
              </w:rPr>
              <w:t>Southern</w:t>
            </w:r>
          </w:p>
        </w:tc>
        <w:tc>
          <w:tcPr>
            <w:tcW w:w="567" w:type="dxa"/>
          </w:tcPr>
          <w:p w14:paraId="4D5D6FBE" w14:textId="7582510D" w:rsidR="00616F19" w:rsidRPr="009B6361" w:rsidRDefault="00616F19" w:rsidP="00616F19">
            <w:pPr>
              <w:pStyle w:val="TableText"/>
              <w:tabs>
                <w:tab w:val="decimal" w:pos="368"/>
              </w:tabs>
              <w:spacing w:before="55" w:after="55"/>
              <w:rPr>
                <w:u w:color="808285"/>
              </w:rPr>
            </w:pPr>
            <w:r w:rsidRPr="009B6361">
              <w:rPr>
                <w:u w:color="808285"/>
              </w:rPr>
              <w:t>12</w:t>
            </w:r>
          </w:p>
        </w:tc>
        <w:tc>
          <w:tcPr>
            <w:tcW w:w="568" w:type="dxa"/>
          </w:tcPr>
          <w:p w14:paraId="5D823FA1" w14:textId="236C4733" w:rsidR="00616F19" w:rsidRPr="009B6361" w:rsidRDefault="00616F19" w:rsidP="00616F19">
            <w:pPr>
              <w:pStyle w:val="TableText"/>
              <w:tabs>
                <w:tab w:val="decimal" w:pos="368"/>
              </w:tabs>
              <w:spacing w:before="55" w:after="55"/>
              <w:rPr>
                <w:u w:color="808285"/>
              </w:rPr>
            </w:pPr>
            <w:r w:rsidRPr="009B6361">
              <w:rPr>
                <w:u w:color="808285"/>
              </w:rPr>
              <w:t>9</w:t>
            </w:r>
          </w:p>
        </w:tc>
        <w:tc>
          <w:tcPr>
            <w:tcW w:w="709" w:type="dxa"/>
          </w:tcPr>
          <w:p w14:paraId="2188A3E7" w14:textId="0BF44387" w:rsidR="00616F19" w:rsidRPr="009B6361" w:rsidRDefault="00616F19" w:rsidP="00616F19">
            <w:pPr>
              <w:pStyle w:val="TableText"/>
              <w:tabs>
                <w:tab w:val="decimal" w:pos="454"/>
              </w:tabs>
              <w:spacing w:before="55" w:after="55"/>
              <w:rPr>
                <w:u w:color="808285"/>
              </w:rPr>
            </w:pPr>
            <w:r w:rsidRPr="009B6361">
              <w:rPr>
                <w:u w:color="808285"/>
              </w:rPr>
              <w:t>6</w:t>
            </w:r>
          </w:p>
        </w:tc>
      </w:tr>
      <w:tr w:rsidR="00616F19" w:rsidRPr="009B6361" w14:paraId="43082305" w14:textId="1204A83E" w:rsidTr="00616F19">
        <w:trPr>
          <w:cantSplit/>
        </w:trPr>
        <w:tc>
          <w:tcPr>
            <w:tcW w:w="1843" w:type="dxa"/>
          </w:tcPr>
          <w:p w14:paraId="5A2CAEF5" w14:textId="5B951126" w:rsidR="00616F19" w:rsidRPr="009B6361" w:rsidRDefault="00616F19" w:rsidP="00616F19">
            <w:pPr>
              <w:pStyle w:val="TableText"/>
              <w:spacing w:before="55" w:after="55"/>
              <w:rPr>
                <w:u w:color="808285"/>
              </w:rPr>
            </w:pPr>
            <w:r w:rsidRPr="009B6361">
              <w:rPr>
                <w:u w:color="808285"/>
              </w:rPr>
              <w:t>Capital &amp; Coast</w:t>
            </w:r>
          </w:p>
        </w:tc>
        <w:tc>
          <w:tcPr>
            <w:tcW w:w="638" w:type="dxa"/>
          </w:tcPr>
          <w:p w14:paraId="7F40C2DE" w14:textId="77777777" w:rsidR="00616F19" w:rsidRPr="009B6361" w:rsidRDefault="00616F19" w:rsidP="00616F19">
            <w:pPr>
              <w:pStyle w:val="TableText"/>
              <w:tabs>
                <w:tab w:val="decimal" w:pos="368"/>
              </w:tabs>
              <w:spacing w:before="55" w:after="55"/>
              <w:rPr>
                <w:u w:color="808285"/>
              </w:rPr>
            </w:pPr>
            <w:r w:rsidRPr="009B6361">
              <w:rPr>
                <w:u w:color="808285"/>
              </w:rPr>
              <w:t>13</w:t>
            </w:r>
          </w:p>
        </w:tc>
        <w:tc>
          <w:tcPr>
            <w:tcW w:w="638" w:type="dxa"/>
          </w:tcPr>
          <w:p w14:paraId="7280C4FE" w14:textId="77777777" w:rsidR="00616F19" w:rsidRPr="009B6361" w:rsidRDefault="00616F19" w:rsidP="00616F19">
            <w:pPr>
              <w:pStyle w:val="TableText"/>
              <w:tabs>
                <w:tab w:val="decimal" w:pos="368"/>
              </w:tabs>
              <w:spacing w:before="55" w:after="55"/>
              <w:rPr>
                <w:u w:color="808285"/>
              </w:rPr>
            </w:pPr>
            <w:r w:rsidRPr="009B6361">
              <w:rPr>
                <w:u w:color="808285"/>
              </w:rPr>
              <w:t>15</w:t>
            </w:r>
          </w:p>
        </w:tc>
        <w:tc>
          <w:tcPr>
            <w:tcW w:w="850" w:type="dxa"/>
          </w:tcPr>
          <w:p w14:paraId="51123856" w14:textId="77777777" w:rsidR="00616F19" w:rsidRPr="009B6361" w:rsidRDefault="00616F19" w:rsidP="00616F19">
            <w:pPr>
              <w:pStyle w:val="TableText"/>
              <w:tabs>
                <w:tab w:val="decimal" w:pos="454"/>
              </w:tabs>
              <w:spacing w:before="55" w:after="55"/>
              <w:rPr>
                <w:u w:color="808285"/>
              </w:rPr>
            </w:pPr>
            <w:r w:rsidRPr="009B6361">
              <w:rPr>
                <w:u w:color="808285"/>
              </w:rPr>
              <w:t>11</w:t>
            </w:r>
          </w:p>
        </w:tc>
        <w:tc>
          <w:tcPr>
            <w:tcW w:w="426" w:type="dxa"/>
            <w:tcBorders>
              <w:top w:val="nil"/>
              <w:bottom w:val="nil"/>
            </w:tcBorders>
            <w:shd w:val="clear" w:color="auto" w:fill="auto"/>
          </w:tcPr>
          <w:p w14:paraId="42E1F049" w14:textId="77777777" w:rsidR="00616F19" w:rsidRPr="009B6361" w:rsidRDefault="00616F19" w:rsidP="00616F19">
            <w:pPr>
              <w:pStyle w:val="TableText"/>
              <w:tabs>
                <w:tab w:val="decimal" w:pos="636"/>
              </w:tabs>
              <w:spacing w:before="55" w:after="55"/>
              <w:rPr>
                <w:u w:color="808285"/>
              </w:rPr>
            </w:pPr>
          </w:p>
        </w:tc>
        <w:tc>
          <w:tcPr>
            <w:tcW w:w="1843" w:type="dxa"/>
          </w:tcPr>
          <w:p w14:paraId="1A2A6A55" w14:textId="34CF36E9" w:rsidR="00616F19" w:rsidRPr="009B6361" w:rsidRDefault="00616F19" w:rsidP="00616F19">
            <w:pPr>
              <w:pStyle w:val="TableText"/>
              <w:spacing w:before="55" w:after="55"/>
              <w:jc w:val="both"/>
              <w:rPr>
                <w:u w:color="808285"/>
              </w:rPr>
            </w:pPr>
            <w:proofErr w:type="spellStart"/>
            <w:r w:rsidRPr="009B6361">
              <w:rPr>
                <w:u w:color="808285"/>
              </w:rPr>
              <w:t>Tairāwhiti</w:t>
            </w:r>
            <w:proofErr w:type="spellEnd"/>
          </w:p>
        </w:tc>
        <w:tc>
          <w:tcPr>
            <w:tcW w:w="567" w:type="dxa"/>
          </w:tcPr>
          <w:p w14:paraId="2413B353" w14:textId="0C7A4A36" w:rsidR="00616F19" w:rsidRPr="009B6361" w:rsidRDefault="00616F19" w:rsidP="00616F19">
            <w:pPr>
              <w:pStyle w:val="TableText"/>
              <w:tabs>
                <w:tab w:val="decimal" w:pos="368"/>
              </w:tabs>
              <w:spacing w:before="55" w:after="55"/>
              <w:rPr>
                <w:u w:color="808285"/>
              </w:rPr>
            </w:pPr>
            <w:r w:rsidRPr="009B6361">
              <w:rPr>
                <w:u w:color="808285"/>
              </w:rPr>
              <w:t>9</w:t>
            </w:r>
          </w:p>
        </w:tc>
        <w:tc>
          <w:tcPr>
            <w:tcW w:w="568" w:type="dxa"/>
          </w:tcPr>
          <w:p w14:paraId="0BAF5711" w14:textId="4A7DAA9F" w:rsidR="00616F19" w:rsidRPr="009B6361" w:rsidRDefault="00616F19" w:rsidP="00616F19">
            <w:pPr>
              <w:pStyle w:val="TableText"/>
              <w:tabs>
                <w:tab w:val="decimal" w:pos="368"/>
              </w:tabs>
              <w:spacing w:before="55" w:after="55"/>
              <w:rPr>
                <w:u w:color="808285"/>
              </w:rPr>
            </w:pPr>
            <w:r w:rsidRPr="009B6361">
              <w:rPr>
                <w:u w:color="808285"/>
              </w:rPr>
              <w:t>10</w:t>
            </w:r>
          </w:p>
        </w:tc>
        <w:tc>
          <w:tcPr>
            <w:tcW w:w="709" w:type="dxa"/>
          </w:tcPr>
          <w:p w14:paraId="57B70566" w14:textId="520767A8" w:rsidR="00616F19" w:rsidRPr="009B6361" w:rsidRDefault="00616F19" w:rsidP="00616F19">
            <w:pPr>
              <w:pStyle w:val="TableText"/>
              <w:tabs>
                <w:tab w:val="decimal" w:pos="454"/>
              </w:tabs>
              <w:spacing w:before="55" w:after="55"/>
              <w:rPr>
                <w:u w:color="808285"/>
              </w:rPr>
            </w:pPr>
            <w:r w:rsidRPr="009B6361">
              <w:rPr>
                <w:u w:color="808285"/>
              </w:rPr>
              <w:t>7</w:t>
            </w:r>
          </w:p>
        </w:tc>
      </w:tr>
      <w:tr w:rsidR="00616F19" w:rsidRPr="009B6361" w14:paraId="1EE5820C" w14:textId="235700B5" w:rsidTr="00616F19">
        <w:trPr>
          <w:cantSplit/>
        </w:trPr>
        <w:tc>
          <w:tcPr>
            <w:tcW w:w="1843" w:type="dxa"/>
          </w:tcPr>
          <w:p w14:paraId="2A34403F" w14:textId="00BFB5F3" w:rsidR="00616F19" w:rsidRPr="009B6361" w:rsidRDefault="00616F19" w:rsidP="00616F19">
            <w:pPr>
              <w:pStyle w:val="TableText"/>
              <w:spacing w:before="55" w:after="55"/>
              <w:rPr>
                <w:u w:color="808285"/>
              </w:rPr>
            </w:pPr>
            <w:r w:rsidRPr="009B6361">
              <w:rPr>
                <w:u w:color="808285"/>
              </w:rPr>
              <w:t xml:space="preserve">Counties </w:t>
            </w:r>
            <w:proofErr w:type="spellStart"/>
            <w:r w:rsidRPr="009B6361">
              <w:rPr>
                <w:u w:color="808285"/>
              </w:rPr>
              <w:t>Manukau</w:t>
            </w:r>
            <w:proofErr w:type="spellEnd"/>
          </w:p>
        </w:tc>
        <w:tc>
          <w:tcPr>
            <w:tcW w:w="638" w:type="dxa"/>
          </w:tcPr>
          <w:p w14:paraId="31918B07" w14:textId="77777777" w:rsidR="00616F19" w:rsidRPr="009B6361" w:rsidRDefault="00616F19" w:rsidP="00616F19">
            <w:pPr>
              <w:pStyle w:val="TableText"/>
              <w:tabs>
                <w:tab w:val="decimal" w:pos="368"/>
              </w:tabs>
              <w:spacing w:before="55" w:after="55"/>
              <w:rPr>
                <w:u w:color="808285"/>
              </w:rPr>
            </w:pPr>
            <w:r w:rsidRPr="009B6361">
              <w:rPr>
                <w:u w:color="808285"/>
              </w:rPr>
              <w:t>10</w:t>
            </w:r>
          </w:p>
        </w:tc>
        <w:tc>
          <w:tcPr>
            <w:tcW w:w="638" w:type="dxa"/>
          </w:tcPr>
          <w:p w14:paraId="378F52BA" w14:textId="77777777" w:rsidR="00616F19" w:rsidRPr="009B6361" w:rsidRDefault="00616F19" w:rsidP="00616F19">
            <w:pPr>
              <w:pStyle w:val="TableText"/>
              <w:tabs>
                <w:tab w:val="decimal" w:pos="368"/>
              </w:tabs>
              <w:spacing w:before="55" w:after="55"/>
              <w:rPr>
                <w:u w:color="808285"/>
              </w:rPr>
            </w:pPr>
            <w:r w:rsidRPr="009B6361">
              <w:rPr>
                <w:u w:color="808285"/>
              </w:rPr>
              <w:t>12</w:t>
            </w:r>
          </w:p>
        </w:tc>
        <w:tc>
          <w:tcPr>
            <w:tcW w:w="850" w:type="dxa"/>
          </w:tcPr>
          <w:p w14:paraId="1065727B" w14:textId="77777777" w:rsidR="00616F19" w:rsidRPr="009B6361" w:rsidRDefault="00616F19" w:rsidP="00616F19">
            <w:pPr>
              <w:pStyle w:val="TableText"/>
              <w:tabs>
                <w:tab w:val="decimal" w:pos="454"/>
              </w:tabs>
              <w:spacing w:before="55" w:after="55"/>
              <w:rPr>
                <w:u w:color="808285"/>
              </w:rPr>
            </w:pPr>
            <w:r w:rsidRPr="009B6361">
              <w:rPr>
                <w:u w:color="808285"/>
              </w:rPr>
              <w:t>9</w:t>
            </w:r>
          </w:p>
        </w:tc>
        <w:tc>
          <w:tcPr>
            <w:tcW w:w="426" w:type="dxa"/>
            <w:tcBorders>
              <w:top w:val="nil"/>
              <w:bottom w:val="nil"/>
            </w:tcBorders>
            <w:shd w:val="clear" w:color="auto" w:fill="auto"/>
          </w:tcPr>
          <w:p w14:paraId="59A72BBE" w14:textId="77777777" w:rsidR="00616F19" w:rsidRPr="009B6361" w:rsidRDefault="00616F19" w:rsidP="00616F19">
            <w:pPr>
              <w:pStyle w:val="TableText"/>
              <w:tabs>
                <w:tab w:val="decimal" w:pos="636"/>
              </w:tabs>
              <w:spacing w:before="55" w:after="55"/>
              <w:rPr>
                <w:u w:color="808285"/>
              </w:rPr>
            </w:pPr>
          </w:p>
        </w:tc>
        <w:tc>
          <w:tcPr>
            <w:tcW w:w="1843" w:type="dxa"/>
          </w:tcPr>
          <w:p w14:paraId="2CC9503F" w14:textId="01208654" w:rsidR="00616F19" w:rsidRPr="009B6361" w:rsidRDefault="00616F19" w:rsidP="00616F19">
            <w:pPr>
              <w:pStyle w:val="TableText"/>
              <w:spacing w:before="55" w:after="55"/>
              <w:jc w:val="both"/>
              <w:rPr>
                <w:u w:color="808285"/>
              </w:rPr>
            </w:pPr>
            <w:r w:rsidRPr="009B6361">
              <w:rPr>
                <w:u w:color="808285"/>
              </w:rPr>
              <w:t>Taranaki</w:t>
            </w:r>
          </w:p>
        </w:tc>
        <w:tc>
          <w:tcPr>
            <w:tcW w:w="567" w:type="dxa"/>
          </w:tcPr>
          <w:p w14:paraId="1B7BA420" w14:textId="57CE0660" w:rsidR="00616F19" w:rsidRPr="009B6361" w:rsidRDefault="00616F19" w:rsidP="00616F19">
            <w:pPr>
              <w:pStyle w:val="TableText"/>
              <w:tabs>
                <w:tab w:val="decimal" w:pos="368"/>
              </w:tabs>
              <w:spacing w:before="55" w:after="55"/>
              <w:rPr>
                <w:u w:color="808285"/>
              </w:rPr>
            </w:pPr>
            <w:r w:rsidRPr="009B6361">
              <w:rPr>
                <w:u w:color="808285"/>
              </w:rPr>
              <w:t>13</w:t>
            </w:r>
          </w:p>
        </w:tc>
        <w:tc>
          <w:tcPr>
            <w:tcW w:w="568" w:type="dxa"/>
          </w:tcPr>
          <w:p w14:paraId="3D997733" w14:textId="15D7841E" w:rsidR="00616F19" w:rsidRPr="009B6361" w:rsidRDefault="00616F19" w:rsidP="00616F19">
            <w:pPr>
              <w:pStyle w:val="TableText"/>
              <w:tabs>
                <w:tab w:val="decimal" w:pos="368"/>
              </w:tabs>
              <w:spacing w:before="55" w:after="55"/>
              <w:rPr>
                <w:u w:color="808285"/>
              </w:rPr>
            </w:pPr>
            <w:r w:rsidRPr="009B6361">
              <w:rPr>
                <w:u w:color="808285"/>
              </w:rPr>
              <w:t>9</w:t>
            </w:r>
          </w:p>
        </w:tc>
        <w:tc>
          <w:tcPr>
            <w:tcW w:w="709" w:type="dxa"/>
          </w:tcPr>
          <w:p w14:paraId="5BC2F3BF" w14:textId="07F43FC7" w:rsidR="00616F19" w:rsidRPr="009B6361" w:rsidRDefault="00616F19" w:rsidP="00616F19">
            <w:pPr>
              <w:pStyle w:val="TableText"/>
              <w:tabs>
                <w:tab w:val="decimal" w:pos="454"/>
              </w:tabs>
              <w:spacing w:before="55" w:after="55"/>
              <w:rPr>
                <w:u w:color="808285"/>
              </w:rPr>
            </w:pPr>
            <w:r w:rsidRPr="009B6361">
              <w:rPr>
                <w:u w:color="808285"/>
              </w:rPr>
              <w:t>5</w:t>
            </w:r>
          </w:p>
        </w:tc>
      </w:tr>
      <w:tr w:rsidR="00616F19" w:rsidRPr="009B6361" w14:paraId="09BD8A99" w14:textId="610DD7FA" w:rsidTr="00616F19">
        <w:trPr>
          <w:cantSplit/>
        </w:trPr>
        <w:tc>
          <w:tcPr>
            <w:tcW w:w="1843" w:type="dxa"/>
          </w:tcPr>
          <w:p w14:paraId="65BAC406" w14:textId="55B3E845" w:rsidR="00616F19" w:rsidRPr="009B6361" w:rsidRDefault="00616F19" w:rsidP="00616F19">
            <w:pPr>
              <w:pStyle w:val="TableText"/>
              <w:spacing w:before="55" w:after="55"/>
              <w:rPr>
                <w:u w:color="808285"/>
              </w:rPr>
            </w:pPr>
            <w:r w:rsidRPr="009B6361">
              <w:rPr>
                <w:u w:color="808285"/>
              </w:rPr>
              <w:t>Hawke’s Bay</w:t>
            </w:r>
          </w:p>
        </w:tc>
        <w:tc>
          <w:tcPr>
            <w:tcW w:w="638" w:type="dxa"/>
          </w:tcPr>
          <w:p w14:paraId="48FF06D3" w14:textId="77777777" w:rsidR="00616F19" w:rsidRPr="009B6361" w:rsidRDefault="00616F19" w:rsidP="00616F19">
            <w:pPr>
              <w:pStyle w:val="TableText"/>
              <w:tabs>
                <w:tab w:val="decimal" w:pos="368"/>
              </w:tabs>
              <w:spacing w:before="55" w:after="55"/>
              <w:rPr>
                <w:u w:color="808285"/>
              </w:rPr>
            </w:pPr>
            <w:r w:rsidRPr="009B6361">
              <w:rPr>
                <w:u w:color="808285"/>
              </w:rPr>
              <w:t>13</w:t>
            </w:r>
          </w:p>
        </w:tc>
        <w:tc>
          <w:tcPr>
            <w:tcW w:w="638" w:type="dxa"/>
          </w:tcPr>
          <w:p w14:paraId="7AB5B506" w14:textId="77777777" w:rsidR="00616F19" w:rsidRPr="009B6361" w:rsidRDefault="00616F19" w:rsidP="00616F19">
            <w:pPr>
              <w:pStyle w:val="TableText"/>
              <w:tabs>
                <w:tab w:val="decimal" w:pos="368"/>
              </w:tabs>
              <w:spacing w:before="55" w:after="55"/>
              <w:rPr>
                <w:u w:color="808285"/>
              </w:rPr>
            </w:pPr>
            <w:r w:rsidRPr="009B6361">
              <w:rPr>
                <w:u w:color="808285"/>
              </w:rPr>
              <w:t>10</w:t>
            </w:r>
          </w:p>
        </w:tc>
        <w:tc>
          <w:tcPr>
            <w:tcW w:w="850" w:type="dxa"/>
          </w:tcPr>
          <w:p w14:paraId="27EEA85C" w14:textId="77777777" w:rsidR="00616F19" w:rsidRPr="009B6361" w:rsidRDefault="00616F19" w:rsidP="00616F19">
            <w:pPr>
              <w:pStyle w:val="TableText"/>
              <w:tabs>
                <w:tab w:val="decimal" w:pos="454"/>
              </w:tabs>
              <w:spacing w:before="55" w:after="55"/>
              <w:rPr>
                <w:u w:color="808285"/>
              </w:rPr>
            </w:pPr>
            <w:r w:rsidRPr="009B6361">
              <w:rPr>
                <w:u w:color="808285"/>
              </w:rPr>
              <w:t>7</w:t>
            </w:r>
          </w:p>
        </w:tc>
        <w:tc>
          <w:tcPr>
            <w:tcW w:w="426" w:type="dxa"/>
            <w:tcBorders>
              <w:top w:val="nil"/>
              <w:bottom w:val="nil"/>
            </w:tcBorders>
            <w:shd w:val="clear" w:color="auto" w:fill="auto"/>
          </w:tcPr>
          <w:p w14:paraId="01F19F37" w14:textId="77777777" w:rsidR="00616F19" w:rsidRPr="009B6361" w:rsidRDefault="00616F19" w:rsidP="00616F19">
            <w:pPr>
              <w:pStyle w:val="TableText"/>
              <w:tabs>
                <w:tab w:val="decimal" w:pos="636"/>
              </w:tabs>
              <w:spacing w:before="55" w:after="55"/>
              <w:rPr>
                <w:u w:color="808285"/>
              </w:rPr>
            </w:pPr>
          </w:p>
        </w:tc>
        <w:tc>
          <w:tcPr>
            <w:tcW w:w="1843" w:type="dxa"/>
          </w:tcPr>
          <w:p w14:paraId="3B1E2617" w14:textId="403F76B5" w:rsidR="00616F19" w:rsidRPr="009B6361" w:rsidRDefault="00616F19" w:rsidP="00616F19">
            <w:pPr>
              <w:pStyle w:val="TableText"/>
              <w:spacing w:before="55" w:after="55"/>
              <w:jc w:val="both"/>
              <w:rPr>
                <w:u w:color="808285"/>
              </w:rPr>
            </w:pPr>
            <w:r w:rsidRPr="009B6361">
              <w:rPr>
                <w:u w:color="808285"/>
              </w:rPr>
              <w:t>Waikato</w:t>
            </w:r>
          </w:p>
        </w:tc>
        <w:tc>
          <w:tcPr>
            <w:tcW w:w="567" w:type="dxa"/>
          </w:tcPr>
          <w:p w14:paraId="4544B1E3" w14:textId="5DB9C72F" w:rsidR="00616F19" w:rsidRPr="009B6361" w:rsidRDefault="00616F19" w:rsidP="00616F19">
            <w:pPr>
              <w:pStyle w:val="TableText"/>
              <w:tabs>
                <w:tab w:val="decimal" w:pos="368"/>
              </w:tabs>
              <w:spacing w:before="55" w:after="55"/>
              <w:rPr>
                <w:u w:color="808285"/>
              </w:rPr>
            </w:pPr>
            <w:r w:rsidRPr="009B6361">
              <w:rPr>
                <w:u w:color="808285"/>
              </w:rPr>
              <w:t>18</w:t>
            </w:r>
          </w:p>
        </w:tc>
        <w:tc>
          <w:tcPr>
            <w:tcW w:w="568" w:type="dxa"/>
          </w:tcPr>
          <w:p w14:paraId="701E56DE" w14:textId="3B1B3037" w:rsidR="00616F19" w:rsidRPr="009B6361" w:rsidRDefault="00616F19" w:rsidP="00616F19">
            <w:pPr>
              <w:pStyle w:val="TableText"/>
              <w:tabs>
                <w:tab w:val="decimal" w:pos="368"/>
              </w:tabs>
              <w:spacing w:before="55" w:after="55"/>
              <w:rPr>
                <w:u w:color="808285"/>
              </w:rPr>
            </w:pPr>
            <w:r w:rsidRPr="009B6361">
              <w:rPr>
                <w:u w:color="808285"/>
              </w:rPr>
              <w:t>17</w:t>
            </w:r>
          </w:p>
        </w:tc>
        <w:tc>
          <w:tcPr>
            <w:tcW w:w="709" w:type="dxa"/>
          </w:tcPr>
          <w:p w14:paraId="6B2379BE" w14:textId="1D15752A" w:rsidR="00616F19" w:rsidRPr="009B6361" w:rsidRDefault="00616F19" w:rsidP="00616F19">
            <w:pPr>
              <w:pStyle w:val="TableText"/>
              <w:tabs>
                <w:tab w:val="decimal" w:pos="454"/>
              </w:tabs>
              <w:spacing w:before="55" w:after="55"/>
              <w:rPr>
                <w:u w:color="808285"/>
              </w:rPr>
            </w:pPr>
            <w:r w:rsidRPr="009B6361">
              <w:rPr>
                <w:u w:color="808285"/>
              </w:rPr>
              <w:t>11</w:t>
            </w:r>
          </w:p>
        </w:tc>
      </w:tr>
      <w:tr w:rsidR="00616F19" w:rsidRPr="009B6361" w14:paraId="4818C2D3" w14:textId="4B026BC1" w:rsidTr="00616F19">
        <w:trPr>
          <w:cantSplit/>
        </w:trPr>
        <w:tc>
          <w:tcPr>
            <w:tcW w:w="1843" w:type="dxa"/>
          </w:tcPr>
          <w:p w14:paraId="477AB366" w14:textId="71E2735C" w:rsidR="00616F19" w:rsidRPr="009B6361" w:rsidRDefault="00616F19" w:rsidP="00616F19">
            <w:pPr>
              <w:pStyle w:val="TableText"/>
              <w:spacing w:before="55" w:after="55"/>
              <w:rPr>
                <w:u w:color="808285"/>
              </w:rPr>
            </w:pPr>
            <w:r w:rsidRPr="009B6361">
              <w:rPr>
                <w:u w:color="808285"/>
              </w:rPr>
              <w:t>Hutt Valley</w:t>
            </w:r>
          </w:p>
        </w:tc>
        <w:tc>
          <w:tcPr>
            <w:tcW w:w="638" w:type="dxa"/>
          </w:tcPr>
          <w:p w14:paraId="49412326" w14:textId="77777777" w:rsidR="00616F19" w:rsidRPr="009B6361" w:rsidRDefault="00616F19" w:rsidP="00616F19">
            <w:pPr>
              <w:pStyle w:val="TableText"/>
              <w:tabs>
                <w:tab w:val="decimal" w:pos="368"/>
              </w:tabs>
              <w:spacing w:before="55" w:after="55"/>
              <w:rPr>
                <w:u w:color="808285"/>
              </w:rPr>
            </w:pPr>
            <w:r w:rsidRPr="009B6361">
              <w:rPr>
                <w:u w:color="808285"/>
              </w:rPr>
              <w:t>17</w:t>
            </w:r>
          </w:p>
        </w:tc>
        <w:tc>
          <w:tcPr>
            <w:tcW w:w="638" w:type="dxa"/>
          </w:tcPr>
          <w:p w14:paraId="62EE5380" w14:textId="77777777" w:rsidR="00616F19" w:rsidRPr="009B6361" w:rsidRDefault="00616F19" w:rsidP="00616F19">
            <w:pPr>
              <w:pStyle w:val="TableText"/>
              <w:tabs>
                <w:tab w:val="decimal" w:pos="368"/>
              </w:tabs>
              <w:spacing w:before="55" w:after="55"/>
              <w:rPr>
                <w:u w:color="808285"/>
              </w:rPr>
            </w:pPr>
            <w:r w:rsidRPr="009B6361">
              <w:rPr>
                <w:u w:color="808285"/>
              </w:rPr>
              <w:t>14</w:t>
            </w:r>
          </w:p>
        </w:tc>
        <w:tc>
          <w:tcPr>
            <w:tcW w:w="850" w:type="dxa"/>
          </w:tcPr>
          <w:p w14:paraId="6C064883" w14:textId="77777777" w:rsidR="00616F19" w:rsidRPr="009B6361" w:rsidRDefault="00616F19" w:rsidP="00616F19">
            <w:pPr>
              <w:pStyle w:val="TableText"/>
              <w:tabs>
                <w:tab w:val="decimal" w:pos="454"/>
              </w:tabs>
              <w:spacing w:before="55" w:after="55"/>
              <w:rPr>
                <w:u w:color="808285"/>
              </w:rPr>
            </w:pPr>
            <w:r w:rsidRPr="009B6361">
              <w:rPr>
                <w:u w:color="808285"/>
              </w:rPr>
              <w:t>7</w:t>
            </w:r>
          </w:p>
        </w:tc>
        <w:tc>
          <w:tcPr>
            <w:tcW w:w="426" w:type="dxa"/>
            <w:tcBorders>
              <w:top w:val="nil"/>
              <w:bottom w:val="nil"/>
            </w:tcBorders>
            <w:shd w:val="clear" w:color="auto" w:fill="auto"/>
          </w:tcPr>
          <w:p w14:paraId="1936AB8F" w14:textId="77777777" w:rsidR="00616F19" w:rsidRPr="009B6361" w:rsidRDefault="00616F19" w:rsidP="00616F19">
            <w:pPr>
              <w:pStyle w:val="TableText"/>
              <w:tabs>
                <w:tab w:val="decimal" w:pos="636"/>
              </w:tabs>
              <w:spacing w:before="55" w:after="55"/>
              <w:rPr>
                <w:u w:color="808285"/>
              </w:rPr>
            </w:pPr>
          </w:p>
        </w:tc>
        <w:tc>
          <w:tcPr>
            <w:tcW w:w="1843" w:type="dxa"/>
          </w:tcPr>
          <w:p w14:paraId="5E476CC5" w14:textId="5B3C9529" w:rsidR="00616F19" w:rsidRPr="009B6361" w:rsidRDefault="00616F19" w:rsidP="00616F19">
            <w:pPr>
              <w:pStyle w:val="TableText"/>
              <w:spacing w:before="55" w:after="55"/>
              <w:jc w:val="both"/>
              <w:rPr>
                <w:u w:color="808285"/>
              </w:rPr>
            </w:pPr>
            <w:proofErr w:type="spellStart"/>
            <w:r w:rsidRPr="009B6361">
              <w:rPr>
                <w:u w:color="808285"/>
              </w:rPr>
              <w:t>Wairarapa</w:t>
            </w:r>
            <w:proofErr w:type="spellEnd"/>
          </w:p>
        </w:tc>
        <w:tc>
          <w:tcPr>
            <w:tcW w:w="567" w:type="dxa"/>
          </w:tcPr>
          <w:p w14:paraId="1A1F1075" w14:textId="3E333BFB" w:rsidR="00616F19" w:rsidRPr="009B6361" w:rsidRDefault="00616F19" w:rsidP="00616F19">
            <w:pPr>
              <w:pStyle w:val="TableText"/>
              <w:tabs>
                <w:tab w:val="decimal" w:pos="368"/>
              </w:tabs>
              <w:spacing w:before="55" w:after="55"/>
              <w:rPr>
                <w:u w:color="808285"/>
              </w:rPr>
            </w:pPr>
            <w:r w:rsidRPr="009B6361">
              <w:rPr>
                <w:u w:color="808285"/>
              </w:rPr>
              <w:t>7</w:t>
            </w:r>
          </w:p>
        </w:tc>
        <w:tc>
          <w:tcPr>
            <w:tcW w:w="568" w:type="dxa"/>
          </w:tcPr>
          <w:p w14:paraId="70A8B3D6" w14:textId="4E90F036" w:rsidR="00616F19" w:rsidRPr="009B6361" w:rsidRDefault="00616F19" w:rsidP="00616F19">
            <w:pPr>
              <w:pStyle w:val="TableText"/>
              <w:tabs>
                <w:tab w:val="decimal" w:pos="368"/>
              </w:tabs>
              <w:spacing w:before="55" w:after="55"/>
              <w:rPr>
                <w:u w:color="808285"/>
              </w:rPr>
            </w:pPr>
            <w:r w:rsidRPr="009B6361">
              <w:rPr>
                <w:u w:color="808285"/>
              </w:rPr>
              <w:t>3</w:t>
            </w:r>
          </w:p>
        </w:tc>
        <w:tc>
          <w:tcPr>
            <w:tcW w:w="709" w:type="dxa"/>
          </w:tcPr>
          <w:p w14:paraId="36EC9D03" w14:textId="295C3444" w:rsidR="00616F19" w:rsidRPr="009B6361" w:rsidRDefault="00616F19" w:rsidP="00616F19">
            <w:pPr>
              <w:pStyle w:val="TableText"/>
              <w:tabs>
                <w:tab w:val="decimal" w:pos="454"/>
              </w:tabs>
              <w:spacing w:before="55" w:after="55"/>
              <w:rPr>
                <w:u w:color="808285"/>
              </w:rPr>
            </w:pPr>
            <w:r w:rsidRPr="009B6361">
              <w:rPr>
                <w:u w:color="808285"/>
              </w:rPr>
              <w:t>6</w:t>
            </w:r>
          </w:p>
        </w:tc>
      </w:tr>
      <w:tr w:rsidR="00616F19" w:rsidRPr="009B6361" w14:paraId="20220E29" w14:textId="2E504406" w:rsidTr="00616F19">
        <w:trPr>
          <w:cantSplit/>
        </w:trPr>
        <w:tc>
          <w:tcPr>
            <w:tcW w:w="1843" w:type="dxa"/>
          </w:tcPr>
          <w:p w14:paraId="78F6EE98" w14:textId="177082FD" w:rsidR="00616F19" w:rsidRPr="009B6361" w:rsidRDefault="00616F19" w:rsidP="00616F19">
            <w:pPr>
              <w:pStyle w:val="TableText"/>
              <w:spacing w:before="55" w:after="55"/>
              <w:rPr>
                <w:u w:color="808285"/>
              </w:rPr>
            </w:pPr>
            <w:r w:rsidRPr="009B6361">
              <w:rPr>
                <w:u w:color="808285"/>
              </w:rPr>
              <w:t>Lakes</w:t>
            </w:r>
          </w:p>
        </w:tc>
        <w:tc>
          <w:tcPr>
            <w:tcW w:w="638" w:type="dxa"/>
          </w:tcPr>
          <w:p w14:paraId="342C242C" w14:textId="77777777" w:rsidR="00616F19" w:rsidRPr="009B6361" w:rsidRDefault="00616F19" w:rsidP="00616F19">
            <w:pPr>
              <w:pStyle w:val="TableText"/>
              <w:tabs>
                <w:tab w:val="decimal" w:pos="368"/>
              </w:tabs>
              <w:spacing w:before="55" w:after="55"/>
              <w:rPr>
                <w:u w:color="808285"/>
              </w:rPr>
            </w:pPr>
            <w:r w:rsidRPr="009B6361">
              <w:rPr>
                <w:u w:color="808285"/>
              </w:rPr>
              <w:t>11</w:t>
            </w:r>
          </w:p>
        </w:tc>
        <w:tc>
          <w:tcPr>
            <w:tcW w:w="638" w:type="dxa"/>
          </w:tcPr>
          <w:p w14:paraId="1C7475A4" w14:textId="77777777" w:rsidR="00616F19" w:rsidRPr="009B6361" w:rsidRDefault="00616F19" w:rsidP="00616F19">
            <w:pPr>
              <w:pStyle w:val="TableText"/>
              <w:tabs>
                <w:tab w:val="decimal" w:pos="368"/>
              </w:tabs>
              <w:spacing w:before="55" w:after="55"/>
              <w:rPr>
                <w:u w:color="808285"/>
              </w:rPr>
            </w:pPr>
            <w:r w:rsidRPr="009B6361">
              <w:rPr>
                <w:u w:color="808285"/>
              </w:rPr>
              <w:t>9</w:t>
            </w:r>
          </w:p>
        </w:tc>
        <w:tc>
          <w:tcPr>
            <w:tcW w:w="850" w:type="dxa"/>
          </w:tcPr>
          <w:p w14:paraId="3AD1DD42" w14:textId="77777777" w:rsidR="00616F19" w:rsidRPr="009B6361" w:rsidRDefault="00616F19" w:rsidP="00616F19">
            <w:pPr>
              <w:pStyle w:val="TableText"/>
              <w:tabs>
                <w:tab w:val="decimal" w:pos="454"/>
              </w:tabs>
              <w:spacing w:before="55" w:after="55"/>
              <w:rPr>
                <w:u w:color="808285"/>
              </w:rPr>
            </w:pPr>
            <w:r w:rsidRPr="009B6361">
              <w:rPr>
                <w:u w:color="808285"/>
              </w:rPr>
              <w:t>5</w:t>
            </w:r>
          </w:p>
        </w:tc>
        <w:tc>
          <w:tcPr>
            <w:tcW w:w="426" w:type="dxa"/>
            <w:tcBorders>
              <w:top w:val="nil"/>
              <w:bottom w:val="nil"/>
            </w:tcBorders>
            <w:shd w:val="clear" w:color="auto" w:fill="auto"/>
          </w:tcPr>
          <w:p w14:paraId="4543BF61" w14:textId="77777777" w:rsidR="00616F19" w:rsidRPr="009B6361" w:rsidRDefault="00616F19" w:rsidP="00616F19">
            <w:pPr>
              <w:pStyle w:val="TableText"/>
              <w:tabs>
                <w:tab w:val="decimal" w:pos="636"/>
              </w:tabs>
              <w:spacing w:before="55" w:after="55"/>
              <w:rPr>
                <w:u w:color="808285"/>
              </w:rPr>
            </w:pPr>
          </w:p>
        </w:tc>
        <w:tc>
          <w:tcPr>
            <w:tcW w:w="1843" w:type="dxa"/>
          </w:tcPr>
          <w:p w14:paraId="1C2ACB43" w14:textId="514DD6B7" w:rsidR="00616F19" w:rsidRPr="009B6361" w:rsidRDefault="00616F19" w:rsidP="00616F19">
            <w:pPr>
              <w:pStyle w:val="TableText"/>
              <w:spacing w:before="55" w:after="55"/>
              <w:jc w:val="both"/>
              <w:rPr>
                <w:u w:color="808285"/>
              </w:rPr>
            </w:pPr>
            <w:proofErr w:type="spellStart"/>
            <w:r w:rsidRPr="009B6361">
              <w:rPr>
                <w:u w:color="808285"/>
              </w:rPr>
              <w:t>Waitemata</w:t>
            </w:r>
            <w:proofErr w:type="spellEnd"/>
          </w:p>
        </w:tc>
        <w:tc>
          <w:tcPr>
            <w:tcW w:w="567" w:type="dxa"/>
          </w:tcPr>
          <w:p w14:paraId="54821E14" w14:textId="3233054B" w:rsidR="00616F19" w:rsidRPr="009B6361" w:rsidRDefault="00616F19" w:rsidP="00616F19">
            <w:pPr>
              <w:pStyle w:val="TableText"/>
              <w:tabs>
                <w:tab w:val="decimal" w:pos="368"/>
              </w:tabs>
              <w:spacing w:before="55" w:after="55"/>
              <w:rPr>
                <w:u w:color="808285"/>
              </w:rPr>
            </w:pPr>
            <w:r w:rsidRPr="009B6361">
              <w:rPr>
                <w:u w:color="808285"/>
              </w:rPr>
              <w:t>10</w:t>
            </w:r>
          </w:p>
        </w:tc>
        <w:tc>
          <w:tcPr>
            <w:tcW w:w="568" w:type="dxa"/>
          </w:tcPr>
          <w:p w14:paraId="3659089E" w14:textId="6A5EEDC7" w:rsidR="00616F19" w:rsidRPr="009B6361" w:rsidRDefault="00616F19" w:rsidP="00616F19">
            <w:pPr>
              <w:pStyle w:val="TableText"/>
              <w:tabs>
                <w:tab w:val="decimal" w:pos="368"/>
              </w:tabs>
              <w:spacing w:before="55" w:after="55"/>
              <w:rPr>
                <w:u w:color="808285"/>
              </w:rPr>
            </w:pPr>
            <w:r w:rsidRPr="009B6361">
              <w:rPr>
                <w:u w:color="808285"/>
              </w:rPr>
              <w:t>11</w:t>
            </w:r>
          </w:p>
        </w:tc>
        <w:tc>
          <w:tcPr>
            <w:tcW w:w="709" w:type="dxa"/>
          </w:tcPr>
          <w:p w14:paraId="584E5C0A" w14:textId="56D4DBD6" w:rsidR="00616F19" w:rsidRPr="009B6361" w:rsidRDefault="00616F19" w:rsidP="00616F19">
            <w:pPr>
              <w:pStyle w:val="TableText"/>
              <w:tabs>
                <w:tab w:val="decimal" w:pos="454"/>
              </w:tabs>
              <w:spacing w:before="55" w:after="55"/>
              <w:rPr>
                <w:u w:color="808285"/>
              </w:rPr>
            </w:pPr>
            <w:r w:rsidRPr="009B6361">
              <w:rPr>
                <w:u w:color="808285"/>
              </w:rPr>
              <w:t>9</w:t>
            </w:r>
          </w:p>
        </w:tc>
      </w:tr>
      <w:tr w:rsidR="00616F19" w:rsidRPr="009B6361" w14:paraId="04115D54" w14:textId="512DDEDF" w:rsidTr="00616F19">
        <w:trPr>
          <w:cantSplit/>
        </w:trPr>
        <w:tc>
          <w:tcPr>
            <w:tcW w:w="1843" w:type="dxa"/>
          </w:tcPr>
          <w:p w14:paraId="558604EC" w14:textId="525DF369" w:rsidR="00616F19" w:rsidRPr="009B6361" w:rsidRDefault="00616F19" w:rsidP="00616F19">
            <w:pPr>
              <w:pStyle w:val="TableText"/>
              <w:spacing w:before="55" w:after="55"/>
              <w:rPr>
                <w:u w:color="808285"/>
              </w:rPr>
            </w:pPr>
            <w:proofErr w:type="spellStart"/>
            <w:r w:rsidRPr="009B6361">
              <w:rPr>
                <w:u w:color="808285"/>
              </w:rPr>
              <w:t>MidCentral</w:t>
            </w:r>
            <w:proofErr w:type="spellEnd"/>
          </w:p>
        </w:tc>
        <w:tc>
          <w:tcPr>
            <w:tcW w:w="638" w:type="dxa"/>
          </w:tcPr>
          <w:p w14:paraId="1177BD42" w14:textId="77777777" w:rsidR="00616F19" w:rsidRPr="009B6361" w:rsidRDefault="00616F19" w:rsidP="00616F19">
            <w:pPr>
              <w:pStyle w:val="TableText"/>
              <w:tabs>
                <w:tab w:val="decimal" w:pos="368"/>
              </w:tabs>
              <w:spacing w:before="55" w:after="55"/>
              <w:rPr>
                <w:u w:color="808285"/>
              </w:rPr>
            </w:pPr>
            <w:r w:rsidRPr="009B6361">
              <w:rPr>
                <w:u w:color="808285"/>
              </w:rPr>
              <w:t>15</w:t>
            </w:r>
          </w:p>
        </w:tc>
        <w:tc>
          <w:tcPr>
            <w:tcW w:w="638" w:type="dxa"/>
          </w:tcPr>
          <w:p w14:paraId="39A4598E" w14:textId="77777777" w:rsidR="00616F19" w:rsidRPr="009B6361" w:rsidRDefault="00616F19" w:rsidP="00616F19">
            <w:pPr>
              <w:pStyle w:val="TableText"/>
              <w:tabs>
                <w:tab w:val="decimal" w:pos="368"/>
              </w:tabs>
              <w:spacing w:before="55" w:after="55"/>
              <w:rPr>
                <w:u w:color="808285"/>
              </w:rPr>
            </w:pPr>
            <w:r w:rsidRPr="009B6361">
              <w:rPr>
                <w:u w:color="808285"/>
              </w:rPr>
              <w:t>13</w:t>
            </w:r>
          </w:p>
        </w:tc>
        <w:tc>
          <w:tcPr>
            <w:tcW w:w="850" w:type="dxa"/>
          </w:tcPr>
          <w:p w14:paraId="710C687C" w14:textId="77777777" w:rsidR="00616F19" w:rsidRPr="009B6361" w:rsidRDefault="00616F19" w:rsidP="00616F19">
            <w:pPr>
              <w:pStyle w:val="TableText"/>
              <w:tabs>
                <w:tab w:val="decimal" w:pos="454"/>
              </w:tabs>
              <w:spacing w:before="55" w:after="55"/>
              <w:rPr>
                <w:u w:color="808285"/>
              </w:rPr>
            </w:pPr>
            <w:r w:rsidRPr="009B6361">
              <w:rPr>
                <w:u w:color="808285"/>
              </w:rPr>
              <w:t>13</w:t>
            </w:r>
          </w:p>
        </w:tc>
        <w:tc>
          <w:tcPr>
            <w:tcW w:w="426" w:type="dxa"/>
            <w:tcBorders>
              <w:top w:val="nil"/>
              <w:bottom w:val="nil"/>
            </w:tcBorders>
            <w:shd w:val="clear" w:color="auto" w:fill="auto"/>
          </w:tcPr>
          <w:p w14:paraId="6E69C218" w14:textId="77777777" w:rsidR="00616F19" w:rsidRPr="009B6361" w:rsidRDefault="00616F19" w:rsidP="00616F19">
            <w:pPr>
              <w:pStyle w:val="TableText"/>
              <w:tabs>
                <w:tab w:val="decimal" w:pos="636"/>
              </w:tabs>
              <w:spacing w:before="55" w:after="55"/>
              <w:rPr>
                <w:u w:color="808285"/>
              </w:rPr>
            </w:pPr>
          </w:p>
        </w:tc>
        <w:tc>
          <w:tcPr>
            <w:tcW w:w="1843" w:type="dxa"/>
          </w:tcPr>
          <w:p w14:paraId="7D96285A" w14:textId="3F0273D7" w:rsidR="00616F19" w:rsidRPr="009B6361" w:rsidRDefault="00616F19" w:rsidP="00616F19">
            <w:pPr>
              <w:pStyle w:val="TableText"/>
              <w:spacing w:before="55" w:after="55"/>
              <w:jc w:val="both"/>
              <w:rPr>
                <w:u w:color="808285"/>
              </w:rPr>
            </w:pPr>
            <w:r w:rsidRPr="009B6361">
              <w:rPr>
                <w:u w:color="808285"/>
              </w:rPr>
              <w:t>West Coast</w:t>
            </w:r>
          </w:p>
        </w:tc>
        <w:tc>
          <w:tcPr>
            <w:tcW w:w="567" w:type="dxa"/>
          </w:tcPr>
          <w:p w14:paraId="15ABC83E" w14:textId="5C22C370" w:rsidR="00616F19" w:rsidRPr="009B6361" w:rsidRDefault="00616F19" w:rsidP="00616F19">
            <w:pPr>
              <w:pStyle w:val="TableText"/>
              <w:tabs>
                <w:tab w:val="decimal" w:pos="368"/>
              </w:tabs>
              <w:spacing w:before="55" w:after="55"/>
              <w:rPr>
                <w:u w:color="808285"/>
              </w:rPr>
            </w:pPr>
            <w:r w:rsidRPr="009B6361">
              <w:rPr>
                <w:u w:color="808285"/>
              </w:rPr>
              <w:t>13</w:t>
            </w:r>
          </w:p>
        </w:tc>
        <w:tc>
          <w:tcPr>
            <w:tcW w:w="568" w:type="dxa"/>
          </w:tcPr>
          <w:p w14:paraId="3EFB4DF3" w14:textId="3CB092B4" w:rsidR="00616F19" w:rsidRPr="009B6361" w:rsidRDefault="00616F19" w:rsidP="00616F19">
            <w:pPr>
              <w:pStyle w:val="TableText"/>
              <w:tabs>
                <w:tab w:val="decimal" w:pos="368"/>
              </w:tabs>
              <w:spacing w:before="55" w:after="55"/>
              <w:rPr>
                <w:u w:color="808285"/>
              </w:rPr>
            </w:pPr>
            <w:r w:rsidRPr="009B6361">
              <w:rPr>
                <w:u w:color="808285"/>
              </w:rPr>
              <w:t>12</w:t>
            </w:r>
          </w:p>
        </w:tc>
        <w:tc>
          <w:tcPr>
            <w:tcW w:w="709" w:type="dxa"/>
          </w:tcPr>
          <w:p w14:paraId="67CBF8C9" w14:textId="5CF8D643" w:rsidR="00616F19" w:rsidRPr="009B6361" w:rsidRDefault="00616F19" w:rsidP="00616F19">
            <w:pPr>
              <w:pStyle w:val="TableText"/>
              <w:tabs>
                <w:tab w:val="decimal" w:pos="454"/>
              </w:tabs>
              <w:spacing w:before="55" w:after="55"/>
              <w:rPr>
                <w:u w:color="808285"/>
              </w:rPr>
            </w:pPr>
            <w:r w:rsidRPr="009B6361">
              <w:rPr>
                <w:u w:color="808285"/>
              </w:rPr>
              <w:t>6</w:t>
            </w:r>
          </w:p>
        </w:tc>
      </w:tr>
      <w:tr w:rsidR="00616F19" w:rsidRPr="009B6361" w14:paraId="4BD08C29" w14:textId="171426D1" w:rsidTr="00616F19">
        <w:trPr>
          <w:cantSplit/>
        </w:trPr>
        <w:tc>
          <w:tcPr>
            <w:tcW w:w="1843" w:type="dxa"/>
            <w:tcBorders>
              <w:bottom w:val="single" w:sz="4" w:space="0" w:color="A6A6A6" w:themeColor="background1" w:themeShade="A6"/>
            </w:tcBorders>
          </w:tcPr>
          <w:p w14:paraId="293611CB" w14:textId="794FD244" w:rsidR="00616F19" w:rsidRPr="009B6361" w:rsidRDefault="00616F19" w:rsidP="00616F19">
            <w:pPr>
              <w:pStyle w:val="TableText"/>
              <w:spacing w:before="55" w:after="55"/>
              <w:rPr>
                <w:u w:color="808285"/>
              </w:rPr>
            </w:pPr>
            <w:r w:rsidRPr="009B6361">
              <w:rPr>
                <w:u w:color="808285"/>
              </w:rPr>
              <w:t>Nelson Marlborough</w:t>
            </w:r>
          </w:p>
        </w:tc>
        <w:tc>
          <w:tcPr>
            <w:tcW w:w="638" w:type="dxa"/>
            <w:tcBorders>
              <w:bottom w:val="single" w:sz="4" w:space="0" w:color="A6A6A6" w:themeColor="background1" w:themeShade="A6"/>
            </w:tcBorders>
          </w:tcPr>
          <w:p w14:paraId="1A556E04" w14:textId="77777777" w:rsidR="00616F19" w:rsidRPr="009B6361" w:rsidRDefault="00616F19" w:rsidP="00616F19">
            <w:pPr>
              <w:pStyle w:val="TableText"/>
              <w:tabs>
                <w:tab w:val="decimal" w:pos="368"/>
              </w:tabs>
              <w:spacing w:before="55" w:after="55"/>
              <w:rPr>
                <w:u w:color="808285"/>
              </w:rPr>
            </w:pPr>
            <w:r w:rsidRPr="009B6361">
              <w:rPr>
                <w:u w:color="808285"/>
              </w:rPr>
              <w:t>9</w:t>
            </w:r>
          </w:p>
        </w:tc>
        <w:tc>
          <w:tcPr>
            <w:tcW w:w="638" w:type="dxa"/>
            <w:tcBorders>
              <w:bottom w:val="single" w:sz="4" w:space="0" w:color="A6A6A6" w:themeColor="background1" w:themeShade="A6"/>
            </w:tcBorders>
          </w:tcPr>
          <w:p w14:paraId="5A6A5E0D" w14:textId="77777777" w:rsidR="00616F19" w:rsidRPr="009B6361" w:rsidRDefault="00616F19" w:rsidP="00616F19">
            <w:pPr>
              <w:pStyle w:val="TableText"/>
              <w:tabs>
                <w:tab w:val="decimal" w:pos="368"/>
              </w:tabs>
              <w:spacing w:before="55" w:after="55"/>
              <w:rPr>
                <w:u w:color="808285"/>
              </w:rPr>
            </w:pPr>
            <w:r w:rsidRPr="009B6361">
              <w:rPr>
                <w:u w:color="808285"/>
              </w:rPr>
              <w:t>9</w:t>
            </w:r>
          </w:p>
        </w:tc>
        <w:tc>
          <w:tcPr>
            <w:tcW w:w="850" w:type="dxa"/>
            <w:tcBorders>
              <w:bottom w:val="single" w:sz="4" w:space="0" w:color="A6A6A6" w:themeColor="background1" w:themeShade="A6"/>
            </w:tcBorders>
          </w:tcPr>
          <w:p w14:paraId="3DA70751" w14:textId="77777777" w:rsidR="00616F19" w:rsidRPr="009B6361" w:rsidRDefault="00616F19" w:rsidP="00616F19">
            <w:pPr>
              <w:pStyle w:val="TableText"/>
              <w:tabs>
                <w:tab w:val="decimal" w:pos="454"/>
              </w:tabs>
              <w:spacing w:before="55" w:after="55"/>
              <w:rPr>
                <w:u w:color="808285"/>
              </w:rPr>
            </w:pPr>
            <w:r w:rsidRPr="009B6361">
              <w:rPr>
                <w:u w:color="808285"/>
              </w:rPr>
              <w:t>13</w:t>
            </w:r>
          </w:p>
        </w:tc>
        <w:tc>
          <w:tcPr>
            <w:tcW w:w="426" w:type="dxa"/>
            <w:tcBorders>
              <w:top w:val="nil"/>
              <w:bottom w:val="nil"/>
            </w:tcBorders>
            <w:shd w:val="clear" w:color="auto" w:fill="auto"/>
          </w:tcPr>
          <w:p w14:paraId="6A3B9735" w14:textId="77777777" w:rsidR="00616F19" w:rsidRPr="009B6361" w:rsidRDefault="00616F19" w:rsidP="00616F19">
            <w:pPr>
              <w:pStyle w:val="TableText"/>
              <w:tabs>
                <w:tab w:val="decimal" w:pos="636"/>
              </w:tabs>
              <w:spacing w:before="55" w:after="55"/>
              <w:rPr>
                <w:u w:color="808285"/>
              </w:rPr>
            </w:pPr>
          </w:p>
        </w:tc>
        <w:tc>
          <w:tcPr>
            <w:tcW w:w="1843" w:type="dxa"/>
          </w:tcPr>
          <w:p w14:paraId="307B7F1D" w14:textId="51409E22" w:rsidR="00616F19" w:rsidRPr="009B6361" w:rsidRDefault="00616F19" w:rsidP="00616F19">
            <w:pPr>
              <w:pStyle w:val="TableText"/>
              <w:spacing w:before="55" w:after="55"/>
              <w:jc w:val="both"/>
              <w:rPr>
                <w:u w:color="808285"/>
              </w:rPr>
            </w:pPr>
            <w:r w:rsidRPr="009B6361">
              <w:rPr>
                <w:u w:color="231F20"/>
              </w:rPr>
              <w:t>Whanganui</w:t>
            </w:r>
          </w:p>
        </w:tc>
        <w:tc>
          <w:tcPr>
            <w:tcW w:w="567" w:type="dxa"/>
          </w:tcPr>
          <w:p w14:paraId="46C442F6" w14:textId="36FF575E" w:rsidR="00616F19" w:rsidRPr="009B6361" w:rsidRDefault="00616F19" w:rsidP="00616F19">
            <w:pPr>
              <w:pStyle w:val="TableText"/>
              <w:tabs>
                <w:tab w:val="decimal" w:pos="368"/>
              </w:tabs>
              <w:spacing w:before="55" w:after="55"/>
              <w:rPr>
                <w:u w:color="808285"/>
              </w:rPr>
            </w:pPr>
            <w:r w:rsidRPr="009B6361">
              <w:rPr>
                <w:u w:color="231F20"/>
              </w:rPr>
              <w:t>11</w:t>
            </w:r>
          </w:p>
        </w:tc>
        <w:tc>
          <w:tcPr>
            <w:tcW w:w="568" w:type="dxa"/>
          </w:tcPr>
          <w:p w14:paraId="392C2599" w14:textId="7CC782E4" w:rsidR="00616F19" w:rsidRPr="009B6361" w:rsidRDefault="00616F19" w:rsidP="00616F19">
            <w:pPr>
              <w:pStyle w:val="TableText"/>
              <w:tabs>
                <w:tab w:val="decimal" w:pos="368"/>
              </w:tabs>
              <w:spacing w:before="55" w:after="55"/>
              <w:rPr>
                <w:u w:color="808285"/>
              </w:rPr>
            </w:pPr>
            <w:r w:rsidRPr="009B6361">
              <w:rPr>
                <w:u w:color="231F20"/>
              </w:rPr>
              <w:t>9</w:t>
            </w:r>
          </w:p>
        </w:tc>
        <w:tc>
          <w:tcPr>
            <w:tcW w:w="709" w:type="dxa"/>
          </w:tcPr>
          <w:p w14:paraId="7B21D3B3" w14:textId="0CF56B8D" w:rsidR="00616F19" w:rsidRPr="009B6361" w:rsidRDefault="00616F19" w:rsidP="00616F19">
            <w:pPr>
              <w:pStyle w:val="TableText"/>
              <w:tabs>
                <w:tab w:val="decimal" w:pos="454"/>
              </w:tabs>
              <w:spacing w:before="55" w:after="55"/>
              <w:rPr>
                <w:u w:color="808285"/>
              </w:rPr>
            </w:pPr>
            <w:r w:rsidRPr="009B6361">
              <w:rPr>
                <w:u w:color="231F20"/>
              </w:rPr>
              <w:t>6</w:t>
            </w:r>
          </w:p>
        </w:tc>
      </w:tr>
      <w:tr w:rsidR="00616F19" w:rsidRPr="009B6361" w14:paraId="31C0044E" w14:textId="5BC36792" w:rsidTr="00616F19">
        <w:trPr>
          <w:cantSplit/>
        </w:trPr>
        <w:tc>
          <w:tcPr>
            <w:tcW w:w="1843" w:type="dxa"/>
            <w:tcBorders>
              <w:bottom w:val="nil"/>
            </w:tcBorders>
          </w:tcPr>
          <w:p w14:paraId="67F70960" w14:textId="00F826E0" w:rsidR="00616F19" w:rsidRPr="009B6361" w:rsidRDefault="00616F19" w:rsidP="00616F19">
            <w:pPr>
              <w:pStyle w:val="TableText"/>
              <w:spacing w:before="55" w:after="55"/>
              <w:rPr>
                <w:u w:color="808285"/>
              </w:rPr>
            </w:pPr>
          </w:p>
        </w:tc>
        <w:tc>
          <w:tcPr>
            <w:tcW w:w="638" w:type="dxa"/>
            <w:tcBorders>
              <w:bottom w:val="nil"/>
            </w:tcBorders>
          </w:tcPr>
          <w:p w14:paraId="0B2F8AA2" w14:textId="7292B35F" w:rsidR="00616F19" w:rsidRPr="009B6361" w:rsidRDefault="00616F19" w:rsidP="00616F19">
            <w:pPr>
              <w:pStyle w:val="TableText"/>
              <w:tabs>
                <w:tab w:val="decimal" w:pos="636"/>
              </w:tabs>
              <w:spacing w:before="55" w:after="55"/>
              <w:rPr>
                <w:u w:color="808285"/>
              </w:rPr>
            </w:pPr>
          </w:p>
        </w:tc>
        <w:tc>
          <w:tcPr>
            <w:tcW w:w="638" w:type="dxa"/>
            <w:tcBorders>
              <w:bottom w:val="nil"/>
            </w:tcBorders>
          </w:tcPr>
          <w:p w14:paraId="39E62BC3" w14:textId="0315B378" w:rsidR="00616F19" w:rsidRPr="009B6361" w:rsidRDefault="00616F19" w:rsidP="00616F19">
            <w:pPr>
              <w:pStyle w:val="TableText"/>
              <w:tabs>
                <w:tab w:val="decimal" w:pos="636"/>
              </w:tabs>
              <w:spacing w:before="55" w:after="55"/>
              <w:rPr>
                <w:u w:color="808285"/>
              </w:rPr>
            </w:pPr>
          </w:p>
        </w:tc>
        <w:tc>
          <w:tcPr>
            <w:tcW w:w="850" w:type="dxa"/>
            <w:tcBorders>
              <w:bottom w:val="nil"/>
            </w:tcBorders>
          </w:tcPr>
          <w:p w14:paraId="4E29B98C" w14:textId="60ED1A45" w:rsidR="00616F19" w:rsidRPr="009B6361" w:rsidRDefault="00616F19" w:rsidP="00616F19">
            <w:pPr>
              <w:pStyle w:val="TableText"/>
              <w:tabs>
                <w:tab w:val="decimal" w:pos="636"/>
              </w:tabs>
              <w:spacing w:before="55" w:after="55"/>
              <w:rPr>
                <w:u w:color="808285"/>
              </w:rPr>
            </w:pPr>
          </w:p>
        </w:tc>
        <w:tc>
          <w:tcPr>
            <w:tcW w:w="426" w:type="dxa"/>
            <w:tcBorders>
              <w:top w:val="nil"/>
              <w:bottom w:val="nil"/>
            </w:tcBorders>
            <w:shd w:val="clear" w:color="auto" w:fill="auto"/>
          </w:tcPr>
          <w:p w14:paraId="18F34DA9" w14:textId="77777777" w:rsidR="00616F19" w:rsidRPr="009B6361" w:rsidRDefault="00616F19" w:rsidP="00616F19">
            <w:pPr>
              <w:pStyle w:val="TableText"/>
              <w:tabs>
                <w:tab w:val="decimal" w:pos="636"/>
              </w:tabs>
              <w:spacing w:before="55" w:after="55"/>
              <w:rPr>
                <w:u w:color="808285"/>
              </w:rPr>
            </w:pPr>
          </w:p>
        </w:tc>
        <w:tc>
          <w:tcPr>
            <w:tcW w:w="1843" w:type="dxa"/>
          </w:tcPr>
          <w:p w14:paraId="7AA00B24" w14:textId="3E2BCA54" w:rsidR="00616F19" w:rsidRPr="009B6361" w:rsidRDefault="00616F19" w:rsidP="00616F19">
            <w:pPr>
              <w:pStyle w:val="TableText"/>
              <w:spacing w:before="55" w:after="55"/>
              <w:jc w:val="both"/>
              <w:rPr>
                <w:u w:color="808285"/>
              </w:rPr>
            </w:pPr>
            <w:r w:rsidRPr="009B6361">
              <w:rPr>
                <w:b/>
                <w:u w:color="231F20"/>
              </w:rPr>
              <w:t>National average</w:t>
            </w:r>
          </w:p>
        </w:tc>
        <w:tc>
          <w:tcPr>
            <w:tcW w:w="567" w:type="dxa"/>
          </w:tcPr>
          <w:p w14:paraId="10EF069E" w14:textId="30FDC4A5" w:rsidR="00616F19" w:rsidRPr="009B6361" w:rsidRDefault="00616F19" w:rsidP="00616F19">
            <w:pPr>
              <w:pStyle w:val="TableText"/>
              <w:tabs>
                <w:tab w:val="decimal" w:pos="368"/>
              </w:tabs>
              <w:spacing w:before="55" w:after="55"/>
              <w:rPr>
                <w:u w:color="808285"/>
              </w:rPr>
            </w:pPr>
            <w:r w:rsidRPr="009B6361">
              <w:rPr>
                <w:b/>
                <w:u w:color="231F20"/>
              </w:rPr>
              <w:t>12</w:t>
            </w:r>
          </w:p>
        </w:tc>
        <w:tc>
          <w:tcPr>
            <w:tcW w:w="568" w:type="dxa"/>
          </w:tcPr>
          <w:p w14:paraId="5C80BA54" w14:textId="126DB666" w:rsidR="00616F19" w:rsidRPr="009B6361" w:rsidRDefault="00616F19" w:rsidP="00616F19">
            <w:pPr>
              <w:pStyle w:val="TableText"/>
              <w:tabs>
                <w:tab w:val="decimal" w:pos="368"/>
              </w:tabs>
              <w:spacing w:before="55" w:after="55"/>
              <w:rPr>
                <w:u w:color="808285"/>
              </w:rPr>
            </w:pPr>
            <w:r w:rsidRPr="009B6361">
              <w:rPr>
                <w:b/>
                <w:u w:color="231F20"/>
              </w:rPr>
              <w:t>12</w:t>
            </w:r>
          </w:p>
        </w:tc>
        <w:tc>
          <w:tcPr>
            <w:tcW w:w="709" w:type="dxa"/>
          </w:tcPr>
          <w:p w14:paraId="72693B4E" w14:textId="15FB3356" w:rsidR="00616F19" w:rsidRPr="009B6361" w:rsidRDefault="00616F19" w:rsidP="00616F19">
            <w:pPr>
              <w:pStyle w:val="TableText"/>
              <w:tabs>
                <w:tab w:val="decimal" w:pos="454"/>
              </w:tabs>
              <w:spacing w:before="55" w:after="55"/>
              <w:rPr>
                <w:u w:color="808285"/>
              </w:rPr>
            </w:pPr>
            <w:r w:rsidRPr="009B6361">
              <w:rPr>
                <w:b/>
                <w:u w:color="231F20"/>
              </w:rPr>
              <w:t>9</w:t>
            </w:r>
          </w:p>
        </w:tc>
      </w:tr>
    </w:tbl>
    <w:p w14:paraId="208C03F8" w14:textId="118DC486" w:rsidR="00740DA6" w:rsidRPr="00EC5EF1" w:rsidRDefault="00740DA6" w:rsidP="009B6361">
      <w:pPr>
        <w:pStyle w:val="Source"/>
      </w:pPr>
      <w:r w:rsidRPr="00EC5EF1">
        <w:t xml:space="preserve">Source: PRIMHD data, extracted on 17 August 2018, except Southern DHB and </w:t>
      </w:r>
      <w:proofErr w:type="gramStart"/>
      <w:r w:rsidRPr="00EC5EF1">
        <w:t>s14(</w:t>
      </w:r>
      <w:proofErr w:type="gramEnd"/>
      <w:r w:rsidRPr="00EC5EF1">
        <w:t>4) for Auckland DHB, which submitted data manually</w:t>
      </w:r>
    </w:p>
    <w:p w14:paraId="0F35B40E" w14:textId="5253B8FC" w:rsidR="00740DA6" w:rsidRDefault="00740DA6" w:rsidP="00616F19">
      <w:pPr>
        <w:pStyle w:val="Table"/>
        <w:spacing w:before="360"/>
      </w:pPr>
      <w:bookmarkStart w:id="68" w:name="_Toc2845747"/>
      <w:r w:rsidRPr="00EC5EF1">
        <w:rPr>
          <w:noProof/>
          <w:lang w:eastAsia="en-NZ"/>
        </w:rPr>
        <w:lastRenderedPageBreak/>
        <w:drawing>
          <wp:anchor distT="0" distB="0" distL="0" distR="0" simplePos="0" relativeHeight="251718656" behindDoc="0" locked="0" layoutInCell="1" allowOverlap="1" wp14:anchorId="2770D343" wp14:editId="70EC7FCC">
            <wp:simplePos x="0" y="0"/>
            <wp:positionH relativeFrom="page">
              <wp:posOffset>8060163</wp:posOffset>
            </wp:positionH>
            <wp:positionV relativeFrom="paragraph">
              <wp:posOffset>49561</wp:posOffset>
            </wp:positionV>
            <wp:extent cx="155575" cy="155575"/>
            <wp:effectExtent l="0" t="0" r="0" b="0"/>
            <wp:wrapNone/>
            <wp:docPr id="18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Table 3: Average number of people per 100,000 on a given day* subject to sections 29, 30 and 31 of the Mental Health Act, by DHB, 1 January to 31 December 2017</w:t>
      </w:r>
      <w:bookmarkEnd w:id="68"/>
    </w:p>
    <w:tbl>
      <w:tblPr>
        <w:tblStyle w:val="TableGrid"/>
        <w:tblW w:w="8082" w:type="dxa"/>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843"/>
        <w:gridCol w:w="708"/>
        <w:gridCol w:w="709"/>
        <w:gridCol w:w="709"/>
        <w:gridCol w:w="426"/>
        <w:gridCol w:w="1843"/>
        <w:gridCol w:w="614"/>
        <w:gridCol w:w="615"/>
        <w:gridCol w:w="615"/>
      </w:tblGrid>
      <w:tr w:rsidR="00616F19" w:rsidRPr="009B6361" w14:paraId="70A9ABDB" w14:textId="77777777" w:rsidTr="00616F19">
        <w:trPr>
          <w:cantSplit/>
          <w:tblHeader/>
        </w:trPr>
        <w:tc>
          <w:tcPr>
            <w:tcW w:w="1843" w:type="dxa"/>
            <w:tcBorders>
              <w:top w:val="nil"/>
              <w:bottom w:val="nil"/>
              <w:right w:val="nil"/>
            </w:tcBorders>
            <w:shd w:val="clear" w:color="auto" w:fill="D9D9D9" w:themeFill="background1" w:themeFillShade="D9"/>
          </w:tcPr>
          <w:p w14:paraId="37BEE3CE" w14:textId="77777777" w:rsidR="00616F19" w:rsidRPr="009B6361" w:rsidRDefault="00616F19" w:rsidP="00B84D9C">
            <w:pPr>
              <w:pStyle w:val="TableText"/>
              <w:spacing w:before="55" w:after="55"/>
              <w:rPr>
                <w:b/>
                <w:u w:color="231F20"/>
              </w:rPr>
            </w:pPr>
            <w:r w:rsidRPr="009B6361">
              <w:rPr>
                <w:b/>
                <w:u w:color="231F20"/>
              </w:rPr>
              <w:t>DHB</w:t>
            </w:r>
          </w:p>
        </w:tc>
        <w:tc>
          <w:tcPr>
            <w:tcW w:w="708" w:type="dxa"/>
            <w:tcBorders>
              <w:top w:val="nil"/>
              <w:left w:val="nil"/>
              <w:bottom w:val="nil"/>
              <w:right w:val="nil"/>
            </w:tcBorders>
            <w:shd w:val="clear" w:color="auto" w:fill="D9D9D9" w:themeFill="background1" w:themeFillShade="D9"/>
          </w:tcPr>
          <w:p w14:paraId="313627A9" w14:textId="34C08C70" w:rsidR="00616F19" w:rsidRPr="009B6361" w:rsidRDefault="00616F19" w:rsidP="00616F19">
            <w:pPr>
              <w:pStyle w:val="TableText"/>
              <w:spacing w:before="55" w:after="55"/>
              <w:jc w:val="center"/>
              <w:rPr>
                <w:b/>
                <w:u w:color="231F20"/>
              </w:rPr>
            </w:pPr>
            <w:r w:rsidRPr="009B6361">
              <w:rPr>
                <w:b/>
                <w:u w:color="231F20"/>
              </w:rPr>
              <w:t xml:space="preserve">s </w:t>
            </w:r>
            <w:r>
              <w:rPr>
                <w:b/>
                <w:u w:color="231F20"/>
              </w:rPr>
              <w:t>29</w:t>
            </w:r>
          </w:p>
        </w:tc>
        <w:tc>
          <w:tcPr>
            <w:tcW w:w="709" w:type="dxa"/>
            <w:tcBorders>
              <w:top w:val="nil"/>
              <w:left w:val="nil"/>
              <w:bottom w:val="nil"/>
              <w:right w:val="nil"/>
            </w:tcBorders>
            <w:shd w:val="clear" w:color="auto" w:fill="D9D9D9" w:themeFill="background1" w:themeFillShade="D9"/>
          </w:tcPr>
          <w:p w14:paraId="059C3F5C" w14:textId="6107D7E3" w:rsidR="00616F19" w:rsidRPr="009B6361" w:rsidRDefault="00616F19" w:rsidP="00616F19">
            <w:pPr>
              <w:pStyle w:val="TableText"/>
              <w:spacing w:before="55" w:after="55"/>
              <w:jc w:val="center"/>
              <w:rPr>
                <w:b/>
              </w:rPr>
            </w:pPr>
            <w:r w:rsidRPr="009B6361">
              <w:rPr>
                <w:b/>
                <w:u w:color="231F20"/>
              </w:rPr>
              <w:t>s 3</w:t>
            </w:r>
            <w:r>
              <w:rPr>
                <w:b/>
                <w:u w:color="231F20"/>
              </w:rPr>
              <w:t>0</w:t>
            </w:r>
          </w:p>
        </w:tc>
        <w:tc>
          <w:tcPr>
            <w:tcW w:w="709" w:type="dxa"/>
            <w:tcBorders>
              <w:top w:val="nil"/>
              <w:left w:val="nil"/>
              <w:bottom w:val="nil"/>
            </w:tcBorders>
            <w:shd w:val="clear" w:color="auto" w:fill="D9D9D9" w:themeFill="background1" w:themeFillShade="D9"/>
          </w:tcPr>
          <w:p w14:paraId="56377267" w14:textId="2FCB32A2" w:rsidR="00616F19" w:rsidRPr="009B6361" w:rsidRDefault="00616F19" w:rsidP="00616F19">
            <w:pPr>
              <w:pStyle w:val="TableText"/>
              <w:spacing w:before="55" w:after="55"/>
              <w:jc w:val="center"/>
              <w:rPr>
                <w:b/>
              </w:rPr>
            </w:pPr>
            <w:r w:rsidRPr="009B6361">
              <w:rPr>
                <w:b/>
                <w:u w:color="231F20"/>
              </w:rPr>
              <w:t xml:space="preserve">s </w:t>
            </w:r>
            <w:r>
              <w:rPr>
                <w:b/>
                <w:u w:color="231F20"/>
              </w:rPr>
              <w:t>31</w:t>
            </w:r>
          </w:p>
        </w:tc>
        <w:tc>
          <w:tcPr>
            <w:tcW w:w="426" w:type="dxa"/>
            <w:tcBorders>
              <w:top w:val="nil"/>
              <w:bottom w:val="nil"/>
            </w:tcBorders>
            <w:shd w:val="clear" w:color="auto" w:fill="auto"/>
          </w:tcPr>
          <w:p w14:paraId="282CCC49" w14:textId="77777777" w:rsidR="00616F19" w:rsidRPr="009B6361" w:rsidRDefault="00616F19" w:rsidP="00B84D9C">
            <w:pPr>
              <w:pStyle w:val="TableText"/>
              <w:spacing w:before="55" w:after="55"/>
              <w:jc w:val="center"/>
              <w:rPr>
                <w:b/>
                <w:u w:color="231F20"/>
              </w:rPr>
            </w:pPr>
          </w:p>
        </w:tc>
        <w:tc>
          <w:tcPr>
            <w:tcW w:w="1843" w:type="dxa"/>
            <w:tcBorders>
              <w:top w:val="nil"/>
              <w:bottom w:val="nil"/>
            </w:tcBorders>
            <w:shd w:val="clear" w:color="auto" w:fill="D9D9D9" w:themeFill="background1" w:themeFillShade="D9"/>
          </w:tcPr>
          <w:p w14:paraId="59A5D174" w14:textId="77777777" w:rsidR="00616F19" w:rsidRPr="009B6361" w:rsidRDefault="00616F19" w:rsidP="00B84D9C">
            <w:pPr>
              <w:pStyle w:val="TableText"/>
              <w:spacing w:before="55" w:after="55"/>
              <w:rPr>
                <w:b/>
                <w:u w:color="231F20"/>
              </w:rPr>
            </w:pPr>
            <w:r w:rsidRPr="009B6361">
              <w:rPr>
                <w:b/>
                <w:u w:color="231F20"/>
              </w:rPr>
              <w:t>DHB</w:t>
            </w:r>
          </w:p>
        </w:tc>
        <w:tc>
          <w:tcPr>
            <w:tcW w:w="614" w:type="dxa"/>
            <w:tcBorders>
              <w:top w:val="nil"/>
              <w:bottom w:val="nil"/>
            </w:tcBorders>
            <w:shd w:val="clear" w:color="auto" w:fill="D9D9D9" w:themeFill="background1" w:themeFillShade="D9"/>
          </w:tcPr>
          <w:p w14:paraId="49612D2D" w14:textId="293E270F" w:rsidR="00616F19" w:rsidRPr="009B6361" w:rsidRDefault="00616F19" w:rsidP="00616F19">
            <w:pPr>
              <w:pStyle w:val="TableText"/>
              <w:spacing w:before="55" w:after="55"/>
              <w:jc w:val="center"/>
              <w:rPr>
                <w:b/>
                <w:u w:color="231F20"/>
              </w:rPr>
            </w:pPr>
            <w:r w:rsidRPr="009B6361">
              <w:rPr>
                <w:b/>
                <w:u w:color="231F20"/>
              </w:rPr>
              <w:t xml:space="preserve">s </w:t>
            </w:r>
            <w:r>
              <w:rPr>
                <w:b/>
                <w:u w:color="231F20"/>
              </w:rPr>
              <w:t>29</w:t>
            </w:r>
          </w:p>
        </w:tc>
        <w:tc>
          <w:tcPr>
            <w:tcW w:w="615" w:type="dxa"/>
            <w:tcBorders>
              <w:top w:val="nil"/>
              <w:bottom w:val="nil"/>
            </w:tcBorders>
            <w:shd w:val="clear" w:color="auto" w:fill="D9D9D9" w:themeFill="background1" w:themeFillShade="D9"/>
          </w:tcPr>
          <w:p w14:paraId="300EEF9D" w14:textId="3273A902" w:rsidR="00616F19" w:rsidRPr="009B6361" w:rsidRDefault="00616F19" w:rsidP="00616F19">
            <w:pPr>
              <w:pStyle w:val="TableText"/>
              <w:spacing w:before="55" w:after="55"/>
              <w:jc w:val="center"/>
              <w:rPr>
                <w:b/>
                <w:u w:color="231F20"/>
              </w:rPr>
            </w:pPr>
            <w:r w:rsidRPr="009B6361">
              <w:rPr>
                <w:b/>
                <w:u w:color="231F20"/>
              </w:rPr>
              <w:t xml:space="preserve">s </w:t>
            </w:r>
            <w:r>
              <w:rPr>
                <w:b/>
                <w:u w:color="231F20"/>
              </w:rPr>
              <w:t>30</w:t>
            </w:r>
          </w:p>
        </w:tc>
        <w:tc>
          <w:tcPr>
            <w:tcW w:w="615" w:type="dxa"/>
            <w:tcBorders>
              <w:top w:val="nil"/>
              <w:bottom w:val="nil"/>
            </w:tcBorders>
            <w:shd w:val="clear" w:color="auto" w:fill="D9D9D9" w:themeFill="background1" w:themeFillShade="D9"/>
          </w:tcPr>
          <w:p w14:paraId="480B32D3" w14:textId="459BA7F8" w:rsidR="00616F19" w:rsidRPr="009B6361" w:rsidRDefault="00616F19" w:rsidP="00616F19">
            <w:pPr>
              <w:pStyle w:val="TableText"/>
              <w:spacing w:before="55" w:after="55"/>
              <w:jc w:val="center"/>
              <w:rPr>
                <w:b/>
                <w:u w:color="231F20"/>
              </w:rPr>
            </w:pPr>
            <w:r w:rsidRPr="009B6361">
              <w:rPr>
                <w:b/>
                <w:u w:color="231F20"/>
              </w:rPr>
              <w:t xml:space="preserve">s </w:t>
            </w:r>
            <w:r>
              <w:rPr>
                <w:b/>
                <w:u w:color="231F20"/>
              </w:rPr>
              <w:t>31</w:t>
            </w:r>
          </w:p>
        </w:tc>
      </w:tr>
      <w:tr w:rsidR="00616F19" w:rsidRPr="009B6361" w14:paraId="41DC9641" w14:textId="77777777" w:rsidTr="00616F19">
        <w:trPr>
          <w:cantSplit/>
        </w:trPr>
        <w:tc>
          <w:tcPr>
            <w:tcW w:w="1843" w:type="dxa"/>
            <w:tcBorders>
              <w:top w:val="nil"/>
              <w:right w:val="nil"/>
            </w:tcBorders>
          </w:tcPr>
          <w:p w14:paraId="3832DD48" w14:textId="1C09A267" w:rsidR="00616F19" w:rsidRPr="009B6361" w:rsidRDefault="00616F19" w:rsidP="00616F19">
            <w:pPr>
              <w:pStyle w:val="TableText"/>
              <w:spacing w:before="55" w:after="55"/>
              <w:rPr>
                <w:u w:color="808285"/>
              </w:rPr>
            </w:pPr>
            <w:r w:rsidRPr="009B6361">
              <w:rPr>
                <w:u w:color="808285"/>
              </w:rPr>
              <w:t>Auckland</w:t>
            </w:r>
          </w:p>
        </w:tc>
        <w:tc>
          <w:tcPr>
            <w:tcW w:w="708" w:type="dxa"/>
            <w:tcBorders>
              <w:top w:val="nil"/>
              <w:left w:val="nil"/>
              <w:right w:val="nil"/>
            </w:tcBorders>
          </w:tcPr>
          <w:p w14:paraId="125FDC37" w14:textId="38A7FF84" w:rsidR="00616F19" w:rsidRPr="009B6361" w:rsidRDefault="00616F19" w:rsidP="00616F19">
            <w:pPr>
              <w:pStyle w:val="TableText"/>
              <w:tabs>
                <w:tab w:val="decimal" w:pos="510"/>
              </w:tabs>
              <w:spacing w:before="55" w:after="55"/>
              <w:rPr>
                <w:u w:color="808285"/>
              </w:rPr>
            </w:pPr>
            <w:r w:rsidRPr="009B6361">
              <w:rPr>
                <w:u w:color="808285"/>
              </w:rPr>
              <w:t>104</w:t>
            </w:r>
          </w:p>
        </w:tc>
        <w:tc>
          <w:tcPr>
            <w:tcW w:w="709" w:type="dxa"/>
            <w:tcBorders>
              <w:top w:val="nil"/>
              <w:left w:val="nil"/>
              <w:right w:val="nil"/>
            </w:tcBorders>
          </w:tcPr>
          <w:p w14:paraId="028FE148" w14:textId="20024A57" w:rsidR="00616F19" w:rsidRPr="009B6361" w:rsidRDefault="00616F19" w:rsidP="00616F19">
            <w:pPr>
              <w:pStyle w:val="TableText"/>
              <w:tabs>
                <w:tab w:val="decimal" w:pos="510"/>
              </w:tabs>
              <w:spacing w:before="55" w:after="55"/>
              <w:rPr>
                <w:u w:color="808285"/>
              </w:rPr>
            </w:pPr>
            <w:r w:rsidRPr="009B6361">
              <w:rPr>
                <w:u w:color="808285"/>
              </w:rPr>
              <w:t>9</w:t>
            </w:r>
          </w:p>
        </w:tc>
        <w:tc>
          <w:tcPr>
            <w:tcW w:w="709" w:type="dxa"/>
            <w:tcBorders>
              <w:top w:val="nil"/>
              <w:left w:val="nil"/>
            </w:tcBorders>
          </w:tcPr>
          <w:p w14:paraId="64C23C94" w14:textId="12EAA7DA" w:rsidR="00616F19" w:rsidRPr="009B6361" w:rsidRDefault="00616F19" w:rsidP="00616F19">
            <w:pPr>
              <w:pStyle w:val="TableText"/>
              <w:tabs>
                <w:tab w:val="decimal" w:pos="454"/>
              </w:tabs>
              <w:spacing w:before="55" w:after="55"/>
              <w:rPr>
                <w:u w:color="808285"/>
              </w:rPr>
            </w:pPr>
            <w:r w:rsidRPr="009B6361">
              <w:rPr>
                <w:u w:color="808285"/>
              </w:rPr>
              <w:t>1</w:t>
            </w:r>
          </w:p>
        </w:tc>
        <w:tc>
          <w:tcPr>
            <w:tcW w:w="426" w:type="dxa"/>
            <w:tcBorders>
              <w:top w:val="nil"/>
              <w:bottom w:val="nil"/>
            </w:tcBorders>
            <w:shd w:val="clear" w:color="auto" w:fill="auto"/>
          </w:tcPr>
          <w:p w14:paraId="0A9AE72B" w14:textId="77777777" w:rsidR="00616F19" w:rsidRPr="009B6361" w:rsidRDefault="00616F19" w:rsidP="00B84D9C">
            <w:pPr>
              <w:pStyle w:val="TableText"/>
              <w:tabs>
                <w:tab w:val="decimal" w:pos="636"/>
              </w:tabs>
              <w:spacing w:before="55" w:after="55"/>
              <w:rPr>
                <w:u w:color="808285"/>
              </w:rPr>
            </w:pPr>
          </w:p>
        </w:tc>
        <w:tc>
          <w:tcPr>
            <w:tcW w:w="1843" w:type="dxa"/>
            <w:tcBorders>
              <w:top w:val="nil"/>
            </w:tcBorders>
          </w:tcPr>
          <w:p w14:paraId="73A3083A" w14:textId="0D67616E" w:rsidR="00616F19" w:rsidRPr="009B6361" w:rsidRDefault="00616F19" w:rsidP="00616F19">
            <w:pPr>
              <w:pStyle w:val="TableText"/>
              <w:spacing w:before="55" w:after="55"/>
              <w:jc w:val="both"/>
              <w:rPr>
                <w:u w:color="808285"/>
              </w:rPr>
            </w:pPr>
            <w:r w:rsidRPr="009B6361">
              <w:rPr>
                <w:u w:color="808285"/>
              </w:rPr>
              <w:t>Northland</w:t>
            </w:r>
          </w:p>
        </w:tc>
        <w:tc>
          <w:tcPr>
            <w:tcW w:w="614" w:type="dxa"/>
            <w:tcBorders>
              <w:top w:val="nil"/>
            </w:tcBorders>
          </w:tcPr>
          <w:p w14:paraId="507F8E55" w14:textId="521168B1" w:rsidR="00616F19" w:rsidRPr="009B6361" w:rsidRDefault="00616F19" w:rsidP="00616F19">
            <w:pPr>
              <w:pStyle w:val="TableText"/>
              <w:tabs>
                <w:tab w:val="decimal" w:pos="454"/>
              </w:tabs>
              <w:spacing w:before="55" w:after="55"/>
              <w:rPr>
                <w:u w:color="808285"/>
              </w:rPr>
            </w:pPr>
            <w:r w:rsidRPr="009B6361">
              <w:rPr>
                <w:u w:color="808285"/>
              </w:rPr>
              <w:t>161</w:t>
            </w:r>
          </w:p>
        </w:tc>
        <w:tc>
          <w:tcPr>
            <w:tcW w:w="615" w:type="dxa"/>
            <w:tcBorders>
              <w:top w:val="nil"/>
            </w:tcBorders>
          </w:tcPr>
          <w:p w14:paraId="4884370F" w14:textId="00EA1CD4" w:rsidR="00616F19" w:rsidRPr="009B6361" w:rsidRDefault="00616F19" w:rsidP="00616F19">
            <w:pPr>
              <w:pStyle w:val="TableText"/>
              <w:tabs>
                <w:tab w:val="decimal" w:pos="454"/>
              </w:tabs>
              <w:spacing w:before="55" w:after="55"/>
              <w:rPr>
                <w:u w:color="808285"/>
              </w:rPr>
            </w:pPr>
            <w:r w:rsidRPr="009B6361">
              <w:rPr>
                <w:u w:color="808285"/>
              </w:rPr>
              <w:t>16</w:t>
            </w:r>
          </w:p>
        </w:tc>
        <w:tc>
          <w:tcPr>
            <w:tcW w:w="615" w:type="dxa"/>
            <w:tcBorders>
              <w:top w:val="nil"/>
            </w:tcBorders>
          </w:tcPr>
          <w:p w14:paraId="13410EAC" w14:textId="3060B248" w:rsidR="00616F19" w:rsidRPr="009B6361" w:rsidRDefault="00616F19" w:rsidP="00616F19">
            <w:pPr>
              <w:pStyle w:val="TableText"/>
              <w:spacing w:before="55" w:after="55"/>
              <w:jc w:val="center"/>
              <w:rPr>
                <w:u w:color="808285"/>
              </w:rPr>
            </w:pPr>
            <w:r w:rsidRPr="009B6361">
              <w:rPr>
                <w:u w:color="808285"/>
              </w:rPr>
              <w:t>2</w:t>
            </w:r>
          </w:p>
        </w:tc>
      </w:tr>
      <w:tr w:rsidR="00616F19" w:rsidRPr="009B6361" w14:paraId="18C82D97" w14:textId="77777777" w:rsidTr="00616F19">
        <w:trPr>
          <w:cantSplit/>
        </w:trPr>
        <w:tc>
          <w:tcPr>
            <w:tcW w:w="1843" w:type="dxa"/>
            <w:tcBorders>
              <w:top w:val="nil"/>
              <w:right w:val="nil"/>
            </w:tcBorders>
          </w:tcPr>
          <w:p w14:paraId="35CF272B" w14:textId="5289C7DB" w:rsidR="00616F19" w:rsidRPr="009B6361" w:rsidRDefault="00616F19" w:rsidP="00616F19">
            <w:pPr>
              <w:pStyle w:val="TableText"/>
              <w:spacing w:before="55" w:after="55"/>
              <w:rPr>
                <w:u w:color="808285"/>
              </w:rPr>
            </w:pPr>
            <w:r w:rsidRPr="009B6361">
              <w:rPr>
                <w:u w:color="808285"/>
              </w:rPr>
              <w:t>Bay of Plenty</w:t>
            </w:r>
          </w:p>
        </w:tc>
        <w:tc>
          <w:tcPr>
            <w:tcW w:w="708" w:type="dxa"/>
            <w:tcBorders>
              <w:top w:val="nil"/>
              <w:left w:val="nil"/>
              <w:right w:val="nil"/>
            </w:tcBorders>
          </w:tcPr>
          <w:p w14:paraId="671E7A81" w14:textId="0AC4F9C6" w:rsidR="00616F19" w:rsidRPr="009B6361" w:rsidRDefault="00616F19" w:rsidP="00616F19">
            <w:pPr>
              <w:pStyle w:val="TableText"/>
              <w:tabs>
                <w:tab w:val="decimal" w:pos="510"/>
              </w:tabs>
              <w:spacing w:before="55" w:after="55"/>
              <w:rPr>
                <w:u w:color="808285"/>
              </w:rPr>
            </w:pPr>
            <w:r w:rsidRPr="009B6361">
              <w:rPr>
                <w:u w:color="808285"/>
              </w:rPr>
              <w:t>42</w:t>
            </w:r>
          </w:p>
        </w:tc>
        <w:tc>
          <w:tcPr>
            <w:tcW w:w="709" w:type="dxa"/>
            <w:tcBorders>
              <w:top w:val="nil"/>
              <w:left w:val="nil"/>
              <w:right w:val="nil"/>
            </w:tcBorders>
          </w:tcPr>
          <w:p w14:paraId="174E978F" w14:textId="41AED2E8" w:rsidR="00616F19" w:rsidRPr="009B6361" w:rsidRDefault="00616F19" w:rsidP="00616F19">
            <w:pPr>
              <w:pStyle w:val="TableText"/>
              <w:tabs>
                <w:tab w:val="decimal" w:pos="510"/>
              </w:tabs>
              <w:spacing w:before="55" w:after="55"/>
              <w:rPr>
                <w:u w:color="808285"/>
              </w:rPr>
            </w:pPr>
            <w:r w:rsidRPr="009B6361">
              <w:rPr>
                <w:u w:color="808285"/>
              </w:rPr>
              <w:t>16</w:t>
            </w:r>
          </w:p>
        </w:tc>
        <w:tc>
          <w:tcPr>
            <w:tcW w:w="709" w:type="dxa"/>
            <w:tcBorders>
              <w:top w:val="nil"/>
              <w:left w:val="nil"/>
            </w:tcBorders>
          </w:tcPr>
          <w:p w14:paraId="3D19039E" w14:textId="6ADDEE0A" w:rsidR="00616F19" w:rsidRPr="009B6361" w:rsidRDefault="00616F19" w:rsidP="00616F19">
            <w:pPr>
              <w:pStyle w:val="TableText"/>
              <w:tabs>
                <w:tab w:val="decimal" w:pos="454"/>
              </w:tabs>
              <w:spacing w:before="55" w:after="55"/>
              <w:rPr>
                <w:u w:color="808285"/>
              </w:rPr>
            </w:pPr>
            <w:r w:rsidRPr="009B6361">
              <w:rPr>
                <w:u w:color="808285"/>
              </w:rPr>
              <w:t>7</w:t>
            </w:r>
          </w:p>
        </w:tc>
        <w:tc>
          <w:tcPr>
            <w:tcW w:w="426" w:type="dxa"/>
            <w:tcBorders>
              <w:top w:val="nil"/>
              <w:bottom w:val="nil"/>
            </w:tcBorders>
            <w:shd w:val="clear" w:color="auto" w:fill="auto"/>
          </w:tcPr>
          <w:p w14:paraId="03ACA6DC" w14:textId="77777777" w:rsidR="00616F19" w:rsidRPr="009B6361" w:rsidRDefault="00616F19" w:rsidP="00B84D9C">
            <w:pPr>
              <w:pStyle w:val="TableText"/>
              <w:tabs>
                <w:tab w:val="decimal" w:pos="636"/>
              </w:tabs>
              <w:spacing w:before="55" w:after="55"/>
              <w:rPr>
                <w:u w:color="808285"/>
              </w:rPr>
            </w:pPr>
          </w:p>
        </w:tc>
        <w:tc>
          <w:tcPr>
            <w:tcW w:w="1843" w:type="dxa"/>
            <w:tcBorders>
              <w:top w:val="nil"/>
            </w:tcBorders>
          </w:tcPr>
          <w:p w14:paraId="1189ECF6" w14:textId="08A42FA7" w:rsidR="00616F19" w:rsidRPr="009B6361" w:rsidRDefault="00616F19" w:rsidP="00B84D9C">
            <w:pPr>
              <w:pStyle w:val="TableText"/>
              <w:spacing w:before="55" w:after="55"/>
              <w:jc w:val="both"/>
              <w:rPr>
                <w:u w:color="808285"/>
              </w:rPr>
            </w:pPr>
            <w:r w:rsidRPr="009B6361">
              <w:rPr>
                <w:u w:color="808285"/>
              </w:rPr>
              <w:t>South Canterbury</w:t>
            </w:r>
          </w:p>
        </w:tc>
        <w:tc>
          <w:tcPr>
            <w:tcW w:w="614" w:type="dxa"/>
            <w:tcBorders>
              <w:top w:val="nil"/>
            </w:tcBorders>
          </w:tcPr>
          <w:p w14:paraId="73546531" w14:textId="1DC4E130" w:rsidR="00616F19" w:rsidRPr="009B6361" w:rsidRDefault="00616F19" w:rsidP="00616F19">
            <w:pPr>
              <w:pStyle w:val="TableText"/>
              <w:tabs>
                <w:tab w:val="decimal" w:pos="454"/>
              </w:tabs>
              <w:spacing w:before="55" w:after="55"/>
              <w:rPr>
                <w:u w:color="808285"/>
              </w:rPr>
            </w:pPr>
            <w:r w:rsidRPr="009B6361">
              <w:rPr>
                <w:u w:color="808285"/>
              </w:rPr>
              <w:t>70</w:t>
            </w:r>
          </w:p>
        </w:tc>
        <w:tc>
          <w:tcPr>
            <w:tcW w:w="615" w:type="dxa"/>
            <w:tcBorders>
              <w:top w:val="nil"/>
            </w:tcBorders>
          </w:tcPr>
          <w:p w14:paraId="07BB021D" w14:textId="24FFC385" w:rsidR="00616F19" w:rsidRPr="009B6361" w:rsidRDefault="00616F19" w:rsidP="00616F19">
            <w:pPr>
              <w:pStyle w:val="TableText"/>
              <w:tabs>
                <w:tab w:val="decimal" w:pos="454"/>
              </w:tabs>
              <w:spacing w:before="55" w:after="55"/>
              <w:rPr>
                <w:u w:color="808285"/>
              </w:rPr>
            </w:pPr>
            <w:r w:rsidRPr="009B6361">
              <w:rPr>
                <w:u w:color="808285"/>
              </w:rPr>
              <w:t>3</w:t>
            </w:r>
          </w:p>
        </w:tc>
        <w:tc>
          <w:tcPr>
            <w:tcW w:w="615" w:type="dxa"/>
            <w:tcBorders>
              <w:top w:val="nil"/>
            </w:tcBorders>
          </w:tcPr>
          <w:p w14:paraId="2C4CC902" w14:textId="02FC95AE" w:rsidR="00616F19" w:rsidRPr="009B6361" w:rsidRDefault="00616F19" w:rsidP="00616F19">
            <w:pPr>
              <w:pStyle w:val="TableText"/>
              <w:spacing w:before="55" w:after="55"/>
              <w:jc w:val="center"/>
              <w:rPr>
                <w:u w:color="808285"/>
              </w:rPr>
            </w:pPr>
            <w:r w:rsidRPr="009B6361">
              <w:rPr>
                <w:u w:color="808285"/>
              </w:rPr>
              <w:t>2</w:t>
            </w:r>
          </w:p>
        </w:tc>
      </w:tr>
      <w:tr w:rsidR="00616F19" w:rsidRPr="009B6361" w14:paraId="5C625022" w14:textId="77777777" w:rsidTr="00616F19">
        <w:trPr>
          <w:cantSplit/>
        </w:trPr>
        <w:tc>
          <w:tcPr>
            <w:tcW w:w="1843" w:type="dxa"/>
            <w:tcBorders>
              <w:top w:val="nil"/>
              <w:right w:val="nil"/>
            </w:tcBorders>
          </w:tcPr>
          <w:p w14:paraId="019A49D7" w14:textId="42A8FD2C" w:rsidR="00616F19" w:rsidRPr="009B6361" w:rsidRDefault="00616F19" w:rsidP="00616F19">
            <w:pPr>
              <w:pStyle w:val="TableText"/>
              <w:spacing w:before="55" w:after="55"/>
              <w:rPr>
                <w:u w:color="808285"/>
              </w:rPr>
            </w:pPr>
            <w:r w:rsidRPr="009B6361">
              <w:rPr>
                <w:u w:color="808285"/>
              </w:rPr>
              <w:t>Canterbury</w:t>
            </w:r>
          </w:p>
        </w:tc>
        <w:tc>
          <w:tcPr>
            <w:tcW w:w="708" w:type="dxa"/>
            <w:tcBorders>
              <w:top w:val="nil"/>
              <w:left w:val="nil"/>
              <w:right w:val="nil"/>
            </w:tcBorders>
          </w:tcPr>
          <w:p w14:paraId="170F6173" w14:textId="68054C23" w:rsidR="00616F19" w:rsidRPr="009B6361" w:rsidRDefault="00616F19" w:rsidP="00616F19">
            <w:pPr>
              <w:pStyle w:val="TableText"/>
              <w:tabs>
                <w:tab w:val="decimal" w:pos="510"/>
              </w:tabs>
              <w:spacing w:before="55" w:after="55"/>
              <w:rPr>
                <w:u w:color="808285"/>
              </w:rPr>
            </w:pPr>
            <w:r w:rsidRPr="009B6361">
              <w:rPr>
                <w:u w:color="808285"/>
              </w:rPr>
              <w:t>65</w:t>
            </w:r>
          </w:p>
        </w:tc>
        <w:tc>
          <w:tcPr>
            <w:tcW w:w="709" w:type="dxa"/>
            <w:tcBorders>
              <w:top w:val="nil"/>
              <w:left w:val="nil"/>
              <w:right w:val="nil"/>
            </w:tcBorders>
          </w:tcPr>
          <w:p w14:paraId="441A2FED" w14:textId="2E46BBAC" w:rsidR="00616F19" w:rsidRPr="009B6361" w:rsidRDefault="00616F19" w:rsidP="00616F19">
            <w:pPr>
              <w:pStyle w:val="TableText"/>
              <w:tabs>
                <w:tab w:val="decimal" w:pos="510"/>
              </w:tabs>
              <w:spacing w:before="55" w:after="55"/>
              <w:rPr>
                <w:u w:color="808285"/>
              </w:rPr>
            </w:pPr>
            <w:r w:rsidRPr="009B6361">
              <w:rPr>
                <w:u w:color="808285"/>
              </w:rPr>
              <w:t>19</w:t>
            </w:r>
          </w:p>
        </w:tc>
        <w:tc>
          <w:tcPr>
            <w:tcW w:w="709" w:type="dxa"/>
            <w:tcBorders>
              <w:top w:val="nil"/>
              <w:left w:val="nil"/>
            </w:tcBorders>
          </w:tcPr>
          <w:p w14:paraId="3BAD7073" w14:textId="6A9A90F8" w:rsidR="00616F19" w:rsidRPr="009B6361" w:rsidRDefault="00616F19" w:rsidP="00616F19">
            <w:pPr>
              <w:pStyle w:val="TableText"/>
              <w:tabs>
                <w:tab w:val="decimal" w:pos="454"/>
              </w:tabs>
              <w:spacing w:before="55" w:after="55"/>
              <w:rPr>
                <w:u w:color="808285"/>
              </w:rPr>
            </w:pPr>
            <w:r w:rsidRPr="009B6361">
              <w:rPr>
                <w:u w:color="808285"/>
              </w:rPr>
              <w:t>7</w:t>
            </w:r>
          </w:p>
        </w:tc>
        <w:tc>
          <w:tcPr>
            <w:tcW w:w="426" w:type="dxa"/>
            <w:tcBorders>
              <w:top w:val="nil"/>
              <w:bottom w:val="nil"/>
            </w:tcBorders>
            <w:shd w:val="clear" w:color="auto" w:fill="auto"/>
          </w:tcPr>
          <w:p w14:paraId="07BFC9BE" w14:textId="77777777" w:rsidR="00616F19" w:rsidRPr="009B6361" w:rsidRDefault="00616F19" w:rsidP="00B84D9C">
            <w:pPr>
              <w:pStyle w:val="TableText"/>
              <w:tabs>
                <w:tab w:val="decimal" w:pos="636"/>
              </w:tabs>
              <w:spacing w:before="55" w:after="55"/>
              <w:rPr>
                <w:u w:color="808285"/>
              </w:rPr>
            </w:pPr>
          </w:p>
        </w:tc>
        <w:tc>
          <w:tcPr>
            <w:tcW w:w="1843" w:type="dxa"/>
            <w:tcBorders>
              <w:top w:val="nil"/>
            </w:tcBorders>
          </w:tcPr>
          <w:p w14:paraId="63AB28F5" w14:textId="2F06F390" w:rsidR="00616F19" w:rsidRPr="009B6361" w:rsidRDefault="00616F19" w:rsidP="00B84D9C">
            <w:pPr>
              <w:pStyle w:val="TableText"/>
              <w:spacing w:before="55" w:after="55"/>
              <w:jc w:val="both"/>
              <w:rPr>
                <w:u w:color="808285"/>
              </w:rPr>
            </w:pPr>
            <w:r w:rsidRPr="009B6361">
              <w:rPr>
                <w:u w:color="808285"/>
              </w:rPr>
              <w:t>Southern</w:t>
            </w:r>
          </w:p>
        </w:tc>
        <w:tc>
          <w:tcPr>
            <w:tcW w:w="614" w:type="dxa"/>
            <w:tcBorders>
              <w:top w:val="nil"/>
            </w:tcBorders>
          </w:tcPr>
          <w:p w14:paraId="384F1BEA" w14:textId="38BAB81D" w:rsidR="00616F19" w:rsidRPr="009B6361" w:rsidRDefault="00616F19" w:rsidP="00616F19">
            <w:pPr>
              <w:pStyle w:val="TableText"/>
              <w:tabs>
                <w:tab w:val="decimal" w:pos="454"/>
              </w:tabs>
              <w:spacing w:before="55" w:after="55"/>
              <w:rPr>
                <w:u w:color="808285"/>
              </w:rPr>
            </w:pPr>
            <w:r w:rsidRPr="009B6361">
              <w:rPr>
                <w:u w:color="808285"/>
              </w:rPr>
              <w:t>76</w:t>
            </w:r>
          </w:p>
        </w:tc>
        <w:tc>
          <w:tcPr>
            <w:tcW w:w="615" w:type="dxa"/>
            <w:tcBorders>
              <w:top w:val="nil"/>
            </w:tcBorders>
          </w:tcPr>
          <w:p w14:paraId="4DEEC2D6" w14:textId="6E360CBB" w:rsidR="00616F19" w:rsidRPr="009B6361" w:rsidRDefault="00616F19" w:rsidP="00616F19">
            <w:pPr>
              <w:pStyle w:val="TableText"/>
              <w:tabs>
                <w:tab w:val="decimal" w:pos="454"/>
              </w:tabs>
              <w:spacing w:before="55" w:after="55"/>
              <w:rPr>
                <w:u w:color="808285"/>
              </w:rPr>
            </w:pPr>
            <w:r w:rsidRPr="009B6361">
              <w:rPr>
                <w:u w:color="808285"/>
              </w:rPr>
              <w:t>9</w:t>
            </w:r>
          </w:p>
        </w:tc>
        <w:tc>
          <w:tcPr>
            <w:tcW w:w="615" w:type="dxa"/>
            <w:tcBorders>
              <w:top w:val="nil"/>
            </w:tcBorders>
          </w:tcPr>
          <w:p w14:paraId="5BB57BFC" w14:textId="2A936283" w:rsidR="00616F19" w:rsidRPr="009B6361" w:rsidRDefault="00616F19" w:rsidP="00616F19">
            <w:pPr>
              <w:pStyle w:val="TableText"/>
              <w:spacing w:before="55" w:after="55"/>
              <w:jc w:val="center"/>
              <w:rPr>
                <w:u w:color="808285"/>
              </w:rPr>
            </w:pPr>
            <w:r w:rsidRPr="009B6361">
              <w:rPr>
                <w:u w:color="808285"/>
              </w:rPr>
              <w:t>3</w:t>
            </w:r>
          </w:p>
        </w:tc>
      </w:tr>
      <w:tr w:rsidR="00616F19" w:rsidRPr="009B6361" w14:paraId="3482FEB6" w14:textId="77777777" w:rsidTr="00616F19">
        <w:trPr>
          <w:cantSplit/>
        </w:trPr>
        <w:tc>
          <w:tcPr>
            <w:tcW w:w="1843" w:type="dxa"/>
            <w:tcBorders>
              <w:top w:val="nil"/>
              <w:right w:val="nil"/>
            </w:tcBorders>
          </w:tcPr>
          <w:p w14:paraId="612BC5EB" w14:textId="2072491C" w:rsidR="00616F19" w:rsidRPr="009B6361" w:rsidRDefault="00616F19" w:rsidP="00616F19">
            <w:pPr>
              <w:pStyle w:val="TableText"/>
              <w:spacing w:before="55" w:after="55"/>
              <w:rPr>
                <w:u w:color="808285"/>
              </w:rPr>
            </w:pPr>
            <w:r w:rsidRPr="009B6361">
              <w:rPr>
                <w:u w:color="808285"/>
              </w:rPr>
              <w:t>Capital &amp; Coast</w:t>
            </w:r>
          </w:p>
        </w:tc>
        <w:tc>
          <w:tcPr>
            <w:tcW w:w="708" w:type="dxa"/>
            <w:tcBorders>
              <w:top w:val="nil"/>
              <w:left w:val="nil"/>
              <w:right w:val="nil"/>
            </w:tcBorders>
          </w:tcPr>
          <w:p w14:paraId="6754C07B" w14:textId="5B6B8B77" w:rsidR="00616F19" w:rsidRPr="009B6361" w:rsidRDefault="00616F19" w:rsidP="00616F19">
            <w:pPr>
              <w:pStyle w:val="TableText"/>
              <w:tabs>
                <w:tab w:val="decimal" w:pos="510"/>
              </w:tabs>
              <w:spacing w:before="55" w:after="55"/>
              <w:rPr>
                <w:u w:color="808285"/>
              </w:rPr>
            </w:pPr>
            <w:r w:rsidRPr="009B6361">
              <w:rPr>
                <w:u w:color="808285"/>
              </w:rPr>
              <w:t>119</w:t>
            </w:r>
          </w:p>
        </w:tc>
        <w:tc>
          <w:tcPr>
            <w:tcW w:w="709" w:type="dxa"/>
            <w:tcBorders>
              <w:top w:val="nil"/>
              <w:left w:val="nil"/>
              <w:right w:val="nil"/>
            </w:tcBorders>
          </w:tcPr>
          <w:p w14:paraId="39690F0B" w14:textId="47D23B55" w:rsidR="00616F19" w:rsidRPr="009B6361" w:rsidRDefault="00616F19" w:rsidP="00616F19">
            <w:pPr>
              <w:pStyle w:val="TableText"/>
              <w:tabs>
                <w:tab w:val="decimal" w:pos="510"/>
              </w:tabs>
              <w:spacing w:before="55" w:after="55"/>
              <w:rPr>
                <w:u w:color="808285"/>
              </w:rPr>
            </w:pPr>
            <w:r w:rsidRPr="009B6361">
              <w:rPr>
                <w:u w:color="808285"/>
              </w:rPr>
              <w:t>26</w:t>
            </w:r>
          </w:p>
        </w:tc>
        <w:tc>
          <w:tcPr>
            <w:tcW w:w="709" w:type="dxa"/>
            <w:tcBorders>
              <w:top w:val="nil"/>
              <w:left w:val="nil"/>
            </w:tcBorders>
          </w:tcPr>
          <w:p w14:paraId="0E72E31B" w14:textId="673B0351" w:rsidR="00616F19" w:rsidRPr="009B6361" w:rsidRDefault="00616F19" w:rsidP="00616F19">
            <w:pPr>
              <w:pStyle w:val="TableText"/>
              <w:tabs>
                <w:tab w:val="decimal" w:pos="454"/>
              </w:tabs>
              <w:spacing w:before="55" w:after="55"/>
              <w:rPr>
                <w:u w:color="808285"/>
              </w:rPr>
            </w:pPr>
            <w:r w:rsidRPr="009B6361">
              <w:rPr>
                <w:u w:color="808285"/>
              </w:rPr>
              <w:t>3</w:t>
            </w:r>
          </w:p>
        </w:tc>
        <w:tc>
          <w:tcPr>
            <w:tcW w:w="426" w:type="dxa"/>
            <w:tcBorders>
              <w:top w:val="nil"/>
              <w:bottom w:val="nil"/>
            </w:tcBorders>
            <w:shd w:val="clear" w:color="auto" w:fill="auto"/>
          </w:tcPr>
          <w:p w14:paraId="687F2892" w14:textId="77777777" w:rsidR="00616F19" w:rsidRPr="009B6361" w:rsidRDefault="00616F19" w:rsidP="00B84D9C">
            <w:pPr>
              <w:pStyle w:val="TableText"/>
              <w:tabs>
                <w:tab w:val="decimal" w:pos="636"/>
              </w:tabs>
              <w:spacing w:before="55" w:after="55"/>
              <w:rPr>
                <w:u w:color="808285"/>
              </w:rPr>
            </w:pPr>
          </w:p>
        </w:tc>
        <w:tc>
          <w:tcPr>
            <w:tcW w:w="1843" w:type="dxa"/>
            <w:tcBorders>
              <w:top w:val="nil"/>
            </w:tcBorders>
          </w:tcPr>
          <w:p w14:paraId="714457DB" w14:textId="733709BD" w:rsidR="00616F19" w:rsidRPr="009B6361" w:rsidRDefault="00616F19" w:rsidP="00B84D9C">
            <w:pPr>
              <w:pStyle w:val="TableText"/>
              <w:spacing w:before="55" w:after="55"/>
              <w:jc w:val="both"/>
              <w:rPr>
                <w:u w:color="808285"/>
              </w:rPr>
            </w:pPr>
            <w:proofErr w:type="spellStart"/>
            <w:r w:rsidRPr="009B6361">
              <w:rPr>
                <w:u w:color="808285"/>
              </w:rPr>
              <w:t>Tairāwhiti</w:t>
            </w:r>
            <w:proofErr w:type="spellEnd"/>
          </w:p>
        </w:tc>
        <w:tc>
          <w:tcPr>
            <w:tcW w:w="614" w:type="dxa"/>
            <w:tcBorders>
              <w:top w:val="nil"/>
            </w:tcBorders>
          </w:tcPr>
          <w:p w14:paraId="65EB5F32" w14:textId="217D82CF" w:rsidR="00616F19" w:rsidRPr="009B6361" w:rsidRDefault="00616F19" w:rsidP="00616F19">
            <w:pPr>
              <w:pStyle w:val="TableText"/>
              <w:tabs>
                <w:tab w:val="decimal" w:pos="454"/>
              </w:tabs>
              <w:spacing w:before="55" w:after="55"/>
              <w:rPr>
                <w:u w:color="808285"/>
              </w:rPr>
            </w:pPr>
            <w:r w:rsidRPr="009B6361">
              <w:rPr>
                <w:u w:color="808285"/>
              </w:rPr>
              <w:t>151</w:t>
            </w:r>
          </w:p>
        </w:tc>
        <w:tc>
          <w:tcPr>
            <w:tcW w:w="615" w:type="dxa"/>
            <w:tcBorders>
              <w:top w:val="nil"/>
            </w:tcBorders>
          </w:tcPr>
          <w:p w14:paraId="11AFFDEC" w14:textId="67100F4C" w:rsidR="00616F19" w:rsidRPr="009B6361" w:rsidRDefault="00616F19" w:rsidP="00616F19">
            <w:pPr>
              <w:pStyle w:val="TableText"/>
              <w:tabs>
                <w:tab w:val="decimal" w:pos="454"/>
              </w:tabs>
              <w:spacing w:before="55" w:after="55"/>
              <w:rPr>
                <w:u w:color="808285"/>
              </w:rPr>
            </w:pPr>
            <w:r w:rsidRPr="009B6361">
              <w:rPr>
                <w:u w:color="808285"/>
              </w:rPr>
              <w:t>7</w:t>
            </w:r>
          </w:p>
        </w:tc>
        <w:tc>
          <w:tcPr>
            <w:tcW w:w="615" w:type="dxa"/>
            <w:tcBorders>
              <w:top w:val="nil"/>
            </w:tcBorders>
          </w:tcPr>
          <w:p w14:paraId="27AD0AC5" w14:textId="6E27B71D" w:rsidR="00616F19" w:rsidRPr="009B6361" w:rsidRDefault="00616F19" w:rsidP="00616F19">
            <w:pPr>
              <w:pStyle w:val="TableText"/>
              <w:spacing w:before="55" w:after="55"/>
              <w:jc w:val="center"/>
              <w:rPr>
                <w:u w:color="808285"/>
              </w:rPr>
            </w:pPr>
            <w:r w:rsidRPr="009B6361">
              <w:rPr>
                <w:u w:color="808285"/>
              </w:rPr>
              <w:t>2</w:t>
            </w:r>
          </w:p>
        </w:tc>
      </w:tr>
      <w:tr w:rsidR="00616F19" w:rsidRPr="009B6361" w14:paraId="25D490F8" w14:textId="77777777" w:rsidTr="00616F19">
        <w:trPr>
          <w:cantSplit/>
        </w:trPr>
        <w:tc>
          <w:tcPr>
            <w:tcW w:w="1843" w:type="dxa"/>
            <w:tcBorders>
              <w:top w:val="nil"/>
              <w:right w:val="nil"/>
            </w:tcBorders>
          </w:tcPr>
          <w:p w14:paraId="411E0AFB" w14:textId="66CA4CE3" w:rsidR="00616F19" w:rsidRPr="009B6361" w:rsidRDefault="00616F19" w:rsidP="00616F19">
            <w:pPr>
              <w:pStyle w:val="TableText"/>
              <w:spacing w:before="55" w:after="55"/>
              <w:rPr>
                <w:u w:color="808285"/>
              </w:rPr>
            </w:pPr>
            <w:r w:rsidRPr="009B6361">
              <w:rPr>
                <w:u w:color="808285"/>
              </w:rPr>
              <w:t xml:space="preserve">Counties </w:t>
            </w:r>
            <w:proofErr w:type="spellStart"/>
            <w:r w:rsidRPr="009B6361">
              <w:rPr>
                <w:u w:color="808285"/>
              </w:rPr>
              <w:t>Manukau</w:t>
            </w:r>
            <w:proofErr w:type="spellEnd"/>
          </w:p>
        </w:tc>
        <w:tc>
          <w:tcPr>
            <w:tcW w:w="708" w:type="dxa"/>
            <w:tcBorders>
              <w:top w:val="nil"/>
              <w:left w:val="nil"/>
              <w:right w:val="nil"/>
            </w:tcBorders>
          </w:tcPr>
          <w:p w14:paraId="38980EAF" w14:textId="79F495A6" w:rsidR="00616F19" w:rsidRPr="009B6361" w:rsidRDefault="00616F19" w:rsidP="00616F19">
            <w:pPr>
              <w:pStyle w:val="TableText"/>
              <w:tabs>
                <w:tab w:val="decimal" w:pos="510"/>
              </w:tabs>
              <w:spacing w:before="55" w:after="55"/>
              <w:rPr>
                <w:u w:color="808285"/>
              </w:rPr>
            </w:pPr>
            <w:r w:rsidRPr="009B6361">
              <w:rPr>
                <w:u w:color="808285"/>
              </w:rPr>
              <w:t>91</w:t>
            </w:r>
          </w:p>
        </w:tc>
        <w:tc>
          <w:tcPr>
            <w:tcW w:w="709" w:type="dxa"/>
            <w:tcBorders>
              <w:top w:val="nil"/>
              <w:left w:val="nil"/>
              <w:right w:val="nil"/>
            </w:tcBorders>
          </w:tcPr>
          <w:p w14:paraId="3C781EB3" w14:textId="371E04CE" w:rsidR="00616F19" w:rsidRPr="009B6361" w:rsidRDefault="00616F19" w:rsidP="00616F19">
            <w:pPr>
              <w:pStyle w:val="TableText"/>
              <w:tabs>
                <w:tab w:val="decimal" w:pos="510"/>
              </w:tabs>
              <w:spacing w:before="55" w:after="55"/>
              <w:rPr>
                <w:u w:color="808285"/>
              </w:rPr>
            </w:pPr>
            <w:r w:rsidRPr="009B6361">
              <w:rPr>
                <w:u w:color="808285"/>
              </w:rPr>
              <w:t>10</w:t>
            </w:r>
          </w:p>
        </w:tc>
        <w:tc>
          <w:tcPr>
            <w:tcW w:w="709" w:type="dxa"/>
            <w:tcBorders>
              <w:top w:val="nil"/>
              <w:left w:val="nil"/>
            </w:tcBorders>
          </w:tcPr>
          <w:p w14:paraId="673E8BAC" w14:textId="15AB2449" w:rsidR="00616F19" w:rsidRPr="009B6361" w:rsidRDefault="00616F19" w:rsidP="00616F19">
            <w:pPr>
              <w:pStyle w:val="TableText"/>
              <w:tabs>
                <w:tab w:val="decimal" w:pos="454"/>
              </w:tabs>
              <w:spacing w:before="55" w:after="55"/>
              <w:rPr>
                <w:u w:color="808285"/>
              </w:rPr>
            </w:pPr>
            <w:r w:rsidRPr="009B6361">
              <w:rPr>
                <w:u w:color="808285"/>
              </w:rPr>
              <w:t>1</w:t>
            </w:r>
          </w:p>
        </w:tc>
        <w:tc>
          <w:tcPr>
            <w:tcW w:w="426" w:type="dxa"/>
            <w:tcBorders>
              <w:top w:val="nil"/>
              <w:bottom w:val="nil"/>
            </w:tcBorders>
            <w:shd w:val="clear" w:color="auto" w:fill="auto"/>
          </w:tcPr>
          <w:p w14:paraId="65812CBC" w14:textId="77777777" w:rsidR="00616F19" w:rsidRPr="009B6361" w:rsidRDefault="00616F19" w:rsidP="00B84D9C">
            <w:pPr>
              <w:pStyle w:val="TableText"/>
              <w:tabs>
                <w:tab w:val="decimal" w:pos="636"/>
              </w:tabs>
              <w:spacing w:before="55" w:after="55"/>
              <w:rPr>
                <w:u w:color="808285"/>
              </w:rPr>
            </w:pPr>
          </w:p>
        </w:tc>
        <w:tc>
          <w:tcPr>
            <w:tcW w:w="1843" w:type="dxa"/>
            <w:tcBorders>
              <w:top w:val="nil"/>
            </w:tcBorders>
          </w:tcPr>
          <w:p w14:paraId="279E0DAD" w14:textId="04A8D1F1" w:rsidR="00616F19" w:rsidRPr="009B6361" w:rsidRDefault="00616F19" w:rsidP="00B84D9C">
            <w:pPr>
              <w:pStyle w:val="TableText"/>
              <w:spacing w:before="55" w:after="55"/>
              <w:jc w:val="both"/>
              <w:rPr>
                <w:u w:color="808285"/>
              </w:rPr>
            </w:pPr>
            <w:r w:rsidRPr="009B6361">
              <w:rPr>
                <w:u w:color="808285"/>
              </w:rPr>
              <w:t>Taranaki</w:t>
            </w:r>
          </w:p>
        </w:tc>
        <w:tc>
          <w:tcPr>
            <w:tcW w:w="614" w:type="dxa"/>
            <w:tcBorders>
              <w:top w:val="nil"/>
            </w:tcBorders>
          </w:tcPr>
          <w:p w14:paraId="757F7678" w14:textId="5B8ACE82" w:rsidR="00616F19" w:rsidRPr="009B6361" w:rsidRDefault="00616F19" w:rsidP="00616F19">
            <w:pPr>
              <w:pStyle w:val="TableText"/>
              <w:tabs>
                <w:tab w:val="decimal" w:pos="454"/>
              </w:tabs>
              <w:spacing w:before="55" w:after="55"/>
              <w:rPr>
                <w:u w:color="808285"/>
              </w:rPr>
            </w:pPr>
            <w:r w:rsidRPr="009B6361">
              <w:rPr>
                <w:u w:color="808285"/>
              </w:rPr>
              <w:t>74</w:t>
            </w:r>
          </w:p>
        </w:tc>
        <w:tc>
          <w:tcPr>
            <w:tcW w:w="615" w:type="dxa"/>
            <w:tcBorders>
              <w:top w:val="nil"/>
            </w:tcBorders>
          </w:tcPr>
          <w:p w14:paraId="35F0C484" w14:textId="772147C3" w:rsidR="00616F19" w:rsidRPr="009B6361" w:rsidRDefault="00616F19" w:rsidP="00616F19">
            <w:pPr>
              <w:pStyle w:val="TableText"/>
              <w:tabs>
                <w:tab w:val="decimal" w:pos="454"/>
              </w:tabs>
              <w:spacing w:before="55" w:after="55"/>
              <w:rPr>
                <w:u w:color="808285"/>
              </w:rPr>
            </w:pPr>
            <w:r w:rsidRPr="009B6361">
              <w:rPr>
                <w:u w:color="808285"/>
              </w:rPr>
              <w:t>4</w:t>
            </w:r>
          </w:p>
        </w:tc>
        <w:tc>
          <w:tcPr>
            <w:tcW w:w="615" w:type="dxa"/>
            <w:tcBorders>
              <w:top w:val="nil"/>
            </w:tcBorders>
          </w:tcPr>
          <w:p w14:paraId="70AFDD95" w14:textId="52CAEB51" w:rsidR="00616F19" w:rsidRPr="009B6361" w:rsidRDefault="00616F19" w:rsidP="00616F19">
            <w:pPr>
              <w:pStyle w:val="TableText"/>
              <w:spacing w:before="55" w:after="55"/>
              <w:jc w:val="center"/>
              <w:rPr>
                <w:u w:color="808285"/>
              </w:rPr>
            </w:pPr>
            <w:r w:rsidRPr="009B6361">
              <w:rPr>
                <w:u w:color="808285"/>
              </w:rPr>
              <w:t>3</w:t>
            </w:r>
          </w:p>
        </w:tc>
      </w:tr>
      <w:tr w:rsidR="00616F19" w:rsidRPr="009B6361" w14:paraId="6A1E313E" w14:textId="77777777" w:rsidTr="00616F19">
        <w:trPr>
          <w:cantSplit/>
        </w:trPr>
        <w:tc>
          <w:tcPr>
            <w:tcW w:w="1843" w:type="dxa"/>
            <w:tcBorders>
              <w:top w:val="nil"/>
              <w:right w:val="nil"/>
            </w:tcBorders>
          </w:tcPr>
          <w:p w14:paraId="1588FE62" w14:textId="235411A9" w:rsidR="00616F19" w:rsidRPr="009B6361" w:rsidRDefault="00616F19" w:rsidP="00616F19">
            <w:pPr>
              <w:pStyle w:val="TableText"/>
              <w:spacing w:before="55" w:after="55"/>
              <w:rPr>
                <w:u w:color="808285"/>
              </w:rPr>
            </w:pPr>
            <w:r w:rsidRPr="009B6361">
              <w:rPr>
                <w:u w:color="808285"/>
              </w:rPr>
              <w:t>Hawke’s Bay</w:t>
            </w:r>
          </w:p>
        </w:tc>
        <w:tc>
          <w:tcPr>
            <w:tcW w:w="708" w:type="dxa"/>
            <w:tcBorders>
              <w:top w:val="nil"/>
              <w:left w:val="nil"/>
              <w:right w:val="nil"/>
            </w:tcBorders>
          </w:tcPr>
          <w:p w14:paraId="4393BEE2" w14:textId="6B3636B7" w:rsidR="00616F19" w:rsidRPr="009B6361" w:rsidRDefault="00616F19" w:rsidP="00616F19">
            <w:pPr>
              <w:pStyle w:val="TableText"/>
              <w:tabs>
                <w:tab w:val="decimal" w:pos="510"/>
              </w:tabs>
              <w:spacing w:before="55" w:after="55"/>
              <w:rPr>
                <w:u w:color="808285"/>
              </w:rPr>
            </w:pPr>
            <w:r w:rsidRPr="009B6361">
              <w:rPr>
                <w:u w:color="808285"/>
              </w:rPr>
              <w:t>160</w:t>
            </w:r>
          </w:p>
        </w:tc>
        <w:tc>
          <w:tcPr>
            <w:tcW w:w="709" w:type="dxa"/>
            <w:tcBorders>
              <w:top w:val="nil"/>
              <w:left w:val="nil"/>
              <w:right w:val="nil"/>
            </w:tcBorders>
          </w:tcPr>
          <w:p w14:paraId="160EB04E" w14:textId="19DDFEC6" w:rsidR="00616F19" w:rsidRPr="009B6361" w:rsidRDefault="00616F19" w:rsidP="00616F19">
            <w:pPr>
              <w:pStyle w:val="TableText"/>
              <w:tabs>
                <w:tab w:val="decimal" w:pos="510"/>
              </w:tabs>
              <w:spacing w:before="55" w:after="55"/>
              <w:rPr>
                <w:u w:color="808285"/>
              </w:rPr>
            </w:pPr>
            <w:r w:rsidRPr="009B6361">
              <w:rPr>
                <w:u w:color="808285"/>
              </w:rPr>
              <w:t>17</w:t>
            </w:r>
          </w:p>
        </w:tc>
        <w:tc>
          <w:tcPr>
            <w:tcW w:w="709" w:type="dxa"/>
            <w:tcBorders>
              <w:top w:val="nil"/>
              <w:left w:val="nil"/>
            </w:tcBorders>
          </w:tcPr>
          <w:p w14:paraId="4C8E6FC2" w14:textId="7483A1CE" w:rsidR="00616F19" w:rsidRPr="009B6361" w:rsidRDefault="00616F19" w:rsidP="00616F19">
            <w:pPr>
              <w:pStyle w:val="TableText"/>
              <w:tabs>
                <w:tab w:val="decimal" w:pos="454"/>
              </w:tabs>
              <w:spacing w:before="55" w:after="55"/>
              <w:rPr>
                <w:u w:color="808285"/>
              </w:rPr>
            </w:pPr>
            <w:r w:rsidRPr="009B6361">
              <w:rPr>
                <w:u w:color="808285"/>
              </w:rPr>
              <w:t>16</w:t>
            </w:r>
          </w:p>
        </w:tc>
        <w:tc>
          <w:tcPr>
            <w:tcW w:w="426" w:type="dxa"/>
            <w:tcBorders>
              <w:top w:val="nil"/>
              <w:bottom w:val="nil"/>
            </w:tcBorders>
            <w:shd w:val="clear" w:color="auto" w:fill="auto"/>
          </w:tcPr>
          <w:p w14:paraId="0F625400" w14:textId="77777777" w:rsidR="00616F19" w:rsidRPr="009B6361" w:rsidRDefault="00616F19" w:rsidP="00B84D9C">
            <w:pPr>
              <w:pStyle w:val="TableText"/>
              <w:tabs>
                <w:tab w:val="decimal" w:pos="636"/>
              </w:tabs>
              <w:spacing w:before="55" w:after="55"/>
              <w:rPr>
                <w:u w:color="808285"/>
              </w:rPr>
            </w:pPr>
          </w:p>
        </w:tc>
        <w:tc>
          <w:tcPr>
            <w:tcW w:w="1843" w:type="dxa"/>
            <w:tcBorders>
              <w:top w:val="nil"/>
            </w:tcBorders>
          </w:tcPr>
          <w:p w14:paraId="4A3D3467" w14:textId="4DB2566B" w:rsidR="00616F19" w:rsidRPr="009B6361" w:rsidRDefault="00616F19" w:rsidP="00B84D9C">
            <w:pPr>
              <w:pStyle w:val="TableText"/>
              <w:spacing w:before="55" w:after="55"/>
              <w:jc w:val="both"/>
              <w:rPr>
                <w:u w:color="808285"/>
              </w:rPr>
            </w:pPr>
            <w:r w:rsidRPr="009B6361">
              <w:rPr>
                <w:u w:color="808285"/>
              </w:rPr>
              <w:t>Waikato</w:t>
            </w:r>
          </w:p>
        </w:tc>
        <w:tc>
          <w:tcPr>
            <w:tcW w:w="614" w:type="dxa"/>
            <w:tcBorders>
              <w:top w:val="nil"/>
            </w:tcBorders>
          </w:tcPr>
          <w:p w14:paraId="29103A4C" w14:textId="4DAA3876" w:rsidR="00616F19" w:rsidRPr="009B6361" w:rsidRDefault="00616F19" w:rsidP="00616F19">
            <w:pPr>
              <w:pStyle w:val="TableText"/>
              <w:tabs>
                <w:tab w:val="decimal" w:pos="454"/>
              </w:tabs>
              <w:spacing w:before="55" w:after="55"/>
              <w:rPr>
                <w:u w:color="808285"/>
              </w:rPr>
            </w:pPr>
            <w:r w:rsidRPr="009B6361">
              <w:rPr>
                <w:u w:color="808285"/>
              </w:rPr>
              <w:t>125</w:t>
            </w:r>
          </w:p>
        </w:tc>
        <w:tc>
          <w:tcPr>
            <w:tcW w:w="615" w:type="dxa"/>
            <w:tcBorders>
              <w:top w:val="nil"/>
            </w:tcBorders>
          </w:tcPr>
          <w:p w14:paraId="6E993825" w14:textId="1644EECC" w:rsidR="00616F19" w:rsidRPr="009B6361" w:rsidRDefault="00616F19" w:rsidP="00616F19">
            <w:pPr>
              <w:pStyle w:val="TableText"/>
              <w:tabs>
                <w:tab w:val="decimal" w:pos="454"/>
              </w:tabs>
              <w:spacing w:before="55" w:after="55"/>
              <w:rPr>
                <w:u w:color="808285"/>
              </w:rPr>
            </w:pPr>
            <w:r w:rsidRPr="009B6361">
              <w:rPr>
                <w:u w:color="808285"/>
              </w:rPr>
              <w:t>15</w:t>
            </w:r>
          </w:p>
        </w:tc>
        <w:tc>
          <w:tcPr>
            <w:tcW w:w="615" w:type="dxa"/>
            <w:tcBorders>
              <w:top w:val="nil"/>
            </w:tcBorders>
          </w:tcPr>
          <w:p w14:paraId="070BC8AC" w14:textId="6D89B91C" w:rsidR="00616F19" w:rsidRPr="009B6361" w:rsidRDefault="00616F19" w:rsidP="00616F19">
            <w:pPr>
              <w:pStyle w:val="TableText"/>
              <w:spacing w:before="55" w:after="55"/>
              <w:jc w:val="center"/>
              <w:rPr>
                <w:u w:color="808285"/>
              </w:rPr>
            </w:pPr>
            <w:r w:rsidRPr="009B6361">
              <w:rPr>
                <w:u w:color="808285"/>
              </w:rPr>
              <w:t>4</w:t>
            </w:r>
          </w:p>
        </w:tc>
      </w:tr>
      <w:tr w:rsidR="00616F19" w:rsidRPr="009B6361" w14:paraId="7877E6D3" w14:textId="77777777" w:rsidTr="00616F19">
        <w:trPr>
          <w:cantSplit/>
        </w:trPr>
        <w:tc>
          <w:tcPr>
            <w:tcW w:w="1843" w:type="dxa"/>
            <w:tcBorders>
              <w:top w:val="nil"/>
              <w:right w:val="nil"/>
            </w:tcBorders>
          </w:tcPr>
          <w:p w14:paraId="1BD2D720" w14:textId="2ADF1CBF" w:rsidR="00616F19" w:rsidRPr="009B6361" w:rsidRDefault="00616F19" w:rsidP="00616F19">
            <w:pPr>
              <w:pStyle w:val="TableText"/>
              <w:spacing w:before="55" w:after="55"/>
              <w:rPr>
                <w:u w:color="808285"/>
              </w:rPr>
            </w:pPr>
            <w:r w:rsidRPr="009B6361">
              <w:rPr>
                <w:u w:color="808285"/>
              </w:rPr>
              <w:t>Hutt Valley</w:t>
            </w:r>
          </w:p>
        </w:tc>
        <w:tc>
          <w:tcPr>
            <w:tcW w:w="708" w:type="dxa"/>
            <w:tcBorders>
              <w:top w:val="nil"/>
              <w:left w:val="nil"/>
              <w:right w:val="nil"/>
            </w:tcBorders>
          </w:tcPr>
          <w:p w14:paraId="029399F4" w14:textId="4C5E9B09" w:rsidR="00616F19" w:rsidRPr="009B6361" w:rsidRDefault="00616F19" w:rsidP="00616F19">
            <w:pPr>
              <w:pStyle w:val="TableText"/>
              <w:tabs>
                <w:tab w:val="decimal" w:pos="510"/>
              </w:tabs>
              <w:spacing w:before="55" w:after="55"/>
              <w:rPr>
                <w:u w:color="808285"/>
              </w:rPr>
            </w:pPr>
            <w:r w:rsidRPr="009B6361">
              <w:rPr>
                <w:u w:color="808285"/>
              </w:rPr>
              <w:t>60</w:t>
            </w:r>
          </w:p>
        </w:tc>
        <w:tc>
          <w:tcPr>
            <w:tcW w:w="709" w:type="dxa"/>
            <w:tcBorders>
              <w:top w:val="nil"/>
              <w:left w:val="nil"/>
              <w:right w:val="nil"/>
            </w:tcBorders>
          </w:tcPr>
          <w:p w14:paraId="7385E95F" w14:textId="646E8554" w:rsidR="00616F19" w:rsidRPr="009B6361" w:rsidRDefault="00616F19" w:rsidP="00616F19">
            <w:pPr>
              <w:pStyle w:val="TableText"/>
              <w:tabs>
                <w:tab w:val="decimal" w:pos="510"/>
              </w:tabs>
              <w:spacing w:before="55" w:after="55"/>
              <w:rPr>
                <w:u w:color="808285"/>
              </w:rPr>
            </w:pPr>
            <w:r w:rsidRPr="009B6361">
              <w:rPr>
                <w:u w:color="808285"/>
              </w:rPr>
              <w:t>7</w:t>
            </w:r>
          </w:p>
        </w:tc>
        <w:tc>
          <w:tcPr>
            <w:tcW w:w="709" w:type="dxa"/>
            <w:tcBorders>
              <w:top w:val="nil"/>
              <w:left w:val="nil"/>
            </w:tcBorders>
          </w:tcPr>
          <w:p w14:paraId="7356E982" w14:textId="7EFDD847" w:rsidR="00616F19" w:rsidRPr="009B6361" w:rsidRDefault="00616F19" w:rsidP="00616F19">
            <w:pPr>
              <w:pStyle w:val="TableText"/>
              <w:tabs>
                <w:tab w:val="decimal" w:pos="454"/>
              </w:tabs>
              <w:spacing w:before="55" w:after="55"/>
              <w:rPr>
                <w:u w:color="808285"/>
              </w:rPr>
            </w:pPr>
            <w:r w:rsidRPr="009B6361">
              <w:rPr>
                <w:u w:color="808285"/>
              </w:rPr>
              <w:t>1</w:t>
            </w:r>
          </w:p>
        </w:tc>
        <w:tc>
          <w:tcPr>
            <w:tcW w:w="426" w:type="dxa"/>
            <w:tcBorders>
              <w:top w:val="nil"/>
              <w:bottom w:val="nil"/>
            </w:tcBorders>
            <w:shd w:val="clear" w:color="auto" w:fill="auto"/>
          </w:tcPr>
          <w:p w14:paraId="684904B4" w14:textId="77777777" w:rsidR="00616F19" w:rsidRPr="009B6361" w:rsidRDefault="00616F19" w:rsidP="00B84D9C">
            <w:pPr>
              <w:pStyle w:val="TableText"/>
              <w:tabs>
                <w:tab w:val="decimal" w:pos="636"/>
              </w:tabs>
              <w:spacing w:before="55" w:after="55"/>
              <w:rPr>
                <w:u w:color="808285"/>
              </w:rPr>
            </w:pPr>
          </w:p>
        </w:tc>
        <w:tc>
          <w:tcPr>
            <w:tcW w:w="1843" w:type="dxa"/>
            <w:tcBorders>
              <w:top w:val="nil"/>
            </w:tcBorders>
          </w:tcPr>
          <w:p w14:paraId="54465D8F" w14:textId="578F5F6E" w:rsidR="00616F19" w:rsidRPr="009B6361" w:rsidRDefault="00616F19" w:rsidP="00B84D9C">
            <w:pPr>
              <w:pStyle w:val="TableText"/>
              <w:spacing w:before="55" w:after="55"/>
              <w:jc w:val="both"/>
              <w:rPr>
                <w:u w:color="808285"/>
              </w:rPr>
            </w:pPr>
            <w:proofErr w:type="spellStart"/>
            <w:r w:rsidRPr="009B6361">
              <w:rPr>
                <w:u w:color="808285"/>
              </w:rPr>
              <w:t>Wairarapa</w:t>
            </w:r>
            <w:proofErr w:type="spellEnd"/>
          </w:p>
        </w:tc>
        <w:tc>
          <w:tcPr>
            <w:tcW w:w="614" w:type="dxa"/>
            <w:tcBorders>
              <w:top w:val="nil"/>
            </w:tcBorders>
          </w:tcPr>
          <w:p w14:paraId="2A800D91" w14:textId="324CED55" w:rsidR="00616F19" w:rsidRPr="009B6361" w:rsidRDefault="00616F19" w:rsidP="00616F19">
            <w:pPr>
              <w:pStyle w:val="TableText"/>
              <w:tabs>
                <w:tab w:val="decimal" w:pos="454"/>
              </w:tabs>
              <w:spacing w:before="55" w:after="55"/>
              <w:rPr>
                <w:u w:color="808285"/>
              </w:rPr>
            </w:pPr>
            <w:r w:rsidRPr="009B6361">
              <w:rPr>
                <w:u w:color="808285"/>
              </w:rPr>
              <w:t>73</w:t>
            </w:r>
          </w:p>
        </w:tc>
        <w:tc>
          <w:tcPr>
            <w:tcW w:w="615" w:type="dxa"/>
            <w:tcBorders>
              <w:top w:val="nil"/>
            </w:tcBorders>
          </w:tcPr>
          <w:p w14:paraId="0D954C9E" w14:textId="4C399EB5" w:rsidR="00616F19" w:rsidRPr="009B6361" w:rsidRDefault="00616F19" w:rsidP="00616F19">
            <w:pPr>
              <w:pStyle w:val="TableText"/>
              <w:tabs>
                <w:tab w:val="decimal" w:pos="454"/>
              </w:tabs>
              <w:spacing w:before="55" w:after="55"/>
              <w:rPr>
                <w:u w:color="808285"/>
              </w:rPr>
            </w:pPr>
            <w:r w:rsidRPr="009B6361">
              <w:rPr>
                <w:u w:color="808285"/>
              </w:rPr>
              <w:t>–</w:t>
            </w:r>
          </w:p>
        </w:tc>
        <w:tc>
          <w:tcPr>
            <w:tcW w:w="615" w:type="dxa"/>
            <w:tcBorders>
              <w:top w:val="nil"/>
            </w:tcBorders>
          </w:tcPr>
          <w:p w14:paraId="33A9142E" w14:textId="598A74DF" w:rsidR="00616F19" w:rsidRPr="009B6361" w:rsidRDefault="00616F19" w:rsidP="00616F19">
            <w:pPr>
              <w:pStyle w:val="TableText"/>
              <w:spacing w:before="55" w:after="55"/>
              <w:jc w:val="center"/>
              <w:rPr>
                <w:u w:color="808285"/>
              </w:rPr>
            </w:pPr>
            <w:r w:rsidRPr="009B6361">
              <w:rPr>
                <w:u w:color="808285"/>
              </w:rPr>
              <w:t>–</w:t>
            </w:r>
          </w:p>
        </w:tc>
      </w:tr>
      <w:tr w:rsidR="00616F19" w:rsidRPr="009B6361" w14:paraId="73044AE9" w14:textId="77777777" w:rsidTr="00616F19">
        <w:trPr>
          <w:cantSplit/>
        </w:trPr>
        <w:tc>
          <w:tcPr>
            <w:tcW w:w="1843" w:type="dxa"/>
            <w:tcBorders>
              <w:top w:val="nil"/>
              <w:right w:val="nil"/>
            </w:tcBorders>
          </w:tcPr>
          <w:p w14:paraId="52B90AF6" w14:textId="06BAC85B" w:rsidR="00616F19" w:rsidRPr="009B6361" w:rsidRDefault="00616F19" w:rsidP="00616F19">
            <w:pPr>
              <w:pStyle w:val="TableText"/>
              <w:spacing w:before="55" w:after="55"/>
              <w:rPr>
                <w:u w:color="808285"/>
              </w:rPr>
            </w:pPr>
            <w:r w:rsidRPr="009B6361">
              <w:rPr>
                <w:u w:color="808285"/>
              </w:rPr>
              <w:t>Lakes</w:t>
            </w:r>
          </w:p>
        </w:tc>
        <w:tc>
          <w:tcPr>
            <w:tcW w:w="708" w:type="dxa"/>
            <w:tcBorders>
              <w:top w:val="nil"/>
              <w:left w:val="nil"/>
              <w:right w:val="nil"/>
            </w:tcBorders>
          </w:tcPr>
          <w:p w14:paraId="1FE66F63" w14:textId="46A4FA57" w:rsidR="00616F19" w:rsidRPr="009B6361" w:rsidRDefault="00616F19" w:rsidP="00616F19">
            <w:pPr>
              <w:pStyle w:val="TableText"/>
              <w:tabs>
                <w:tab w:val="decimal" w:pos="510"/>
              </w:tabs>
              <w:spacing w:before="55" w:after="55"/>
              <w:rPr>
                <w:u w:color="808285"/>
              </w:rPr>
            </w:pPr>
            <w:r w:rsidRPr="009B6361">
              <w:rPr>
                <w:u w:color="808285"/>
              </w:rPr>
              <w:t>124</w:t>
            </w:r>
          </w:p>
        </w:tc>
        <w:tc>
          <w:tcPr>
            <w:tcW w:w="709" w:type="dxa"/>
            <w:tcBorders>
              <w:top w:val="nil"/>
              <w:left w:val="nil"/>
              <w:right w:val="nil"/>
            </w:tcBorders>
          </w:tcPr>
          <w:p w14:paraId="664BF1A5" w14:textId="4224A6AF" w:rsidR="00616F19" w:rsidRPr="009B6361" w:rsidRDefault="00616F19" w:rsidP="00616F19">
            <w:pPr>
              <w:pStyle w:val="TableText"/>
              <w:tabs>
                <w:tab w:val="decimal" w:pos="510"/>
              </w:tabs>
              <w:spacing w:before="55" w:after="55"/>
              <w:rPr>
                <w:u w:color="808285"/>
              </w:rPr>
            </w:pPr>
            <w:r w:rsidRPr="009B6361">
              <w:rPr>
                <w:u w:color="808285"/>
              </w:rPr>
              <w:t>6</w:t>
            </w:r>
          </w:p>
        </w:tc>
        <w:tc>
          <w:tcPr>
            <w:tcW w:w="709" w:type="dxa"/>
            <w:tcBorders>
              <w:top w:val="nil"/>
              <w:left w:val="nil"/>
            </w:tcBorders>
          </w:tcPr>
          <w:p w14:paraId="0A822821" w14:textId="131B6191" w:rsidR="00616F19" w:rsidRPr="009B6361" w:rsidRDefault="00616F19" w:rsidP="00616F19">
            <w:pPr>
              <w:pStyle w:val="TableText"/>
              <w:tabs>
                <w:tab w:val="decimal" w:pos="454"/>
              </w:tabs>
              <w:spacing w:before="55" w:after="55"/>
              <w:rPr>
                <w:u w:color="808285"/>
              </w:rPr>
            </w:pPr>
            <w:r w:rsidRPr="009B6361">
              <w:rPr>
                <w:u w:color="808285"/>
              </w:rPr>
              <w:t>5</w:t>
            </w:r>
          </w:p>
        </w:tc>
        <w:tc>
          <w:tcPr>
            <w:tcW w:w="426" w:type="dxa"/>
            <w:tcBorders>
              <w:top w:val="nil"/>
              <w:bottom w:val="nil"/>
            </w:tcBorders>
            <w:shd w:val="clear" w:color="auto" w:fill="auto"/>
          </w:tcPr>
          <w:p w14:paraId="3E4A1DA8" w14:textId="77777777" w:rsidR="00616F19" w:rsidRPr="009B6361" w:rsidRDefault="00616F19" w:rsidP="00B84D9C">
            <w:pPr>
              <w:pStyle w:val="TableText"/>
              <w:tabs>
                <w:tab w:val="decimal" w:pos="636"/>
              </w:tabs>
              <w:spacing w:before="55" w:after="55"/>
              <w:rPr>
                <w:u w:color="808285"/>
              </w:rPr>
            </w:pPr>
          </w:p>
        </w:tc>
        <w:tc>
          <w:tcPr>
            <w:tcW w:w="1843" w:type="dxa"/>
            <w:tcBorders>
              <w:top w:val="nil"/>
            </w:tcBorders>
          </w:tcPr>
          <w:p w14:paraId="3C607B31" w14:textId="2FB2772A" w:rsidR="00616F19" w:rsidRPr="009B6361" w:rsidRDefault="00616F19" w:rsidP="00B84D9C">
            <w:pPr>
              <w:pStyle w:val="TableText"/>
              <w:spacing w:before="55" w:after="55"/>
              <w:jc w:val="both"/>
              <w:rPr>
                <w:u w:color="808285"/>
              </w:rPr>
            </w:pPr>
            <w:proofErr w:type="spellStart"/>
            <w:r w:rsidRPr="009B6361">
              <w:rPr>
                <w:u w:color="808285"/>
              </w:rPr>
              <w:t>Waitemata</w:t>
            </w:r>
            <w:proofErr w:type="spellEnd"/>
          </w:p>
        </w:tc>
        <w:tc>
          <w:tcPr>
            <w:tcW w:w="614" w:type="dxa"/>
            <w:tcBorders>
              <w:top w:val="nil"/>
            </w:tcBorders>
          </w:tcPr>
          <w:p w14:paraId="5C62D360" w14:textId="6C924C2A" w:rsidR="00616F19" w:rsidRPr="009B6361" w:rsidRDefault="00616F19" w:rsidP="00616F19">
            <w:pPr>
              <w:pStyle w:val="TableText"/>
              <w:tabs>
                <w:tab w:val="decimal" w:pos="454"/>
              </w:tabs>
              <w:spacing w:before="55" w:after="55"/>
              <w:rPr>
                <w:u w:color="808285"/>
              </w:rPr>
            </w:pPr>
            <w:r w:rsidRPr="009B6361">
              <w:rPr>
                <w:u w:color="808285"/>
              </w:rPr>
              <w:t>70</w:t>
            </w:r>
          </w:p>
        </w:tc>
        <w:tc>
          <w:tcPr>
            <w:tcW w:w="615" w:type="dxa"/>
            <w:tcBorders>
              <w:top w:val="nil"/>
            </w:tcBorders>
          </w:tcPr>
          <w:p w14:paraId="5653FC24" w14:textId="4380D328" w:rsidR="00616F19" w:rsidRPr="009B6361" w:rsidRDefault="00616F19" w:rsidP="00616F19">
            <w:pPr>
              <w:pStyle w:val="TableText"/>
              <w:tabs>
                <w:tab w:val="decimal" w:pos="454"/>
              </w:tabs>
              <w:spacing w:before="55" w:after="55"/>
              <w:rPr>
                <w:u w:color="808285"/>
              </w:rPr>
            </w:pPr>
            <w:r w:rsidRPr="009B6361">
              <w:rPr>
                <w:u w:color="808285"/>
              </w:rPr>
              <w:t>12</w:t>
            </w:r>
          </w:p>
        </w:tc>
        <w:tc>
          <w:tcPr>
            <w:tcW w:w="615" w:type="dxa"/>
            <w:tcBorders>
              <w:top w:val="nil"/>
            </w:tcBorders>
          </w:tcPr>
          <w:p w14:paraId="6EFCCAFD" w14:textId="40316E96" w:rsidR="00616F19" w:rsidRPr="009B6361" w:rsidRDefault="00616F19" w:rsidP="00616F19">
            <w:pPr>
              <w:pStyle w:val="TableText"/>
              <w:spacing w:before="55" w:after="55"/>
              <w:jc w:val="center"/>
              <w:rPr>
                <w:u w:color="808285"/>
              </w:rPr>
            </w:pPr>
            <w:r w:rsidRPr="009B6361">
              <w:rPr>
                <w:u w:color="808285"/>
              </w:rPr>
              <w:t>2</w:t>
            </w:r>
          </w:p>
        </w:tc>
      </w:tr>
      <w:tr w:rsidR="00616F19" w:rsidRPr="009B6361" w14:paraId="74EA6587" w14:textId="77777777" w:rsidTr="00616F19">
        <w:trPr>
          <w:cantSplit/>
        </w:trPr>
        <w:tc>
          <w:tcPr>
            <w:tcW w:w="1843" w:type="dxa"/>
            <w:tcBorders>
              <w:top w:val="nil"/>
              <w:right w:val="nil"/>
            </w:tcBorders>
          </w:tcPr>
          <w:p w14:paraId="1BAC8F54" w14:textId="5F45D8B0" w:rsidR="00616F19" w:rsidRPr="009B6361" w:rsidRDefault="00616F19" w:rsidP="00616F19">
            <w:pPr>
              <w:pStyle w:val="TableText"/>
              <w:spacing w:before="55" w:after="55"/>
              <w:rPr>
                <w:u w:color="808285"/>
              </w:rPr>
            </w:pPr>
            <w:proofErr w:type="spellStart"/>
            <w:r w:rsidRPr="009B6361">
              <w:rPr>
                <w:u w:color="808285"/>
              </w:rPr>
              <w:t>MidCentral</w:t>
            </w:r>
            <w:proofErr w:type="spellEnd"/>
          </w:p>
        </w:tc>
        <w:tc>
          <w:tcPr>
            <w:tcW w:w="708" w:type="dxa"/>
            <w:tcBorders>
              <w:top w:val="nil"/>
              <w:left w:val="nil"/>
              <w:right w:val="nil"/>
            </w:tcBorders>
          </w:tcPr>
          <w:p w14:paraId="4603484E" w14:textId="1596C051" w:rsidR="00616F19" w:rsidRPr="009B6361" w:rsidRDefault="00616F19" w:rsidP="00616F19">
            <w:pPr>
              <w:pStyle w:val="TableText"/>
              <w:tabs>
                <w:tab w:val="decimal" w:pos="510"/>
              </w:tabs>
              <w:spacing w:before="55" w:after="55"/>
              <w:rPr>
                <w:u w:color="808285"/>
              </w:rPr>
            </w:pPr>
            <w:r w:rsidRPr="009B6361">
              <w:rPr>
                <w:u w:color="808285"/>
              </w:rPr>
              <w:t>75</w:t>
            </w:r>
          </w:p>
        </w:tc>
        <w:tc>
          <w:tcPr>
            <w:tcW w:w="709" w:type="dxa"/>
            <w:tcBorders>
              <w:top w:val="nil"/>
              <w:left w:val="nil"/>
              <w:right w:val="nil"/>
            </w:tcBorders>
          </w:tcPr>
          <w:p w14:paraId="06F9BA6C" w14:textId="535C97E0" w:rsidR="00616F19" w:rsidRPr="009B6361" w:rsidRDefault="00616F19" w:rsidP="00616F19">
            <w:pPr>
              <w:pStyle w:val="TableText"/>
              <w:tabs>
                <w:tab w:val="decimal" w:pos="510"/>
              </w:tabs>
              <w:spacing w:before="55" w:after="55"/>
              <w:rPr>
                <w:u w:color="808285"/>
              </w:rPr>
            </w:pPr>
            <w:r w:rsidRPr="009B6361">
              <w:rPr>
                <w:u w:color="808285"/>
              </w:rPr>
              <w:t>21</w:t>
            </w:r>
          </w:p>
        </w:tc>
        <w:tc>
          <w:tcPr>
            <w:tcW w:w="709" w:type="dxa"/>
            <w:tcBorders>
              <w:top w:val="nil"/>
              <w:left w:val="nil"/>
            </w:tcBorders>
          </w:tcPr>
          <w:p w14:paraId="35716BCB" w14:textId="223B4BE9" w:rsidR="00616F19" w:rsidRPr="009B6361" w:rsidRDefault="00616F19" w:rsidP="00616F19">
            <w:pPr>
              <w:pStyle w:val="TableText"/>
              <w:tabs>
                <w:tab w:val="decimal" w:pos="454"/>
              </w:tabs>
              <w:spacing w:before="55" w:after="55"/>
              <w:rPr>
                <w:u w:color="808285"/>
              </w:rPr>
            </w:pPr>
            <w:r w:rsidRPr="009B6361">
              <w:rPr>
                <w:u w:color="808285"/>
              </w:rPr>
              <w:t>1</w:t>
            </w:r>
          </w:p>
        </w:tc>
        <w:tc>
          <w:tcPr>
            <w:tcW w:w="426" w:type="dxa"/>
            <w:tcBorders>
              <w:top w:val="nil"/>
              <w:bottom w:val="nil"/>
            </w:tcBorders>
            <w:shd w:val="clear" w:color="auto" w:fill="auto"/>
          </w:tcPr>
          <w:p w14:paraId="5B412B2D" w14:textId="77777777" w:rsidR="00616F19" w:rsidRPr="009B6361" w:rsidRDefault="00616F19" w:rsidP="00B84D9C">
            <w:pPr>
              <w:pStyle w:val="TableText"/>
              <w:tabs>
                <w:tab w:val="decimal" w:pos="636"/>
              </w:tabs>
              <w:spacing w:before="55" w:after="55"/>
              <w:rPr>
                <w:u w:color="808285"/>
              </w:rPr>
            </w:pPr>
          </w:p>
        </w:tc>
        <w:tc>
          <w:tcPr>
            <w:tcW w:w="1843" w:type="dxa"/>
            <w:tcBorders>
              <w:top w:val="nil"/>
            </w:tcBorders>
          </w:tcPr>
          <w:p w14:paraId="6E2254C8" w14:textId="436C4E27" w:rsidR="00616F19" w:rsidRPr="009B6361" w:rsidRDefault="00616F19" w:rsidP="00B84D9C">
            <w:pPr>
              <w:pStyle w:val="TableText"/>
              <w:spacing w:before="55" w:after="55"/>
              <w:jc w:val="both"/>
              <w:rPr>
                <w:u w:color="808285"/>
              </w:rPr>
            </w:pPr>
            <w:r w:rsidRPr="009B6361">
              <w:rPr>
                <w:u w:color="808285"/>
              </w:rPr>
              <w:t>West Coast</w:t>
            </w:r>
          </w:p>
        </w:tc>
        <w:tc>
          <w:tcPr>
            <w:tcW w:w="614" w:type="dxa"/>
            <w:tcBorders>
              <w:top w:val="nil"/>
            </w:tcBorders>
          </w:tcPr>
          <w:p w14:paraId="361B6B07" w14:textId="2CFF09F5" w:rsidR="00616F19" w:rsidRPr="009B6361" w:rsidRDefault="00616F19" w:rsidP="00616F19">
            <w:pPr>
              <w:pStyle w:val="TableText"/>
              <w:tabs>
                <w:tab w:val="decimal" w:pos="454"/>
              </w:tabs>
              <w:spacing w:before="55" w:after="55"/>
              <w:rPr>
                <w:u w:color="808285"/>
              </w:rPr>
            </w:pPr>
            <w:r w:rsidRPr="009B6361">
              <w:rPr>
                <w:u w:color="808285"/>
              </w:rPr>
              <w:t>86</w:t>
            </w:r>
          </w:p>
        </w:tc>
        <w:tc>
          <w:tcPr>
            <w:tcW w:w="615" w:type="dxa"/>
            <w:tcBorders>
              <w:top w:val="nil"/>
            </w:tcBorders>
          </w:tcPr>
          <w:p w14:paraId="54E5B472" w14:textId="4F2DC309" w:rsidR="00616F19" w:rsidRPr="009B6361" w:rsidRDefault="00616F19" w:rsidP="00616F19">
            <w:pPr>
              <w:pStyle w:val="TableText"/>
              <w:tabs>
                <w:tab w:val="decimal" w:pos="454"/>
              </w:tabs>
              <w:spacing w:before="55" w:after="55"/>
              <w:rPr>
                <w:u w:color="808285"/>
              </w:rPr>
            </w:pPr>
            <w:r w:rsidRPr="009B6361">
              <w:rPr>
                <w:u w:color="808285"/>
              </w:rPr>
              <w:t>4</w:t>
            </w:r>
          </w:p>
        </w:tc>
        <w:tc>
          <w:tcPr>
            <w:tcW w:w="615" w:type="dxa"/>
            <w:tcBorders>
              <w:top w:val="nil"/>
            </w:tcBorders>
          </w:tcPr>
          <w:p w14:paraId="0B486F81" w14:textId="29A0119A" w:rsidR="00616F19" w:rsidRPr="009B6361" w:rsidRDefault="00616F19" w:rsidP="00616F19">
            <w:pPr>
              <w:pStyle w:val="TableText"/>
              <w:spacing w:before="55" w:after="55"/>
              <w:jc w:val="center"/>
              <w:rPr>
                <w:u w:color="808285"/>
              </w:rPr>
            </w:pPr>
            <w:r w:rsidRPr="009B6361">
              <w:rPr>
                <w:u w:color="808285"/>
              </w:rPr>
              <w:t>1</w:t>
            </w:r>
          </w:p>
        </w:tc>
      </w:tr>
      <w:tr w:rsidR="00616F19" w:rsidRPr="009B6361" w14:paraId="11BB0393" w14:textId="77777777" w:rsidTr="00616F19">
        <w:trPr>
          <w:cantSplit/>
        </w:trPr>
        <w:tc>
          <w:tcPr>
            <w:tcW w:w="1843" w:type="dxa"/>
            <w:tcBorders>
              <w:top w:val="nil"/>
              <w:bottom w:val="single" w:sz="4" w:space="0" w:color="A6A6A6" w:themeColor="background1" w:themeShade="A6"/>
              <w:right w:val="nil"/>
            </w:tcBorders>
          </w:tcPr>
          <w:p w14:paraId="4F7FB8DC" w14:textId="4E84E01D" w:rsidR="00616F19" w:rsidRPr="009B6361" w:rsidRDefault="00616F19" w:rsidP="00616F19">
            <w:pPr>
              <w:pStyle w:val="TableText"/>
              <w:spacing w:before="55" w:after="55"/>
              <w:rPr>
                <w:u w:color="808285"/>
              </w:rPr>
            </w:pPr>
            <w:r w:rsidRPr="009B6361">
              <w:rPr>
                <w:u w:color="808285"/>
              </w:rPr>
              <w:t>Nelson Marlborough</w:t>
            </w:r>
          </w:p>
        </w:tc>
        <w:tc>
          <w:tcPr>
            <w:tcW w:w="708" w:type="dxa"/>
            <w:tcBorders>
              <w:top w:val="nil"/>
              <w:left w:val="nil"/>
              <w:bottom w:val="single" w:sz="4" w:space="0" w:color="A6A6A6" w:themeColor="background1" w:themeShade="A6"/>
              <w:right w:val="nil"/>
            </w:tcBorders>
          </w:tcPr>
          <w:p w14:paraId="71E3C269" w14:textId="5A969DD6" w:rsidR="00616F19" w:rsidRPr="009B6361" w:rsidRDefault="00616F19" w:rsidP="00616F19">
            <w:pPr>
              <w:pStyle w:val="TableText"/>
              <w:tabs>
                <w:tab w:val="decimal" w:pos="510"/>
              </w:tabs>
              <w:spacing w:before="55" w:after="55"/>
              <w:rPr>
                <w:u w:color="808285"/>
              </w:rPr>
            </w:pPr>
            <w:r w:rsidRPr="009B6361">
              <w:rPr>
                <w:u w:color="808285"/>
              </w:rPr>
              <w:t>62</w:t>
            </w:r>
          </w:p>
        </w:tc>
        <w:tc>
          <w:tcPr>
            <w:tcW w:w="709" w:type="dxa"/>
            <w:tcBorders>
              <w:top w:val="nil"/>
              <w:left w:val="nil"/>
              <w:bottom w:val="single" w:sz="4" w:space="0" w:color="A6A6A6" w:themeColor="background1" w:themeShade="A6"/>
              <w:right w:val="nil"/>
            </w:tcBorders>
          </w:tcPr>
          <w:p w14:paraId="49A624F7" w14:textId="5F320AC2" w:rsidR="00616F19" w:rsidRPr="009B6361" w:rsidRDefault="00616F19" w:rsidP="00616F19">
            <w:pPr>
              <w:pStyle w:val="TableText"/>
              <w:tabs>
                <w:tab w:val="decimal" w:pos="510"/>
              </w:tabs>
              <w:spacing w:before="55" w:after="55"/>
              <w:rPr>
                <w:u w:color="808285"/>
              </w:rPr>
            </w:pPr>
            <w:r w:rsidRPr="009B6361">
              <w:rPr>
                <w:u w:color="808285"/>
              </w:rPr>
              <w:t>11</w:t>
            </w:r>
          </w:p>
        </w:tc>
        <w:tc>
          <w:tcPr>
            <w:tcW w:w="709" w:type="dxa"/>
            <w:tcBorders>
              <w:top w:val="nil"/>
              <w:left w:val="nil"/>
              <w:bottom w:val="single" w:sz="4" w:space="0" w:color="A6A6A6" w:themeColor="background1" w:themeShade="A6"/>
            </w:tcBorders>
          </w:tcPr>
          <w:p w14:paraId="05E4E416" w14:textId="1DD3A386" w:rsidR="00616F19" w:rsidRPr="009B6361" w:rsidRDefault="00616F19" w:rsidP="00616F19">
            <w:pPr>
              <w:pStyle w:val="TableText"/>
              <w:tabs>
                <w:tab w:val="decimal" w:pos="454"/>
              </w:tabs>
              <w:spacing w:before="55" w:after="55"/>
              <w:rPr>
                <w:u w:color="808285"/>
              </w:rPr>
            </w:pPr>
            <w:r w:rsidRPr="009B6361">
              <w:rPr>
                <w:u w:color="808285"/>
              </w:rPr>
              <w:t>–</w:t>
            </w:r>
          </w:p>
        </w:tc>
        <w:tc>
          <w:tcPr>
            <w:tcW w:w="426" w:type="dxa"/>
            <w:tcBorders>
              <w:top w:val="nil"/>
              <w:bottom w:val="nil"/>
            </w:tcBorders>
            <w:shd w:val="clear" w:color="auto" w:fill="auto"/>
          </w:tcPr>
          <w:p w14:paraId="390ED6FE" w14:textId="77777777" w:rsidR="00616F19" w:rsidRPr="009B6361" w:rsidRDefault="00616F19" w:rsidP="00B84D9C">
            <w:pPr>
              <w:pStyle w:val="TableText"/>
              <w:tabs>
                <w:tab w:val="decimal" w:pos="636"/>
              </w:tabs>
              <w:spacing w:before="55" w:after="55"/>
              <w:rPr>
                <w:u w:color="808285"/>
              </w:rPr>
            </w:pPr>
          </w:p>
        </w:tc>
        <w:tc>
          <w:tcPr>
            <w:tcW w:w="1843" w:type="dxa"/>
            <w:tcBorders>
              <w:top w:val="nil"/>
            </w:tcBorders>
          </w:tcPr>
          <w:p w14:paraId="095A8E31" w14:textId="7CD018E8" w:rsidR="00616F19" w:rsidRPr="009B6361" w:rsidRDefault="00616F19" w:rsidP="00B84D9C">
            <w:pPr>
              <w:pStyle w:val="TableText"/>
              <w:spacing w:before="55" w:after="55"/>
              <w:jc w:val="both"/>
              <w:rPr>
                <w:u w:color="808285"/>
              </w:rPr>
            </w:pPr>
            <w:r w:rsidRPr="009B6361">
              <w:rPr>
                <w:u w:color="231F20"/>
              </w:rPr>
              <w:t>Whanganui</w:t>
            </w:r>
          </w:p>
        </w:tc>
        <w:tc>
          <w:tcPr>
            <w:tcW w:w="614" w:type="dxa"/>
            <w:tcBorders>
              <w:top w:val="nil"/>
            </w:tcBorders>
          </w:tcPr>
          <w:p w14:paraId="720D9EF3" w14:textId="565885EC" w:rsidR="00616F19" w:rsidRPr="009B6361" w:rsidRDefault="00616F19" w:rsidP="00616F19">
            <w:pPr>
              <w:pStyle w:val="TableText"/>
              <w:tabs>
                <w:tab w:val="decimal" w:pos="454"/>
              </w:tabs>
              <w:spacing w:before="55" w:after="55"/>
              <w:rPr>
                <w:u w:color="808285"/>
              </w:rPr>
            </w:pPr>
            <w:r w:rsidRPr="009B6361">
              <w:rPr>
                <w:u w:color="231F20"/>
              </w:rPr>
              <w:t>94</w:t>
            </w:r>
          </w:p>
        </w:tc>
        <w:tc>
          <w:tcPr>
            <w:tcW w:w="615" w:type="dxa"/>
            <w:tcBorders>
              <w:top w:val="nil"/>
            </w:tcBorders>
          </w:tcPr>
          <w:p w14:paraId="0F97D67A" w14:textId="1D16A280" w:rsidR="00616F19" w:rsidRPr="009B6361" w:rsidRDefault="00616F19" w:rsidP="00616F19">
            <w:pPr>
              <w:pStyle w:val="TableText"/>
              <w:tabs>
                <w:tab w:val="decimal" w:pos="454"/>
              </w:tabs>
              <w:spacing w:before="55" w:after="55"/>
              <w:rPr>
                <w:u w:color="808285"/>
              </w:rPr>
            </w:pPr>
            <w:r w:rsidRPr="009B6361">
              <w:rPr>
                <w:u w:color="231F20"/>
              </w:rPr>
              <w:t>21</w:t>
            </w:r>
          </w:p>
        </w:tc>
        <w:tc>
          <w:tcPr>
            <w:tcW w:w="615" w:type="dxa"/>
            <w:tcBorders>
              <w:top w:val="nil"/>
            </w:tcBorders>
          </w:tcPr>
          <w:p w14:paraId="4F0BC615" w14:textId="0864D455" w:rsidR="00616F19" w:rsidRPr="009B6361" w:rsidRDefault="00616F19" w:rsidP="00616F19">
            <w:pPr>
              <w:pStyle w:val="TableText"/>
              <w:spacing w:before="55" w:after="55"/>
              <w:jc w:val="center"/>
              <w:rPr>
                <w:u w:color="808285"/>
              </w:rPr>
            </w:pPr>
            <w:r w:rsidRPr="009B6361">
              <w:rPr>
                <w:u w:color="231F20"/>
              </w:rPr>
              <w:t>3</w:t>
            </w:r>
          </w:p>
        </w:tc>
      </w:tr>
      <w:tr w:rsidR="00616F19" w:rsidRPr="009B6361" w14:paraId="64978436" w14:textId="77777777" w:rsidTr="00616F19">
        <w:trPr>
          <w:cantSplit/>
        </w:trPr>
        <w:tc>
          <w:tcPr>
            <w:tcW w:w="1843" w:type="dxa"/>
            <w:tcBorders>
              <w:top w:val="single" w:sz="4" w:space="0" w:color="A6A6A6" w:themeColor="background1" w:themeShade="A6"/>
              <w:bottom w:val="nil"/>
              <w:right w:val="nil"/>
            </w:tcBorders>
          </w:tcPr>
          <w:p w14:paraId="7E1A5165" w14:textId="77777777" w:rsidR="00616F19" w:rsidRPr="009B6361" w:rsidRDefault="00616F19" w:rsidP="00616F19">
            <w:pPr>
              <w:pStyle w:val="TableText"/>
              <w:spacing w:before="55" w:after="55"/>
              <w:rPr>
                <w:u w:color="808285"/>
              </w:rPr>
            </w:pPr>
          </w:p>
        </w:tc>
        <w:tc>
          <w:tcPr>
            <w:tcW w:w="708" w:type="dxa"/>
            <w:tcBorders>
              <w:top w:val="single" w:sz="4" w:space="0" w:color="A6A6A6" w:themeColor="background1" w:themeShade="A6"/>
              <w:left w:val="nil"/>
              <w:bottom w:val="nil"/>
              <w:right w:val="nil"/>
            </w:tcBorders>
          </w:tcPr>
          <w:p w14:paraId="52B17F69" w14:textId="77777777" w:rsidR="00616F19" w:rsidRPr="009B6361" w:rsidRDefault="00616F19" w:rsidP="00B84D9C">
            <w:pPr>
              <w:pStyle w:val="TableText"/>
              <w:tabs>
                <w:tab w:val="decimal" w:pos="636"/>
              </w:tabs>
              <w:spacing w:before="55" w:after="55"/>
              <w:rPr>
                <w:u w:color="808285"/>
              </w:rPr>
            </w:pPr>
          </w:p>
        </w:tc>
        <w:tc>
          <w:tcPr>
            <w:tcW w:w="709" w:type="dxa"/>
            <w:tcBorders>
              <w:top w:val="single" w:sz="4" w:space="0" w:color="A6A6A6" w:themeColor="background1" w:themeShade="A6"/>
              <w:left w:val="nil"/>
              <w:bottom w:val="nil"/>
              <w:right w:val="nil"/>
            </w:tcBorders>
          </w:tcPr>
          <w:p w14:paraId="7E71B263" w14:textId="77777777" w:rsidR="00616F19" w:rsidRPr="009B6361" w:rsidRDefault="00616F19" w:rsidP="00B84D9C">
            <w:pPr>
              <w:pStyle w:val="TableText"/>
              <w:tabs>
                <w:tab w:val="decimal" w:pos="636"/>
              </w:tabs>
              <w:spacing w:before="55" w:after="55"/>
              <w:rPr>
                <w:u w:color="808285"/>
              </w:rPr>
            </w:pPr>
          </w:p>
        </w:tc>
        <w:tc>
          <w:tcPr>
            <w:tcW w:w="709" w:type="dxa"/>
            <w:tcBorders>
              <w:top w:val="single" w:sz="4" w:space="0" w:color="A6A6A6" w:themeColor="background1" w:themeShade="A6"/>
              <w:left w:val="nil"/>
              <w:bottom w:val="nil"/>
            </w:tcBorders>
          </w:tcPr>
          <w:p w14:paraId="6AD57899" w14:textId="77777777" w:rsidR="00616F19" w:rsidRPr="009B6361" w:rsidRDefault="00616F19" w:rsidP="00B84D9C">
            <w:pPr>
              <w:pStyle w:val="TableText"/>
              <w:tabs>
                <w:tab w:val="decimal" w:pos="636"/>
              </w:tabs>
              <w:spacing w:before="55" w:after="55"/>
              <w:rPr>
                <w:u w:color="808285"/>
              </w:rPr>
            </w:pPr>
          </w:p>
        </w:tc>
        <w:tc>
          <w:tcPr>
            <w:tcW w:w="426" w:type="dxa"/>
            <w:tcBorders>
              <w:top w:val="nil"/>
              <w:bottom w:val="nil"/>
            </w:tcBorders>
            <w:shd w:val="clear" w:color="auto" w:fill="auto"/>
          </w:tcPr>
          <w:p w14:paraId="1A80705C" w14:textId="77777777" w:rsidR="00616F19" w:rsidRPr="009B6361" w:rsidRDefault="00616F19" w:rsidP="00B84D9C">
            <w:pPr>
              <w:pStyle w:val="TableText"/>
              <w:tabs>
                <w:tab w:val="decimal" w:pos="636"/>
              </w:tabs>
              <w:spacing w:before="55" w:after="55"/>
              <w:rPr>
                <w:u w:color="808285"/>
              </w:rPr>
            </w:pPr>
          </w:p>
        </w:tc>
        <w:tc>
          <w:tcPr>
            <w:tcW w:w="1843" w:type="dxa"/>
            <w:tcBorders>
              <w:top w:val="nil"/>
            </w:tcBorders>
          </w:tcPr>
          <w:p w14:paraId="4C6326C1" w14:textId="23B7FF9C" w:rsidR="00616F19" w:rsidRPr="00616F19" w:rsidRDefault="00616F19" w:rsidP="00B84D9C">
            <w:pPr>
              <w:pStyle w:val="TableText"/>
              <w:spacing w:before="55" w:after="55"/>
              <w:jc w:val="both"/>
              <w:rPr>
                <w:b/>
                <w:u w:color="231F20"/>
              </w:rPr>
            </w:pPr>
            <w:r w:rsidRPr="00616F19">
              <w:rPr>
                <w:b/>
                <w:u w:color="231F20"/>
              </w:rPr>
              <w:t>National average</w:t>
            </w:r>
          </w:p>
        </w:tc>
        <w:tc>
          <w:tcPr>
            <w:tcW w:w="614" w:type="dxa"/>
            <w:tcBorders>
              <w:top w:val="nil"/>
            </w:tcBorders>
          </w:tcPr>
          <w:p w14:paraId="12D28FD6" w14:textId="64D5BE0A" w:rsidR="00616F19" w:rsidRPr="00616F19" w:rsidRDefault="00616F19" w:rsidP="00616F19">
            <w:pPr>
              <w:pStyle w:val="TableText"/>
              <w:tabs>
                <w:tab w:val="decimal" w:pos="454"/>
              </w:tabs>
              <w:spacing w:before="55" w:after="55"/>
              <w:rPr>
                <w:b/>
                <w:u w:color="231F20"/>
              </w:rPr>
            </w:pPr>
            <w:r w:rsidRPr="00616F19">
              <w:rPr>
                <w:b/>
                <w:u w:color="231F20"/>
              </w:rPr>
              <w:t>88</w:t>
            </w:r>
          </w:p>
        </w:tc>
        <w:tc>
          <w:tcPr>
            <w:tcW w:w="615" w:type="dxa"/>
            <w:tcBorders>
              <w:top w:val="nil"/>
            </w:tcBorders>
          </w:tcPr>
          <w:p w14:paraId="32E4B06D" w14:textId="76E87293" w:rsidR="00616F19" w:rsidRPr="00616F19" w:rsidRDefault="00616F19" w:rsidP="00616F19">
            <w:pPr>
              <w:pStyle w:val="TableText"/>
              <w:tabs>
                <w:tab w:val="decimal" w:pos="454"/>
              </w:tabs>
              <w:spacing w:before="55" w:after="55"/>
              <w:rPr>
                <w:b/>
                <w:u w:color="231F20"/>
              </w:rPr>
            </w:pPr>
            <w:r w:rsidRPr="00616F19">
              <w:rPr>
                <w:b/>
                <w:u w:color="231F20"/>
              </w:rPr>
              <w:t>13</w:t>
            </w:r>
          </w:p>
        </w:tc>
        <w:tc>
          <w:tcPr>
            <w:tcW w:w="615" w:type="dxa"/>
            <w:tcBorders>
              <w:top w:val="nil"/>
            </w:tcBorders>
          </w:tcPr>
          <w:p w14:paraId="0A511B78" w14:textId="4E8075A6" w:rsidR="00616F19" w:rsidRPr="00616F19" w:rsidRDefault="00616F19" w:rsidP="00616F19">
            <w:pPr>
              <w:pStyle w:val="TableText"/>
              <w:spacing w:before="55" w:after="55"/>
              <w:jc w:val="center"/>
              <w:rPr>
                <w:b/>
                <w:u w:color="231F20"/>
              </w:rPr>
            </w:pPr>
            <w:r w:rsidRPr="00616F19">
              <w:rPr>
                <w:b/>
                <w:u w:color="231F20"/>
              </w:rPr>
              <w:t>3</w:t>
            </w:r>
          </w:p>
        </w:tc>
      </w:tr>
    </w:tbl>
    <w:p w14:paraId="4656C54A" w14:textId="77777777" w:rsidR="00740DA6" w:rsidRPr="00EC5EF1" w:rsidRDefault="00740DA6" w:rsidP="00E45C29">
      <w:pPr>
        <w:pStyle w:val="Note"/>
      </w:pPr>
      <w:r w:rsidRPr="00EC5EF1">
        <w:t>Note: * ‘On a given day’ is the average of the last day of each month.</w:t>
      </w:r>
    </w:p>
    <w:p w14:paraId="09DB7EA7" w14:textId="06B8FB43" w:rsidR="00740DA6" w:rsidRPr="00EC5EF1" w:rsidRDefault="00740DA6" w:rsidP="00E45C29">
      <w:pPr>
        <w:pStyle w:val="Source"/>
      </w:pPr>
      <w:r w:rsidRPr="00EC5EF1">
        <w:t>Source: PRIMHD data, extracted on 17 August 2018, except Southern DHB, which submitted data manually</w:t>
      </w:r>
    </w:p>
    <w:p w14:paraId="07E257F5" w14:textId="77777777" w:rsidR="00740DA6" w:rsidRPr="00EC5EF1" w:rsidRDefault="00740DA6" w:rsidP="007C5C2A"/>
    <w:p w14:paraId="1154F6CC" w14:textId="1196D72D" w:rsidR="00740DA6" w:rsidRDefault="00740DA6" w:rsidP="007C5C2A">
      <w:pPr>
        <w:pStyle w:val="Figure"/>
      </w:pPr>
      <w:bookmarkStart w:id="69" w:name="_Toc2845710"/>
      <w:r w:rsidRPr="00EC5EF1">
        <w:t>Figure 8: Average number of people per 100,000 on a given day* subject to a community treatment order (section 29 of the Mental Health Act), by DHB, 1 January to 31 December 2017</w:t>
      </w:r>
      <w:bookmarkEnd w:id="69"/>
    </w:p>
    <w:p w14:paraId="62C9839B" w14:textId="57E0FBF4" w:rsidR="007C5C2A" w:rsidRDefault="00357A0A" w:rsidP="007C5C2A">
      <w:r>
        <w:rPr>
          <w:noProof/>
          <w:lang w:eastAsia="en-NZ"/>
        </w:rPr>
        <w:drawing>
          <wp:inline distT="0" distB="0" distL="0" distR="0" wp14:anchorId="6D2E9E6C" wp14:editId="75DBA1A3">
            <wp:extent cx="5130165" cy="3205257"/>
            <wp:effectExtent l="0" t="0" r="0" b="0"/>
            <wp:docPr id="19" name="Picture 19" title="Figure 8: Average number of people per 100,000 on a given day* subject to a community treatment order (section 29 of the Mental Health Act), by DHB, 1 January to 31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30165" cy="3205257"/>
                    </a:xfrm>
                    <a:prstGeom prst="rect">
                      <a:avLst/>
                    </a:prstGeom>
                  </pic:spPr>
                </pic:pic>
              </a:graphicData>
            </a:graphic>
          </wp:inline>
        </w:drawing>
      </w:r>
    </w:p>
    <w:p w14:paraId="1DAC6813" w14:textId="77777777" w:rsidR="00740DA6" w:rsidRPr="00EC5EF1" w:rsidRDefault="00740DA6" w:rsidP="007C5C2A">
      <w:pPr>
        <w:pStyle w:val="Note"/>
      </w:pPr>
      <w:r w:rsidRPr="00EC5EF1">
        <w:t>Notes: * ‘On a given day’ is the average of the last day of each month.</w:t>
      </w:r>
    </w:p>
    <w:p w14:paraId="7A216336" w14:textId="3BEFB6A9" w:rsidR="00740DA6" w:rsidRPr="00EC5EF1" w:rsidRDefault="00740DA6" w:rsidP="00275536">
      <w:pPr>
        <w:pStyle w:val="Note"/>
      </w:pPr>
      <w:r w:rsidRPr="00EC5EF1">
        <w:rPr>
          <w:noProof/>
          <w:lang w:eastAsia="en-NZ"/>
        </w:rPr>
        <w:drawing>
          <wp:anchor distT="0" distB="0" distL="0" distR="0" simplePos="0" relativeHeight="251720704" behindDoc="0" locked="0" layoutInCell="1" allowOverlap="1" wp14:anchorId="510BE66A" wp14:editId="763F4D7A">
            <wp:simplePos x="0" y="0"/>
            <wp:positionH relativeFrom="page">
              <wp:posOffset>8060163</wp:posOffset>
            </wp:positionH>
            <wp:positionV relativeFrom="paragraph">
              <wp:posOffset>120732</wp:posOffset>
            </wp:positionV>
            <wp:extent cx="155575" cy="155575"/>
            <wp:effectExtent l="0" t="0" r="0" b="0"/>
            <wp:wrapNone/>
            <wp:docPr id="18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Confidence intervals (for 99 percent confidence) have been used to aid interpretation. Where a DHB region’s confidence interval crosses the national average, this means the DHB’s rate was not statistically significantly different from the national average.</w:t>
      </w:r>
    </w:p>
    <w:p w14:paraId="6DE8054D" w14:textId="018BDDC2" w:rsidR="00740DA6" w:rsidRPr="00EC5EF1" w:rsidRDefault="00740DA6" w:rsidP="00275536">
      <w:pPr>
        <w:pStyle w:val="Source"/>
      </w:pPr>
      <w:r w:rsidRPr="00EC5EF1">
        <w:t>Source: PRIMHD data, extracted on 17 August 2018, except Southern DHB, which submitted data manually</w:t>
      </w:r>
    </w:p>
    <w:p w14:paraId="79205062" w14:textId="77777777" w:rsidR="00740DA6" w:rsidRPr="00EC5EF1" w:rsidRDefault="00740DA6" w:rsidP="00740DA6">
      <w:pPr>
        <w:rPr>
          <w:sz w:val="20"/>
        </w:rPr>
      </w:pPr>
    </w:p>
    <w:p w14:paraId="1C950446" w14:textId="349D2E56" w:rsidR="00740DA6" w:rsidRDefault="00740DA6" w:rsidP="00275536">
      <w:pPr>
        <w:pStyle w:val="Figure"/>
      </w:pPr>
      <w:bookmarkStart w:id="70" w:name="_Toc2845711"/>
      <w:r w:rsidRPr="00EC5EF1">
        <w:lastRenderedPageBreak/>
        <w:t>Figure 9: Average number of people per 100,000 on a given day* subject to an inpatient treatment order (section 30 of the Mental Health Act), by DHB, 1 January to 31 December 2017</w:t>
      </w:r>
      <w:bookmarkEnd w:id="70"/>
    </w:p>
    <w:p w14:paraId="0D076513" w14:textId="563BD9D8" w:rsidR="00275536" w:rsidRDefault="00357A0A" w:rsidP="00275536">
      <w:r>
        <w:rPr>
          <w:noProof/>
          <w:lang w:eastAsia="en-NZ"/>
        </w:rPr>
        <w:drawing>
          <wp:inline distT="0" distB="0" distL="0" distR="0" wp14:anchorId="5121079D" wp14:editId="1557D562">
            <wp:extent cx="5130165" cy="3218411"/>
            <wp:effectExtent l="0" t="0" r="0" b="1270"/>
            <wp:docPr id="20" name="Picture 20" title="Figure 9: Average number of people per 100,000 on a given day* subject to an inpatient treatment order (section 30 of the Mental Health Act), by DHB, 1 January to 31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130165" cy="3218411"/>
                    </a:xfrm>
                    <a:prstGeom prst="rect">
                      <a:avLst/>
                    </a:prstGeom>
                  </pic:spPr>
                </pic:pic>
              </a:graphicData>
            </a:graphic>
          </wp:inline>
        </w:drawing>
      </w:r>
    </w:p>
    <w:p w14:paraId="4F27DD46" w14:textId="77777777" w:rsidR="00740DA6" w:rsidRPr="00EC5EF1" w:rsidRDefault="00740DA6" w:rsidP="00275536">
      <w:pPr>
        <w:pStyle w:val="Note"/>
      </w:pPr>
      <w:r w:rsidRPr="00EC5EF1">
        <w:t>Notes: * ‘On a given day’ is the average of the last day of each month.</w:t>
      </w:r>
    </w:p>
    <w:p w14:paraId="4760A716" w14:textId="758C4A96" w:rsidR="00740DA6" w:rsidRPr="00EC5EF1" w:rsidRDefault="00740DA6" w:rsidP="00275536">
      <w:pPr>
        <w:pStyle w:val="Note"/>
      </w:pPr>
      <w:r w:rsidRPr="00EC5EF1">
        <w:rPr>
          <w:noProof/>
          <w:lang w:eastAsia="en-NZ"/>
        </w:rPr>
        <w:drawing>
          <wp:anchor distT="0" distB="0" distL="0" distR="0" simplePos="0" relativeHeight="251722752" behindDoc="0" locked="0" layoutInCell="1" allowOverlap="1" wp14:anchorId="68C50090" wp14:editId="221653B5">
            <wp:simplePos x="0" y="0"/>
            <wp:positionH relativeFrom="page">
              <wp:posOffset>8060163</wp:posOffset>
            </wp:positionH>
            <wp:positionV relativeFrom="paragraph">
              <wp:posOffset>242271</wp:posOffset>
            </wp:positionV>
            <wp:extent cx="155575" cy="155575"/>
            <wp:effectExtent l="0" t="0" r="0" b="0"/>
            <wp:wrapNone/>
            <wp:docPr id="19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Confidence intervals (for 99 percent confidence) have been used to aid interpretation. Where a DHB region’s confidence interval crosses the national average, this means the DHB’s rate was not statistically significantly different from the national average.</w:t>
      </w:r>
    </w:p>
    <w:p w14:paraId="61F6DCF8" w14:textId="6DC71997" w:rsidR="00740DA6" w:rsidRDefault="00740DA6" w:rsidP="00275536">
      <w:pPr>
        <w:pStyle w:val="Source"/>
      </w:pPr>
      <w:r w:rsidRPr="00EC5EF1">
        <w:t>Source: PRIMHD data, extracted on 17 August 2018, except Southern DHB, which submitted data manually</w:t>
      </w:r>
    </w:p>
    <w:p w14:paraId="19163523" w14:textId="77777777" w:rsidR="00275536" w:rsidRPr="00275536" w:rsidRDefault="00275536" w:rsidP="00275536"/>
    <w:p w14:paraId="5687F819" w14:textId="77777777" w:rsidR="00740DA6" w:rsidRPr="00EC5EF1" w:rsidRDefault="00740DA6" w:rsidP="00275536">
      <w:pPr>
        <w:pStyle w:val="Heading3"/>
      </w:pPr>
      <w:bookmarkStart w:id="71" w:name="_Toc2845663"/>
      <w:r w:rsidRPr="00EC5EF1">
        <w:t>Compulsory treatment by age and sex</w:t>
      </w:r>
      <w:bookmarkEnd w:id="71"/>
    </w:p>
    <w:p w14:paraId="3945C766" w14:textId="77777777" w:rsidR="00740DA6" w:rsidRPr="00EC5EF1" w:rsidRDefault="00740DA6" w:rsidP="00275536">
      <w:r w:rsidRPr="00EC5EF1">
        <w:t>During 2017:</w:t>
      </w:r>
    </w:p>
    <w:p w14:paraId="44FF789C" w14:textId="77777777" w:rsidR="00740DA6" w:rsidRPr="00EC5EF1" w:rsidRDefault="00740DA6" w:rsidP="00070FC8">
      <w:pPr>
        <w:pStyle w:val="Bullet"/>
      </w:pPr>
      <w:r w:rsidRPr="00EC5EF1">
        <w:t>people aged 25–34 years were the most likely to be subject to a compulsory treatment order (160 per 100,000), and people over 65 years of age were the least likely (55 per 100,000) (see Figure 10)</w:t>
      </w:r>
    </w:p>
    <w:p w14:paraId="17C2C95F" w14:textId="57204835" w:rsidR="00740DA6" w:rsidRPr="00070FC8" w:rsidRDefault="00740DA6" w:rsidP="00070FC8">
      <w:pPr>
        <w:pStyle w:val="Bullet"/>
      </w:pPr>
      <w:proofErr w:type="gramStart"/>
      <w:r w:rsidRPr="00EC5EF1">
        <w:t>males</w:t>
      </w:r>
      <w:proofErr w:type="gramEnd"/>
      <w:r w:rsidRPr="00EC5EF1">
        <w:t xml:space="preserve"> were 1.5 times more likely to be subject to a compulsory treatment order (107 per 100,000) than females (72 per 100,000) (see Figure 11).</w:t>
      </w:r>
      <w:r w:rsidR="00070FC8">
        <w:rPr>
          <w:rStyle w:val="FootnoteReference"/>
        </w:rPr>
        <w:footnoteReference w:id="16"/>
      </w:r>
    </w:p>
    <w:p w14:paraId="26B40D0B" w14:textId="77777777" w:rsidR="00740DA6" w:rsidRPr="00EC5EF1" w:rsidRDefault="00740DA6" w:rsidP="00070FC8"/>
    <w:p w14:paraId="71589F48" w14:textId="0C7F0BAC" w:rsidR="00740DA6" w:rsidRDefault="00740DA6" w:rsidP="00070FC8">
      <w:pPr>
        <w:pStyle w:val="Figure"/>
      </w:pPr>
      <w:bookmarkStart w:id="72" w:name="_Toc2845712"/>
      <w:r w:rsidRPr="00EC5EF1">
        <w:lastRenderedPageBreak/>
        <w:t>Figure 10: Rate of people per 100,000 subject to compulsory treatment order applications (including extensions), by age group, 2004–2017</w:t>
      </w:r>
      <w:bookmarkEnd w:id="72"/>
    </w:p>
    <w:p w14:paraId="00EF86FA" w14:textId="336BACA2" w:rsidR="00070FC8" w:rsidRPr="00070FC8" w:rsidRDefault="00357A0A" w:rsidP="00070FC8">
      <w:r>
        <w:rPr>
          <w:noProof/>
          <w:lang w:eastAsia="en-NZ"/>
        </w:rPr>
        <w:drawing>
          <wp:inline distT="0" distB="0" distL="0" distR="0" wp14:anchorId="44CA89E2" wp14:editId="2B20587D">
            <wp:extent cx="5130165" cy="2942720"/>
            <wp:effectExtent l="0" t="0" r="0" b="0"/>
            <wp:docPr id="21" name="Picture 21" title="Figure 10: Rate of people per 100,000 subject to compulsory treatment order applications (including extensions), by age group, 2004–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30165" cy="2942720"/>
                    </a:xfrm>
                    <a:prstGeom prst="rect">
                      <a:avLst/>
                    </a:prstGeom>
                  </pic:spPr>
                </pic:pic>
              </a:graphicData>
            </a:graphic>
          </wp:inline>
        </w:drawing>
      </w:r>
    </w:p>
    <w:p w14:paraId="6948CE5C" w14:textId="77777777" w:rsidR="00740DA6" w:rsidRPr="00EC5EF1" w:rsidRDefault="00740DA6" w:rsidP="00070FC8">
      <w:pPr>
        <w:pStyle w:val="Note"/>
      </w:pPr>
      <w:r w:rsidRPr="00EC5EF1">
        <w:t>Note: This system uses data entered into the case management system (CMS). The CMS is a live operational database. Figures are subject to minor changes at any time.</w:t>
      </w:r>
    </w:p>
    <w:p w14:paraId="2921A03A" w14:textId="77777777" w:rsidR="00740DA6" w:rsidRPr="00EC5EF1" w:rsidRDefault="00740DA6" w:rsidP="00070FC8">
      <w:pPr>
        <w:pStyle w:val="Source"/>
      </w:pPr>
      <w:r w:rsidRPr="00EC5EF1">
        <w:t>Source: Ministry of Justice Integrated Sector Intelligence System as at 12 June 2018</w:t>
      </w:r>
    </w:p>
    <w:p w14:paraId="0A0C8DC4" w14:textId="77777777" w:rsidR="00740DA6" w:rsidRPr="00EC5EF1" w:rsidRDefault="00740DA6" w:rsidP="00070FC8"/>
    <w:p w14:paraId="1EA750A0" w14:textId="4D95F9EE" w:rsidR="00740DA6" w:rsidRDefault="00740DA6" w:rsidP="00070FC8">
      <w:pPr>
        <w:pStyle w:val="Figure"/>
      </w:pPr>
      <w:bookmarkStart w:id="73" w:name="_Toc2845713"/>
      <w:r w:rsidRPr="00EC5EF1">
        <w:rPr>
          <w:noProof/>
          <w:lang w:eastAsia="en-NZ"/>
        </w:rPr>
        <w:drawing>
          <wp:anchor distT="0" distB="0" distL="0" distR="0" simplePos="0" relativeHeight="251724800" behindDoc="0" locked="0" layoutInCell="1" allowOverlap="1" wp14:anchorId="57290006" wp14:editId="0DA1FBA0">
            <wp:simplePos x="0" y="0"/>
            <wp:positionH relativeFrom="page">
              <wp:posOffset>8060163</wp:posOffset>
            </wp:positionH>
            <wp:positionV relativeFrom="paragraph">
              <wp:posOffset>-18178</wp:posOffset>
            </wp:positionV>
            <wp:extent cx="155575" cy="155575"/>
            <wp:effectExtent l="0" t="0" r="0" b="0"/>
            <wp:wrapNone/>
            <wp:docPr id="19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Figure 11: Rate of people per 100,000 subject to compulsory treatment order applications (including extensions), by sex, 2004–2017</w:t>
      </w:r>
      <w:bookmarkEnd w:id="73"/>
    </w:p>
    <w:p w14:paraId="6B534973" w14:textId="035BD9CE" w:rsidR="00070FC8" w:rsidRPr="00070FC8" w:rsidRDefault="00357A0A" w:rsidP="00070FC8">
      <w:r>
        <w:rPr>
          <w:noProof/>
          <w:lang w:eastAsia="en-NZ"/>
        </w:rPr>
        <w:drawing>
          <wp:inline distT="0" distB="0" distL="0" distR="0" wp14:anchorId="75BF6669" wp14:editId="50B3B18E">
            <wp:extent cx="5130165" cy="2905449"/>
            <wp:effectExtent l="0" t="0" r="0" b="9525"/>
            <wp:docPr id="22" name="Picture 22" title="Figure 11: Rate of people per 100,000 subject to compulsory treatment order applications (including extensions), by sex, 2004–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130165" cy="2905449"/>
                    </a:xfrm>
                    <a:prstGeom prst="rect">
                      <a:avLst/>
                    </a:prstGeom>
                  </pic:spPr>
                </pic:pic>
              </a:graphicData>
            </a:graphic>
          </wp:inline>
        </w:drawing>
      </w:r>
    </w:p>
    <w:p w14:paraId="73EA546F" w14:textId="77777777" w:rsidR="00740DA6" w:rsidRPr="00EC5EF1" w:rsidRDefault="00740DA6" w:rsidP="00070FC8">
      <w:pPr>
        <w:pStyle w:val="Source"/>
      </w:pPr>
      <w:r w:rsidRPr="00EC5EF1">
        <w:t>Source: Ministry of Justice Integrated Sector Intelligence System as at 12 June 2018</w:t>
      </w:r>
    </w:p>
    <w:p w14:paraId="7FB60FBF" w14:textId="77777777" w:rsidR="00740DA6" w:rsidRPr="00EC5EF1" w:rsidRDefault="00740DA6" w:rsidP="00724EBD"/>
    <w:p w14:paraId="15BAE46D" w14:textId="77777777" w:rsidR="00740DA6" w:rsidRPr="00EC5EF1" w:rsidRDefault="00740DA6" w:rsidP="00724EBD">
      <w:pPr>
        <w:pStyle w:val="Heading3"/>
      </w:pPr>
      <w:bookmarkStart w:id="74" w:name="_Toc2845664"/>
      <w:r w:rsidRPr="00EC5EF1">
        <w:lastRenderedPageBreak/>
        <w:t>Māori and the Mental Health Act</w:t>
      </w:r>
      <w:bookmarkEnd w:id="74"/>
    </w:p>
    <w:p w14:paraId="3DD9EA90" w14:textId="673E9729" w:rsidR="00740DA6" w:rsidRPr="00724EBD" w:rsidRDefault="00740DA6" w:rsidP="00357A0A">
      <w:pPr>
        <w:keepLines/>
      </w:pPr>
      <w:r w:rsidRPr="00EC5EF1">
        <w:t>This section presents statistics on Māori subject to community treatment orders and inpatient treatment orders (sections 29 and 30 respectively of the Mental Health Act) in 2017. These statistics underline the need for the mental health sector to engage in meaningful actions to address the disparity of mental health outcomes for Māori in New Zealand.</w:t>
      </w:r>
      <w:r w:rsidR="00724EBD">
        <w:rPr>
          <w:rStyle w:val="FootnoteReference"/>
        </w:rPr>
        <w:footnoteReference w:id="17"/>
      </w:r>
    </w:p>
    <w:p w14:paraId="3639BB3B" w14:textId="77777777" w:rsidR="00724EBD" w:rsidRDefault="00724EBD" w:rsidP="00724EBD"/>
    <w:p w14:paraId="6C085C4B" w14:textId="6739FA07" w:rsidR="00740DA6" w:rsidRPr="00EC5EF1" w:rsidRDefault="00740DA6" w:rsidP="00724EBD">
      <w:r w:rsidRPr="00EC5EF1">
        <w:t>In summary, in 2017:</w:t>
      </w:r>
    </w:p>
    <w:p w14:paraId="17C99C1D" w14:textId="0AD64492" w:rsidR="00740DA6" w:rsidRPr="00724EBD" w:rsidRDefault="00740DA6" w:rsidP="00724EBD">
      <w:pPr>
        <w:pStyle w:val="Bullet"/>
      </w:pPr>
      <w:r w:rsidRPr="00EC5EF1">
        <w:t>Māori were 3.9 times more likely than non-Māori to be subject to a community treatment order and 3.4 times more likely to be subject to an inpatient treatment order</w:t>
      </w:r>
      <w:r w:rsidR="00724EBD">
        <w:rPr>
          <w:rStyle w:val="FootnoteReference"/>
        </w:rPr>
        <w:footnoteReference w:id="18"/>
      </w:r>
    </w:p>
    <w:p w14:paraId="2C76C98C" w14:textId="5FD0945B" w:rsidR="00740DA6" w:rsidRPr="00EC5EF1" w:rsidRDefault="00740DA6" w:rsidP="00724EBD">
      <w:pPr>
        <w:pStyle w:val="Bullet"/>
      </w:pPr>
      <w:r w:rsidRPr="00EC5EF1">
        <w:t>Māori males were the population group most likely to be subject to community and inpatient treatment orders (compared with non-Māori males and Māori and non-Māori females)</w:t>
      </w:r>
    </w:p>
    <w:p w14:paraId="641EBE7F" w14:textId="77777777" w:rsidR="00740DA6" w:rsidRPr="00EC5EF1" w:rsidRDefault="00740DA6" w:rsidP="00724EBD">
      <w:pPr>
        <w:pStyle w:val="Bullet"/>
      </w:pPr>
      <w:r w:rsidRPr="00EC5EF1">
        <w:t>the ratio of Māori to non-Māori subject to community and inpatient treatment orders varied by DHB</w:t>
      </w:r>
    </w:p>
    <w:p w14:paraId="0A7F08A6" w14:textId="59115BB2" w:rsidR="00740DA6" w:rsidRDefault="00740DA6" w:rsidP="00724EBD">
      <w:pPr>
        <w:pStyle w:val="Bullet"/>
      </w:pPr>
      <w:proofErr w:type="gramStart"/>
      <w:r w:rsidRPr="00EC5EF1">
        <w:t>on</w:t>
      </w:r>
      <w:proofErr w:type="gramEnd"/>
      <w:r w:rsidRPr="00EC5EF1">
        <w:t xml:space="preserve"> average, Māori and non-Māori remained on community and inpatient treatment orders for similar periods of time.</w:t>
      </w:r>
    </w:p>
    <w:p w14:paraId="09F7A085" w14:textId="77777777" w:rsidR="00724EBD" w:rsidRPr="00EC5EF1" w:rsidRDefault="00724EBD" w:rsidP="00724EBD"/>
    <w:p w14:paraId="467B7B1B" w14:textId="77777777" w:rsidR="00740DA6" w:rsidRPr="00EC5EF1" w:rsidRDefault="00740DA6" w:rsidP="00724EBD">
      <w:pPr>
        <w:pStyle w:val="Heading4"/>
      </w:pPr>
      <w:r w:rsidRPr="00EC5EF1">
        <w:t>The high rate of Māori subject to compulsory treatment orders</w:t>
      </w:r>
    </w:p>
    <w:p w14:paraId="0A2E9A7F" w14:textId="1A3EECA3" w:rsidR="00740DA6" w:rsidRPr="00724EBD" w:rsidRDefault="00740DA6" w:rsidP="00724EBD">
      <w:r w:rsidRPr="00EC5EF1">
        <w:rPr>
          <w:noProof/>
          <w:lang w:eastAsia="en-NZ"/>
        </w:rPr>
        <w:drawing>
          <wp:anchor distT="0" distB="0" distL="0" distR="0" simplePos="0" relativeHeight="251726848" behindDoc="0" locked="0" layoutInCell="1" allowOverlap="1" wp14:anchorId="5A4F4E61" wp14:editId="7B08F5F0">
            <wp:simplePos x="0" y="0"/>
            <wp:positionH relativeFrom="page">
              <wp:posOffset>8060163</wp:posOffset>
            </wp:positionH>
            <wp:positionV relativeFrom="paragraph">
              <wp:posOffset>361353</wp:posOffset>
            </wp:positionV>
            <wp:extent cx="155575" cy="155575"/>
            <wp:effectExtent l="0" t="0" r="0" b="0"/>
            <wp:wrapNone/>
            <wp:docPr id="19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The high rate of Māori subject to compulsory treatment orders is a complex issue. Māori make up approximately 16 percent of New Zealand’s population, yet they account for 28 percent of all mental health service users.</w:t>
      </w:r>
      <w:r w:rsidR="00724EBD">
        <w:rPr>
          <w:rStyle w:val="FootnoteReference"/>
        </w:rPr>
        <w:footnoteReference w:id="19"/>
      </w:r>
    </w:p>
    <w:p w14:paraId="30C524F6" w14:textId="77777777" w:rsidR="00724EBD" w:rsidRDefault="00724EBD" w:rsidP="00724EBD"/>
    <w:p w14:paraId="38E9ABE4" w14:textId="25906D7D" w:rsidR="00740DA6" w:rsidRPr="00EC5EF1" w:rsidRDefault="00740DA6" w:rsidP="00724EBD">
      <w:r w:rsidRPr="00EC5EF1">
        <w:t xml:space="preserve">The national mental health prevalence study, </w:t>
      </w:r>
      <w:proofErr w:type="spellStart"/>
      <w:r w:rsidRPr="00EC5EF1">
        <w:t>Te</w:t>
      </w:r>
      <w:proofErr w:type="spellEnd"/>
      <w:r w:rsidRPr="00EC5EF1">
        <w:t xml:space="preserve"> Rau </w:t>
      </w:r>
      <w:proofErr w:type="spellStart"/>
      <w:r w:rsidRPr="00EC5EF1">
        <w:t>Hinengaro</w:t>
      </w:r>
      <w:proofErr w:type="spellEnd"/>
      <w:r w:rsidRPr="00EC5EF1">
        <w:t xml:space="preserve"> (Oakley Browne et al 2006), showed that Māori experience the highest levels of mental health disorder overall. They are also more likely to experience serious disorders and co-morbidities than non-Māori.</w:t>
      </w:r>
    </w:p>
    <w:p w14:paraId="777414AE" w14:textId="77777777" w:rsidR="00740DA6" w:rsidRPr="00EC5EF1" w:rsidRDefault="00740DA6" w:rsidP="00724EBD"/>
    <w:p w14:paraId="2AEC1328" w14:textId="6103F09B" w:rsidR="00740DA6" w:rsidRDefault="00740DA6" w:rsidP="00724EBD">
      <w:r w:rsidRPr="00EC5EF1">
        <w:t>In 2017, Māori access rates to services exceeded those of other groups (6.4 percent of Māori accessed mental health services in 2017, compared with 3.1 percent of non-Māori).</w:t>
      </w:r>
      <w:r w:rsidR="00724EBD">
        <w:rPr>
          <w:rStyle w:val="FootnoteReference"/>
        </w:rPr>
        <w:footnoteReference w:id="20"/>
      </w:r>
      <w:r w:rsidR="00724EBD">
        <w:t xml:space="preserve"> </w:t>
      </w:r>
      <w:r w:rsidRPr="00EC5EF1">
        <w:t>These higher access rates are likely to be a contributing factor to higher rates of Māori under</w:t>
      </w:r>
      <w:r w:rsidR="00DE0BB2">
        <w:t xml:space="preserve"> </w:t>
      </w:r>
      <w:r w:rsidRPr="00EC5EF1">
        <w:t>compulsory</w:t>
      </w:r>
      <w:r w:rsidR="00DE0BB2">
        <w:t xml:space="preserve"> </w:t>
      </w:r>
      <w:r w:rsidRPr="00EC5EF1">
        <w:t>treatment orders.</w:t>
      </w:r>
    </w:p>
    <w:p w14:paraId="6F324B90" w14:textId="77777777" w:rsidR="00724EBD" w:rsidRPr="00EC5EF1" w:rsidRDefault="00724EBD" w:rsidP="00724EBD"/>
    <w:p w14:paraId="1D69F35C" w14:textId="2E53FEB4" w:rsidR="00740DA6" w:rsidRPr="00724EBD" w:rsidRDefault="00740DA6" w:rsidP="00357A0A">
      <w:pPr>
        <w:keepLines/>
      </w:pPr>
      <w:r w:rsidRPr="00EC5EF1">
        <w:lastRenderedPageBreak/>
        <w:t>Other demographic features relevant to the high rate of Māori service users include the youthfulness of the Māori population and the disproportionate representation of Māori in low socioeconomic groups. In 2017, approximately half of the total Māori</w:t>
      </w:r>
      <w:r w:rsidR="00724EBD">
        <w:t xml:space="preserve"> </w:t>
      </w:r>
      <w:r w:rsidRPr="00EC5EF1">
        <w:t>service user population were under 25 years of age, compared with 30 percent of non-Māori service users.</w:t>
      </w:r>
      <w:r w:rsidR="00724EBD">
        <w:rPr>
          <w:rStyle w:val="FootnoteReference"/>
        </w:rPr>
        <w:footnoteReference w:id="21"/>
      </w:r>
    </w:p>
    <w:p w14:paraId="41CB927C" w14:textId="77777777" w:rsidR="00724EBD" w:rsidRDefault="00724EBD" w:rsidP="00724EBD"/>
    <w:p w14:paraId="04A9C1F4" w14:textId="17C39936" w:rsidR="00740DA6" w:rsidRPr="00724EBD" w:rsidRDefault="00740DA6" w:rsidP="00724EBD">
      <w:r w:rsidRPr="00EC5EF1">
        <w:t>Further, 52 percent of Māori service users under a community treatment order (</w:t>
      </w:r>
      <w:proofErr w:type="spellStart"/>
      <w:r w:rsidRPr="00EC5EF1">
        <w:t>ie</w:t>
      </w:r>
      <w:proofErr w:type="spellEnd"/>
      <w:r w:rsidRPr="00EC5EF1">
        <w:t>, living in the community; section 29) live in the most deprived deciles (8–10), and 78</w:t>
      </w:r>
      <w:r w:rsidR="00724EBD">
        <w:t> </w:t>
      </w:r>
      <w:r w:rsidRPr="00EC5EF1">
        <w:t>percent live in the higher deprived deciles (6–10). This compares with 32 percent and 61 percent, respectively, for non-Māori service users under a community treatment order.</w:t>
      </w:r>
      <w:r w:rsidR="00724EBD">
        <w:rPr>
          <w:rStyle w:val="FootnoteReference"/>
        </w:rPr>
        <w:footnoteReference w:id="22"/>
      </w:r>
    </w:p>
    <w:p w14:paraId="415C1277" w14:textId="77777777" w:rsidR="00724EBD" w:rsidRDefault="00724EBD" w:rsidP="00724EBD"/>
    <w:p w14:paraId="7F826396" w14:textId="043D3D7F" w:rsidR="00740DA6" w:rsidRDefault="00740DA6" w:rsidP="00724EBD">
      <w:r w:rsidRPr="00EC5EF1">
        <w:t>Analysis has shown that these demographic factors do not completely account for the high rate of Māori with serious mental illness (</w:t>
      </w:r>
      <w:proofErr w:type="spellStart"/>
      <w:r w:rsidRPr="00EC5EF1">
        <w:t>ie</w:t>
      </w:r>
      <w:proofErr w:type="spellEnd"/>
      <w:r w:rsidRPr="00EC5EF1">
        <w:t>, if Māori had the same age structure and level of socioeconomic privilege as people in other groups, their rates of mental disorder would still be higher) (Oakley Browne et al. 2006).</w:t>
      </w:r>
    </w:p>
    <w:p w14:paraId="3C6CD195" w14:textId="77777777" w:rsidR="00724EBD" w:rsidRPr="00EC5EF1" w:rsidRDefault="00724EBD" w:rsidP="00724EBD"/>
    <w:p w14:paraId="4833694D" w14:textId="77777777" w:rsidR="00740DA6" w:rsidRPr="00EC5EF1" w:rsidRDefault="00740DA6" w:rsidP="00724EBD">
      <w:pPr>
        <w:pStyle w:val="Heading4"/>
      </w:pPr>
      <w:r w:rsidRPr="00EC5EF1">
        <w:t>Other factors involved in the disparity</w:t>
      </w:r>
    </w:p>
    <w:p w14:paraId="775B99E4" w14:textId="77777777" w:rsidR="00740DA6" w:rsidRPr="00EC5EF1" w:rsidRDefault="00740DA6" w:rsidP="00724EBD">
      <w:r w:rsidRPr="00EC5EF1">
        <w:rPr>
          <w:noProof/>
          <w:lang w:eastAsia="en-NZ"/>
        </w:rPr>
        <w:drawing>
          <wp:anchor distT="0" distB="0" distL="0" distR="0" simplePos="0" relativeHeight="251728896" behindDoc="0" locked="0" layoutInCell="1" allowOverlap="1" wp14:anchorId="7AC1AB50" wp14:editId="72D603D6">
            <wp:simplePos x="0" y="0"/>
            <wp:positionH relativeFrom="page">
              <wp:posOffset>8060163</wp:posOffset>
            </wp:positionH>
            <wp:positionV relativeFrom="paragraph">
              <wp:posOffset>1146588</wp:posOffset>
            </wp:positionV>
            <wp:extent cx="155575" cy="155575"/>
            <wp:effectExtent l="0" t="0" r="0" b="0"/>
            <wp:wrapNone/>
            <wp:docPr id="20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Elder and Tapsell (2013) emphasise that we need to understand more about Māori experiences with the Mental Health Act and why Māori are over-represented in compulsory treatment. They suggested that the following are important questions for the sector to consider.</w:t>
      </w:r>
    </w:p>
    <w:p w14:paraId="7A9AD767" w14:textId="21CFF864" w:rsidR="00740DA6" w:rsidRPr="00EC5EF1" w:rsidRDefault="00740DA6" w:rsidP="00724EBD">
      <w:pPr>
        <w:pStyle w:val="Bullet"/>
      </w:pPr>
      <w:r w:rsidRPr="00EC5EF1">
        <w:t>Are Māori receiving differential treatment in the mental health system?</w:t>
      </w:r>
    </w:p>
    <w:p w14:paraId="214695A3" w14:textId="77777777" w:rsidR="00740DA6" w:rsidRPr="00EC5EF1" w:rsidRDefault="00740DA6" w:rsidP="00724EBD">
      <w:pPr>
        <w:pStyle w:val="Bullet"/>
      </w:pPr>
      <w:r w:rsidRPr="00EC5EF1">
        <w:t>How can we build a more culturally competent workforce and reduce cultural bias in formulations of mental illness?</w:t>
      </w:r>
    </w:p>
    <w:p w14:paraId="0C515BDA" w14:textId="77777777" w:rsidR="00D11995" w:rsidRDefault="00D11995" w:rsidP="00724EBD"/>
    <w:p w14:paraId="2BE75493" w14:textId="57164491" w:rsidR="00740DA6" w:rsidRPr="00EC5EF1" w:rsidRDefault="00740DA6" w:rsidP="00724EBD">
      <w:pPr>
        <w:pStyle w:val="Heading4"/>
      </w:pPr>
      <w:r w:rsidRPr="00EC5EF1">
        <w:t>Are Māori receiving differential treatment in the mental health system?</w:t>
      </w:r>
    </w:p>
    <w:p w14:paraId="0F460A4C" w14:textId="77777777" w:rsidR="00740DA6" w:rsidRPr="00EC5EF1" w:rsidRDefault="00740DA6" w:rsidP="00724EBD">
      <w:pPr>
        <w:pStyle w:val="Bullet"/>
      </w:pPr>
      <w:r w:rsidRPr="00EC5EF1">
        <w:t xml:space="preserve">Are whānau of </w:t>
      </w:r>
      <w:proofErr w:type="spellStart"/>
      <w:r w:rsidRPr="00EC5EF1">
        <w:t>tangata</w:t>
      </w:r>
      <w:proofErr w:type="spellEnd"/>
      <w:r w:rsidRPr="00EC5EF1">
        <w:t xml:space="preserve"> </w:t>
      </w:r>
      <w:proofErr w:type="spellStart"/>
      <w:r w:rsidRPr="00EC5EF1">
        <w:t>whaiora</w:t>
      </w:r>
      <w:proofErr w:type="spellEnd"/>
      <w:r w:rsidRPr="00EC5EF1">
        <w:t xml:space="preserve"> being sufficiently engaged by mental health services?</w:t>
      </w:r>
    </w:p>
    <w:p w14:paraId="0D05BF28" w14:textId="77777777" w:rsidR="00740DA6" w:rsidRPr="00EC5EF1" w:rsidRDefault="00740DA6" w:rsidP="00724EBD"/>
    <w:p w14:paraId="30832831" w14:textId="77777777" w:rsidR="00740DA6" w:rsidRPr="00EC5EF1" w:rsidRDefault="00740DA6" w:rsidP="00724EBD">
      <w:pPr>
        <w:pStyle w:val="Heading4"/>
      </w:pPr>
      <w:r w:rsidRPr="00EC5EF1">
        <w:t>Māori experiences of the Mental Health Act and acute mental health care</w:t>
      </w:r>
    </w:p>
    <w:p w14:paraId="32A99E4B" w14:textId="77777777" w:rsidR="00740DA6" w:rsidRPr="00EC5EF1" w:rsidRDefault="00740DA6" w:rsidP="00724EBD">
      <w:r w:rsidRPr="00EC5EF1">
        <w:t xml:space="preserve">In June 2015, </w:t>
      </w:r>
      <w:proofErr w:type="spellStart"/>
      <w:r w:rsidRPr="00EC5EF1">
        <w:t>Te</w:t>
      </w:r>
      <w:proofErr w:type="spellEnd"/>
      <w:r w:rsidRPr="00EC5EF1">
        <w:t xml:space="preserve"> Rau </w:t>
      </w:r>
      <w:proofErr w:type="spellStart"/>
      <w:r w:rsidRPr="00EC5EF1">
        <w:t>Matatini</w:t>
      </w:r>
      <w:proofErr w:type="spellEnd"/>
      <w:r w:rsidRPr="00EC5EF1">
        <w:t xml:space="preserve"> facilitated a one-day </w:t>
      </w:r>
      <w:proofErr w:type="gramStart"/>
      <w:r w:rsidRPr="00EC5EF1">
        <w:t>hui</w:t>
      </w:r>
      <w:proofErr w:type="gramEnd"/>
      <w:r w:rsidRPr="00EC5EF1">
        <w:t xml:space="preserve"> with 10 </w:t>
      </w:r>
      <w:proofErr w:type="spellStart"/>
      <w:r w:rsidRPr="00EC5EF1">
        <w:t>tangata</w:t>
      </w:r>
      <w:proofErr w:type="spellEnd"/>
      <w:r w:rsidRPr="00EC5EF1">
        <w:t xml:space="preserve"> </w:t>
      </w:r>
      <w:proofErr w:type="spellStart"/>
      <w:r w:rsidRPr="00EC5EF1">
        <w:t>whaiora</w:t>
      </w:r>
      <w:proofErr w:type="spellEnd"/>
      <w:r w:rsidRPr="00EC5EF1">
        <w:t xml:space="preserve"> to better understand Māori experiences of the Mental Health Act and acute mental health care (Baker 2015).</w:t>
      </w:r>
    </w:p>
    <w:p w14:paraId="6461E4EA" w14:textId="77777777" w:rsidR="00724EBD" w:rsidRDefault="00724EBD" w:rsidP="00724EBD"/>
    <w:p w14:paraId="302A6975" w14:textId="35B10D8F" w:rsidR="00740DA6" w:rsidRPr="00EC5EF1" w:rsidRDefault="00740DA6" w:rsidP="00357A0A">
      <w:pPr>
        <w:keepNext/>
      </w:pPr>
      <w:r w:rsidRPr="00EC5EF1">
        <w:t xml:space="preserve">Some </w:t>
      </w:r>
      <w:proofErr w:type="spellStart"/>
      <w:r w:rsidRPr="00EC5EF1">
        <w:t>tangata</w:t>
      </w:r>
      <w:proofErr w:type="spellEnd"/>
      <w:r w:rsidRPr="00EC5EF1">
        <w:t xml:space="preserve"> </w:t>
      </w:r>
      <w:proofErr w:type="spellStart"/>
      <w:r w:rsidRPr="00EC5EF1">
        <w:t>whaiora</w:t>
      </w:r>
      <w:proofErr w:type="spellEnd"/>
      <w:r w:rsidRPr="00EC5EF1">
        <w:t xml:space="preserve"> described using the Mental Health Act as a ‘bargaining tool’ to appease clinicians and more quickly gain release from the inpatient service in which </w:t>
      </w:r>
      <w:r w:rsidRPr="00EC5EF1">
        <w:lastRenderedPageBreak/>
        <w:t>they were receiving treatment. Others described the Mental Health Act as providing a ‘false sense of security’ in terms of access to medication. Participants also talked of:</w:t>
      </w:r>
    </w:p>
    <w:p w14:paraId="661C688C" w14:textId="77777777" w:rsidR="00740DA6" w:rsidRPr="00EC5EF1" w:rsidRDefault="00740DA6" w:rsidP="00724EBD">
      <w:pPr>
        <w:pStyle w:val="Bullet"/>
      </w:pPr>
      <w:r w:rsidRPr="00EC5EF1">
        <w:t>not understanding the compulsory assessment and treatment process</w:t>
      </w:r>
    </w:p>
    <w:p w14:paraId="6AE3A1CB" w14:textId="77777777" w:rsidR="00740DA6" w:rsidRPr="00EC5EF1" w:rsidRDefault="00740DA6" w:rsidP="00724EBD">
      <w:pPr>
        <w:pStyle w:val="Bullet"/>
      </w:pPr>
      <w:r w:rsidRPr="00EC5EF1">
        <w:t>experiencing the opposite of what clinicians advised was going to happen under the Mental Health Act</w:t>
      </w:r>
    </w:p>
    <w:p w14:paraId="09405B7E" w14:textId="77777777" w:rsidR="00740DA6" w:rsidRPr="00EC5EF1" w:rsidRDefault="00740DA6" w:rsidP="00724EBD">
      <w:pPr>
        <w:pStyle w:val="Bullet"/>
      </w:pPr>
      <w:r w:rsidRPr="00EC5EF1">
        <w:t>experiencing overt discrimination in the community, such as disproportionately harsh treatment by Police and refusal of accommodation and employment, due to the stigma that continues to surround compulsory treatment orders</w:t>
      </w:r>
    </w:p>
    <w:p w14:paraId="0502A5F0" w14:textId="77777777" w:rsidR="00740DA6" w:rsidRPr="00EC5EF1" w:rsidRDefault="00740DA6" w:rsidP="00724EBD">
      <w:pPr>
        <w:pStyle w:val="Bullet"/>
      </w:pPr>
      <w:proofErr w:type="gramStart"/>
      <w:r w:rsidRPr="00EC5EF1">
        <w:t>struggling</w:t>
      </w:r>
      <w:proofErr w:type="gramEnd"/>
      <w:r w:rsidRPr="00EC5EF1">
        <w:t xml:space="preserve"> to be released from the Mental Health Act.</w:t>
      </w:r>
    </w:p>
    <w:p w14:paraId="304E841E" w14:textId="77777777" w:rsidR="00724EBD" w:rsidRDefault="00724EBD" w:rsidP="00724EBD"/>
    <w:p w14:paraId="51A4AA03" w14:textId="4BC06E26" w:rsidR="00740DA6" w:rsidRPr="00EC5EF1" w:rsidRDefault="00740DA6" w:rsidP="00724EBD">
      <w:r w:rsidRPr="00EC5EF1">
        <w:t xml:space="preserve">With regard to acute mental health care, </w:t>
      </w:r>
      <w:proofErr w:type="spellStart"/>
      <w:r w:rsidRPr="00EC5EF1">
        <w:t>tangata</w:t>
      </w:r>
      <w:proofErr w:type="spellEnd"/>
      <w:r w:rsidRPr="00EC5EF1">
        <w:t xml:space="preserve"> </w:t>
      </w:r>
      <w:proofErr w:type="spellStart"/>
      <w:r w:rsidRPr="00EC5EF1">
        <w:t>whaiora</w:t>
      </w:r>
      <w:proofErr w:type="spellEnd"/>
      <w:r w:rsidRPr="00EC5EF1">
        <w:t xml:space="preserve"> described its restrictive and disempowering nature, and their sense that the treatment they received was more closely aligned with the clinicians’ needs than their own. It is clear that the sector needs to actively address these issues in order to make mental health care for Māori as empowering an experience as possible.</w:t>
      </w:r>
    </w:p>
    <w:p w14:paraId="351B11AA" w14:textId="77777777" w:rsidR="00740DA6" w:rsidRPr="00EC5EF1" w:rsidRDefault="00740DA6" w:rsidP="00724EBD"/>
    <w:p w14:paraId="6A817D5F" w14:textId="77777777" w:rsidR="00740DA6" w:rsidRPr="00EC5EF1" w:rsidRDefault="00740DA6" w:rsidP="00724EBD">
      <w:r w:rsidRPr="00EC5EF1">
        <w:t xml:space="preserve">At the </w:t>
      </w:r>
      <w:proofErr w:type="gramStart"/>
      <w:r w:rsidRPr="00EC5EF1">
        <w:t>hui</w:t>
      </w:r>
      <w:proofErr w:type="gramEnd"/>
      <w:r w:rsidRPr="00EC5EF1">
        <w:t xml:space="preserve">, </w:t>
      </w:r>
      <w:proofErr w:type="spellStart"/>
      <w:r w:rsidRPr="00EC5EF1">
        <w:t>tangata</w:t>
      </w:r>
      <w:proofErr w:type="spellEnd"/>
      <w:r w:rsidRPr="00EC5EF1">
        <w:t xml:space="preserve"> </w:t>
      </w:r>
      <w:proofErr w:type="spellStart"/>
      <w:r w:rsidRPr="00EC5EF1">
        <w:t>whaiora</w:t>
      </w:r>
      <w:proofErr w:type="spellEnd"/>
      <w:r w:rsidRPr="00EC5EF1">
        <w:t xml:space="preserve"> identified a number of solutions to improve Māori experiences of mental health care, including:</w:t>
      </w:r>
    </w:p>
    <w:p w14:paraId="04B3A4D2" w14:textId="77777777" w:rsidR="00740DA6" w:rsidRPr="00EC5EF1" w:rsidRDefault="00740DA6" w:rsidP="00724EBD">
      <w:pPr>
        <w:pStyle w:val="Bullet"/>
      </w:pPr>
      <w:r w:rsidRPr="00EC5EF1">
        <w:t xml:space="preserve">a holistic approach to service provision, incorporating </w:t>
      </w:r>
      <w:proofErr w:type="spellStart"/>
      <w:r w:rsidRPr="00EC5EF1">
        <w:t>tīkanga</w:t>
      </w:r>
      <w:proofErr w:type="spellEnd"/>
      <w:r w:rsidRPr="00EC5EF1">
        <w:t xml:space="preserve"> Māori (Māori customs), </w:t>
      </w:r>
      <w:proofErr w:type="spellStart"/>
      <w:r w:rsidRPr="00EC5EF1">
        <w:t>te</w:t>
      </w:r>
      <w:proofErr w:type="spellEnd"/>
      <w:r w:rsidRPr="00EC5EF1">
        <w:t xml:space="preserve"> reo Māori (Māori language), </w:t>
      </w:r>
      <w:proofErr w:type="spellStart"/>
      <w:r w:rsidRPr="00EC5EF1">
        <w:t>mātauranga</w:t>
      </w:r>
      <w:proofErr w:type="spellEnd"/>
      <w:r w:rsidRPr="00EC5EF1">
        <w:t xml:space="preserve"> Māori (Māori knowledge) and increased whānau involvement</w:t>
      </w:r>
    </w:p>
    <w:p w14:paraId="3375CDDF" w14:textId="77777777" w:rsidR="00740DA6" w:rsidRPr="00EC5EF1" w:rsidRDefault="00740DA6" w:rsidP="00724EBD">
      <w:pPr>
        <w:pStyle w:val="Bullet"/>
      </w:pPr>
      <w:r w:rsidRPr="00EC5EF1">
        <w:t>the provision of acute mental health care in alternative, less restrictive environments</w:t>
      </w:r>
    </w:p>
    <w:p w14:paraId="2984018B" w14:textId="4278E613" w:rsidR="00740DA6" w:rsidRPr="00EC5EF1" w:rsidRDefault="00740DA6" w:rsidP="00724EBD">
      <w:pPr>
        <w:pStyle w:val="Bullet"/>
      </w:pPr>
      <w:r w:rsidRPr="00EC5EF1">
        <w:t>the</w:t>
      </w:r>
      <w:r w:rsidR="00DE0BB2">
        <w:t xml:space="preserve"> </w:t>
      </w:r>
      <w:r w:rsidRPr="00EC5EF1">
        <w:t>formation</w:t>
      </w:r>
      <w:r w:rsidR="00DE0BB2">
        <w:t xml:space="preserve"> </w:t>
      </w:r>
      <w:r w:rsidRPr="00EC5EF1">
        <w:t>of</w:t>
      </w:r>
      <w:r w:rsidR="00DE0BB2">
        <w:t xml:space="preserve"> </w:t>
      </w:r>
      <w:r w:rsidRPr="00EC5EF1">
        <w:t>a</w:t>
      </w:r>
      <w:r w:rsidR="00DE0BB2">
        <w:t xml:space="preserve"> </w:t>
      </w:r>
      <w:r w:rsidRPr="00EC5EF1">
        <w:t>national</w:t>
      </w:r>
      <w:r w:rsidR="00DE0BB2">
        <w:t xml:space="preserve"> </w:t>
      </w:r>
      <w:r w:rsidRPr="00EC5EF1">
        <w:t>body</w:t>
      </w:r>
      <w:r w:rsidR="00DE0BB2">
        <w:t xml:space="preserve"> </w:t>
      </w:r>
      <w:r w:rsidRPr="00EC5EF1">
        <w:t>of</w:t>
      </w:r>
      <w:r w:rsidR="00DE0BB2">
        <w:t xml:space="preserve"> </w:t>
      </w:r>
      <w:r w:rsidRPr="00EC5EF1">
        <w:t>Māori with lived experience of mental health care</w:t>
      </w:r>
      <w:r w:rsidR="00DE0BB2">
        <w:t xml:space="preserve"> </w:t>
      </w:r>
      <w:r w:rsidRPr="00EC5EF1">
        <w:t>to</w:t>
      </w:r>
      <w:r w:rsidR="00724EBD">
        <w:t xml:space="preserve"> </w:t>
      </w:r>
      <w:r w:rsidRPr="00EC5EF1">
        <w:t xml:space="preserve">improve advocacy for </w:t>
      </w:r>
      <w:proofErr w:type="spellStart"/>
      <w:r w:rsidRPr="00EC5EF1">
        <w:t>tangata</w:t>
      </w:r>
      <w:proofErr w:type="spellEnd"/>
      <w:r w:rsidRPr="00EC5EF1">
        <w:t xml:space="preserve"> </w:t>
      </w:r>
      <w:proofErr w:type="spellStart"/>
      <w:r w:rsidRPr="00EC5EF1">
        <w:t>whaiora</w:t>
      </w:r>
      <w:proofErr w:type="spellEnd"/>
      <w:r w:rsidRPr="00EC5EF1">
        <w:t>, increase representation of Māori consumer advisors in mental health services and influence policy and decision-making.</w:t>
      </w:r>
    </w:p>
    <w:p w14:paraId="55A2A84E" w14:textId="77777777" w:rsidR="00D11995" w:rsidRDefault="00D11995" w:rsidP="00724EBD"/>
    <w:p w14:paraId="181F117C" w14:textId="77777777" w:rsidR="00740DA6" w:rsidRPr="00EC5EF1" w:rsidRDefault="00740DA6" w:rsidP="00724EBD">
      <w:pPr>
        <w:pStyle w:val="Heading4"/>
      </w:pPr>
      <w:r w:rsidRPr="00EC5EF1">
        <w:t>Māori and compulsory treatment orders, by district health board</w:t>
      </w:r>
    </w:p>
    <w:p w14:paraId="7AEE78BE" w14:textId="77777777" w:rsidR="00740DA6" w:rsidRPr="00EC5EF1" w:rsidRDefault="00740DA6" w:rsidP="00724EBD">
      <w:r w:rsidRPr="00EC5EF1">
        <w:t xml:space="preserve">Figures 12 and 13 show variation across New Zealand in terms of the disparities between Māori and non-Māori subject to compulsory treatment orders in 2017. With regard to community treatment orders, the Māori to non-Māori rate ratio ranged from 1.9:1 (in West Coast DHB) to 5:1 (in Counties </w:t>
      </w:r>
      <w:proofErr w:type="spellStart"/>
      <w:r w:rsidRPr="00EC5EF1">
        <w:t>Manukau</w:t>
      </w:r>
      <w:proofErr w:type="spellEnd"/>
      <w:r w:rsidRPr="00EC5EF1">
        <w:t xml:space="preserve"> DHB). With regard to inpatient treatment orders, the rate ratio ranged from 0:1 (in South Canterbury and </w:t>
      </w:r>
      <w:proofErr w:type="spellStart"/>
      <w:r w:rsidRPr="00EC5EF1">
        <w:t>Wairarapa</w:t>
      </w:r>
      <w:proofErr w:type="spellEnd"/>
      <w:r w:rsidRPr="00EC5EF1">
        <w:t xml:space="preserve"> DHBs) to 5:1 (in Waikato DHB).</w:t>
      </w:r>
    </w:p>
    <w:p w14:paraId="76A2BD95" w14:textId="77777777" w:rsidR="00724EBD" w:rsidRDefault="00724EBD" w:rsidP="00724EBD"/>
    <w:p w14:paraId="299B01CB" w14:textId="2C849DB4" w:rsidR="00740DA6" w:rsidRPr="00EC5EF1" w:rsidRDefault="00740DA6" w:rsidP="00724EBD">
      <w:r w:rsidRPr="00EC5EF1">
        <w:t>These numbers are difficult to interpret, because it is hard to define an ideal rate ratio for a given population or DHB; likewise, the proportions of populations across DHBs vary greatly. However, for comparative purposes, a line of no difference has been included in the figures. The figures emphasise that we need in-depth, area-specific knowledge to understand the particular disparities around the country and what could be done at a local level to address them.</w:t>
      </w:r>
    </w:p>
    <w:p w14:paraId="66624C8E" w14:textId="77777777" w:rsidR="00740DA6" w:rsidRPr="00EC5EF1" w:rsidRDefault="00740DA6" w:rsidP="00724EBD"/>
    <w:p w14:paraId="359DD7A0" w14:textId="5C4FEA00" w:rsidR="00740DA6" w:rsidRDefault="00740DA6" w:rsidP="00724EBD">
      <w:pPr>
        <w:pStyle w:val="Figure"/>
      </w:pPr>
      <w:bookmarkStart w:id="75" w:name="_Toc2845714"/>
      <w:r w:rsidRPr="00EC5EF1">
        <w:lastRenderedPageBreak/>
        <w:t>Figure 12: Rate ratio of Māori to non-Māori subject to a community treatment order (section 29) under the Mental Health Act, by DHB, 1 January to 31 December 2017</w:t>
      </w:r>
      <w:bookmarkEnd w:id="75"/>
    </w:p>
    <w:p w14:paraId="00D0D8FF" w14:textId="0BCC923E" w:rsidR="00724EBD" w:rsidRPr="00724EBD" w:rsidRDefault="00357A0A" w:rsidP="00724EBD">
      <w:r>
        <w:rPr>
          <w:noProof/>
          <w:lang w:eastAsia="en-NZ"/>
        </w:rPr>
        <w:drawing>
          <wp:inline distT="0" distB="0" distL="0" distR="0" wp14:anchorId="42130E98" wp14:editId="7CCFD9C0">
            <wp:extent cx="5130165" cy="3202516"/>
            <wp:effectExtent l="0" t="0" r="0" b="0"/>
            <wp:docPr id="23" name="Picture 23" title="Figure 12: Rate ratio of Māori to non-Māori subject to a community treatment order (section 29) under the Mental Health Act, by DHB, 1 January to 31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130165" cy="3202516"/>
                    </a:xfrm>
                    <a:prstGeom prst="rect">
                      <a:avLst/>
                    </a:prstGeom>
                  </pic:spPr>
                </pic:pic>
              </a:graphicData>
            </a:graphic>
          </wp:inline>
        </w:drawing>
      </w:r>
    </w:p>
    <w:p w14:paraId="4C6BDEBC" w14:textId="77777777" w:rsidR="00740DA6" w:rsidRPr="00EC5EF1" w:rsidRDefault="00740DA6" w:rsidP="00724EBD">
      <w:pPr>
        <w:pStyle w:val="Note"/>
      </w:pPr>
      <w:r w:rsidRPr="00EC5EF1">
        <w:t>Notes: Rates per 100,000 are age standardised to account for differences in the population structures of the DHBs.</w:t>
      </w:r>
    </w:p>
    <w:p w14:paraId="614CABE9" w14:textId="331F4743" w:rsidR="00740DA6" w:rsidRPr="00EC5EF1" w:rsidRDefault="00740DA6" w:rsidP="00724EBD">
      <w:pPr>
        <w:pStyle w:val="Note"/>
      </w:pPr>
      <w:r w:rsidRPr="00EC5EF1">
        <w:rPr>
          <w:noProof/>
          <w:lang w:eastAsia="en-NZ"/>
        </w:rPr>
        <w:drawing>
          <wp:anchor distT="0" distB="0" distL="0" distR="0" simplePos="0" relativeHeight="251732992" behindDoc="0" locked="0" layoutInCell="1" allowOverlap="1" wp14:anchorId="1133C941" wp14:editId="51FD9F71">
            <wp:simplePos x="0" y="0"/>
            <wp:positionH relativeFrom="page">
              <wp:posOffset>8060163</wp:posOffset>
            </wp:positionH>
            <wp:positionV relativeFrom="paragraph">
              <wp:posOffset>84778</wp:posOffset>
            </wp:positionV>
            <wp:extent cx="155575" cy="155575"/>
            <wp:effectExtent l="0" t="0" r="0" b="0"/>
            <wp:wrapNone/>
            <wp:docPr id="21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Confidence intervals (for 99 percent confidence) have been used to aid interpretation. Where a DHB region’s confidence interval crosses the national average, this means the DHB’s rate was not statistically significantly different from the national average.</w:t>
      </w:r>
    </w:p>
    <w:p w14:paraId="556BECC6" w14:textId="77777777" w:rsidR="00740DA6" w:rsidRPr="00EC5EF1" w:rsidRDefault="00740DA6" w:rsidP="00724EBD">
      <w:pPr>
        <w:pStyle w:val="Note"/>
      </w:pPr>
      <w:r w:rsidRPr="00EC5EF1">
        <w:t>Because Southern DHB submitted data manually, the rate ratio for Southern DHB was not able to be represented in the above graph. The (non-age-standardised) rate ratio for Southern DHB was 2.3.</w:t>
      </w:r>
    </w:p>
    <w:p w14:paraId="28674DAF" w14:textId="0A2DA5F4" w:rsidR="00740DA6" w:rsidRPr="00EC5EF1" w:rsidRDefault="00740DA6" w:rsidP="00724EBD">
      <w:pPr>
        <w:pStyle w:val="Source"/>
      </w:pPr>
      <w:r w:rsidRPr="00EC5EF1">
        <w:t>Source: PRIMHD data, extracted on 17 August 2018, except for Southern DHB, which submitted data manually</w:t>
      </w:r>
    </w:p>
    <w:p w14:paraId="50871AB3" w14:textId="77777777" w:rsidR="00740DA6" w:rsidRPr="00EC5EF1" w:rsidRDefault="00740DA6" w:rsidP="00724EBD"/>
    <w:p w14:paraId="6A182130" w14:textId="77777777" w:rsidR="00740DA6" w:rsidRPr="00EC5EF1" w:rsidRDefault="00740DA6" w:rsidP="00724EBD">
      <w:pPr>
        <w:pStyle w:val="Figure"/>
      </w:pPr>
      <w:bookmarkStart w:id="76" w:name="_Toc2845715"/>
      <w:r w:rsidRPr="00EC5EF1">
        <w:lastRenderedPageBreak/>
        <w:t>Figure 13: Rate ratio of Māori to non-Māori subject to an inpatient treatment order (section 30) under the Mental Health Act, by DHB, 1 January to 31 December 2017</w:t>
      </w:r>
      <w:bookmarkEnd w:id="76"/>
    </w:p>
    <w:p w14:paraId="3ABE1850" w14:textId="0316166F" w:rsidR="00740DA6" w:rsidRDefault="00357A0A" w:rsidP="00AB2E42">
      <w:pPr>
        <w:keepNext/>
      </w:pPr>
      <w:r>
        <w:rPr>
          <w:noProof/>
          <w:lang w:eastAsia="en-NZ"/>
        </w:rPr>
        <w:drawing>
          <wp:inline distT="0" distB="0" distL="0" distR="0" wp14:anchorId="016750CF" wp14:editId="4B6F6C30">
            <wp:extent cx="5130165" cy="3091801"/>
            <wp:effectExtent l="0" t="0" r="0" b="0"/>
            <wp:docPr id="24" name="Picture 24" title="Figure 13: Rate ratio of Māori to non-Māori subject to an inpatient treatment order (section 30) under the Mental Health Act, by DHB, 1 January to 31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130165" cy="3091801"/>
                    </a:xfrm>
                    <a:prstGeom prst="rect">
                      <a:avLst/>
                    </a:prstGeom>
                  </pic:spPr>
                </pic:pic>
              </a:graphicData>
            </a:graphic>
          </wp:inline>
        </w:drawing>
      </w:r>
    </w:p>
    <w:p w14:paraId="5A79E224" w14:textId="77777777" w:rsidR="00740DA6" w:rsidRPr="00EC5EF1" w:rsidRDefault="00740DA6" w:rsidP="00724EBD">
      <w:pPr>
        <w:pStyle w:val="Note"/>
      </w:pPr>
      <w:r w:rsidRPr="00EC5EF1">
        <w:t>Notes: Rates per 100,000 are age standardised to account for differences in the population structures of the DHBs.</w:t>
      </w:r>
    </w:p>
    <w:p w14:paraId="10E56B34" w14:textId="09DAA48B" w:rsidR="00740DA6" w:rsidRPr="00EC5EF1" w:rsidRDefault="00740DA6" w:rsidP="00724EBD">
      <w:pPr>
        <w:pStyle w:val="Note"/>
      </w:pPr>
      <w:r w:rsidRPr="00EC5EF1">
        <w:rPr>
          <w:noProof/>
          <w:lang w:eastAsia="en-NZ"/>
        </w:rPr>
        <w:drawing>
          <wp:anchor distT="0" distB="0" distL="0" distR="0" simplePos="0" relativeHeight="251735040" behindDoc="0" locked="0" layoutInCell="1" allowOverlap="1" wp14:anchorId="1DD61EBB" wp14:editId="23E730F4">
            <wp:simplePos x="0" y="0"/>
            <wp:positionH relativeFrom="page">
              <wp:posOffset>8060163</wp:posOffset>
            </wp:positionH>
            <wp:positionV relativeFrom="paragraph">
              <wp:posOffset>76212</wp:posOffset>
            </wp:positionV>
            <wp:extent cx="155575" cy="155575"/>
            <wp:effectExtent l="0" t="0" r="0" b="0"/>
            <wp:wrapNone/>
            <wp:docPr id="21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Confidence intervals (for 99 percent confidence) have been used to aid interpretation. Where a DHB region’s confidence interval crosses the national average, this means the DHB’s rate was not statistically significantly different from the national average.</w:t>
      </w:r>
    </w:p>
    <w:p w14:paraId="75FEC9B4" w14:textId="1962F86E" w:rsidR="00740DA6" w:rsidRPr="00EC5EF1" w:rsidRDefault="00740DA6" w:rsidP="00724EBD">
      <w:pPr>
        <w:pStyle w:val="Note"/>
      </w:pPr>
      <w:r w:rsidRPr="00EC5EF1">
        <w:t>Because Southern DHB submitted data manually, the rate ratio for Southern DHB was not able to be represented in the above graph. Further, because of the small population of West Coast DHB, their rates are volatile, and error bars of the resulting calculations are large, therefore, data has been omitted from the graph so as not to skew the overall results. The (non-age-standardised) rate ratios for Southern and West Coast DHB was</w:t>
      </w:r>
      <w:r w:rsidR="00724EBD">
        <w:t xml:space="preserve"> </w:t>
      </w:r>
      <w:r w:rsidRPr="00EC5EF1">
        <w:t>2.6 and 3.6, respectively.</w:t>
      </w:r>
    </w:p>
    <w:p w14:paraId="4A8D01AA" w14:textId="14443678" w:rsidR="00740DA6" w:rsidRDefault="00740DA6" w:rsidP="00724EBD">
      <w:pPr>
        <w:pStyle w:val="Source"/>
      </w:pPr>
      <w:r w:rsidRPr="00EC5EF1">
        <w:t>Source: PRIMHD data, extracted on 17 August 2018, except for Southern DHB, which submitted data manually</w:t>
      </w:r>
    </w:p>
    <w:p w14:paraId="081B5738" w14:textId="77777777" w:rsidR="00724EBD" w:rsidRPr="00724EBD" w:rsidRDefault="00724EBD" w:rsidP="00724EBD"/>
    <w:p w14:paraId="1E85B997" w14:textId="77777777" w:rsidR="00740DA6" w:rsidRPr="00EC5EF1" w:rsidRDefault="00740DA6" w:rsidP="00724EBD">
      <w:pPr>
        <w:pStyle w:val="Heading4"/>
      </w:pPr>
      <w:r w:rsidRPr="00EC5EF1">
        <w:t>Sex, ethnicity and compulsory treatment</w:t>
      </w:r>
    </w:p>
    <w:p w14:paraId="0B2D9FBD" w14:textId="77777777" w:rsidR="00740DA6" w:rsidRPr="00EC5EF1" w:rsidRDefault="00740DA6" w:rsidP="00724EBD">
      <w:r w:rsidRPr="00EC5EF1">
        <w:t>In 2017, Māori males were the population group most likely to be subject to community and inpatient treatment orders. In particular, in 2017, Māori males were four times more likely to be subject to a community treatment order (section 29) than non-Māori males.</w:t>
      </w:r>
    </w:p>
    <w:p w14:paraId="09C6AA65" w14:textId="77777777" w:rsidR="00724EBD" w:rsidRDefault="00724EBD" w:rsidP="00724EBD"/>
    <w:p w14:paraId="7055CCE1" w14:textId="1BEDB85E" w:rsidR="00740DA6" w:rsidRPr="00EC5EF1" w:rsidRDefault="00740DA6" w:rsidP="00724EBD">
      <w:r w:rsidRPr="00EC5EF1">
        <w:t>Table 4 and Figure 14 present information on age-standardised rates of community and inpatient treatment orders by</w:t>
      </w:r>
      <w:r w:rsidR="00DE0BB2">
        <w:t xml:space="preserve"> </w:t>
      </w:r>
      <w:r w:rsidRPr="00EC5EF1">
        <w:t>sex and ethnicity.</w:t>
      </w:r>
    </w:p>
    <w:p w14:paraId="26A1CEEC" w14:textId="77777777" w:rsidR="00740DA6" w:rsidRPr="00EC5EF1" w:rsidRDefault="00740DA6" w:rsidP="00724EBD"/>
    <w:p w14:paraId="52C8747B" w14:textId="77777777" w:rsidR="00740DA6" w:rsidRPr="00EC5EF1" w:rsidRDefault="00740DA6" w:rsidP="00724EBD">
      <w:pPr>
        <w:pStyle w:val="Table"/>
      </w:pPr>
      <w:bookmarkStart w:id="77" w:name="_Toc2845748"/>
      <w:r w:rsidRPr="00EC5EF1">
        <w:lastRenderedPageBreak/>
        <w:t>Table 4: Age-standardised rates of Māori and non-Māori subject to community and inpatient treatment orders (sections 29 and 30 respectively) under the Mental Health Act, by sex, 1 January to 31 December 2017</w:t>
      </w:r>
      <w:bookmarkEnd w:id="77"/>
    </w:p>
    <w:tbl>
      <w:tblPr>
        <w:tblW w:w="8080" w:type="dxa"/>
        <w:tblInd w:w="5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57" w:type="dxa"/>
          <w:right w:w="57" w:type="dxa"/>
        </w:tblCellMar>
        <w:tblLook w:val="01E0" w:firstRow="1" w:lastRow="1" w:firstColumn="1" w:lastColumn="1" w:noHBand="0" w:noVBand="0"/>
      </w:tblPr>
      <w:tblGrid>
        <w:gridCol w:w="2694"/>
        <w:gridCol w:w="1346"/>
        <w:gridCol w:w="1347"/>
        <w:gridCol w:w="1346"/>
        <w:gridCol w:w="1347"/>
      </w:tblGrid>
      <w:tr w:rsidR="00311E63" w:rsidRPr="00EC5EF1" w14:paraId="09343831" w14:textId="77777777" w:rsidTr="00125224">
        <w:trPr>
          <w:cantSplit/>
        </w:trPr>
        <w:tc>
          <w:tcPr>
            <w:tcW w:w="2694" w:type="dxa"/>
            <w:vMerge w:val="restart"/>
            <w:tcBorders>
              <w:top w:val="nil"/>
              <w:left w:val="nil"/>
              <w:bottom w:val="nil"/>
              <w:right w:val="single" w:sz="4" w:space="0" w:color="A6A6A6" w:themeColor="background1" w:themeShade="A6"/>
            </w:tcBorders>
            <w:shd w:val="clear" w:color="auto" w:fill="D9D9D9" w:themeFill="background1" w:themeFillShade="D9"/>
          </w:tcPr>
          <w:p w14:paraId="35F08D50" w14:textId="3313040B" w:rsidR="00311E63" w:rsidRPr="00EC5EF1" w:rsidRDefault="00311E63" w:rsidP="00AB2E42">
            <w:pPr>
              <w:pStyle w:val="TableText"/>
              <w:keepNext/>
            </w:pPr>
          </w:p>
        </w:tc>
        <w:tc>
          <w:tcPr>
            <w:tcW w:w="2693"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25C484DE" w14:textId="7B8EF94D" w:rsidR="00311E63" w:rsidRPr="00311E63" w:rsidRDefault="00311E63" w:rsidP="00AB2E42">
            <w:pPr>
              <w:pStyle w:val="TableText"/>
              <w:keepNext/>
              <w:jc w:val="center"/>
              <w:rPr>
                <w:b/>
              </w:rPr>
            </w:pPr>
            <w:r w:rsidRPr="00311E63">
              <w:rPr>
                <w:b/>
              </w:rPr>
              <w:t>Community treatment orders</w:t>
            </w:r>
          </w:p>
        </w:tc>
        <w:tc>
          <w:tcPr>
            <w:tcW w:w="2693" w:type="dxa"/>
            <w:gridSpan w:val="2"/>
            <w:tcBorders>
              <w:top w:val="nil"/>
              <w:left w:val="single" w:sz="4" w:space="0" w:color="A6A6A6" w:themeColor="background1" w:themeShade="A6"/>
              <w:bottom w:val="nil"/>
              <w:right w:val="nil"/>
            </w:tcBorders>
            <w:shd w:val="clear" w:color="auto" w:fill="D9D9D9" w:themeFill="background1" w:themeFillShade="D9"/>
          </w:tcPr>
          <w:p w14:paraId="7F29FF4D" w14:textId="77777777" w:rsidR="00311E63" w:rsidRPr="00311E63" w:rsidRDefault="00311E63" w:rsidP="00AB2E42">
            <w:pPr>
              <w:pStyle w:val="TableText"/>
              <w:keepNext/>
              <w:jc w:val="center"/>
              <w:rPr>
                <w:b/>
              </w:rPr>
            </w:pPr>
            <w:r w:rsidRPr="00311E63">
              <w:rPr>
                <w:b/>
              </w:rPr>
              <w:t>Inpatient treatment orders</w:t>
            </w:r>
          </w:p>
        </w:tc>
      </w:tr>
      <w:tr w:rsidR="00311E63" w:rsidRPr="00EC5EF1" w14:paraId="7569CD84" w14:textId="77777777" w:rsidTr="00125224">
        <w:trPr>
          <w:cantSplit/>
        </w:trPr>
        <w:tc>
          <w:tcPr>
            <w:tcW w:w="2694" w:type="dxa"/>
            <w:vMerge/>
            <w:tcBorders>
              <w:top w:val="nil"/>
              <w:left w:val="nil"/>
              <w:bottom w:val="nil"/>
              <w:right w:val="single" w:sz="4" w:space="0" w:color="A6A6A6" w:themeColor="background1" w:themeShade="A6"/>
            </w:tcBorders>
            <w:shd w:val="clear" w:color="auto" w:fill="D9D9D9" w:themeFill="background1" w:themeFillShade="D9"/>
          </w:tcPr>
          <w:p w14:paraId="3BA42036" w14:textId="22C115F8" w:rsidR="00311E63" w:rsidRPr="00EC5EF1" w:rsidRDefault="00311E63" w:rsidP="00AB2E42">
            <w:pPr>
              <w:pStyle w:val="TableText"/>
              <w:keepNext/>
            </w:pPr>
          </w:p>
        </w:tc>
        <w:tc>
          <w:tcPr>
            <w:tcW w:w="1346" w:type="dxa"/>
            <w:tcBorders>
              <w:top w:val="nil"/>
              <w:left w:val="single" w:sz="4" w:space="0" w:color="A6A6A6" w:themeColor="background1" w:themeShade="A6"/>
              <w:bottom w:val="nil"/>
              <w:right w:val="nil"/>
            </w:tcBorders>
            <w:shd w:val="clear" w:color="auto" w:fill="D9D9D9" w:themeFill="background1" w:themeFillShade="D9"/>
          </w:tcPr>
          <w:p w14:paraId="335C7629" w14:textId="64749259" w:rsidR="00311E63" w:rsidRPr="00311E63" w:rsidRDefault="00311E63" w:rsidP="00AB2E42">
            <w:pPr>
              <w:pStyle w:val="TableText"/>
              <w:keepNext/>
              <w:spacing w:before="0"/>
              <w:jc w:val="center"/>
              <w:rPr>
                <w:b/>
              </w:rPr>
            </w:pPr>
            <w:r w:rsidRPr="00311E63">
              <w:rPr>
                <w:b/>
              </w:rPr>
              <w:t>Male</w:t>
            </w:r>
          </w:p>
        </w:tc>
        <w:tc>
          <w:tcPr>
            <w:tcW w:w="1347" w:type="dxa"/>
            <w:tcBorders>
              <w:top w:val="nil"/>
              <w:left w:val="nil"/>
              <w:bottom w:val="nil"/>
              <w:right w:val="single" w:sz="4" w:space="0" w:color="A6A6A6" w:themeColor="background1" w:themeShade="A6"/>
            </w:tcBorders>
            <w:shd w:val="clear" w:color="auto" w:fill="D9D9D9" w:themeFill="background1" w:themeFillShade="D9"/>
          </w:tcPr>
          <w:p w14:paraId="7D2DCBDF" w14:textId="77777777" w:rsidR="00311E63" w:rsidRPr="00311E63" w:rsidRDefault="00311E63" w:rsidP="00AB2E42">
            <w:pPr>
              <w:pStyle w:val="TableText"/>
              <w:keepNext/>
              <w:spacing w:before="0"/>
              <w:jc w:val="center"/>
              <w:rPr>
                <w:b/>
              </w:rPr>
            </w:pPr>
            <w:r w:rsidRPr="00311E63">
              <w:rPr>
                <w:b/>
              </w:rPr>
              <w:t>Female</w:t>
            </w:r>
          </w:p>
        </w:tc>
        <w:tc>
          <w:tcPr>
            <w:tcW w:w="1346" w:type="dxa"/>
            <w:tcBorders>
              <w:top w:val="nil"/>
              <w:left w:val="single" w:sz="4" w:space="0" w:color="A6A6A6" w:themeColor="background1" w:themeShade="A6"/>
              <w:bottom w:val="nil"/>
              <w:right w:val="nil"/>
            </w:tcBorders>
            <w:shd w:val="clear" w:color="auto" w:fill="D9D9D9" w:themeFill="background1" w:themeFillShade="D9"/>
          </w:tcPr>
          <w:p w14:paraId="60F32711" w14:textId="77777777" w:rsidR="00311E63" w:rsidRPr="00311E63" w:rsidRDefault="00311E63" w:rsidP="00AB2E42">
            <w:pPr>
              <w:pStyle w:val="TableText"/>
              <w:keepNext/>
              <w:spacing w:before="0"/>
              <w:jc w:val="center"/>
              <w:rPr>
                <w:b/>
              </w:rPr>
            </w:pPr>
            <w:r w:rsidRPr="00311E63">
              <w:rPr>
                <w:b/>
              </w:rPr>
              <w:t>Male</w:t>
            </w:r>
          </w:p>
        </w:tc>
        <w:tc>
          <w:tcPr>
            <w:tcW w:w="1347" w:type="dxa"/>
            <w:tcBorders>
              <w:top w:val="nil"/>
              <w:left w:val="nil"/>
              <w:bottom w:val="nil"/>
              <w:right w:val="nil"/>
            </w:tcBorders>
            <w:shd w:val="clear" w:color="auto" w:fill="D9D9D9" w:themeFill="background1" w:themeFillShade="D9"/>
          </w:tcPr>
          <w:p w14:paraId="6B2E9728" w14:textId="77777777" w:rsidR="00311E63" w:rsidRPr="00311E63" w:rsidRDefault="00311E63" w:rsidP="00AB2E42">
            <w:pPr>
              <w:pStyle w:val="TableText"/>
              <w:keepNext/>
              <w:spacing w:before="0"/>
              <w:jc w:val="center"/>
              <w:rPr>
                <w:b/>
              </w:rPr>
            </w:pPr>
            <w:r w:rsidRPr="00311E63">
              <w:rPr>
                <w:b/>
              </w:rPr>
              <w:t>Female</w:t>
            </w:r>
          </w:p>
        </w:tc>
      </w:tr>
      <w:tr w:rsidR="00740DA6" w:rsidRPr="00EC5EF1" w14:paraId="3E7A99D1" w14:textId="77777777" w:rsidTr="00125224">
        <w:trPr>
          <w:cantSplit/>
        </w:trPr>
        <w:tc>
          <w:tcPr>
            <w:tcW w:w="2694" w:type="dxa"/>
            <w:tcBorders>
              <w:top w:val="nil"/>
              <w:left w:val="nil"/>
              <w:bottom w:val="single" w:sz="4" w:space="0" w:color="A6A6A6" w:themeColor="background1" w:themeShade="A6"/>
              <w:right w:val="single" w:sz="4" w:space="0" w:color="A6A6A6" w:themeColor="background1" w:themeShade="A6"/>
            </w:tcBorders>
          </w:tcPr>
          <w:p w14:paraId="76FE480C" w14:textId="77777777" w:rsidR="00740DA6" w:rsidRPr="00EC5EF1" w:rsidRDefault="00740DA6" w:rsidP="00AB2E42">
            <w:pPr>
              <w:pStyle w:val="TableText"/>
              <w:keepNext/>
            </w:pPr>
            <w:r w:rsidRPr="00EC5EF1">
              <w:t>Māori</w:t>
            </w:r>
          </w:p>
        </w:tc>
        <w:tc>
          <w:tcPr>
            <w:tcW w:w="1346" w:type="dxa"/>
            <w:tcBorders>
              <w:top w:val="nil"/>
              <w:left w:val="single" w:sz="4" w:space="0" w:color="A6A6A6" w:themeColor="background1" w:themeShade="A6"/>
              <w:bottom w:val="single" w:sz="4" w:space="0" w:color="A6A6A6" w:themeColor="background1" w:themeShade="A6"/>
              <w:right w:val="nil"/>
            </w:tcBorders>
          </w:tcPr>
          <w:p w14:paraId="141EE162" w14:textId="77777777" w:rsidR="00740DA6" w:rsidRPr="00EC5EF1" w:rsidRDefault="00740DA6" w:rsidP="00AB2E42">
            <w:pPr>
              <w:pStyle w:val="TableText"/>
              <w:keepNext/>
              <w:jc w:val="center"/>
            </w:pPr>
            <w:r w:rsidRPr="00EC5EF1">
              <w:t>468.2</w:t>
            </w:r>
          </w:p>
        </w:tc>
        <w:tc>
          <w:tcPr>
            <w:tcW w:w="1347" w:type="dxa"/>
            <w:tcBorders>
              <w:top w:val="nil"/>
              <w:left w:val="nil"/>
              <w:bottom w:val="single" w:sz="4" w:space="0" w:color="A6A6A6" w:themeColor="background1" w:themeShade="A6"/>
              <w:right w:val="single" w:sz="4" w:space="0" w:color="A6A6A6" w:themeColor="background1" w:themeShade="A6"/>
            </w:tcBorders>
          </w:tcPr>
          <w:p w14:paraId="7FB92B2A" w14:textId="77777777" w:rsidR="00740DA6" w:rsidRPr="00EC5EF1" w:rsidRDefault="00740DA6" w:rsidP="00AB2E42">
            <w:pPr>
              <w:pStyle w:val="TableText"/>
              <w:keepNext/>
              <w:jc w:val="center"/>
            </w:pPr>
            <w:r w:rsidRPr="00EC5EF1">
              <w:t>217</w:t>
            </w:r>
          </w:p>
        </w:tc>
        <w:tc>
          <w:tcPr>
            <w:tcW w:w="1346" w:type="dxa"/>
            <w:tcBorders>
              <w:top w:val="nil"/>
              <w:left w:val="single" w:sz="4" w:space="0" w:color="A6A6A6" w:themeColor="background1" w:themeShade="A6"/>
              <w:bottom w:val="single" w:sz="4" w:space="0" w:color="A6A6A6" w:themeColor="background1" w:themeShade="A6"/>
              <w:right w:val="nil"/>
            </w:tcBorders>
          </w:tcPr>
          <w:p w14:paraId="7DB9DDCB" w14:textId="77777777" w:rsidR="00740DA6" w:rsidRPr="00EC5EF1" w:rsidRDefault="00740DA6" w:rsidP="00AB2E42">
            <w:pPr>
              <w:pStyle w:val="TableText"/>
              <w:keepNext/>
              <w:jc w:val="center"/>
            </w:pPr>
            <w:r w:rsidRPr="00EC5EF1">
              <w:t>144.5</w:t>
            </w:r>
          </w:p>
        </w:tc>
        <w:tc>
          <w:tcPr>
            <w:tcW w:w="1347" w:type="dxa"/>
            <w:tcBorders>
              <w:top w:val="nil"/>
              <w:left w:val="nil"/>
              <w:bottom w:val="single" w:sz="4" w:space="0" w:color="A6A6A6" w:themeColor="background1" w:themeShade="A6"/>
              <w:right w:val="nil"/>
            </w:tcBorders>
          </w:tcPr>
          <w:p w14:paraId="5E7EB88B" w14:textId="77777777" w:rsidR="00740DA6" w:rsidRPr="00EC5EF1" w:rsidRDefault="00740DA6" w:rsidP="00AB2E42">
            <w:pPr>
              <w:pStyle w:val="TableText"/>
              <w:keepNext/>
              <w:jc w:val="center"/>
            </w:pPr>
            <w:r w:rsidRPr="00EC5EF1">
              <w:t>72.4</w:t>
            </w:r>
          </w:p>
        </w:tc>
      </w:tr>
      <w:tr w:rsidR="00311E63" w:rsidRPr="00EC5EF1" w14:paraId="5D793A82" w14:textId="77777777" w:rsidTr="00125224">
        <w:trPr>
          <w:cantSplit/>
        </w:trPr>
        <w:tc>
          <w:tcPr>
            <w:tcW w:w="26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006BC14B" w14:textId="77777777" w:rsidR="00311E63" w:rsidRPr="00EC5EF1" w:rsidRDefault="00311E63" w:rsidP="00AB2E42">
            <w:pPr>
              <w:pStyle w:val="TableText"/>
              <w:keepNext/>
            </w:pPr>
            <w:r w:rsidRPr="00EC5EF1">
              <w:t>Non-Māori</w:t>
            </w:r>
          </w:p>
        </w:tc>
        <w:tc>
          <w:tcPr>
            <w:tcW w:w="134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40E30FF8" w14:textId="77777777" w:rsidR="00311E63" w:rsidRPr="00EC5EF1" w:rsidRDefault="00311E63" w:rsidP="00AB2E42">
            <w:pPr>
              <w:pStyle w:val="TableText"/>
              <w:keepNext/>
              <w:jc w:val="center"/>
            </w:pPr>
            <w:r w:rsidRPr="00EC5EF1">
              <w:t>113.4</w:t>
            </w:r>
          </w:p>
        </w:tc>
        <w:tc>
          <w:tcPr>
            <w:tcW w:w="1347"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61E88000" w14:textId="77777777" w:rsidR="00311E63" w:rsidRPr="00EC5EF1" w:rsidRDefault="00311E63" w:rsidP="00AB2E42">
            <w:pPr>
              <w:pStyle w:val="TableText"/>
              <w:keepNext/>
              <w:jc w:val="center"/>
            </w:pPr>
            <w:r w:rsidRPr="00EC5EF1">
              <w:t>59.2</w:t>
            </w:r>
          </w:p>
        </w:tc>
        <w:tc>
          <w:tcPr>
            <w:tcW w:w="134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08145E96" w14:textId="7E363E76" w:rsidR="00311E63" w:rsidRPr="00EC5EF1" w:rsidRDefault="00311E63" w:rsidP="00AB2E42">
            <w:pPr>
              <w:pStyle w:val="TableText"/>
              <w:keepNext/>
              <w:jc w:val="center"/>
            </w:pPr>
            <w:r w:rsidRPr="00EC5EF1">
              <w:t>35.9</w:t>
            </w:r>
          </w:p>
        </w:tc>
        <w:tc>
          <w:tcPr>
            <w:tcW w:w="1347" w:type="dxa"/>
            <w:tcBorders>
              <w:top w:val="single" w:sz="4" w:space="0" w:color="A6A6A6" w:themeColor="background1" w:themeShade="A6"/>
              <w:left w:val="nil"/>
              <w:bottom w:val="single" w:sz="4" w:space="0" w:color="A6A6A6" w:themeColor="background1" w:themeShade="A6"/>
              <w:right w:val="nil"/>
            </w:tcBorders>
          </w:tcPr>
          <w:p w14:paraId="2F835C50" w14:textId="32B7C684" w:rsidR="00311E63" w:rsidRPr="00EC5EF1" w:rsidRDefault="00311E63" w:rsidP="00AB2E42">
            <w:pPr>
              <w:pStyle w:val="TableText"/>
              <w:keepNext/>
              <w:jc w:val="center"/>
            </w:pPr>
            <w:r>
              <w:t>24</w:t>
            </w:r>
          </w:p>
        </w:tc>
      </w:tr>
      <w:tr w:rsidR="00740DA6" w:rsidRPr="00EC5EF1" w14:paraId="4FF80F60" w14:textId="77777777" w:rsidTr="00125224">
        <w:trPr>
          <w:cantSplit/>
        </w:trPr>
        <w:tc>
          <w:tcPr>
            <w:tcW w:w="26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0EC67814" w14:textId="6AC7F70F" w:rsidR="00740DA6" w:rsidRPr="00EC5EF1" w:rsidRDefault="00740DA6" w:rsidP="00724EBD">
            <w:pPr>
              <w:pStyle w:val="TableText"/>
            </w:pPr>
            <w:r w:rsidRPr="00EC5EF1">
              <w:t>Rate ratio Māori</w:t>
            </w:r>
            <w:r w:rsidR="00311E63">
              <w:t xml:space="preserve"> </w:t>
            </w:r>
            <w:r w:rsidRPr="00EC5EF1">
              <w:t>:</w:t>
            </w:r>
            <w:r w:rsidR="00311E63">
              <w:t xml:space="preserve"> </w:t>
            </w:r>
            <w:r w:rsidRPr="00EC5EF1">
              <w:t>non-Māori</w:t>
            </w:r>
          </w:p>
        </w:tc>
        <w:tc>
          <w:tcPr>
            <w:tcW w:w="134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6EF94B7D" w14:textId="77777777" w:rsidR="00740DA6" w:rsidRPr="00EC5EF1" w:rsidRDefault="00740DA6" w:rsidP="00311E63">
            <w:pPr>
              <w:pStyle w:val="TableText"/>
              <w:jc w:val="center"/>
            </w:pPr>
            <w:r w:rsidRPr="00EC5EF1">
              <w:t>4.1:1</w:t>
            </w:r>
          </w:p>
        </w:tc>
        <w:tc>
          <w:tcPr>
            <w:tcW w:w="1347"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6CD1EB66" w14:textId="77777777" w:rsidR="00740DA6" w:rsidRPr="00EC5EF1" w:rsidRDefault="00740DA6" w:rsidP="00311E63">
            <w:pPr>
              <w:pStyle w:val="TableText"/>
              <w:jc w:val="center"/>
            </w:pPr>
            <w:r w:rsidRPr="00EC5EF1">
              <w:t>3.7:1</w:t>
            </w:r>
          </w:p>
        </w:tc>
        <w:tc>
          <w:tcPr>
            <w:tcW w:w="134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4C40A4F6" w14:textId="77777777" w:rsidR="00740DA6" w:rsidRPr="00EC5EF1" w:rsidRDefault="00740DA6" w:rsidP="00311E63">
            <w:pPr>
              <w:pStyle w:val="TableText"/>
              <w:jc w:val="center"/>
            </w:pPr>
            <w:r w:rsidRPr="00EC5EF1">
              <w:t>4:1</w:t>
            </w:r>
          </w:p>
        </w:tc>
        <w:tc>
          <w:tcPr>
            <w:tcW w:w="1347" w:type="dxa"/>
            <w:tcBorders>
              <w:top w:val="single" w:sz="4" w:space="0" w:color="A6A6A6" w:themeColor="background1" w:themeShade="A6"/>
              <w:left w:val="nil"/>
              <w:bottom w:val="single" w:sz="4" w:space="0" w:color="A6A6A6" w:themeColor="background1" w:themeShade="A6"/>
              <w:right w:val="nil"/>
            </w:tcBorders>
          </w:tcPr>
          <w:p w14:paraId="67054369" w14:textId="77777777" w:rsidR="00740DA6" w:rsidRPr="00EC5EF1" w:rsidRDefault="00740DA6" w:rsidP="00311E63">
            <w:pPr>
              <w:pStyle w:val="TableText"/>
              <w:jc w:val="center"/>
            </w:pPr>
            <w:r w:rsidRPr="00EC5EF1">
              <w:t>3:1</w:t>
            </w:r>
          </w:p>
        </w:tc>
      </w:tr>
    </w:tbl>
    <w:p w14:paraId="7A72B5DB" w14:textId="145DE1DB" w:rsidR="00740DA6" w:rsidRPr="00EC5EF1" w:rsidRDefault="00740DA6" w:rsidP="00311E63">
      <w:pPr>
        <w:pStyle w:val="Note"/>
      </w:pPr>
      <w:r w:rsidRPr="00EC5EF1">
        <w:t>Note: Rates per 100,000 are age-standardised. Source: PRIMHD data, extracted on 17 August 2018</w:t>
      </w:r>
      <w:r w:rsidR="00311E63">
        <w:t>.</w:t>
      </w:r>
    </w:p>
    <w:p w14:paraId="1DB7868D" w14:textId="77777777" w:rsidR="00740DA6" w:rsidRPr="00EC5EF1" w:rsidRDefault="00740DA6" w:rsidP="00311E63"/>
    <w:p w14:paraId="24B18998" w14:textId="61F3C7EB" w:rsidR="00740DA6" w:rsidRDefault="00740DA6" w:rsidP="00867E95">
      <w:pPr>
        <w:pStyle w:val="Figure"/>
      </w:pPr>
      <w:bookmarkStart w:id="78" w:name="_Toc2845716"/>
      <w:r w:rsidRPr="00EC5EF1">
        <w:t>Figure 14: Age-standardised rates of Māori and non-Māori subject to community and inpatient treatment orders (sections 29 and 30 respectively) under the Mental Health Act, by sex, 1 January to 31 December 2017</w:t>
      </w:r>
      <w:bookmarkEnd w:id="78"/>
    </w:p>
    <w:p w14:paraId="6049620E" w14:textId="74472D1C" w:rsidR="00867E95" w:rsidRDefault="00AB2E42" w:rsidP="00867E95">
      <w:r>
        <w:rPr>
          <w:noProof/>
          <w:lang w:eastAsia="en-NZ"/>
        </w:rPr>
        <w:drawing>
          <wp:inline distT="0" distB="0" distL="0" distR="0" wp14:anchorId="699A8C59" wp14:editId="7D33810F">
            <wp:extent cx="5130165" cy="2894818"/>
            <wp:effectExtent l="0" t="0" r="0" b="1270"/>
            <wp:docPr id="25" name="Picture 25" title="Figure 14: Age-standardised rates of Māori and non-Māori subject to community and inpatient treatment orders (sections 29 and 30 respectively) under the Mental Health Act, by sex, 1 January to 31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130165" cy="2894818"/>
                    </a:xfrm>
                    <a:prstGeom prst="rect">
                      <a:avLst/>
                    </a:prstGeom>
                  </pic:spPr>
                </pic:pic>
              </a:graphicData>
            </a:graphic>
          </wp:inline>
        </w:drawing>
      </w:r>
    </w:p>
    <w:p w14:paraId="1AA701C2" w14:textId="0AB34C13" w:rsidR="00867E95" w:rsidRDefault="00867E95" w:rsidP="00867E95">
      <w:pPr>
        <w:pStyle w:val="Note"/>
      </w:pPr>
      <w:r>
        <w:t>Note: Rates per 100,000 are age-standardised (ASR).</w:t>
      </w:r>
    </w:p>
    <w:p w14:paraId="1B7A3472" w14:textId="17EA4F3F" w:rsidR="00867E95" w:rsidRDefault="00867E95" w:rsidP="00867E95">
      <w:pPr>
        <w:pStyle w:val="Source"/>
      </w:pPr>
      <w:r>
        <w:t>Source: PRIMHD data, extracted on 17 August 2018</w:t>
      </w:r>
    </w:p>
    <w:p w14:paraId="75260BED" w14:textId="77777777" w:rsidR="00867E95" w:rsidRPr="00867E95" w:rsidRDefault="00867E95" w:rsidP="00867E95"/>
    <w:p w14:paraId="091DD06F" w14:textId="77777777" w:rsidR="00740DA6" w:rsidRPr="00EC5EF1" w:rsidRDefault="00740DA6" w:rsidP="00867E95">
      <w:pPr>
        <w:pStyle w:val="Heading4"/>
      </w:pPr>
      <w:r w:rsidRPr="00EC5EF1">
        <w:t>Length of time spent subject to compulsory treatment orders</w:t>
      </w:r>
    </w:p>
    <w:p w14:paraId="57D1EDAB" w14:textId="77777777" w:rsidR="00740DA6" w:rsidRPr="00EC5EF1" w:rsidRDefault="00740DA6" w:rsidP="00867E95">
      <w:r w:rsidRPr="00EC5EF1">
        <w:t>On average, Māori and non-Māori remain on compulsory treatment orders for a similar amount of time (see Figure 15). For community treatment orders commenced between 2009 and 2015, 80 percent of Māori and 81 percent of non-Māori were subject to the order for less than a year. For inpatient treatment orders commenced between 2009 and 2015, 96 percent of Māori and 97 percent of non-Māori were subject to the order for less than a year.</w:t>
      </w:r>
    </w:p>
    <w:p w14:paraId="2B978D91" w14:textId="77777777" w:rsidR="00740DA6" w:rsidRPr="00EC5EF1" w:rsidRDefault="00740DA6" w:rsidP="00867E95"/>
    <w:p w14:paraId="72E6CE64" w14:textId="3AFABC1D" w:rsidR="00867E95" w:rsidRDefault="00740DA6" w:rsidP="00867E95">
      <w:pPr>
        <w:pStyle w:val="Figure"/>
      </w:pPr>
      <w:bookmarkStart w:id="79" w:name="_Toc2845717"/>
      <w:r w:rsidRPr="00EC5EF1">
        <w:lastRenderedPageBreak/>
        <w:t>Figure 15: Length of time spent subject to community and inpatient treatment orders (sections 29 and 30) under the Mental Health Act for Māori and non-Māori</w:t>
      </w:r>
      <w:proofErr w:type="gramStart"/>
      <w:r w:rsidRPr="00EC5EF1">
        <w:t>,</w:t>
      </w:r>
      <w:proofErr w:type="gramEnd"/>
      <w:r w:rsidR="00867E95">
        <w:br/>
      </w:r>
      <w:r w:rsidRPr="00EC5EF1">
        <w:t>2009–2015</w:t>
      </w:r>
      <w:bookmarkEnd w:id="79"/>
    </w:p>
    <w:p w14:paraId="400F8472" w14:textId="7E7A34A4" w:rsidR="00867E95" w:rsidRPr="00867E95" w:rsidRDefault="00AB2E42" w:rsidP="00867E95">
      <w:r>
        <w:rPr>
          <w:noProof/>
          <w:lang w:eastAsia="en-NZ"/>
        </w:rPr>
        <w:drawing>
          <wp:inline distT="0" distB="0" distL="0" distR="0" wp14:anchorId="31427D07" wp14:editId="436B8A3A">
            <wp:extent cx="5130165" cy="2499979"/>
            <wp:effectExtent l="0" t="0" r="0" b="0"/>
            <wp:docPr id="26" name="Picture 26" title="Figure 15: Length of time spent subject to community and inpatient treatment orders (sections 29 and 30) under the Mental Health Act for Māori and non-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130165" cy="2499979"/>
                    </a:xfrm>
                    <a:prstGeom prst="rect">
                      <a:avLst/>
                    </a:prstGeom>
                  </pic:spPr>
                </pic:pic>
              </a:graphicData>
            </a:graphic>
          </wp:inline>
        </w:drawing>
      </w:r>
    </w:p>
    <w:p w14:paraId="4BFBCC9B" w14:textId="77777777" w:rsidR="00740DA6" w:rsidRPr="00EC5EF1" w:rsidRDefault="00740DA6" w:rsidP="00867E95">
      <w:pPr>
        <w:pStyle w:val="Note"/>
      </w:pPr>
      <w:r w:rsidRPr="00EC5EF1">
        <w:t>Note: The data refers to treatment orders started between 2009 and 2015. 2015 is the most recent year referred to in this figure, as this analysis requires at least two years to have elapsed to determine the number of people who have remained on a treatment order for two or more years.</w:t>
      </w:r>
    </w:p>
    <w:p w14:paraId="15E5402F" w14:textId="12EED977" w:rsidR="00740DA6" w:rsidRDefault="00740DA6" w:rsidP="00867E95">
      <w:pPr>
        <w:pStyle w:val="Source"/>
      </w:pPr>
      <w:r w:rsidRPr="00EC5EF1">
        <w:t>Source: PRIMHD data, extracted on 17 August 2018</w:t>
      </w:r>
    </w:p>
    <w:p w14:paraId="6CA15312" w14:textId="77777777" w:rsidR="00867E95" w:rsidRPr="00867E95" w:rsidRDefault="00867E95" w:rsidP="00867E95"/>
    <w:p w14:paraId="16DC17CE" w14:textId="77777777" w:rsidR="00740DA6" w:rsidRPr="00EC5EF1" w:rsidRDefault="00740DA6" w:rsidP="00867E95">
      <w:pPr>
        <w:pStyle w:val="Heading4"/>
      </w:pPr>
      <w:r w:rsidRPr="00EC5EF1">
        <w:t>Future focus</w:t>
      </w:r>
    </w:p>
    <w:p w14:paraId="57355E29" w14:textId="774DCCEA" w:rsidR="00740DA6" w:rsidRPr="00867E95" w:rsidRDefault="00740DA6" w:rsidP="00867E95">
      <w:r w:rsidRPr="00EC5EF1">
        <w:rPr>
          <w:noProof/>
          <w:lang w:eastAsia="en-NZ"/>
        </w:rPr>
        <w:drawing>
          <wp:anchor distT="0" distB="0" distL="0" distR="0" simplePos="0" relativeHeight="251739136" behindDoc="0" locked="0" layoutInCell="1" allowOverlap="1" wp14:anchorId="18766311" wp14:editId="7EBB29C3">
            <wp:simplePos x="0" y="0"/>
            <wp:positionH relativeFrom="page">
              <wp:posOffset>8060163</wp:posOffset>
            </wp:positionH>
            <wp:positionV relativeFrom="paragraph">
              <wp:posOffset>227299</wp:posOffset>
            </wp:positionV>
            <wp:extent cx="155575" cy="155575"/>
            <wp:effectExtent l="0" t="0" r="0" b="0"/>
            <wp:wrapNone/>
            <wp:docPr id="22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Reducing the disparity of Māori mental health outcomes continues to be a priority for the Ministry (Ministry of Health 2012e). Publishing data on the rate of Māori subject to compulsory treatment is just one aspect of what needs to be a wider conversation</w:t>
      </w:r>
      <w:r w:rsidR="00867E95">
        <w:t xml:space="preserve"> </w:t>
      </w:r>
      <w:r w:rsidRPr="00EC5EF1">
        <w:t>around Māori over-representation in compulsory</w:t>
      </w:r>
      <w:r w:rsidR="00867E95">
        <w:t xml:space="preserve"> </w:t>
      </w:r>
      <w:r w:rsidRPr="00EC5EF1">
        <w:t>assessment and treatment under the Mental Health Act.</w:t>
      </w:r>
      <w:r w:rsidR="00867E95">
        <w:rPr>
          <w:rStyle w:val="FootnoteReference"/>
        </w:rPr>
        <w:footnoteReference w:id="23"/>
      </w:r>
    </w:p>
    <w:p w14:paraId="62D5324E" w14:textId="77777777" w:rsidR="00867E95" w:rsidRDefault="00867E95" w:rsidP="00867E95"/>
    <w:p w14:paraId="356A3D03" w14:textId="075BABA9" w:rsidR="00740DA6" w:rsidRPr="00EC5EF1" w:rsidRDefault="00740DA6" w:rsidP="00867E95">
      <w:r w:rsidRPr="00EC5EF1">
        <w:t>The Office will continue to work alongside DHBs and other Ministry and government groups to ensure that the best possible mental health outcomes are being sought for Māori in New Zealand.</w:t>
      </w:r>
    </w:p>
    <w:p w14:paraId="7DF1E86E" w14:textId="77777777" w:rsidR="00D11995" w:rsidRDefault="00D11995" w:rsidP="00867E95"/>
    <w:p w14:paraId="18CEB4BE" w14:textId="5BD3E37C" w:rsidR="00740DA6" w:rsidRPr="00EC5EF1" w:rsidRDefault="00740DA6" w:rsidP="00867E95">
      <w:pPr>
        <w:pStyle w:val="Heading3"/>
      </w:pPr>
      <w:bookmarkStart w:id="80" w:name="_Toc2845665"/>
      <w:r w:rsidRPr="00EC5EF1">
        <w:t>Family/whānau consultation and the Mental Health</w:t>
      </w:r>
      <w:r w:rsidR="00DE0BB2">
        <w:t xml:space="preserve"> </w:t>
      </w:r>
      <w:r w:rsidRPr="00EC5EF1">
        <w:t>Act</w:t>
      </w:r>
      <w:bookmarkEnd w:id="80"/>
    </w:p>
    <w:p w14:paraId="4CF890A6" w14:textId="77777777" w:rsidR="00740DA6" w:rsidRPr="00EC5EF1" w:rsidRDefault="00740DA6" w:rsidP="00867E95">
      <w:r w:rsidRPr="00EC5EF1">
        <w:t>In 1999, Parliament made an amendment to the Mental Health Act that required clinicians to consult family/whānau at particular junctures of a person’s compulsory assessment and treatment under the Mental Health Act. Section 7A of the Act requires a mental health service to consult unless it is deemed not reasonably practicable, or not in the interests of the person being assessed or receiving the treatment.</w:t>
      </w:r>
    </w:p>
    <w:p w14:paraId="76D20FE9" w14:textId="77777777" w:rsidR="00740DA6" w:rsidRPr="00EC5EF1" w:rsidRDefault="00740DA6" w:rsidP="00867E95"/>
    <w:p w14:paraId="0241A69C" w14:textId="77777777" w:rsidR="00740DA6" w:rsidRPr="00EC5EF1" w:rsidRDefault="00740DA6" w:rsidP="00867E95">
      <w:r w:rsidRPr="00EC5EF1">
        <w:lastRenderedPageBreak/>
        <w:t>In summary, in 2017:</w:t>
      </w:r>
    </w:p>
    <w:p w14:paraId="2BA14DEB" w14:textId="77777777" w:rsidR="00740DA6" w:rsidRPr="00EC5EF1" w:rsidRDefault="00740DA6" w:rsidP="00867E95">
      <w:pPr>
        <w:pStyle w:val="Bullet"/>
      </w:pPr>
      <w:r w:rsidRPr="00EC5EF1">
        <w:t>on average nationally, 60 percent of families/whānau were consulted about Mental Health Act assessment/treatment events</w:t>
      </w:r>
    </w:p>
    <w:p w14:paraId="66370065" w14:textId="6A2E95D0" w:rsidR="00740DA6" w:rsidRPr="00EC5EF1" w:rsidRDefault="00740DA6" w:rsidP="00867E95">
      <w:pPr>
        <w:pStyle w:val="Bullet"/>
      </w:pPr>
      <w:r w:rsidRPr="00EC5EF1">
        <w:t>of all the steps in the Mental Health Act treatment process, family/whānau were most likely to be consulted at a person’s certificate for further assessment (section</w:t>
      </w:r>
      <w:r w:rsidR="00867E95">
        <w:t> </w:t>
      </w:r>
      <w:r w:rsidRPr="00EC5EF1">
        <w:t>12)</w:t>
      </w:r>
    </w:p>
    <w:p w14:paraId="6717133B" w14:textId="77777777" w:rsidR="00740DA6" w:rsidRPr="00EC5EF1" w:rsidRDefault="00740DA6" w:rsidP="00867E95">
      <w:pPr>
        <w:pStyle w:val="Bullet"/>
      </w:pPr>
      <w:r w:rsidRPr="00EC5EF1">
        <w:t>family/whānau consultation varied by DHB</w:t>
      </w:r>
    </w:p>
    <w:p w14:paraId="7B49B7E4" w14:textId="1836329E" w:rsidR="00740DA6" w:rsidRDefault="00740DA6" w:rsidP="00867E95">
      <w:pPr>
        <w:pStyle w:val="Bullet"/>
      </w:pPr>
      <w:proofErr w:type="gramStart"/>
      <w:r w:rsidRPr="00EC5EF1">
        <w:t>the</w:t>
      </w:r>
      <w:proofErr w:type="gramEnd"/>
      <w:r w:rsidRPr="00EC5EF1">
        <w:t xml:space="preserve"> most common reason family/whānau were not consulted was that service providers deemed consultation not reasonably practicable in the particular circumstance.</w:t>
      </w:r>
    </w:p>
    <w:p w14:paraId="72409A02" w14:textId="77777777" w:rsidR="00867E95" w:rsidRPr="00EC5EF1" w:rsidRDefault="00867E95" w:rsidP="00867E95"/>
    <w:p w14:paraId="56209086" w14:textId="77777777" w:rsidR="00740DA6" w:rsidRPr="00EC5EF1" w:rsidRDefault="00740DA6" w:rsidP="00867E95">
      <w:pPr>
        <w:pStyle w:val="Heading4"/>
      </w:pPr>
      <w:r w:rsidRPr="00EC5EF1">
        <w:t>Purpose of family/whānau consultation</w:t>
      </w:r>
    </w:p>
    <w:p w14:paraId="3A5557B2" w14:textId="77777777" w:rsidR="00740DA6" w:rsidRPr="00EC5EF1" w:rsidRDefault="00740DA6" w:rsidP="00867E95">
      <w:r w:rsidRPr="00EC5EF1">
        <w:t>The purpose of family/whānau consultation is to:</w:t>
      </w:r>
    </w:p>
    <w:p w14:paraId="77121A88" w14:textId="77777777" w:rsidR="00740DA6" w:rsidRPr="00EC5EF1" w:rsidRDefault="00740DA6" w:rsidP="00867E95">
      <w:pPr>
        <w:pStyle w:val="Bullet"/>
      </w:pPr>
      <w:r w:rsidRPr="00EC5EF1">
        <w:t>strengthen family/whānau involvement in the compulsory assessment and treatment process</w:t>
      </w:r>
    </w:p>
    <w:p w14:paraId="2A77A067" w14:textId="77777777" w:rsidR="00740DA6" w:rsidRPr="00EC5EF1" w:rsidRDefault="00740DA6" w:rsidP="00867E95">
      <w:pPr>
        <w:pStyle w:val="Bullet"/>
      </w:pPr>
      <w:r w:rsidRPr="00EC5EF1">
        <w:t>enhance the family/whānau contribution to the person’s care</w:t>
      </w:r>
    </w:p>
    <w:p w14:paraId="4A516822" w14:textId="77777777" w:rsidR="00740DA6" w:rsidRPr="00EC5EF1" w:rsidRDefault="00740DA6" w:rsidP="00867E95">
      <w:pPr>
        <w:pStyle w:val="Bullet"/>
      </w:pPr>
      <w:r w:rsidRPr="00EC5EF1">
        <w:t>address family/whānau concerns about information sharing and treatment options</w:t>
      </w:r>
    </w:p>
    <w:p w14:paraId="3014BC97" w14:textId="6D3E084F" w:rsidR="00740DA6" w:rsidRPr="00EC5EF1" w:rsidRDefault="00740DA6" w:rsidP="00867E95">
      <w:pPr>
        <w:pStyle w:val="Bullet"/>
      </w:pPr>
      <w:proofErr w:type="gramStart"/>
      <w:r w:rsidRPr="00EC5EF1">
        <w:t>facilitate</w:t>
      </w:r>
      <w:proofErr w:type="gramEnd"/>
      <w:r w:rsidRPr="00EC5EF1">
        <w:t xml:space="preserve"> ongoing family/whānau involvement in Mental Health Act processes, such as clinical reviews of treatment or Court hearings (Ministry of Health 2012d).</w:t>
      </w:r>
    </w:p>
    <w:p w14:paraId="6A11BDDD" w14:textId="77777777" w:rsidR="00D11995" w:rsidRDefault="00D11995" w:rsidP="00867E95"/>
    <w:p w14:paraId="02E4F383" w14:textId="7FD1C33E" w:rsidR="00740DA6" w:rsidRPr="00EC5EF1" w:rsidRDefault="00740DA6" w:rsidP="00867E95">
      <w:r w:rsidRPr="00EC5EF1">
        <w:t>In 2006, the Ministry published a review of section 7A of the Mental Health Act, following concerns that mental health services were not carrying out the required consultation adequately (Ministry of Health 2006). The review made a number of recommendations,</w:t>
      </w:r>
      <w:r w:rsidR="00DE0BB2">
        <w:t xml:space="preserve"> </w:t>
      </w:r>
      <w:r w:rsidRPr="00EC5EF1">
        <w:t>including:</w:t>
      </w:r>
    </w:p>
    <w:p w14:paraId="245EAD60" w14:textId="77777777" w:rsidR="00740DA6" w:rsidRPr="00EC5EF1" w:rsidRDefault="00740DA6" w:rsidP="00867E95">
      <w:pPr>
        <w:pStyle w:val="Bullet"/>
      </w:pPr>
      <w:r w:rsidRPr="00EC5EF1">
        <w:t>revision of the relevant section in Guidelines to the Mental Health Act (Ministry of Health 2012d)</w:t>
      </w:r>
    </w:p>
    <w:p w14:paraId="5F2E0BF9" w14:textId="77777777" w:rsidR="00740DA6" w:rsidRPr="00EC5EF1" w:rsidRDefault="00740DA6" w:rsidP="00867E95">
      <w:pPr>
        <w:pStyle w:val="Bullet"/>
      </w:pPr>
      <w:r w:rsidRPr="00EC5EF1">
        <w:t>better training and resources for clinicians</w:t>
      </w:r>
    </w:p>
    <w:p w14:paraId="048E46F9" w14:textId="77777777" w:rsidR="00740DA6" w:rsidRPr="00EC5EF1" w:rsidRDefault="00740DA6" w:rsidP="00867E95">
      <w:pPr>
        <w:pStyle w:val="Bullet"/>
      </w:pPr>
      <w:r w:rsidRPr="00EC5EF1">
        <w:t>development of information and opportunities to involve family/whānau in the compulsory assessment and treatment process</w:t>
      </w:r>
    </w:p>
    <w:p w14:paraId="61456711" w14:textId="77777777" w:rsidR="00740DA6" w:rsidRPr="00EC5EF1" w:rsidRDefault="00740DA6" w:rsidP="00867E95">
      <w:pPr>
        <w:pStyle w:val="Bullet"/>
      </w:pPr>
      <w:proofErr w:type="gramStart"/>
      <w:r w:rsidRPr="00EC5EF1">
        <w:t>the</w:t>
      </w:r>
      <w:proofErr w:type="gramEnd"/>
      <w:r w:rsidRPr="00EC5EF1">
        <w:t xml:space="preserve"> establishment of nationwide reporting on section 7A consultation.</w:t>
      </w:r>
    </w:p>
    <w:p w14:paraId="65CFC01C" w14:textId="77777777" w:rsidR="00867E95" w:rsidRDefault="00867E95" w:rsidP="00867E95"/>
    <w:p w14:paraId="3E8FE240" w14:textId="0EC63AF0" w:rsidR="00740DA6" w:rsidRPr="00EC5EF1" w:rsidRDefault="00740DA6" w:rsidP="00867E95">
      <w:r w:rsidRPr="00EC5EF1">
        <w:t>This is the fourth year that national data on the application of section 7A has been included in this report. We have included it in the hope that its publication will emphasise the importance of family/whānau consultation, bring greater transparency and accountability to DHB efforts to involve family/whānau, and further encourage a culture of family/whānau involvement in mental health treatment.</w:t>
      </w:r>
    </w:p>
    <w:p w14:paraId="57C1859E" w14:textId="77777777" w:rsidR="007F22A0" w:rsidRDefault="007F22A0" w:rsidP="00867E95"/>
    <w:p w14:paraId="57237F50" w14:textId="77777777" w:rsidR="00740DA6" w:rsidRPr="00EC5EF1" w:rsidRDefault="00740DA6" w:rsidP="00867E95">
      <w:pPr>
        <w:pStyle w:val="Heading4"/>
      </w:pPr>
      <w:r w:rsidRPr="00EC5EF1">
        <w:t>Definition of family/whānau</w:t>
      </w:r>
    </w:p>
    <w:p w14:paraId="133FCD98" w14:textId="2E752453" w:rsidR="00740DA6" w:rsidRDefault="00740DA6" w:rsidP="00867E95">
      <w:r w:rsidRPr="00EC5EF1">
        <w:t>Definitions and understandings of family/whānau vary and are informed by different cultural backgrounds and practices. Almost always, the most important perspective for defining family/whānau is that of the person. Therefore, family/whānau is not limited to blood ties but may include partners, friends and others in a person’s wider support network (Ministry of Health 2012d).</w:t>
      </w:r>
    </w:p>
    <w:p w14:paraId="5EFF4E54" w14:textId="77777777" w:rsidR="00867E95" w:rsidRPr="00EC5EF1" w:rsidRDefault="00867E95" w:rsidP="00867E95"/>
    <w:p w14:paraId="11BF01EF" w14:textId="77777777" w:rsidR="00740DA6" w:rsidRPr="00EC5EF1" w:rsidRDefault="00740DA6" w:rsidP="00867E95">
      <w:pPr>
        <w:pStyle w:val="Heading4"/>
      </w:pPr>
      <w:r w:rsidRPr="00EC5EF1">
        <w:lastRenderedPageBreak/>
        <w:t>District health board reporting of family/whānau consultation</w:t>
      </w:r>
    </w:p>
    <w:p w14:paraId="67B9ECC3" w14:textId="036CE5FA" w:rsidR="00740DA6" w:rsidRDefault="00740DA6" w:rsidP="00867E95">
      <w:r w:rsidRPr="00EC5EF1">
        <w:t>The Ministry requires DHBs to report on family/whānau consultation across five different assessment/treatment events in the Mental Health Act process. These events are listed below.</w:t>
      </w:r>
    </w:p>
    <w:p w14:paraId="03BF6C29" w14:textId="61A5072E" w:rsidR="00867E95" w:rsidRDefault="00867E95" w:rsidP="00867E9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6084"/>
      </w:tblGrid>
      <w:tr w:rsidR="00867E95" w14:paraId="43708EAF" w14:textId="77777777" w:rsidTr="004C6D48">
        <w:trPr>
          <w:cantSplit/>
        </w:trPr>
        <w:tc>
          <w:tcPr>
            <w:tcW w:w="1985" w:type="dxa"/>
            <w:vAlign w:val="center"/>
          </w:tcPr>
          <w:p w14:paraId="21B42C5F" w14:textId="0427737B" w:rsidR="00867E95" w:rsidRDefault="00AB2E42" w:rsidP="004C6D48">
            <w:r>
              <w:rPr>
                <w:noProof/>
                <w:lang w:eastAsia="en-NZ"/>
              </w:rPr>
              <w:drawing>
                <wp:inline distT="0" distB="0" distL="0" distR="0" wp14:anchorId="7885EE2D" wp14:editId="450F32E7">
                  <wp:extent cx="1028700" cy="5695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028700" cy="5695950"/>
                          </a:xfrm>
                          <a:prstGeom prst="rect">
                            <a:avLst/>
                          </a:prstGeom>
                        </pic:spPr>
                      </pic:pic>
                    </a:graphicData>
                  </a:graphic>
                </wp:inline>
              </w:drawing>
            </w:r>
          </w:p>
        </w:tc>
        <w:tc>
          <w:tcPr>
            <w:tcW w:w="6084" w:type="dxa"/>
          </w:tcPr>
          <w:p w14:paraId="4575D7B4" w14:textId="77777777" w:rsidR="00867E95" w:rsidRDefault="004C6D48" w:rsidP="00AB2E42">
            <w:pPr>
              <w:pStyle w:val="Heading4"/>
              <w:spacing w:after="0"/>
              <w:outlineLvl w:val="3"/>
            </w:pPr>
            <w:r w:rsidRPr="00EC5EF1">
              <w:t>Preliminary assessment</w:t>
            </w:r>
          </w:p>
          <w:p w14:paraId="54E0FEA3" w14:textId="77777777" w:rsidR="004C6D48" w:rsidRPr="00EC5EF1" w:rsidRDefault="004C6D48" w:rsidP="004C6D48">
            <w:r w:rsidRPr="00EC5EF1">
              <w:t>The clinician makes a preliminary assessment, including as to whether the person should undergo the initial five-day period of assessment under s 11.</w:t>
            </w:r>
          </w:p>
          <w:p w14:paraId="27508B0F" w14:textId="77777777" w:rsidR="004C6D48" w:rsidRDefault="004C6D48" w:rsidP="00AB2E42">
            <w:pPr>
              <w:pStyle w:val="Heading4"/>
              <w:spacing w:after="0"/>
              <w:outlineLvl w:val="3"/>
            </w:pPr>
            <w:r>
              <w:t>Further assessment</w:t>
            </w:r>
          </w:p>
          <w:p w14:paraId="0CF63B82" w14:textId="77777777" w:rsidR="004C6D48" w:rsidRDefault="004C6D48" w:rsidP="004C6D48">
            <w:r w:rsidRPr="00EC5EF1">
              <w:t>After an initial assessment period of five days, the clinician decides whether the person should undergo a further two-week period of assessment under s 13.</w:t>
            </w:r>
          </w:p>
          <w:p w14:paraId="7D0488A5" w14:textId="77777777" w:rsidR="004C6D48" w:rsidRDefault="004C6D48" w:rsidP="00AB2E42">
            <w:pPr>
              <w:pStyle w:val="Heading4"/>
              <w:spacing w:after="0"/>
              <w:outlineLvl w:val="3"/>
            </w:pPr>
            <w:r>
              <w:t>Final assessment</w:t>
            </w:r>
          </w:p>
          <w:p w14:paraId="7B4722E8" w14:textId="77777777" w:rsidR="004C6D48" w:rsidRDefault="004C6D48" w:rsidP="004C6D48">
            <w:r w:rsidRPr="00EC5EF1">
              <w:t>After the second period of assessment, the clinician decides whether the person should be placed on either a community treatment order or an inpatient treatment order.</w:t>
            </w:r>
          </w:p>
          <w:p w14:paraId="43CB2A49" w14:textId="77777777" w:rsidR="004C6D48" w:rsidRDefault="004C6D48" w:rsidP="00AB2E42">
            <w:pPr>
              <w:pStyle w:val="Heading4"/>
              <w:spacing w:after="0"/>
              <w:outlineLvl w:val="3"/>
            </w:pPr>
            <w:r>
              <w:t>Review</w:t>
            </w:r>
          </w:p>
          <w:p w14:paraId="06E287B2" w14:textId="77777777" w:rsidR="004C6D48" w:rsidRDefault="004C6D48" w:rsidP="004C6D48">
            <w:r w:rsidRPr="00EC5EF1">
              <w:t>If a person has been placed on a compulsory treatment order, the clinician conducts a review no later than three months after it was put in place to</w:t>
            </w:r>
            <w:r>
              <w:t xml:space="preserve"> </w:t>
            </w:r>
            <w:r w:rsidRPr="00EC5EF1">
              <w:t>see whether it should remain. Thereafter, the clinician reviews the order at intervals no longer than six</w:t>
            </w:r>
            <w:r>
              <w:t xml:space="preserve"> </w:t>
            </w:r>
            <w:r w:rsidRPr="00EC5EF1">
              <w:t>months.</w:t>
            </w:r>
          </w:p>
          <w:p w14:paraId="69A49086" w14:textId="77777777" w:rsidR="004C6D48" w:rsidRDefault="004C6D48" w:rsidP="00AB2E42">
            <w:pPr>
              <w:pStyle w:val="Heading4"/>
              <w:spacing w:after="0"/>
              <w:outlineLvl w:val="3"/>
            </w:pPr>
            <w:r>
              <w:t>Release</w:t>
            </w:r>
          </w:p>
          <w:p w14:paraId="1816F2E2" w14:textId="004B646D" w:rsidR="004C6D48" w:rsidRPr="004C6D48" w:rsidRDefault="004C6D48" w:rsidP="004C6D48">
            <w:r w:rsidRPr="00EC5EF1">
              <w:t>If at any time while the compulsory treatment order is in place, the clinician considers that the person no longer requires compulsory treatment, they can direct release with immediate effect.</w:t>
            </w:r>
          </w:p>
        </w:tc>
      </w:tr>
    </w:tbl>
    <w:p w14:paraId="44186101" w14:textId="77777777" w:rsidR="00867E95" w:rsidRPr="00EC5EF1" w:rsidRDefault="00867E95" w:rsidP="00867E95"/>
    <w:p w14:paraId="55AC22FF" w14:textId="77777777" w:rsidR="00740DA6" w:rsidRPr="00EC5EF1" w:rsidRDefault="00740DA6" w:rsidP="004C6D48">
      <w:r w:rsidRPr="00EC5EF1">
        <w:t>Across all DHBs in 2017, the highest rate of family/whānau consultation occurred during the person’s certificate for further assessment (section 12 – 68 percent).</w:t>
      </w:r>
    </w:p>
    <w:p w14:paraId="40CCD80C" w14:textId="77777777" w:rsidR="004C6D48" w:rsidRDefault="004C6D48" w:rsidP="004C6D48"/>
    <w:p w14:paraId="47C78526" w14:textId="675847F1" w:rsidR="00740DA6" w:rsidRPr="00EC5EF1" w:rsidRDefault="00740DA6" w:rsidP="004C6D48">
      <w:r w:rsidRPr="00EC5EF1">
        <w:t>Figure 16 shows the percentage of cases in which family/whānau consultation occurred at this and other points in the assessment/treatment process in 2017.</w:t>
      </w:r>
    </w:p>
    <w:p w14:paraId="4C4BEDF4" w14:textId="77777777" w:rsidR="00740DA6" w:rsidRPr="00EC5EF1" w:rsidRDefault="00740DA6" w:rsidP="004C6D48"/>
    <w:p w14:paraId="450F92BE" w14:textId="0D891104" w:rsidR="00740DA6" w:rsidRDefault="00740DA6" w:rsidP="004C6D48">
      <w:pPr>
        <w:pStyle w:val="Figure"/>
      </w:pPr>
      <w:bookmarkStart w:id="81" w:name="_Toc2845718"/>
      <w:r w:rsidRPr="00EC5EF1">
        <w:lastRenderedPageBreak/>
        <w:t>Figure 16: Average national percentage of family/whānau consultation for particular assessment/treatment events, 1 January to 31 December 2017</w:t>
      </w:r>
      <w:bookmarkEnd w:id="81"/>
    </w:p>
    <w:p w14:paraId="5E5E72F6" w14:textId="563D65C3" w:rsidR="004C6D48" w:rsidRPr="004C6D48" w:rsidRDefault="00AB2E42" w:rsidP="004C6D48">
      <w:r>
        <w:rPr>
          <w:noProof/>
          <w:lang w:eastAsia="en-NZ"/>
        </w:rPr>
        <w:drawing>
          <wp:inline distT="0" distB="0" distL="0" distR="0" wp14:anchorId="0C75C927" wp14:editId="2D312C2C">
            <wp:extent cx="5130165" cy="2578059"/>
            <wp:effectExtent l="0" t="0" r="0" b="0"/>
            <wp:docPr id="28" name="Picture 28" title="Figure 16: Average national percentage of family/whānau consultation for particular assessment/treatment events, 1 January to 31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130165" cy="2578059"/>
                    </a:xfrm>
                    <a:prstGeom prst="rect">
                      <a:avLst/>
                    </a:prstGeom>
                  </pic:spPr>
                </pic:pic>
              </a:graphicData>
            </a:graphic>
          </wp:inline>
        </w:drawing>
      </w:r>
    </w:p>
    <w:p w14:paraId="375128A6" w14:textId="77777777" w:rsidR="004C6D48" w:rsidRDefault="00740DA6" w:rsidP="004C6D48">
      <w:pPr>
        <w:pStyle w:val="Note"/>
      </w:pPr>
      <w:r w:rsidRPr="00EC5EF1">
        <w:t xml:space="preserve">Note: </w:t>
      </w:r>
      <w:proofErr w:type="spellStart"/>
      <w:r w:rsidRPr="00EC5EF1">
        <w:t>Waitemata</w:t>
      </w:r>
      <w:proofErr w:type="spellEnd"/>
      <w:r w:rsidRPr="00EC5EF1">
        <w:t xml:space="preserve"> DHB does not record section 7A family/whānau consultation data.</w:t>
      </w:r>
    </w:p>
    <w:p w14:paraId="00AC4EEE" w14:textId="701958D5" w:rsidR="00740DA6" w:rsidRPr="00EC5EF1" w:rsidRDefault="00740DA6" w:rsidP="004C6D48">
      <w:pPr>
        <w:pStyle w:val="Source"/>
      </w:pPr>
      <w:r w:rsidRPr="00EC5EF1">
        <w:t>Source: Office of the Director of Mental Health and Addiction Services records</w:t>
      </w:r>
    </w:p>
    <w:p w14:paraId="054AACA6" w14:textId="77777777" w:rsidR="004C6D48" w:rsidRDefault="004C6D48" w:rsidP="004C6D48"/>
    <w:p w14:paraId="6D5CBFFF" w14:textId="583F34F9" w:rsidR="00740DA6" w:rsidRPr="00EC5EF1" w:rsidRDefault="00740DA6" w:rsidP="004C6D48">
      <w:r w:rsidRPr="00EC5EF1">
        <w:t>Nationally during 2017, the average percentage of cases in which family/whānau consultation occurred across all assessment/treatment events was 60 percent (see Figure</w:t>
      </w:r>
      <w:r w:rsidR="004C6D48">
        <w:t> </w:t>
      </w:r>
      <w:r w:rsidRPr="00EC5EF1">
        <w:t xml:space="preserve">17). West Coast DHB had the highest rate of consultation, at 100 percent, and </w:t>
      </w:r>
      <w:r w:rsidR="0099470F">
        <w:t>Canterbury</w:t>
      </w:r>
      <w:r w:rsidRPr="00EC5EF1">
        <w:t xml:space="preserve"> DHB had the lowest, at 29 percent.</w:t>
      </w:r>
    </w:p>
    <w:p w14:paraId="1A3E9B0B" w14:textId="77777777" w:rsidR="00740DA6" w:rsidRPr="00EC5EF1" w:rsidRDefault="00740DA6" w:rsidP="004C6D48"/>
    <w:p w14:paraId="6ECEA852" w14:textId="2D3C2E2A" w:rsidR="00740DA6" w:rsidRDefault="00740DA6" w:rsidP="004C6D48">
      <w:pPr>
        <w:pStyle w:val="Figure"/>
      </w:pPr>
      <w:bookmarkStart w:id="82" w:name="_Toc2845719"/>
      <w:r w:rsidRPr="00EC5EF1">
        <w:rPr>
          <w:noProof/>
          <w:lang w:eastAsia="en-NZ"/>
        </w:rPr>
        <w:drawing>
          <wp:anchor distT="0" distB="0" distL="0" distR="0" simplePos="0" relativeHeight="251745280" behindDoc="0" locked="0" layoutInCell="1" allowOverlap="1" wp14:anchorId="22036016" wp14:editId="78C3D8D9">
            <wp:simplePos x="0" y="0"/>
            <wp:positionH relativeFrom="page">
              <wp:posOffset>8060163</wp:posOffset>
            </wp:positionH>
            <wp:positionV relativeFrom="paragraph">
              <wp:posOffset>-65987</wp:posOffset>
            </wp:positionV>
            <wp:extent cx="155575" cy="155575"/>
            <wp:effectExtent l="0" t="0" r="0" b="0"/>
            <wp:wrapNone/>
            <wp:docPr id="23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Figure 17: Average percentage of family/whānau consultation across all assessment/ treatment events, by DHB, 1 January to 31 December 2017</w:t>
      </w:r>
      <w:bookmarkEnd w:id="82"/>
    </w:p>
    <w:p w14:paraId="673B9441" w14:textId="04A1D3BC" w:rsidR="004C6D48" w:rsidRPr="004C6D48" w:rsidRDefault="00AB2E42" w:rsidP="004C6D48">
      <w:r>
        <w:rPr>
          <w:noProof/>
          <w:lang w:eastAsia="en-NZ"/>
        </w:rPr>
        <w:drawing>
          <wp:inline distT="0" distB="0" distL="0" distR="0" wp14:anchorId="4F4494B5" wp14:editId="768B2F30">
            <wp:extent cx="5130165" cy="3427783"/>
            <wp:effectExtent l="0" t="0" r="0" b="1270"/>
            <wp:docPr id="29" name="Picture 29" title="Figure 17: Average percentage of family/whānau consultation across all assessment/ treatment events, by DHB, 1 January to 31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130165" cy="3427783"/>
                    </a:xfrm>
                    <a:prstGeom prst="rect">
                      <a:avLst/>
                    </a:prstGeom>
                  </pic:spPr>
                </pic:pic>
              </a:graphicData>
            </a:graphic>
          </wp:inline>
        </w:drawing>
      </w:r>
    </w:p>
    <w:p w14:paraId="1F2EA2D8" w14:textId="77777777" w:rsidR="004C6D48" w:rsidRDefault="00740DA6" w:rsidP="004C6D48">
      <w:pPr>
        <w:pStyle w:val="Note"/>
      </w:pPr>
      <w:r w:rsidRPr="00EC5EF1">
        <w:t xml:space="preserve">Note: </w:t>
      </w:r>
      <w:proofErr w:type="spellStart"/>
      <w:r w:rsidRPr="00EC5EF1">
        <w:t>Waitemata</w:t>
      </w:r>
      <w:proofErr w:type="spellEnd"/>
      <w:r w:rsidRPr="00EC5EF1">
        <w:t xml:space="preserve"> DHB does not record section 7A family/whānau consultation data.</w:t>
      </w:r>
    </w:p>
    <w:p w14:paraId="7C11B7C6" w14:textId="1771E2D6" w:rsidR="00740DA6" w:rsidRPr="00EC5EF1" w:rsidRDefault="00740DA6" w:rsidP="004C6D48">
      <w:pPr>
        <w:pStyle w:val="Source"/>
      </w:pPr>
      <w:r w:rsidRPr="00EC5EF1">
        <w:t>Source: Office of the Director of Mental Health and Addiction Services records</w:t>
      </w:r>
    </w:p>
    <w:p w14:paraId="4EC42A34" w14:textId="77777777" w:rsidR="00740DA6" w:rsidRPr="00EC5EF1" w:rsidRDefault="00740DA6" w:rsidP="004C6D48"/>
    <w:p w14:paraId="2DA5DF09" w14:textId="77777777" w:rsidR="00740DA6" w:rsidRPr="00EC5EF1" w:rsidRDefault="00740DA6" w:rsidP="004C6D48">
      <w:pPr>
        <w:pStyle w:val="Heading4"/>
      </w:pPr>
      <w:r w:rsidRPr="00EC5EF1">
        <w:lastRenderedPageBreak/>
        <w:t>Reasons for not consulting family/whānau</w:t>
      </w:r>
    </w:p>
    <w:p w14:paraId="36773B31" w14:textId="37BCB930" w:rsidR="00740DA6" w:rsidRPr="00EC5EF1" w:rsidRDefault="00740DA6" w:rsidP="004C6D48">
      <w:r w:rsidRPr="00EC5EF1">
        <w:t>During 2017, the most common reason DHBs gave for not arranging family/whānau consultation was that it was not reasonably practicable (60 percent). This was followed by ‘not in the best interests of the person’ (6 percent), ‘no for another reason’</w:t>
      </w:r>
      <w:r w:rsidR="004C6D48">
        <w:t xml:space="preserve"> </w:t>
      </w:r>
      <w:r w:rsidRPr="00EC5EF1">
        <w:t>(6</w:t>
      </w:r>
      <w:r w:rsidR="004C6D48">
        <w:t> </w:t>
      </w:r>
      <w:r w:rsidRPr="00EC5EF1">
        <w:t>percent), and ‘don’t know’ (28 percent) (see Figure 18).</w:t>
      </w:r>
    </w:p>
    <w:p w14:paraId="1726A24B" w14:textId="77777777" w:rsidR="00740DA6" w:rsidRPr="00EC5EF1" w:rsidRDefault="00740DA6" w:rsidP="004C6D48"/>
    <w:p w14:paraId="402CC268" w14:textId="5E193CE7" w:rsidR="00740DA6" w:rsidRDefault="00740DA6" w:rsidP="004C6D48">
      <w:pPr>
        <w:pStyle w:val="Figure"/>
      </w:pPr>
      <w:bookmarkStart w:id="83" w:name="_Toc2845720"/>
      <w:r w:rsidRPr="00EC5EF1">
        <w:t>Figure 18: Reasons for not consulting family/whānau, 1 January to 31 December 2017</w:t>
      </w:r>
      <w:bookmarkEnd w:id="83"/>
    </w:p>
    <w:p w14:paraId="09425B4A" w14:textId="6609582A" w:rsidR="004C6D48" w:rsidRDefault="00AB2E42" w:rsidP="004C6D48">
      <w:r>
        <w:rPr>
          <w:noProof/>
          <w:lang w:eastAsia="en-NZ"/>
        </w:rPr>
        <w:drawing>
          <wp:inline distT="0" distB="0" distL="0" distR="0" wp14:anchorId="0F882C16" wp14:editId="477440C7">
            <wp:extent cx="3333750" cy="2828925"/>
            <wp:effectExtent l="0" t="0" r="0" b="9525"/>
            <wp:docPr id="30" name="Picture 30" title="Figure 18: Reasons for not consulting family/whānau, 1 January to 31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333750" cy="2828925"/>
                    </a:xfrm>
                    <a:prstGeom prst="rect">
                      <a:avLst/>
                    </a:prstGeom>
                  </pic:spPr>
                </pic:pic>
              </a:graphicData>
            </a:graphic>
          </wp:inline>
        </w:drawing>
      </w:r>
    </w:p>
    <w:p w14:paraId="0701E60F" w14:textId="0C62E3A3" w:rsidR="004C6D48" w:rsidRDefault="00740DA6" w:rsidP="004C6D48">
      <w:pPr>
        <w:pStyle w:val="Note"/>
      </w:pPr>
      <w:r w:rsidRPr="00EC5EF1">
        <w:rPr>
          <w:noProof/>
          <w:lang w:eastAsia="en-NZ"/>
        </w:rPr>
        <w:drawing>
          <wp:anchor distT="0" distB="0" distL="0" distR="0" simplePos="0" relativeHeight="251747328" behindDoc="0" locked="0" layoutInCell="1" allowOverlap="1" wp14:anchorId="1484C353" wp14:editId="48C39FC8">
            <wp:simplePos x="0" y="0"/>
            <wp:positionH relativeFrom="page">
              <wp:posOffset>8060163</wp:posOffset>
            </wp:positionH>
            <wp:positionV relativeFrom="paragraph">
              <wp:posOffset>241283</wp:posOffset>
            </wp:positionV>
            <wp:extent cx="155575" cy="155575"/>
            <wp:effectExtent l="0" t="0" r="0" b="0"/>
            <wp:wrapNone/>
            <wp:docPr id="24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 xml:space="preserve">Note: </w:t>
      </w:r>
      <w:proofErr w:type="spellStart"/>
      <w:r w:rsidRPr="00EC5EF1">
        <w:t>Waitemata</w:t>
      </w:r>
      <w:proofErr w:type="spellEnd"/>
      <w:r w:rsidRPr="00EC5EF1">
        <w:t xml:space="preserve"> DHB does not record section 7A family/whānau consultation data.</w:t>
      </w:r>
    </w:p>
    <w:p w14:paraId="2675C671" w14:textId="0717DE2C" w:rsidR="00740DA6" w:rsidRDefault="00740DA6" w:rsidP="004C6D48">
      <w:pPr>
        <w:pStyle w:val="Source"/>
      </w:pPr>
      <w:r w:rsidRPr="00EC5EF1">
        <w:t>Source: Office of the Director of Mental Health and Addiction Services records</w:t>
      </w:r>
    </w:p>
    <w:p w14:paraId="47CBE665" w14:textId="77777777" w:rsidR="004C6D48" w:rsidRPr="004C6D48" w:rsidRDefault="004C6D48" w:rsidP="004C6D48"/>
    <w:p w14:paraId="0F4A9BC5" w14:textId="77777777" w:rsidR="00740DA6" w:rsidRPr="00EC5EF1" w:rsidRDefault="00740DA6" w:rsidP="004C6D48">
      <w:pPr>
        <w:pStyle w:val="Heading2"/>
      </w:pPr>
      <w:bookmarkStart w:id="84" w:name="_Toc2845666"/>
      <w:r w:rsidRPr="00EC5EF1">
        <w:t>Seclusion</w:t>
      </w:r>
      <w:bookmarkEnd w:id="84"/>
    </w:p>
    <w:p w14:paraId="790EBD77" w14:textId="77C46D84" w:rsidR="00740DA6" w:rsidRPr="00EC5EF1" w:rsidRDefault="00740DA6" w:rsidP="004C6D48">
      <w:r w:rsidRPr="00EC5EF1">
        <w:t>Standards New Zealand (2008a) defines seclusion as a situation ‘Where a consumer is placed alone in a room or area, at any time and for any duration, from which they cannot freely exit’ (page 30). Seclusion should be an uncommon event, and services</w:t>
      </w:r>
      <w:r w:rsidR="004C6D48">
        <w:t xml:space="preserve"> </w:t>
      </w:r>
      <w:r w:rsidRPr="00EC5EF1">
        <w:t>should use it only when there is an imminent risk of danger to the individual or others and no other safe and effective alternative is possible.</w:t>
      </w:r>
    </w:p>
    <w:p w14:paraId="3044DC8F" w14:textId="77777777" w:rsidR="004C6D48" w:rsidRDefault="004C6D48" w:rsidP="004C6D48"/>
    <w:p w14:paraId="7AF8CF69" w14:textId="6B1EDB27" w:rsidR="00740DA6" w:rsidRPr="00AB2E42" w:rsidRDefault="00740DA6" w:rsidP="004C6D48">
      <w:pPr>
        <w:rPr>
          <w:spacing w:val="-2"/>
        </w:rPr>
      </w:pPr>
      <w:r w:rsidRPr="00AB2E42">
        <w:rPr>
          <w:spacing w:val="-2"/>
        </w:rPr>
        <w:t xml:space="preserve">In March 2018, the HQSC in partnership with </w:t>
      </w:r>
      <w:proofErr w:type="spellStart"/>
      <w:r w:rsidRPr="00AB2E42">
        <w:rPr>
          <w:spacing w:val="-2"/>
        </w:rPr>
        <w:t>Te</w:t>
      </w:r>
      <w:proofErr w:type="spellEnd"/>
      <w:r w:rsidRPr="00AB2E42">
        <w:rPr>
          <w:spacing w:val="-2"/>
        </w:rPr>
        <w:t xml:space="preserve"> </w:t>
      </w:r>
      <w:proofErr w:type="spellStart"/>
      <w:r w:rsidRPr="00AB2E42">
        <w:rPr>
          <w:spacing w:val="-2"/>
        </w:rPr>
        <w:t>Pou</w:t>
      </w:r>
      <w:proofErr w:type="spellEnd"/>
      <w:r w:rsidRPr="00AB2E42">
        <w:rPr>
          <w:spacing w:val="-2"/>
        </w:rPr>
        <w:t xml:space="preserve"> launched a national collaborative project called ‘Zero Seclusion: towards the elimination of seclusion by 2020. In collaboration with DHBs, service providers and </w:t>
      </w:r>
      <w:proofErr w:type="spellStart"/>
      <w:r w:rsidRPr="00AB2E42">
        <w:rPr>
          <w:spacing w:val="-2"/>
        </w:rPr>
        <w:t>tangata</w:t>
      </w:r>
      <w:proofErr w:type="spellEnd"/>
      <w:r w:rsidRPr="00AB2E42">
        <w:rPr>
          <w:spacing w:val="-2"/>
        </w:rPr>
        <w:t xml:space="preserve"> </w:t>
      </w:r>
      <w:proofErr w:type="spellStart"/>
      <w:r w:rsidRPr="00AB2E42">
        <w:rPr>
          <w:spacing w:val="-2"/>
        </w:rPr>
        <w:t>whaiora</w:t>
      </w:r>
      <w:proofErr w:type="spellEnd"/>
      <w:r w:rsidRPr="00AB2E42">
        <w:rPr>
          <w:spacing w:val="-2"/>
        </w:rPr>
        <w:t>, the zero seclusion project takes a recovery approach that encompasses a strong focus on the role of consumers, families, and whānau. The project uses quality improvement methods</w:t>
      </w:r>
      <w:r w:rsidR="004C6D48" w:rsidRPr="00AB2E42">
        <w:rPr>
          <w:spacing w:val="-2"/>
        </w:rPr>
        <w:t xml:space="preserve"> </w:t>
      </w:r>
      <w:r w:rsidRPr="00AB2E42">
        <w:rPr>
          <w:spacing w:val="-2"/>
        </w:rPr>
        <w:t>to test and implement evidence-based strategies to reduce and eliminate the use of seclusion.</w:t>
      </w:r>
    </w:p>
    <w:p w14:paraId="001590ED" w14:textId="77777777" w:rsidR="004C6D48" w:rsidRDefault="004C6D48" w:rsidP="004C6D48"/>
    <w:p w14:paraId="3639D9B2" w14:textId="19CA4714" w:rsidR="00740DA6" w:rsidRPr="00EC5EF1" w:rsidRDefault="00740DA6" w:rsidP="004C6D48">
      <w:r w:rsidRPr="00EC5EF1">
        <w:t>It should be reiterated that the data presented in this annual report is drawn from the 2017 calendar year, which preceded the announcement of the zero seclusion project. Therefore, in this report we present seclusion data that will help inform the zero seclusion project.</w:t>
      </w:r>
    </w:p>
    <w:p w14:paraId="11B57111" w14:textId="77777777" w:rsidR="004C6D48" w:rsidRDefault="004C6D48" w:rsidP="004C6D48"/>
    <w:p w14:paraId="64614087" w14:textId="56659296" w:rsidR="00740DA6" w:rsidRPr="00EC5EF1" w:rsidRDefault="00740DA6" w:rsidP="004C6D48">
      <w:r w:rsidRPr="00EC5EF1">
        <w:lastRenderedPageBreak/>
        <w:t>Adult inpatient services are distinct from forensic services, youth services, intellectual disability services and services for older people. Patients can receive treatment under a different service to that of their legal status. The Ministry is working to capture seclusion clearly, though it overlaps between legal status and service.</w:t>
      </w:r>
    </w:p>
    <w:p w14:paraId="5392479E" w14:textId="77777777" w:rsidR="00740DA6" w:rsidRPr="00EC5EF1" w:rsidRDefault="00740DA6" w:rsidP="004C6D48"/>
    <w:p w14:paraId="2DD24BF2" w14:textId="77777777" w:rsidR="00740DA6" w:rsidRPr="00EC5EF1" w:rsidRDefault="00740DA6" w:rsidP="004C6D48">
      <w:r w:rsidRPr="00EC5EF1">
        <w:t>For this report, the mental health services’ seclusion data (</w:t>
      </w:r>
      <w:proofErr w:type="spellStart"/>
      <w:r w:rsidRPr="00EC5EF1">
        <w:t>ie</w:t>
      </w:r>
      <w:proofErr w:type="spellEnd"/>
      <w:r w:rsidRPr="00EC5EF1">
        <w:t>, adult inpatient services) includes seclusion data of patients who have a legal status under the Mental Health Act but are treated within the Regional Intellectual Disability Secure Services (RIDSS). The reason for this is because seclusion reported under the Intellectual Disability (Compulsory Care and Rehabilitation) Act 2003 (IDCC&amp;R Act), is reported by statute only (</w:t>
      </w:r>
      <w:proofErr w:type="spellStart"/>
      <w:r w:rsidRPr="00EC5EF1">
        <w:t>ie</w:t>
      </w:r>
      <w:proofErr w:type="spellEnd"/>
      <w:r w:rsidRPr="00EC5EF1">
        <w:t>, by legal status), not by the service.</w:t>
      </w:r>
    </w:p>
    <w:p w14:paraId="6119EFBD" w14:textId="77777777" w:rsidR="004C6D48" w:rsidRDefault="004C6D48" w:rsidP="004C6D48"/>
    <w:p w14:paraId="77B84AB1" w14:textId="78BF61DA" w:rsidR="00740DA6" w:rsidRPr="00EC5EF1" w:rsidRDefault="00740DA6" w:rsidP="004C6D48">
      <w:r w:rsidRPr="00EC5EF1">
        <w:t>The following seclusion data has purposely excluded an outlier – a high proportion of Capital &amp; Coast DHB’s recorded seclusion hours pertain to a single client due to the method the DHB was using to record its data (Capital &amp; Coast DHB has now changed its method for collecting seclusion data to record much of the time outside seclusion). For this reason, Capital &amp; Coast DHB’s 2017 data is not directly comparable with its data from previous years. This change is being closely monitored by the Director of Mental Health and the Office of the Ombudsman. For more information about this outlier data, please see Appendix 2: Additional statistics.</w:t>
      </w:r>
    </w:p>
    <w:p w14:paraId="4CD0BC1D" w14:textId="77777777" w:rsidR="004C6D48" w:rsidRDefault="004C6D48" w:rsidP="004C6D48"/>
    <w:p w14:paraId="741668F3" w14:textId="48AAE057" w:rsidR="00740DA6" w:rsidRPr="00EC5EF1" w:rsidRDefault="00740DA6" w:rsidP="004C6D48">
      <w:r w:rsidRPr="00EC5EF1">
        <w:t>In summary, in adult inpatient services</w:t>
      </w:r>
      <w:r w:rsidR="004C6D48">
        <w:rPr>
          <w:rStyle w:val="FootnoteReference"/>
        </w:rPr>
        <w:footnoteReference w:id="24"/>
      </w:r>
      <w:r w:rsidR="004C6D48">
        <w:t xml:space="preserve"> </w:t>
      </w:r>
      <w:r w:rsidRPr="00EC5EF1">
        <w:t>in 2017</w:t>
      </w:r>
      <w:r w:rsidR="004C6D48">
        <w:t>:</w:t>
      </w:r>
      <w:r w:rsidR="004C6D48">
        <w:rPr>
          <w:rStyle w:val="FootnoteReference"/>
        </w:rPr>
        <w:footnoteReference w:id="25"/>
      </w:r>
    </w:p>
    <w:p w14:paraId="1AC52DD6" w14:textId="4498DFB9" w:rsidR="00740DA6" w:rsidRPr="004C6D48" w:rsidRDefault="00740DA6" w:rsidP="004C6D48">
      <w:pPr>
        <w:pStyle w:val="Bullet"/>
      </w:pPr>
      <w:r w:rsidRPr="00EC5EF1">
        <w:t>the total number of people who experienced seclusion while receiving mental health treatment in an adult inpatient service has decreased by 28 percent since 2009</w:t>
      </w:r>
      <w:r w:rsidR="004C6D48">
        <w:rPr>
          <w:rStyle w:val="FootnoteReference"/>
        </w:rPr>
        <w:footnoteReference w:id="26"/>
      </w:r>
    </w:p>
    <w:p w14:paraId="197C3274" w14:textId="77777777" w:rsidR="00740DA6" w:rsidRPr="00EC5EF1" w:rsidRDefault="00740DA6" w:rsidP="004C6D48">
      <w:pPr>
        <w:pStyle w:val="Bullet"/>
      </w:pPr>
      <w:r w:rsidRPr="00EC5EF1">
        <w:t>the total number of hours spent in seclusion has decreased by 59 percent since 2009</w:t>
      </w:r>
    </w:p>
    <w:p w14:paraId="4CA83919" w14:textId="744799C3" w:rsidR="00740DA6" w:rsidRPr="00EC5EF1" w:rsidRDefault="00740DA6" w:rsidP="004C6D48">
      <w:pPr>
        <w:pStyle w:val="Bullet"/>
      </w:pPr>
      <w:r w:rsidRPr="00EC5EF1">
        <w:rPr>
          <w:noProof/>
          <w:lang w:eastAsia="en-NZ"/>
        </w:rPr>
        <w:drawing>
          <wp:anchor distT="0" distB="0" distL="0" distR="0" simplePos="0" relativeHeight="251749376" behindDoc="0" locked="0" layoutInCell="1" allowOverlap="1" wp14:anchorId="7540782C" wp14:editId="79E2B95C">
            <wp:simplePos x="0" y="0"/>
            <wp:positionH relativeFrom="page">
              <wp:posOffset>8060163</wp:posOffset>
            </wp:positionH>
            <wp:positionV relativeFrom="paragraph">
              <wp:posOffset>270862</wp:posOffset>
            </wp:positionV>
            <wp:extent cx="155575" cy="155575"/>
            <wp:effectExtent l="0" t="0" r="0" b="0"/>
            <wp:wrapNone/>
            <wp:docPr id="24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although the number of clients decreased by 3 percent in 2017, the number of hours spent in seclusion increased by 8 percent</w:t>
      </w:r>
    </w:p>
    <w:p w14:paraId="6CA34D52" w14:textId="77777777" w:rsidR="00740DA6" w:rsidRPr="00EC5EF1" w:rsidRDefault="00740DA6" w:rsidP="004C6D48">
      <w:pPr>
        <w:pStyle w:val="Bullet"/>
      </w:pPr>
      <w:r w:rsidRPr="00EC5EF1">
        <w:t>males were twice as likely as females to have spent time in seclusion in 2017</w:t>
      </w:r>
    </w:p>
    <w:p w14:paraId="4FDA2971" w14:textId="77777777" w:rsidR="00740DA6" w:rsidRPr="00EC5EF1" w:rsidRDefault="00740DA6" w:rsidP="004C6D48">
      <w:pPr>
        <w:pStyle w:val="Bullet"/>
      </w:pPr>
      <w:r w:rsidRPr="00EC5EF1">
        <w:t>people aged 20–24 years were more likely to have spent time in seclusion than those in any other age group</w:t>
      </w:r>
    </w:p>
    <w:p w14:paraId="7F74A831" w14:textId="77777777" w:rsidR="00740DA6" w:rsidRPr="00EC5EF1" w:rsidRDefault="00740DA6" w:rsidP="004C6D48">
      <w:pPr>
        <w:pStyle w:val="Bullet"/>
      </w:pPr>
      <w:r w:rsidRPr="00EC5EF1">
        <w:t>Māori were more likely than non-Māori to have been secluded, have greater numbers per 100,000 population of seclusion events, and of greater average duration</w:t>
      </w:r>
    </w:p>
    <w:p w14:paraId="39655F54" w14:textId="77777777" w:rsidR="00740DA6" w:rsidRPr="00EC5EF1" w:rsidRDefault="00740DA6" w:rsidP="004C6D48">
      <w:pPr>
        <w:pStyle w:val="Bullet"/>
      </w:pPr>
      <w:proofErr w:type="gramStart"/>
      <w:r w:rsidRPr="00EC5EF1">
        <w:t>the</w:t>
      </w:r>
      <w:proofErr w:type="gramEnd"/>
      <w:r w:rsidRPr="00EC5EF1">
        <w:t xml:space="preserve"> number of seclusion events per 1,000 inpatient bed nights was 6.3.</w:t>
      </w:r>
    </w:p>
    <w:p w14:paraId="2065423A" w14:textId="77777777" w:rsidR="004C6D48" w:rsidRDefault="004C6D48" w:rsidP="004C6D48"/>
    <w:p w14:paraId="13D9E595" w14:textId="106C9657" w:rsidR="00740DA6" w:rsidRPr="00EC5EF1" w:rsidRDefault="00740DA6" w:rsidP="00AB2E42">
      <w:pPr>
        <w:keepLines/>
      </w:pPr>
      <w:r w:rsidRPr="00EC5EF1">
        <w:lastRenderedPageBreak/>
        <w:t>The Health and Disability Services (Restraint Minimisation and Safe Practices)</w:t>
      </w:r>
      <w:r w:rsidR="004C6D48">
        <w:t xml:space="preserve"> </w:t>
      </w:r>
      <w:r w:rsidRPr="00EC5EF1">
        <w:t xml:space="preserve">Standards came into effect on 1 June 2009 (Standards New Zealand 2008b). Their intent is to ‘reduce the use of restraint in all its forms and to encourage the use of least restrictive practices’. In addition, reducing (and eventually eliminating) seclusion is one of the goals of the Ministry’s service development plan </w:t>
      </w:r>
      <w:proofErr w:type="gramStart"/>
      <w:r w:rsidRPr="00EC5EF1">
        <w:t>Rising</w:t>
      </w:r>
      <w:proofErr w:type="gramEnd"/>
      <w:r w:rsidRPr="00EC5EF1">
        <w:t xml:space="preserve"> to the Challenge (Ministry of Health 2012e).</w:t>
      </w:r>
    </w:p>
    <w:p w14:paraId="262EF06A" w14:textId="77777777" w:rsidR="007F22A0" w:rsidRDefault="007F22A0" w:rsidP="004C6D48"/>
    <w:p w14:paraId="23D5291F" w14:textId="77777777" w:rsidR="00740DA6" w:rsidRPr="00EC5EF1" w:rsidRDefault="00740DA6" w:rsidP="004C6D48">
      <w:r w:rsidRPr="00EC5EF1">
        <w:t>Section 71 of the Mental Health Act relates to seclusion. It states that seclusion can only occur where, and for as long as, it is necessary for the care or treatment of the person, or for the protection of other people.</w:t>
      </w:r>
    </w:p>
    <w:p w14:paraId="66FC0C5A" w14:textId="77777777" w:rsidR="007F22A0" w:rsidRDefault="007F22A0" w:rsidP="004C6D48"/>
    <w:p w14:paraId="1F63A8EC" w14:textId="195CCB60" w:rsidR="00740DA6" w:rsidRDefault="00740DA6" w:rsidP="004C6D48">
      <w:r w:rsidRPr="00EC5EF1">
        <w:t>Seclusion rooms must be designated by the relevant DAMHS and can be used only with the authority of a person’s responsible clinician.</w:t>
      </w:r>
      <w:r w:rsidR="004C6D48">
        <w:t xml:space="preserve"> </w:t>
      </w:r>
      <w:r w:rsidRPr="00EC5EF1">
        <w:t>Clinicians must record the duration and circumstances of each episode of seclusion in a register that must be available for district inspectors to review. Seclusion should never be used for discipline, coercion, staff convenience, or</w:t>
      </w:r>
      <w:r w:rsidR="004C6D48">
        <w:t xml:space="preserve"> </w:t>
      </w:r>
      <w:r w:rsidRPr="00EC5EF1">
        <w:t>as a substitute for adequate levels of staff or active treatment.</w:t>
      </w:r>
    </w:p>
    <w:p w14:paraId="17F2E252" w14:textId="77777777" w:rsidR="004C6D48" w:rsidRPr="00EC5EF1" w:rsidRDefault="004C6D48" w:rsidP="004C6D48"/>
    <w:p w14:paraId="4D542353" w14:textId="77777777" w:rsidR="00740DA6" w:rsidRPr="00EC5EF1" w:rsidRDefault="00740DA6" w:rsidP="004C6D48">
      <w:r w:rsidRPr="00EC5EF1">
        <w:t>The Ministry’s revised guidelines on seclusion (Ministry of Health 2010) identify best practice methods for using seclusion in mental health inpatient units. These guidelines aim to progressively decrease and limit the use of seclusion.</w:t>
      </w:r>
    </w:p>
    <w:p w14:paraId="642F89EB" w14:textId="77777777" w:rsidR="004C6D48" w:rsidRDefault="004C6D48" w:rsidP="004C6D48"/>
    <w:p w14:paraId="2FDC0CD5" w14:textId="0B6B2B82" w:rsidR="00740DA6" w:rsidRDefault="00740DA6" w:rsidP="004C6D48">
      <w:proofErr w:type="spellStart"/>
      <w:r w:rsidRPr="00EC5EF1">
        <w:t>Te</w:t>
      </w:r>
      <w:proofErr w:type="spellEnd"/>
      <w:r w:rsidRPr="00EC5EF1">
        <w:t xml:space="preserve"> </w:t>
      </w:r>
      <w:proofErr w:type="spellStart"/>
      <w:r w:rsidRPr="00EC5EF1">
        <w:t>Pou</w:t>
      </w:r>
      <w:proofErr w:type="spellEnd"/>
      <w:r w:rsidRPr="00EC5EF1">
        <w:t xml:space="preserve"> supports the national direction set by the Ministry for seclusion reduction</w:t>
      </w:r>
      <w:r w:rsidR="00DE0BB2">
        <w:t xml:space="preserve"> </w:t>
      </w:r>
      <w:r w:rsidRPr="00EC5EF1">
        <w:t>using evidence-based information, such as the ‘Six Core Strategies’ of the National Technical Assistance Centre (</w:t>
      </w:r>
      <w:proofErr w:type="spellStart"/>
      <w:r w:rsidRPr="00EC5EF1">
        <w:t>Huckshorn</w:t>
      </w:r>
      <w:proofErr w:type="spellEnd"/>
      <w:r w:rsidRPr="00EC5EF1">
        <w:t xml:space="preserve"> 2005). </w:t>
      </w:r>
      <w:proofErr w:type="spellStart"/>
      <w:r w:rsidRPr="00EC5EF1">
        <w:t>Te</w:t>
      </w:r>
      <w:proofErr w:type="spellEnd"/>
      <w:r w:rsidRPr="00EC5EF1">
        <w:t xml:space="preserve"> </w:t>
      </w:r>
      <w:proofErr w:type="spellStart"/>
      <w:r w:rsidRPr="00EC5EF1">
        <w:t>Pou</w:t>
      </w:r>
      <w:proofErr w:type="spellEnd"/>
      <w:r w:rsidRPr="00EC5EF1">
        <w:t xml:space="preserve"> works with DHBs to support their local initiatives. Further information, statistics and stories about emerging good practice can be found on the website for </w:t>
      </w:r>
      <w:proofErr w:type="spellStart"/>
      <w:r w:rsidRPr="00EC5EF1">
        <w:t>Te</w:t>
      </w:r>
      <w:proofErr w:type="spellEnd"/>
      <w:r w:rsidRPr="00EC5EF1">
        <w:t xml:space="preserve"> </w:t>
      </w:r>
      <w:proofErr w:type="spellStart"/>
      <w:r w:rsidRPr="00EC5EF1">
        <w:t>Pou</w:t>
      </w:r>
      <w:proofErr w:type="spellEnd"/>
      <w:r w:rsidRPr="00EC5EF1">
        <w:t xml:space="preserve"> (</w:t>
      </w:r>
      <w:r w:rsidRPr="00F1395E">
        <w:rPr>
          <w:rStyle w:val="Hyperlink"/>
        </w:rPr>
        <w:t>tepou.co.nz</w:t>
      </w:r>
      <w:r w:rsidRPr="00AB2E42">
        <w:t>).</w:t>
      </w:r>
    </w:p>
    <w:p w14:paraId="2970C949" w14:textId="77777777" w:rsidR="00F1395E" w:rsidRPr="00EC5EF1" w:rsidRDefault="00F1395E" w:rsidP="00F1395E"/>
    <w:p w14:paraId="27E50D83" w14:textId="09EDF171" w:rsidR="00740DA6" w:rsidRPr="00EC5EF1" w:rsidRDefault="00740DA6" w:rsidP="0057789C">
      <w:pPr>
        <w:pStyle w:val="Heading3"/>
      </w:pPr>
      <w:bookmarkStart w:id="85" w:name="_Toc2845667"/>
      <w:r w:rsidRPr="00EC5EF1">
        <w:rPr>
          <w:noProof/>
          <w:lang w:eastAsia="en-NZ"/>
        </w:rPr>
        <w:drawing>
          <wp:anchor distT="0" distB="0" distL="0" distR="0" simplePos="0" relativeHeight="251751424" behindDoc="0" locked="0" layoutInCell="1" allowOverlap="1" wp14:anchorId="575C38A1" wp14:editId="085428A3">
            <wp:simplePos x="0" y="0"/>
            <wp:positionH relativeFrom="page">
              <wp:posOffset>8060163</wp:posOffset>
            </wp:positionH>
            <wp:positionV relativeFrom="paragraph">
              <wp:posOffset>194940</wp:posOffset>
            </wp:positionV>
            <wp:extent cx="155575" cy="155575"/>
            <wp:effectExtent l="0" t="0" r="0" b="0"/>
            <wp:wrapNone/>
            <wp:docPr id="25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Changes in seclusion use</w:t>
      </w:r>
      <w:bookmarkEnd w:id="85"/>
    </w:p>
    <w:p w14:paraId="19443508" w14:textId="77777777" w:rsidR="00740DA6" w:rsidRPr="00EC5EF1" w:rsidRDefault="00740DA6" w:rsidP="0057789C">
      <w:r w:rsidRPr="00EC5EF1">
        <w:rPr>
          <w:color w:val="231F20"/>
        </w:rPr>
        <w:t xml:space="preserve">Most services in New Zealand, having successfully employed </w:t>
      </w:r>
      <w:r w:rsidRPr="00EC5EF1">
        <w:t>best-practice strategies to reduce their use of seclusion, are working through a re-planning phase in which they are refining and refocusing seclusion reduction initiatives. In addition, since 2009, efforts have focused on improving the way seclusion is reported; this may partially explain the general steadying of seclusion rates.</w:t>
      </w:r>
    </w:p>
    <w:p w14:paraId="6FA01E3C" w14:textId="77777777" w:rsidR="0057789C" w:rsidRDefault="0057789C" w:rsidP="0057789C"/>
    <w:p w14:paraId="68B33099" w14:textId="4AF3375F" w:rsidR="00740DA6" w:rsidRPr="00EC5EF1" w:rsidRDefault="00740DA6" w:rsidP="0057789C">
      <w:r w:rsidRPr="00EC5EF1">
        <w:t>Figures 19 and 20 show a decrease in the number of people secluded in adult inpatient services, and in the total number of seclusion hours since</w:t>
      </w:r>
      <w:r w:rsidR="00DE0BB2">
        <w:t xml:space="preserve"> </w:t>
      </w:r>
      <w:r w:rsidRPr="00EC5EF1">
        <w:t>2007.</w:t>
      </w:r>
    </w:p>
    <w:p w14:paraId="0B9CBCCF" w14:textId="77777777" w:rsidR="00D520CF" w:rsidRDefault="00D520CF" w:rsidP="00D520CF"/>
    <w:p w14:paraId="3D5C3C5E" w14:textId="0E068B9D" w:rsidR="00740DA6" w:rsidRPr="00EC5EF1" w:rsidRDefault="00740DA6" w:rsidP="00D520CF">
      <w:r w:rsidRPr="00EC5EF1">
        <w:t>Between 2009, when the seclusion reduction policy was introduced, and 2017, the total number of people secluded in adult inpatient services nationally decreased by 28</w:t>
      </w:r>
      <w:r w:rsidR="00D520CF">
        <w:t> </w:t>
      </w:r>
      <w:r w:rsidRPr="00EC5EF1">
        <w:t>percent. The total number of seclusion hours for people in adult inpatient services nationally decreased by 59 percent.</w:t>
      </w:r>
    </w:p>
    <w:p w14:paraId="442361D1" w14:textId="77777777" w:rsidR="007F22A0" w:rsidRDefault="007F22A0" w:rsidP="00D520CF"/>
    <w:p w14:paraId="7BE21973" w14:textId="77777777" w:rsidR="00740DA6" w:rsidRPr="00EC5EF1" w:rsidRDefault="00740DA6" w:rsidP="00D520CF">
      <w:r w:rsidRPr="00EC5EF1">
        <w:t>Between 2016 and 2017, while the total number of people who were secluded decreased by 3 percent, the number of events increased by 6 percent and the hours spent in seclusion increased by 8 percent.</w:t>
      </w:r>
    </w:p>
    <w:p w14:paraId="63AAB3A4" w14:textId="77777777" w:rsidR="00D520CF" w:rsidRDefault="00D520CF" w:rsidP="00D520CF"/>
    <w:p w14:paraId="3A3E4299" w14:textId="5C9AA150" w:rsidR="00740DA6" w:rsidRPr="00EC5EF1" w:rsidRDefault="00740DA6" w:rsidP="00D520CF">
      <w:r w:rsidRPr="00EC5EF1">
        <w:lastRenderedPageBreak/>
        <w:t>The reduction (and eventual elimination) of seclusion will require strong local leadership and resourcing,</w:t>
      </w:r>
      <w:r w:rsidR="00D520CF">
        <w:t xml:space="preserve"> </w:t>
      </w:r>
      <w:r w:rsidRPr="00EC5EF1">
        <w:t>evidence-based seclusion reduction initiatives, ongoing workforce development and significant organisational commitment. The Office will continue to provide national leadership in this area by publishing new guidance on restrictive practices and introducing a monitoring regime for night safety procedures.</w:t>
      </w:r>
    </w:p>
    <w:p w14:paraId="018DACBF" w14:textId="77777777" w:rsidR="00740DA6" w:rsidRPr="00EC5EF1" w:rsidRDefault="00740DA6" w:rsidP="00D520CF"/>
    <w:p w14:paraId="77C97B99" w14:textId="2454E784" w:rsidR="00740DA6" w:rsidRPr="00EC5EF1" w:rsidRDefault="00740DA6" w:rsidP="00D520CF">
      <w:pPr>
        <w:pStyle w:val="Figure"/>
      </w:pPr>
      <w:bookmarkStart w:id="86" w:name="_Toc2845721"/>
      <w:r w:rsidRPr="00EC5EF1">
        <w:t>Figure 19: Number of people secluded in adult inpatient services nationally</w:t>
      </w:r>
      <w:proofErr w:type="gramStart"/>
      <w:r w:rsidRPr="00EC5EF1">
        <w:t>,</w:t>
      </w:r>
      <w:proofErr w:type="gramEnd"/>
      <w:r w:rsidR="00D520CF">
        <w:br/>
      </w:r>
      <w:r w:rsidRPr="00EC5EF1">
        <w:t>2007–2017</w:t>
      </w:r>
      <w:bookmarkEnd w:id="86"/>
    </w:p>
    <w:p w14:paraId="546FEC0F" w14:textId="0CFD97B6" w:rsidR="00740DA6" w:rsidRPr="00EC5EF1" w:rsidRDefault="00AB2E42" w:rsidP="00D520CF">
      <w:r>
        <w:rPr>
          <w:noProof/>
          <w:lang w:eastAsia="en-NZ"/>
        </w:rPr>
        <w:drawing>
          <wp:inline distT="0" distB="0" distL="0" distR="0" wp14:anchorId="77B1DDE2" wp14:editId="267F49DB">
            <wp:extent cx="5130165" cy="2636451"/>
            <wp:effectExtent l="0" t="0" r="0" b="0"/>
            <wp:docPr id="31" name="Picture 31" title="Figure 19: Number of people secluded in adult inpatient services natio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130165" cy="2636451"/>
                    </a:xfrm>
                    <a:prstGeom prst="rect">
                      <a:avLst/>
                    </a:prstGeom>
                  </pic:spPr>
                </pic:pic>
              </a:graphicData>
            </a:graphic>
          </wp:inline>
        </w:drawing>
      </w:r>
    </w:p>
    <w:p w14:paraId="64BFEF49" w14:textId="77777777" w:rsidR="00740DA6" w:rsidRPr="00EC5EF1" w:rsidRDefault="00740DA6" w:rsidP="00D520CF">
      <w:pPr>
        <w:pStyle w:val="Note"/>
      </w:pPr>
      <w:r w:rsidRPr="00EC5EF1">
        <w:t>Note: This data also includes patients with a legal status under the Mental Health Act, but are treated in RIDSS.</w:t>
      </w:r>
    </w:p>
    <w:p w14:paraId="324BBCAE" w14:textId="39B2FAD4" w:rsidR="00740DA6" w:rsidRDefault="00740DA6" w:rsidP="00D520CF">
      <w:pPr>
        <w:pStyle w:val="Source"/>
      </w:pPr>
      <w:r w:rsidRPr="00EC5EF1">
        <w:t>Source:</w:t>
      </w:r>
      <w:r w:rsidR="00DE0BB2">
        <w:t xml:space="preserve"> </w:t>
      </w:r>
      <w:r w:rsidRPr="00EC5EF1">
        <w:t>Office of the Director of Mental Health annual reports 2007–2016 and PRIMHD data for 2017, extracted on 17 August 2018; Southern DHB supplied data manually; excludes forensic data</w:t>
      </w:r>
    </w:p>
    <w:p w14:paraId="1A3C6B81" w14:textId="77777777" w:rsidR="00D520CF" w:rsidRPr="00D520CF" w:rsidRDefault="00D520CF" w:rsidP="00D520CF"/>
    <w:p w14:paraId="68FCEC67" w14:textId="1AF4FDF8" w:rsidR="00740DA6" w:rsidRDefault="00740DA6" w:rsidP="00D520CF">
      <w:pPr>
        <w:pStyle w:val="Figure"/>
      </w:pPr>
      <w:bookmarkStart w:id="87" w:name="_Toc2845722"/>
      <w:r w:rsidRPr="00EC5EF1">
        <w:t>Figure 20: Total number of seclusion hours in adult inpatient services nationally, 2007–2017</w:t>
      </w:r>
      <w:bookmarkEnd w:id="87"/>
    </w:p>
    <w:p w14:paraId="43BFDF39" w14:textId="5335ED77" w:rsidR="00D520CF" w:rsidRPr="00D520CF" w:rsidRDefault="00AB2E42" w:rsidP="00D520CF">
      <w:r>
        <w:rPr>
          <w:noProof/>
          <w:lang w:eastAsia="en-NZ"/>
        </w:rPr>
        <w:drawing>
          <wp:inline distT="0" distB="0" distL="0" distR="0" wp14:anchorId="56E3D99A" wp14:editId="0FB83FCF">
            <wp:extent cx="5130165" cy="2532197"/>
            <wp:effectExtent l="0" t="0" r="0" b="1905"/>
            <wp:docPr id="32" name="Picture 32" title="Figure 20: Total number of seclusion hours in adult inpatient services nationally, 2007–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130165" cy="2532197"/>
                    </a:xfrm>
                    <a:prstGeom prst="rect">
                      <a:avLst/>
                    </a:prstGeom>
                  </pic:spPr>
                </pic:pic>
              </a:graphicData>
            </a:graphic>
          </wp:inline>
        </w:drawing>
      </w:r>
    </w:p>
    <w:p w14:paraId="3C74C0F9" w14:textId="77777777" w:rsidR="00740DA6" w:rsidRPr="00EC5EF1" w:rsidRDefault="00740DA6" w:rsidP="00D520CF">
      <w:pPr>
        <w:pStyle w:val="Note"/>
      </w:pPr>
      <w:r w:rsidRPr="00EC5EF1">
        <w:t>Note: This data also includes patients with a legal status under the Mental Health Act, but are treated in RIDSS.</w:t>
      </w:r>
    </w:p>
    <w:p w14:paraId="661BEF2A" w14:textId="224D5D60" w:rsidR="00740DA6" w:rsidRPr="00EC5EF1" w:rsidRDefault="00740DA6" w:rsidP="00D520CF">
      <w:pPr>
        <w:pStyle w:val="Source"/>
      </w:pPr>
      <w:r w:rsidRPr="00EC5EF1">
        <w:t>Source:</w:t>
      </w:r>
      <w:r w:rsidR="00DE0BB2">
        <w:t xml:space="preserve"> </w:t>
      </w:r>
      <w:r w:rsidRPr="00EC5EF1">
        <w:t>Office of the Director of Mental Health annual reports 2007–2016 and PRIMHD data for 2017, extracted on 17 August 2018; Southern DHB supplied data manually; excludes forensic data</w:t>
      </w:r>
    </w:p>
    <w:p w14:paraId="58B30EE0" w14:textId="77777777" w:rsidR="00740DA6" w:rsidRPr="00EC5EF1" w:rsidRDefault="00740DA6" w:rsidP="00D520CF"/>
    <w:p w14:paraId="5E776976" w14:textId="77777777" w:rsidR="00740DA6" w:rsidRPr="00EC5EF1" w:rsidRDefault="00740DA6" w:rsidP="00D520CF">
      <w:pPr>
        <w:pStyle w:val="Heading3"/>
      </w:pPr>
      <w:bookmarkStart w:id="88" w:name="_Toc2845668"/>
      <w:r w:rsidRPr="00EC5EF1">
        <w:lastRenderedPageBreak/>
        <w:t>Seclusion in New Zealand mental health services</w:t>
      </w:r>
      <w:bookmarkEnd w:id="88"/>
    </w:p>
    <w:p w14:paraId="2B8FE994" w14:textId="3B608833" w:rsidR="00740DA6" w:rsidRPr="00EC5EF1" w:rsidRDefault="00740DA6" w:rsidP="00D520CF">
      <w:r w:rsidRPr="00EC5EF1">
        <w:t>Between 1 January and 31 December 2017, New Zealand adult mental health services (excluding forensic and other regional rehabilitation services) accommodated</w:t>
      </w:r>
      <w:r w:rsidR="00D520CF">
        <w:t xml:space="preserve"> </w:t>
      </w:r>
      <w:r w:rsidRPr="00EC5EF1">
        <w:t>8,910 people for a total of 241,830 bed nights.</w:t>
      </w:r>
      <w:r w:rsidR="00D520CF">
        <w:rPr>
          <w:rStyle w:val="FootnoteReference"/>
        </w:rPr>
        <w:footnoteReference w:id="27"/>
      </w:r>
      <w:r w:rsidR="00D520CF">
        <w:t xml:space="preserve"> </w:t>
      </w:r>
      <w:r w:rsidRPr="00EC5EF1">
        <w:t>Of these people, 775</w:t>
      </w:r>
      <w:r w:rsidR="00D520CF">
        <w:rPr>
          <w:rStyle w:val="FootnoteReference"/>
        </w:rPr>
        <w:footnoteReference w:id="28"/>
      </w:r>
      <w:r w:rsidR="00D520CF">
        <w:t xml:space="preserve"> </w:t>
      </w:r>
      <w:r w:rsidRPr="00EC5EF1">
        <w:t>(8.7 percent) were secluded at some stage during the reporting period.</w:t>
      </w:r>
    </w:p>
    <w:p w14:paraId="54209C1A" w14:textId="77777777" w:rsidR="00D520CF" w:rsidRDefault="00D520CF" w:rsidP="00D520CF"/>
    <w:p w14:paraId="4B00A137" w14:textId="0155D031" w:rsidR="00740DA6" w:rsidRPr="00EC5EF1" w:rsidRDefault="00740DA6" w:rsidP="00D520CF">
      <w:r w:rsidRPr="00EC5EF1">
        <w:t>People who were secluded were often secluded more than once (on average two times). Therefore, the number of seclusion events in adult inpatient services (1,527) was higher than the number of people</w:t>
      </w:r>
      <w:r w:rsidR="00DE0BB2">
        <w:t xml:space="preserve"> </w:t>
      </w:r>
      <w:r w:rsidRPr="00EC5EF1">
        <w:t>secluded.</w:t>
      </w:r>
    </w:p>
    <w:p w14:paraId="70117AE1" w14:textId="77777777" w:rsidR="00D520CF" w:rsidRDefault="00D520CF" w:rsidP="00D520CF"/>
    <w:p w14:paraId="72359BA3" w14:textId="08B5E2F9" w:rsidR="00740DA6" w:rsidRPr="00EC5EF1" w:rsidRDefault="00740DA6" w:rsidP="00D520CF">
      <w:r w:rsidRPr="00EC5EF1">
        <w:t>New to this report is the number of seclusion events per 1,000 bed nights in adult inpatient units. The number of seclusion events is measured against the number of accrued mental health care days/nights in an adult inpatient unit. During 2017, the number of seclusion events per 1,000 bed nights in inpatient units was 6.3.</w:t>
      </w:r>
      <w:r w:rsidR="00D520CF">
        <w:rPr>
          <w:rStyle w:val="FootnoteReference"/>
        </w:rPr>
        <w:footnoteReference w:id="29"/>
      </w:r>
      <w:r w:rsidR="00D520CF">
        <w:t xml:space="preserve"> </w:t>
      </w:r>
      <w:r w:rsidRPr="00EC5EF1">
        <w:t>This means that – nationally and on average – for every 1,000 bed nights a person spent in an inpatient unit, the person would have had 6.3 seclusion events.</w:t>
      </w:r>
    </w:p>
    <w:p w14:paraId="2702D9A7" w14:textId="77777777" w:rsidR="00D520CF" w:rsidRDefault="00D520CF" w:rsidP="00D520CF"/>
    <w:p w14:paraId="0DA0A232" w14:textId="6D3BFBB4" w:rsidR="00740DA6" w:rsidRPr="00D520CF" w:rsidRDefault="00740DA6" w:rsidP="00D520CF">
      <w:r w:rsidRPr="00EC5EF1">
        <w:t>Across all inpatient services, including forensic, intellectual disability and youth services, 977</w:t>
      </w:r>
      <w:r w:rsidR="00D520CF">
        <w:rPr>
          <w:rStyle w:val="FootnoteReference"/>
        </w:rPr>
        <w:footnoteReference w:id="30"/>
      </w:r>
      <w:r w:rsidR="00D520CF">
        <w:t xml:space="preserve"> </w:t>
      </w:r>
      <w:r w:rsidRPr="00EC5EF1">
        <w:t>people experienced at least one seclusion event. Of those secluded, 70 percent were male and 30 percent were female. The most common age group</w:t>
      </w:r>
      <w:r w:rsidR="00DE0BB2">
        <w:t xml:space="preserve"> </w:t>
      </w:r>
      <w:r w:rsidRPr="00EC5EF1">
        <w:t>for those secluded was 20–24 years (see Figure 21). A total of 98 young people (aged 19 years and under) were secluded during the 2017 year in 285 seclusion events.</w:t>
      </w:r>
      <w:r w:rsidR="00D520CF">
        <w:rPr>
          <w:rStyle w:val="FootnoteReference"/>
        </w:rPr>
        <w:footnoteReference w:id="31"/>
      </w:r>
    </w:p>
    <w:p w14:paraId="667B13E1" w14:textId="1FA7AB9D" w:rsidR="00740DA6" w:rsidRPr="00EC5EF1" w:rsidRDefault="00740DA6" w:rsidP="00D520CF"/>
    <w:p w14:paraId="7EDE7E9E" w14:textId="351317E8" w:rsidR="00740DA6" w:rsidRPr="00D520CF" w:rsidRDefault="00740DA6" w:rsidP="00D520CF">
      <w:pPr>
        <w:pStyle w:val="Figure"/>
      </w:pPr>
      <w:bookmarkStart w:id="89" w:name="_Toc2845723"/>
      <w:r w:rsidRPr="00EC5EF1">
        <w:t>Figure 21: Number of people secluded across all inpatient services (adult, forensic, intellectual disability, and youth), by age group, 1 January to 31 December 2017</w:t>
      </w:r>
      <w:bookmarkEnd w:id="89"/>
    </w:p>
    <w:p w14:paraId="38AC6AAF" w14:textId="38A31810" w:rsidR="00740DA6" w:rsidRPr="00EC5EF1" w:rsidRDefault="00AB2E42" w:rsidP="00AB2E42">
      <w:r>
        <w:rPr>
          <w:noProof/>
          <w:lang w:eastAsia="en-NZ"/>
        </w:rPr>
        <w:drawing>
          <wp:inline distT="0" distB="0" distL="0" distR="0" wp14:anchorId="63DEF327" wp14:editId="26657BBF">
            <wp:extent cx="4688378" cy="2072202"/>
            <wp:effectExtent l="0" t="0" r="0" b="4445"/>
            <wp:docPr id="33" name="Picture 33" title="Figure 21: Number of people secluded across all inpatient services (adult, forensic, intellectual disability, and youth), by age group, 1 January to 31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691677" cy="2073660"/>
                    </a:xfrm>
                    <a:prstGeom prst="rect">
                      <a:avLst/>
                    </a:prstGeom>
                  </pic:spPr>
                </pic:pic>
              </a:graphicData>
            </a:graphic>
          </wp:inline>
        </w:drawing>
      </w:r>
    </w:p>
    <w:p w14:paraId="49859C02" w14:textId="77777777" w:rsidR="00740DA6" w:rsidRPr="00AB2E42" w:rsidRDefault="00740DA6" w:rsidP="00D520CF">
      <w:pPr>
        <w:pStyle w:val="Note"/>
        <w:rPr>
          <w:spacing w:val="-2"/>
        </w:rPr>
      </w:pPr>
      <w:r w:rsidRPr="00AB2E42">
        <w:rPr>
          <w:spacing w:val="-2"/>
        </w:rPr>
        <w:t>Note: This data also includes patients with a legal status under the Mental Health Act, but are treated in RIDSS.</w:t>
      </w:r>
    </w:p>
    <w:p w14:paraId="25BEC9CD" w14:textId="0D03F4DC" w:rsidR="00740DA6" w:rsidRPr="00EC5EF1" w:rsidRDefault="00740DA6" w:rsidP="00D520CF">
      <w:pPr>
        <w:pStyle w:val="Source"/>
      </w:pPr>
      <w:r w:rsidRPr="00EC5EF1">
        <w:t>Source: PRIMHD data, extracted on 17 August 2018; Southern DHB supplied data manually</w:t>
      </w:r>
    </w:p>
    <w:p w14:paraId="631D8883" w14:textId="21436E80" w:rsidR="00740DA6" w:rsidRPr="00EC5EF1" w:rsidRDefault="00740DA6" w:rsidP="00AB2E42">
      <w:pPr>
        <w:spacing w:before="240"/>
      </w:pPr>
      <w:r w:rsidRPr="00EC5EF1">
        <w:lastRenderedPageBreak/>
        <w:t>The length of time spent in seclusion varied considerably. Most seclusion events (76</w:t>
      </w:r>
      <w:r w:rsidR="00D520CF">
        <w:t> </w:t>
      </w:r>
      <w:r w:rsidRPr="00EC5EF1">
        <w:t>percent) lasted for less than 24 hours. Some (12 percent) lasted for longer than</w:t>
      </w:r>
      <w:r w:rsidR="00D520CF">
        <w:t xml:space="preserve"> </w:t>
      </w:r>
      <w:r w:rsidRPr="00EC5EF1">
        <w:t>48</w:t>
      </w:r>
      <w:r w:rsidR="00D520CF">
        <w:t> </w:t>
      </w:r>
      <w:r w:rsidRPr="00EC5EF1">
        <w:t>hours. Figure 22 shows the number of seclusion events by duration of the event for the 2017 calendar year.</w:t>
      </w:r>
    </w:p>
    <w:p w14:paraId="7F0AF8B4" w14:textId="48322FBD" w:rsidR="00740DA6" w:rsidRPr="00EC5EF1" w:rsidRDefault="00740DA6" w:rsidP="00D520CF"/>
    <w:p w14:paraId="62F41FE7" w14:textId="6582A2F8" w:rsidR="00740DA6" w:rsidRDefault="00740DA6" w:rsidP="00D520CF">
      <w:pPr>
        <w:pStyle w:val="Figure"/>
      </w:pPr>
      <w:bookmarkStart w:id="90" w:name="_Toc2845724"/>
      <w:r w:rsidRPr="00EC5EF1">
        <w:t>Figure 22: Number of seclusion events across all inpatient services (adult, forensic, intellectual disability, and youth), by duration of event, 1 January to 31 December 2017</w:t>
      </w:r>
      <w:bookmarkEnd w:id="90"/>
    </w:p>
    <w:p w14:paraId="5FB2E726" w14:textId="37CB5E4E" w:rsidR="00D520CF" w:rsidRPr="00D520CF" w:rsidRDefault="00AB2E42" w:rsidP="00D520CF">
      <w:r>
        <w:rPr>
          <w:noProof/>
          <w:lang w:eastAsia="en-NZ"/>
        </w:rPr>
        <w:drawing>
          <wp:inline distT="0" distB="0" distL="0" distR="0" wp14:anchorId="0FEDB0C7" wp14:editId="74B8B71B">
            <wp:extent cx="5130165" cy="2428607"/>
            <wp:effectExtent l="0" t="0" r="0" b="0"/>
            <wp:docPr id="34" name="Picture 34" title="Figure 22: Number of seclusion events across all inpatient services (adult, forensic, intellectual disability, and youth), by duration of event, 1 January to 31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130165" cy="2428607"/>
                    </a:xfrm>
                    <a:prstGeom prst="rect">
                      <a:avLst/>
                    </a:prstGeom>
                  </pic:spPr>
                </pic:pic>
              </a:graphicData>
            </a:graphic>
          </wp:inline>
        </w:drawing>
      </w:r>
    </w:p>
    <w:p w14:paraId="0C5C43EF" w14:textId="77777777" w:rsidR="00740DA6" w:rsidRPr="00AB2E42" w:rsidRDefault="00740DA6" w:rsidP="00D520CF">
      <w:pPr>
        <w:pStyle w:val="Note"/>
        <w:rPr>
          <w:spacing w:val="-2"/>
        </w:rPr>
      </w:pPr>
      <w:r w:rsidRPr="00AB2E42">
        <w:rPr>
          <w:spacing w:val="-2"/>
        </w:rPr>
        <w:t>Note: This data also includes patients with a legal status under the Mental Health Act, but are treated in RIDSS.</w:t>
      </w:r>
    </w:p>
    <w:p w14:paraId="4AA6DE12" w14:textId="6BD54C40" w:rsidR="00740DA6" w:rsidRPr="00EC5EF1" w:rsidRDefault="00740DA6" w:rsidP="00D520CF">
      <w:pPr>
        <w:pStyle w:val="Source"/>
      </w:pPr>
      <w:r w:rsidRPr="00EC5EF1">
        <w:t>Source: PRIMHD data, extracted on 17 August 2018; Southern DHB supplied data manually</w:t>
      </w:r>
    </w:p>
    <w:p w14:paraId="7EA245DB" w14:textId="77777777" w:rsidR="00740DA6" w:rsidRPr="00EC5EF1" w:rsidRDefault="00740DA6" w:rsidP="00D520CF"/>
    <w:p w14:paraId="2FE7195D" w14:textId="77777777" w:rsidR="00740DA6" w:rsidRPr="00EC5EF1" w:rsidRDefault="00740DA6" w:rsidP="00D520CF">
      <w:pPr>
        <w:pStyle w:val="Heading3"/>
      </w:pPr>
      <w:bookmarkStart w:id="91" w:name="_Toc2845669"/>
      <w:r w:rsidRPr="00EC5EF1">
        <w:t>Seclusion by district health board</w:t>
      </w:r>
      <w:bookmarkEnd w:id="91"/>
    </w:p>
    <w:p w14:paraId="4FC4D781" w14:textId="5CEDD9B8" w:rsidR="00740DA6" w:rsidRPr="00EC5EF1" w:rsidRDefault="00740DA6" w:rsidP="00CA689A">
      <w:r w:rsidRPr="00EC5EF1">
        <w:t xml:space="preserve">All DHBs except for </w:t>
      </w:r>
      <w:proofErr w:type="spellStart"/>
      <w:r w:rsidRPr="00EC5EF1">
        <w:t>Wairarapa</w:t>
      </w:r>
      <w:proofErr w:type="spellEnd"/>
      <w:r w:rsidRPr="00EC5EF1">
        <w:t xml:space="preserve"> DHB (which has no mental health inpatient service) use seclusion.</w:t>
      </w:r>
      <w:r w:rsidR="00CA689A">
        <w:rPr>
          <w:rStyle w:val="FootnoteReference"/>
        </w:rPr>
        <w:footnoteReference w:id="32"/>
      </w:r>
      <w:r w:rsidR="00AB2E42">
        <w:t xml:space="preserve"> </w:t>
      </w:r>
      <w:r w:rsidRPr="00EC5EF1">
        <w:t>In 2017, the national average number of people secluded in adult inpatient services per 100,000 population was 27.2, and the average number of seclusion events per 100,000 population was 55.1.</w:t>
      </w:r>
    </w:p>
    <w:p w14:paraId="67E17716" w14:textId="77777777" w:rsidR="00CA689A" w:rsidRDefault="00CA689A" w:rsidP="00CA689A"/>
    <w:p w14:paraId="4D8C5E15" w14:textId="28D754EB" w:rsidR="00740DA6" w:rsidRPr="00EC5EF1" w:rsidRDefault="00740DA6" w:rsidP="00CA689A">
      <w:r w:rsidRPr="00EC5EF1">
        <w:t>As Figures 23 and 24 show, seclusion data varied widely across DHBs in 2017. Such variation is likely to be due to a number of factors, including:</w:t>
      </w:r>
    </w:p>
    <w:p w14:paraId="1D022CE3" w14:textId="77777777" w:rsidR="00740DA6" w:rsidRPr="00EC5EF1" w:rsidRDefault="00740DA6" w:rsidP="00CA689A">
      <w:pPr>
        <w:pStyle w:val="Bullet"/>
      </w:pPr>
      <w:r w:rsidRPr="00EC5EF1">
        <w:t>differences in seclusion practice</w:t>
      </w:r>
    </w:p>
    <w:p w14:paraId="7780D176" w14:textId="77777777" w:rsidR="00740DA6" w:rsidRPr="00EC5EF1" w:rsidRDefault="00740DA6" w:rsidP="00CA689A">
      <w:pPr>
        <w:pStyle w:val="Bullet"/>
      </w:pPr>
      <w:r w:rsidRPr="00EC5EF1">
        <w:t>geographical variations in the prevalence and acuity of mental illness</w:t>
      </w:r>
    </w:p>
    <w:p w14:paraId="23F08345" w14:textId="77777777" w:rsidR="00740DA6" w:rsidRPr="00EC5EF1" w:rsidRDefault="00740DA6" w:rsidP="00CA689A">
      <w:pPr>
        <w:pStyle w:val="Bullet"/>
      </w:pPr>
      <w:r w:rsidRPr="00EC5EF1">
        <w:t>ward design factors, such as the availability of intensive care and low-stimulus facilities</w:t>
      </w:r>
    </w:p>
    <w:p w14:paraId="5CE8BB04" w14:textId="77777777" w:rsidR="00740DA6" w:rsidRPr="00EC5EF1" w:rsidRDefault="00740DA6" w:rsidP="00CA689A">
      <w:pPr>
        <w:pStyle w:val="Bullet"/>
      </w:pPr>
      <w:r w:rsidRPr="00EC5EF1">
        <w:t>staff numbers, experience and training</w:t>
      </w:r>
    </w:p>
    <w:p w14:paraId="675B7732" w14:textId="77777777" w:rsidR="00740DA6" w:rsidRPr="00EC5EF1" w:rsidRDefault="00740DA6" w:rsidP="00CA689A">
      <w:pPr>
        <w:pStyle w:val="Bullet"/>
      </w:pPr>
      <w:r w:rsidRPr="00EC5EF1">
        <w:t>use of sedating psychotropic medication</w:t>
      </w:r>
    </w:p>
    <w:p w14:paraId="3AF8A4D6" w14:textId="77777777" w:rsidR="00740DA6" w:rsidRPr="00EC5EF1" w:rsidRDefault="00740DA6" w:rsidP="00CA689A">
      <w:pPr>
        <w:pStyle w:val="Bullet"/>
      </w:pPr>
      <w:proofErr w:type="gramStart"/>
      <w:r w:rsidRPr="00EC5EF1">
        <w:t>the</w:t>
      </w:r>
      <w:proofErr w:type="gramEnd"/>
      <w:r w:rsidRPr="00EC5EF1">
        <w:t xml:space="preserve"> frequent or prolonged seclusion of a small number of people, distorting seclusion figures over the 12-month period.</w:t>
      </w:r>
    </w:p>
    <w:p w14:paraId="27D34A3A" w14:textId="77777777" w:rsidR="00CA689A" w:rsidRDefault="00CA689A" w:rsidP="00CA689A"/>
    <w:p w14:paraId="6FD88041" w14:textId="6FD36424" w:rsidR="00740DA6" w:rsidRDefault="00740DA6" w:rsidP="00CA689A">
      <w:r w:rsidRPr="00EC5EF1">
        <w:lastRenderedPageBreak/>
        <w:t>Because it is difficult to measure and adjust for these factors, the Ministry recommends comparing an individual DHB’s performance over time in addition to considering the adjusted comparisons between DHBs in this report.</w:t>
      </w:r>
    </w:p>
    <w:p w14:paraId="1BB5A773" w14:textId="77777777" w:rsidR="00CA689A" w:rsidRPr="00EC5EF1" w:rsidRDefault="00CA689A" w:rsidP="00CA689A"/>
    <w:p w14:paraId="5FBD27A3" w14:textId="77777777" w:rsidR="00740DA6" w:rsidRPr="00EC5EF1" w:rsidRDefault="00740DA6" w:rsidP="00756399">
      <w:pPr>
        <w:pStyle w:val="Figure"/>
        <w:spacing w:before="60"/>
      </w:pPr>
      <w:bookmarkStart w:id="92" w:name="_Toc2845725"/>
      <w:r w:rsidRPr="00EC5EF1">
        <w:t>Figure 23: Number of people secluded in adult inpatient services per 100,000, by DHB, 1 January to 31 December 2017</w:t>
      </w:r>
      <w:bookmarkEnd w:id="92"/>
    </w:p>
    <w:p w14:paraId="042C3073" w14:textId="0D9302EE" w:rsidR="00740DA6" w:rsidRPr="00EC5EF1" w:rsidRDefault="00AB2E42" w:rsidP="00CA689A">
      <w:r>
        <w:rPr>
          <w:noProof/>
          <w:lang w:eastAsia="en-NZ"/>
        </w:rPr>
        <w:drawing>
          <wp:inline distT="0" distB="0" distL="0" distR="0" wp14:anchorId="5BE41889" wp14:editId="3338948A">
            <wp:extent cx="4671753" cy="2845976"/>
            <wp:effectExtent l="0" t="0" r="0" b="0"/>
            <wp:docPr id="35" name="Picture 35" title="Figure 23: Number of people secluded in adult inpatient services per 100,000, by DHB, 1 January to 31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672857" cy="2846648"/>
                    </a:xfrm>
                    <a:prstGeom prst="rect">
                      <a:avLst/>
                    </a:prstGeom>
                  </pic:spPr>
                </pic:pic>
              </a:graphicData>
            </a:graphic>
          </wp:inline>
        </w:drawing>
      </w:r>
    </w:p>
    <w:p w14:paraId="1DC5A473" w14:textId="77777777" w:rsidR="00740DA6" w:rsidRPr="00EC5EF1" w:rsidRDefault="00740DA6" w:rsidP="00CA689A">
      <w:pPr>
        <w:pStyle w:val="Note"/>
      </w:pPr>
      <w:r w:rsidRPr="00EC5EF1">
        <w:t>Notes: Confidence intervals (for 99 percent confidence) have been used to aid interpretation. Where a DHB region’s confidence interval crosses the national average, this means the DHB’s rate was not statistically significantly different from the national average.</w:t>
      </w:r>
    </w:p>
    <w:p w14:paraId="42429636" w14:textId="77777777" w:rsidR="00740DA6" w:rsidRPr="00EC5EF1" w:rsidRDefault="00740DA6" w:rsidP="00756399">
      <w:pPr>
        <w:pStyle w:val="Note"/>
        <w:spacing w:before="40"/>
      </w:pPr>
      <w:r w:rsidRPr="00EC5EF1">
        <w:t>This data also includes patients with a legal status under the Mental Health Act, but are treated in RIDSS.</w:t>
      </w:r>
    </w:p>
    <w:p w14:paraId="0F896592" w14:textId="70DB1328" w:rsidR="00740DA6" w:rsidRPr="00EC5EF1" w:rsidRDefault="00740DA6" w:rsidP="00756399">
      <w:pPr>
        <w:pStyle w:val="Source"/>
        <w:spacing w:before="40"/>
      </w:pPr>
      <w:r w:rsidRPr="00EC5EF1">
        <w:t>Source:</w:t>
      </w:r>
      <w:r w:rsidR="00DE0BB2">
        <w:t xml:space="preserve"> </w:t>
      </w:r>
      <w:r w:rsidRPr="00EC5EF1">
        <w:t>PRIMHD data, extracted on 17 August 2018; Southern DHB supplied data manually</w:t>
      </w:r>
    </w:p>
    <w:p w14:paraId="044B17B2" w14:textId="77777777" w:rsidR="00740DA6" w:rsidRPr="00EC5EF1" w:rsidRDefault="00740DA6" w:rsidP="00CA689A"/>
    <w:p w14:paraId="4ACC2C04" w14:textId="77777777" w:rsidR="00740DA6" w:rsidRPr="00EC5EF1" w:rsidRDefault="00740DA6" w:rsidP="00756399">
      <w:pPr>
        <w:pStyle w:val="Figure"/>
        <w:spacing w:before="60"/>
      </w:pPr>
      <w:bookmarkStart w:id="93" w:name="_Toc2845726"/>
      <w:r w:rsidRPr="00EC5EF1">
        <w:t>Figure 24: Number of seclusion events in adult inpatient services per 100,000, by DHB, 1 January to 31 December 2017</w:t>
      </w:r>
      <w:bookmarkEnd w:id="93"/>
    </w:p>
    <w:p w14:paraId="20276B98" w14:textId="1E02B287" w:rsidR="007F22A0" w:rsidRDefault="00AB2E42" w:rsidP="00CA689A">
      <w:r>
        <w:rPr>
          <w:noProof/>
          <w:lang w:eastAsia="en-NZ"/>
        </w:rPr>
        <w:drawing>
          <wp:inline distT="0" distB="0" distL="0" distR="0" wp14:anchorId="68879B37" wp14:editId="73846A97">
            <wp:extent cx="4671753" cy="2755635"/>
            <wp:effectExtent l="0" t="0" r="0" b="6985"/>
            <wp:docPr id="36" name="Picture 36" title="Figure 24: Number of seclusion events in adult inpatient services per 100,000, by DHB, 1 January to 31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673703" cy="2756785"/>
                    </a:xfrm>
                    <a:prstGeom prst="rect">
                      <a:avLst/>
                    </a:prstGeom>
                  </pic:spPr>
                </pic:pic>
              </a:graphicData>
            </a:graphic>
          </wp:inline>
        </w:drawing>
      </w:r>
    </w:p>
    <w:p w14:paraId="2BBABF65" w14:textId="77777777" w:rsidR="00740DA6" w:rsidRPr="00EC5EF1" w:rsidRDefault="00740DA6" w:rsidP="00CA689A">
      <w:pPr>
        <w:pStyle w:val="Note"/>
      </w:pPr>
      <w:r w:rsidRPr="00EC5EF1">
        <w:t>Notes: Confidence intervals (for 99 percent confidence) have been used to aid interpretation. Where a DHB region’s confidence interval crosses the national average, this means the DHB’s rate was not statistically significantly different to the national average.</w:t>
      </w:r>
    </w:p>
    <w:p w14:paraId="364D4E4C" w14:textId="7E6F7AED" w:rsidR="00740DA6" w:rsidRPr="00EC5EF1" w:rsidRDefault="00740DA6" w:rsidP="00756399">
      <w:pPr>
        <w:pStyle w:val="Note"/>
        <w:spacing w:before="40"/>
      </w:pPr>
      <w:r w:rsidRPr="00EC5EF1">
        <w:rPr>
          <w:noProof/>
          <w:lang w:eastAsia="en-NZ"/>
        </w:rPr>
        <w:drawing>
          <wp:anchor distT="0" distB="0" distL="0" distR="0" simplePos="0" relativeHeight="251759616" behindDoc="0" locked="0" layoutInCell="1" allowOverlap="1" wp14:anchorId="12CFD0E3" wp14:editId="15CBCE96">
            <wp:simplePos x="0" y="0"/>
            <wp:positionH relativeFrom="page">
              <wp:posOffset>8060163</wp:posOffset>
            </wp:positionH>
            <wp:positionV relativeFrom="paragraph">
              <wp:posOffset>99963</wp:posOffset>
            </wp:positionV>
            <wp:extent cx="155575" cy="155575"/>
            <wp:effectExtent l="0" t="0" r="0" b="0"/>
            <wp:wrapNone/>
            <wp:docPr id="27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This data also includes patients with a legal status under the Mental Health Act, but are treated in RIDSS.</w:t>
      </w:r>
    </w:p>
    <w:p w14:paraId="4EC193D3" w14:textId="1F7AD28E" w:rsidR="00740DA6" w:rsidRPr="00EC5EF1" w:rsidRDefault="00740DA6" w:rsidP="00756399">
      <w:pPr>
        <w:pStyle w:val="Source"/>
        <w:spacing w:before="40"/>
      </w:pPr>
      <w:r w:rsidRPr="00EC5EF1">
        <w:t>Source: PRIMHD data, extracted on 17 August 2018; Southern DHB supplied data manually</w:t>
      </w:r>
    </w:p>
    <w:p w14:paraId="7EDA4A9E" w14:textId="77777777" w:rsidR="00740DA6" w:rsidRPr="00EC5EF1" w:rsidRDefault="00740DA6" w:rsidP="00756399">
      <w:pPr>
        <w:pStyle w:val="Heading3"/>
        <w:spacing w:before="600"/>
      </w:pPr>
      <w:bookmarkStart w:id="94" w:name="_Toc2845670"/>
      <w:r w:rsidRPr="00EC5EF1">
        <w:lastRenderedPageBreak/>
        <w:t>Seclusion and ethnicity</w:t>
      </w:r>
      <w:bookmarkEnd w:id="94"/>
    </w:p>
    <w:p w14:paraId="2092ECA8" w14:textId="67A4C4D9" w:rsidR="00740DA6" w:rsidRPr="00EC5EF1" w:rsidRDefault="00740DA6" w:rsidP="00CA689A">
      <w:r w:rsidRPr="00EC5EF1">
        <w:t>In 2017, Māori were 4.5 times more likely to be secluded in adult inpatient services</w:t>
      </w:r>
      <w:r w:rsidR="00CA689A">
        <w:t xml:space="preserve"> </w:t>
      </w:r>
      <w:r w:rsidRPr="00EC5EF1">
        <w:t>than people from other ethnic groups. Of those secluded in adult inpatient services during 2017, 41 percent were Māori.</w:t>
      </w:r>
    </w:p>
    <w:p w14:paraId="78E3D3ED" w14:textId="77777777" w:rsidR="00CA689A" w:rsidRDefault="00CA689A" w:rsidP="00CA689A"/>
    <w:p w14:paraId="0B3B5D6D" w14:textId="618EAB94" w:rsidR="00740DA6" w:rsidRDefault="00740DA6" w:rsidP="00CA689A">
      <w:r w:rsidRPr="00EC5EF1">
        <w:t>Figure 25 shows seclusion indicators for Māori and non-Māori during 2017. Māori were secluded at a rate of 82.2 people per 100,000,</w:t>
      </w:r>
      <w:r w:rsidR="00CA689A">
        <w:t xml:space="preserve"> </w:t>
      </w:r>
      <w:r w:rsidRPr="00EC5EF1">
        <w:t>and non-Māori at a rate of 18.5 people per 100,000 population.</w:t>
      </w:r>
    </w:p>
    <w:p w14:paraId="395937D7" w14:textId="77777777" w:rsidR="00CA689A" w:rsidRPr="00EC5EF1" w:rsidRDefault="00CA689A" w:rsidP="00CA689A"/>
    <w:p w14:paraId="7F7BC508" w14:textId="77777777" w:rsidR="00740DA6" w:rsidRPr="00EC5EF1" w:rsidRDefault="00740DA6" w:rsidP="00CA689A">
      <w:r w:rsidRPr="00EC5EF1">
        <w:t xml:space="preserve">Reducing and eventually eliminating the use of seclusion for Māori is a priority action in Rising to the Challenge (Ministry of Health 2012e) supported by </w:t>
      </w:r>
      <w:proofErr w:type="spellStart"/>
      <w:r w:rsidRPr="00EC5EF1">
        <w:t>Te</w:t>
      </w:r>
      <w:proofErr w:type="spellEnd"/>
      <w:r w:rsidRPr="00EC5EF1">
        <w:t xml:space="preserve"> </w:t>
      </w:r>
      <w:proofErr w:type="spellStart"/>
      <w:r w:rsidRPr="00EC5EF1">
        <w:t>Pou</w:t>
      </w:r>
      <w:proofErr w:type="spellEnd"/>
      <w:r w:rsidRPr="00EC5EF1">
        <w:t xml:space="preserve">. Information on initiatives and strategies for reducing the use of seclusion with Māori can be found on the website for </w:t>
      </w:r>
      <w:proofErr w:type="spellStart"/>
      <w:r w:rsidRPr="00EC5EF1">
        <w:t>Te</w:t>
      </w:r>
      <w:proofErr w:type="spellEnd"/>
      <w:r w:rsidRPr="00EC5EF1">
        <w:t xml:space="preserve"> </w:t>
      </w:r>
      <w:proofErr w:type="spellStart"/>
      <w:r w:rsidRPr="00EC5EF1">
        <w:t>Pou</w:t>
      </w:r>
      <w:proofErr w:type="spellEnd"/>
      <w:r w:rsidRPr="00EC5EF1">
        <w:t xml:space="preserve"> (</w:t>
      </w:r>
      <w:r w:rsidRPr="00CA689A">
        <w:rPr>
          <w:rStyle w:val="Hyperlink"/>
        </w:rPr>
        <w:t>tepou.co.nz</w:t>
      </w:r>
      <w:r w:rsidRPr="00EC5EF1">
        <w:t>).</w:t>
      </w:r>
    </w:p>
    <w:p w14:paraId="4A42CB14" w14:textId="77777777" w:rsidR="00740DA6" w:rsidRPr="00EC5EF1" w:rsidRDefault="00740DA6" w:rsidP="00CA689A"/>
    <w:p w14:paraId="5373ECDC" w14:textId="27652344" w:rsidR="00740DA6" w:rsidRDefault="00740DA6" w:rsidP="00CA689A">
      <w:pPr>
        <w:pStyle w:val="Figure"/>
      </w:pPr>
      <w:bookmarkStart w:id="95" w:name="_Toc2845727"/>
      <w:r w:rsidRPr="00EC5EF1">
        <w:t>Figure 25: Seclusion indicators for adult inpatient services, Māori and non-Māori, 1</w:t>
      </w:r>
      <w:r w:rsidR="00CA689A">
        <w:t> </w:t>
      </w:r>
      <w:r w:rsidRPr="00EC5EF1">
        <w:t>January to 31 December 2017</w:t>
      </w:r>
      <w:bookmarkEnd w:id="95"/>
    </w:p>
    <w:p w14:paraId="6E06AF1B" w14:textId="534DEA55" w:rsidR="00CA689A" w:rsidRPr="00CA689A" w:rsidRDefault="00A20F1B" w:rsidP="00CA689A">
      <w:r>
        <w:rPr>
          <w:noProof/>
          <w:lang w:eastAsia="en-NZ"/>
        </w:rPr>
        <w:drawing>
          <wp:inline distT="0" distB="0" distL="0" distR="0" wp14:anchorId="6F23B005" wp14:editId="5030FB6C">
            <wp:extent cx="5130165" cy="2540098"/>
            <wp:effectExtent l="0" t="0" r="0" b="0"/>
            <wp:docPr id="37" name="Picture 37" title="Figure 25: Seclusion indicators for adult inpatient services, Māori and non-Māori, 1 January to 31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130165" cy="2540098"/>
                    </a:xfrm>
                    <a:prstGeom prst="rect">
                      <a:avLst/>
                    </a:prstGeom>
                  </pic:spPr>
                </pic:pic>
              </a:graphicData>
            </a:graphic>
          </wp:inline>
        </w:drawing>
      </w:r>
    </w:p>
    <w:p w14:paraId="1472FD8A" w14:textId="77777777" w:rsidR="00740DA6" w:rsidRPr="00EC5EF1" w:rsidRDefault="00740DA6" w:rsidP="00CA689A">
      <w:pPr>
        <w:pStyle w:val="Note"/>
      </w:pPr>
      <w:r w:rsidRPr="00EC5EF1">
        <w:t>Note: This data also includes patients with a legal status under the Mental Health Act, but are treated in RIDSS.</w:t>
      </w:r>
    </w:p>
    <w:p w14:paraId="1A756031" w14:textId="45EC5027" w:rsidR="00740DA6" w:rsidRPr="00EC5EF1" w:rsidRDefault="00740DA6" w:rsidP="00CA689A">
      <w:pPr>
        <w:pStyle w:val="Source"/>
      </w:pPr>
      <w:r w:rsidRPr="00EC5EF1">
        <w:t>Source: PRIMHD data, extracted on 17 August 2018; Southern DHB supplied data manually</w:t>
      </w:r>
    </w:p>
    <w:p w14:paraId="4FA12A5B" w14:textId="77777777" w:rsidR="00CA689A" w:rsidRDefault="00CA689A" w:rsidP="00CA689A"/>
    <w:p w14:paraId="23F7EF1A" w14:textId="46C106F7" w:rsidR="00740DA6" w:rsidRPr="00EC5EF1" w:rsidRDefault="00740DA6" w:rsidP="00CA689A">
      <w:r w:rsidRPr="00EC5EF1">
        <w:rPr>
          <w:noProof/>
          <w:lang w:eastAsia="en-NZ"/>
        </w:rPr>
        <w:drawing>
          <wp:anchor distT="0" distB="0" distL="0" distR="0" simplePos="0" relativeHeight="251761664" behindDoc="0" locked="0" layoutInCell="1" allowOverlap="1" wp14:anchorId="15C359B6" wp14:editId="76350D97">
            <wp:simplePos x="0" y="0"/>
            <wp:positionH relativeFrom="page">
              <wp:posOffset>8060163</wp:posOffset>
            </wp:positionH>
            <wp:positionV relativeFrom="paragraph">
              <wp:posOffset>760213</wp:posOffset>
            </wp:positionV>
            <wp:extent cx="155575" cy="155575"/>
            <wp:effectExtent l="0" t="0" r="0" b="0"/>
            <wp:wrapNone/>
            <wp:docPr id="27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Figure 26 shows the percentage of Māori and non-Māori male and female service users secluded in adult services in 2017. This figure indicates that a greater proportion of Māori were secluded than non-Māori, and that across ethnicities males were more likely to be secluded (11 percent) than females (6 percent).</w:t>
      </w:r>
    </w:p>
    <w:p w14:paraId="799C6DDE" w14:textId="77777777" w:rsidR="00740DA6" w:rsidRPr="00EC5EF1" w:rsidRDefault="00740DA6" w:rsidP="00CA689A"/>
    <w:p w14:paraId="012FCB0C" w14:textId="77777777" w:rsidR="00740DA6" w:rsidRPr="00EC5EF1" w:rsidRDefault="00740DA6" w:rsidP="00CA689A">
      <w:pPr>
        <w:pStyle w:val="Figure"/>
      </w:pPr>
      <w:bookmarkStart w:id="96" w:name="_Toc2845728"/>
      <w:r w:rsidRPr="00EC5EF1">
        <w:lastRenderedPageBreak/>
        <w:t>Figure 26: Percentage of people spending time in seclusion in adult inpatient services, Māori and non-Māori males and females, 1 January to 31 December 2017</w:t>
      </w:r>
      <w:bookmarkEnd w:id="96"/>
    </w:p>
    <w:p w14:paraId="218D4655" w14:textId="166166FF" w:rsidR="00740DA6" w:rsidRPr="00EC5EF1" w:rsidRDefault="00A20F1B" w:rsidP="00CA689A">
      <w:r>
        <w:rPr>
          <w:noProof/>
          <w:lang w:eastAsia="en-NZ"/>
        </w:rPr>
        <w:drawing>
          <wp:inline distT="0" distB="0" distL="0" distR="0" wp14:anchorId="31B8F5F1" wp14:editId="562E7B94">
            <wp:extent cx="5128953" cy="2642570"/>
            <wp:effectExtent l="0" t="0" r="0" b="5715"/>
            <wp:docPr id="38" name="Picture 38" title="Figure 26: Percentage of people spending time in seclusion in adult inpatient services, Māori and non-Māori males and females, 1 January to 31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t="2754"/>
                    <a:stretch/>
                  </pic:blipFill>
                  <pic:spPr bwMode="auto">
                    <a:xfrm>
                      <a:off x="0" y="0"/>
                      <a:ext cx="5130165" cy="2643194"/>
                    </a:xfrm>
                    <a:prstGeom prst="rect">
                      <a:avLst/>
                    </a:prstGeom>
                    <a:ln>
                      <a:noFill/>
                    </a:ln>
                    <a:extLst>
                      <a:ext uri="{53640926-AAD7-44D8-BBD7-CCE9431645EC}">
                        <a14:shadowObscured xmlns:a14="http://schemas.microsoft.com/office/drawing/2010/main"/>
                      </a:ext>
                    </a:extLst>
                  </pic:spPr>
                </pic:pic>
              </a:graphicData>
            </a:graphic>
          </wp:inline>
        </w:drawing>
      </w:r>
    </w:p>
    <w:p w14:paraId="4C1DA937" w14:textId="77777777" w:rsidR="00740DA6" w:rsidRPr="00EC5EF1" w:rsidRDefault="00740DA6" w:rsidP="00CA689A">
      <w:pPr>
        <w:pStyle w:val="Note"/>
      </w:pPr>
      <w:r w:rsidRPr="00EC5EF1">
        <w:t>Note: This data also includes patients with a legal status under the Mental Health Act, but are treated in RIDSS.</w:t>
      </w:r>
    </w:p>
    <w:p w14:paraId="28F176FA" w14:textId="15CBB559" w:rsidR="00740DA6" w:rsidRPr="00EC5EF1" w:rsidRDefault="00740DA6" w:rsidP="00CA689A">
      <w:pPr>
        <w:pStyle w:val="Source"/>
      </w:pPr>
      <w:r w:rsidRPr="00EC5EF1">
        <w:t>Source: PRIMHD data, extracted on 17 August 2018; Southern DHB supplied data manually</w:t>
      </w:r>
    </w:p>
    <w:p w14:paraId="695A0CF4" w14:textId="77777777" w:rsidR="00740DA6" w:rsidRPr="00EC5EF1" w:rsidRDefault="00740DA6" w:rsidP="00CA689A"/>
    <w:p w14:paraId="3EAFDBE9" w14:textId="77777777" w:rsidR="00740DA6" w:rsidRPr="00EC5EF1" w:rsidRDefault="00740DA6" w:rsidP="00CA689A">
      <w:r w:rsidRPr="00EC5EF1">
        <w:t>Figure 27 shows the number of Māori and non-Māori aged 20–64 years secluded in adult inpatient services from 2007 to 2017. Nationally over this time, the number of people secluded decreased by 32 percent. The number of people secluded who identified as Māori decreased by 17 percent over the same time.</w:t>
      </w:r>
    </w:p>
    <w:p w14:paraId="7B94495D" w14:textId="77777777" w:rsidR="00740DA6" w:rsidRPr="00EC5EF1" w:rsidRDefault="00740DA6" w:rsidP="00C5177E"/>
    <w:p w14:paraId="02CF7F2F" w14:textId="7B1A1174" w:rsidR="00740DA6" w:rsidRDefault="00740DA6" w:rsidP="00C5177E">
      <w:pPr>
        <w:pStyle w:val="Figure"/>
      </w:pPr>
      <w:bookmarkStart w:id="97" w:name="_Toc2845729"/>
      <w:r w:rsidRPr="00EC5EF1">
        <w:t>Figure 27: Number of Māori and non-Māori aged 20–64 years secluded in adult inpatient services, 2007–2017</w:t>
      </w:r>
      <w:bookmarkEnd w:id="97"/>
    </w:p>
    <w:p w14:paraId="321C8813" w14:textId="2E33C9C3" w:rsidR="00C5177E" w:rsidRPr="00C5177E" w:rsidRDefault="00A20F1B" w:rsidP="00C5177E">
      <w:r>
        <w:rPr>
          <w:noProof/>
          <w:lang w:eastAsia="en-NZ"/>
        </w:rPr>
        <w:drawing>
          <wp:inline distT="0" distB="0" distL="0" distR="0" wp14:anchorId="13D00480" wp14:editId="6BEF24E8">
            <wp:extent cx="5130165" cy="2423503"/>
            <wp:effectExtent l="0" t="0" r="0" b="0"/>
            <wp:docPr id="39" name="Picture 39" title="Figure 27: Number of Māori and non-Māori aged 20–64 years secluded in adult inpatient services, 2007–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130165" cy="2423503"/>
                    </a:xfrm>
                    <a:prstGeom prst="rect">
                      <a:avLst/>
                    </a:prstGeom>
                  </pic:spPr>
                </pic:pic>
              </a:graphicData>
            </a:graphic>
          </wp:inline>
        </w:drawing>
      </w:r>
    </w:p>
    <w:p w14:paraId="62ADDD79" w14:textId="77777777" w:rsidR="00740DA6" w:rsidRPr="00EC5EF1" w:rsidRDefault="00740DA6" w:rsidP="00C5177E">
      <w:pPr>
        <w:pStyle w:val="Note"/>
      </w:pPr>
      <w:r w:rsidRPr="00EC5EF1">
        <w:t>Note: This data also includes patients with a legal status under the Mental Health Act, but are treated in RIDSS.</w:t>
      </w:r>
    </w:p>
    <w:p w14:paraId="43165E6C" w14:textId="42F8CE41" w:rsidR="00740DA6" w:rsidRDefault="00740DA6" w:rsidP="00C5177E">
      <w:pPr>
        <w:pStyle w:val="Source"/>
      </w:pPr>
      <w:r w:rsidRPr="00EC5EF1">
        <w:rPr>
          <w:noProof/>
          <w:lang w:eastAsia="en-NZ"/>
        </w:rPr>
        <w:drawing>
          <wp:anchor distT="0" distB="0" distL="0" distR="0" simplePos="0" relativeHeight="251763712" behindDoc="0" locked="0" layoutInCell="1" allowOverlap="1" wp14:anchorId="6C9A691A" wp14:editId="6C6097A1">
            <wp:simplePos x="0" y="0"/>
            <wp:positionH relativeFrom="page">
              <wp:posOffset>8060163</wp:posOffset>
            </wp:positionH>
            <wp:positionV relativeFrom="paragraph">
              <wp:posOffset>143298</wp:posOffset>
            </wp:positionV>
            <wp:extent cx="155575" cy="155575"/>
            <wp:effectExtent l="0" t="0" r="0" b="0"/>
            <wp:wrapNone/>
            <wp:docPr id="28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Source: PRIMHD data, extracted on 17 August 2018; Southern DHB supplied data manually</w:t>
      </w:r>
    </w:p>
    <w:p w14:paraId="6CEA125F" w14:textId="77777777" w:rsidR="00C5177E" w:rsidRPr="00C5177E" w:rsidRDefault="00C5177E" w:rsidP="00C5177E"/>
    <w:p w14:paraId="4C312B8D" w14:textId="77777777" w:rsidR="00740DA6" w:rsidRPr="00EC5EF1" w:rsidRDefault="00740DA6" w:rsidP="00C5177E">
      <w:pPr>
        <w:pStyle w:val="Heading3"/>
      </w:pPr>
      <w:bookmarkStart w:id="98" w:name="_Toc2845671"/>
      <w:r w:rsidRPr="00EC5EF1">
        <w:lastRenderedPageBreak/>
        <w:t>Seclusion in forensic units</w:t>
      </w:r>
      <w:bookmarkEnd w:id="98"/>
    </w:p>
    <w:p w14:paraId="377318EE" w14:textId="068FECB5" w:rsidR="00740DA6" w:rsidRDefault="00740DA6" w:rsidP="00C5177E">
      <w:r w:rsidRPr="00EC5EF1">
        <w:t xml:space="preserve">Five DHBs provide specialist inpatient forensic services: Canterbury, Capital &amp; Coast, Southern, Waikato and </w:t>
      </w:r>
      <w:proofErr w:type="spellStart"/>
      <w:r w:rsidRPr="00EC5EF1">
        <w:t>Waitemata</w:t>
      </w:r>
      <w:proofErr w:type="spellEnd"/>
      <w:r w:rsidRPr="00EC5EF1">
        <w:t>. There is a smaller inpatient forensic service in Whanganui.</w:t>
      </w:r>
      <w:r w:rsidR="00C5177E">
        <w:rPr>
          <w:rStyle w:val="FootnoteReference"/>
        </w:rPr>
        <w:footnoteReference w:id="33"/>
      </w:r>
      <w:r w:rsidR="00C5177E">
        <w:t xml:space="preserve"> </w:t>
      </w:r>
      <w:r w:rsidRPr="00EC5EF1">
        <w:t>These services provide mental health treatment in a secure</w:t>
      </w:r>
      <w:r w:rsidR="00C5177E">
        <w:t xml:space="preserve"> </w:t>
      </w:r>
      <w:r w:rsidRPr="00EC5EF1">
        <w:t>environment for prisoners with mental disorders and for people defined as special or restricted patients under the Mental Health Act.</w:t>
      </w:r>
    </w:p>
    <w:p w14:paraId="0014366C" w14:textId="77777777" w:rsidR="00C5177E" w:rsidRPr="00EC5EF1" w:rsidRDefault="00C5177E" w:rsidP="00C5177E"/>
    <w:p w14:paraId="1AC4D7DF" w14:textId="1709FB0A" w:rsidR="00740DA6" w:rsidRDefault="00740DA6" w:rsidP="00C5177E">
      <w:r w:rsidRPr="00EC5EF1">
        <w:t>These forensic services also provide care for people (care recipients or special care recipients) under the IDCC&amp;R Act. We report on seclusion data for those under</w:t>
      </w:r>
      <w:r w:rsidR="00C5177E">
        <w:t xml:space="preserve"> </w:t>
      </w:r>
      <w:r w:rsidRPr="00EC5EF1">
        <w:t>the IDCC&amp;R Act separate to patients under the Mental Health Act to have a better understanding of the use of seclusion for each group (see below).</w:t>
      </w:r>
    </w:p>
    <w:p w14:paraId="74F05C90" w14:textId="77777777" w:rsidR="00C5177E" w:rsidRPr="00EC5EF1" w:rsidRDefault="00C5177E" w:rsidP="00C5177E"/>
    <w:p w14:paraId="0C9A34FF" w14:textId="77777777" w:rsidR="00740DA6" w:rsidRPr="00EC5EF1" w:rsidRDefault="00740DA6" w:rsidP="00C5177E">
      <w:r w:rsidRPr="00EC5EF1">
        <w:t>To reiterate, the seclusion data presented for intellectual disabilities is specific to care recipients with a legal status under the IDCC&amp;R Act. The seclusion data of mental health services includes patients who have a legal status under the Mental Health Act, but receive treatment from RIDSS. This data will be built upon and reported on separately in future Office of the Director of Mental Health and Addiction Services annual reports.</w:t>
      </w:r>
    </w:p>
    <w:p w14:paraId="12EFC9D8" w14:textId="77777777" w:rsidR="00740DA6" w:rsidRPr="00EC5EF1" w:rsidRDefault="00740DA6" w:rsidP="00C5177E"/>
    <w:p w14:paraId="23438384" w14:textId="77777777" w:rsidR="00740DA6" w:rsidRPr="00EC5EF1" w:rsidRDefault="00740DA6" w:rsidP="00C5177E">
      <w:pPr>
        <w:pStyle w:val="Heading4"/>
      </w:pPr>
      <w:r w:rsidRPr="00EC5EF1">
        <w:t>Seclusion in forensic intellectual disability units</w:t>
      </w:r>
    </w:p>
    <w:p w14:paraId="7019174C" w14:textId="0571C198" w:rsidR="00740DA6" w:rsidRDefault="00740DA6" w:rsidP="00C5177E">
      <w:r w:rsidRPr="00EC5EF1">
        <w:t>The aforementioned DHB forensic services provide specialist secure intellectual disability forensic services known as RIDSS. RIDSS provide secure beds for people subject to compulsory care orders under the IDCC&amp;R Act, or other appropriate legal mandates. RIDSS services vary in bed configuration and numbers. Some beds are provided within existing forensic mental health infrastructure; others are provided in purpose-built facilities. Some RIDSS also have ’step-down’ facilities, which are medium secure ‘cottages’ intended to provide a more home-like environment as care recipients move towards a transition to the community.</w:t>
      </w:r>
    </w:p>
    <w:p w14:paraId="781CA554" w14:textId="77777777" w:rsidR="00C5177E" w:rsidRPr="00EC5EF1" w:rsidRDefault="00C5177E" w:rsidP="00C5177E"/>
    <w:p w14:paraId="0D9FAF3B" w14:textId="77777777" w:rsidR="00740DA6" w:rsidRPr="00EC5EF1" w:rsidRDefault="00740DA6" w:rsidP="00C5177E">
      <w:pPr>
        <w:pStyle w:val="Heading4"/>
      </w:pPr>
      <w:r w:rsidRPr="00EC5EF1">
        <w:t>Data collection</w:t>
      </w:r>
    </w:p>
    <w:p w14:paraId="42121E36" w14:textId="62038798" w:rsidR="00740DA6" w:rsidRDefault="00740DA6" w:rsidP="00C5177E">
      <w:r w:rsidRPr="00EC5EF1">
        <w:t xml:space="preserve">Care recipients under the IDCC&amp;R Act can also be subject to seclusion. Because they often receive treatment in a forensic mental health service, seclusion indicators relevant to these service users are sometimes reported via PRIMHD and are </w:t>
      </w:r>
      <w:r w:rsidR="00F35C8F" w:rsidRPr="00EC5EF1">
        <w:t>indistinguishable</w:t>
      </w:r>
      <w:r w:rsidRPr="00EC5EF1">
        <w:t xml:space="preserve"> from forensic mental health service user seclusion data. The Office is actively working with Disability Support Services and DHBs to report IDCC&amp;R Act seclusion data separately from forensic mental health data in PRIMHD. The data for this report was done both manually for some DHBs and extracted from PRIMHD for other DHBs.</w:t>
      </w:r>
    </w:p>
    <w:p w14:paraId="4E2359BB" w14:textId="77777777" w:rsidR="00C5177E" w:rsidRPr="00EC5EF1" w:rsidRDefault="00C5177E" w:rsidP="00C5177E"/>
    <w:p w14:paraId="2D13B561" w14:textId="50A5DADF" w:rsidR="00740DA6" w:rsidRPr="00EC5EF1" w:rsidRDefault="00740DA6" w:rsidP="00A20F1B">
      <w:pPr>
        <w:keepLines/>
      </w:pPr>
      <w:r w:rsidRPr="00EC5EF1">
        <w:lastRenderedPageBreak/>
        <w:t>The numbers of beds across RIDSS services around the country vary greatly. A small group of care recipients currently in secure care have not made significant</w:t>
      </w:r>
      <w:r w:rsidR="00C5177E">
        <w:t xml:space="preserve"> </w:t>
      </w:r>
      <w:r w:rsidRPr="00EC5EF1">
        <w:rPr>
          <w:noProof/>
          <w:lang w:eastAsia="en-NZ"/>
        </w:rPr>
        <w:drawing>
          <wp:anchor distT="0" distB="0" distL="0" distR="0" simplePos="0" relativeHeight="251765760" behindDoc="0" locked="0" layoutInCell="1" allowOverlap="1" wp14:anchorId="6BE7FA90" wp14:editId="05CA7FB2">
            <wp:simplePos x="0" y="0"/>
            <wp:positionH relativeFrom="page">
              <wp:posOffset>8060163</wp:posOffset>
            </wp:positionH>
            <wp:positionV relativeFrom="paragraph">
              <wp:posOffset>101327</wp:posOffset>
            </wp:positionV>
            <wp:extent cx="155575" cy="155575"/>
            <wp:effectExtent l="0" t="0" r="0" b="0"/>
            <wp:wrapNone/>
            <wp:docPr id="28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rehabilitative gains towards transitioning to community placement. These clients have intellectual disabilities and/or mental health conditions of such severity that they have already been subject to long-term hospital-level care (10.5 years on average, with a range from 6 to 20 years), and it is highly likely they will continue to require long-term secure care and more restrictive practices. This is reflected in the data provided in Tables 5, 6 and 7.</w:t>
      </w:r>
    </w:p>
    <w:p w14:paraId="682219F6" w14:textId="77777777" w:rsidR="00740DA6" w:rsidRPr="00EC5EF1" w:rsidRDefault="00740DA6" w:rsidP="00CB1918"/>
    <w:p w14:paraId="7F4AD665" w14:textId="3D9C6CF6" w:rsidR="00740DA6" w:rsidRDefault="00740DA6" w:rsidP="00C5177E">
      <w:pPr>
        <w:pStyle w:val="Table"/>
      </w:pPr>
      <w:bookmarkStart w:id="99" w:name="_Toc2845749"/>
      <w:r w:rsidRPr="00EC5EF1">
        <w:t>Table 5: Seclusion data for people with intellectual disabilities, by DHB and events for the period 1 January to 31 December 2017</w:t>
      </w:r>
      <w:bookmarkEnd w:id="99"/>
    </w:p>
    <w:tbl>
      <w:tblPr>
        <w:tblW w:w="8080" w:type="dxa"/>
        <w:tblInd w:w="57" w:type="dxa"/>
        <w:tblLayout w:type="fixed"/>
        <w:tblCellMar>
          <w:left w:w="57" w:type="dxa"/>
          <w:right w:w="57" w:type="dxa"/>
        </w:tblCellMar>
        <w:tblLook w:val="01E0" w:firstRow="1" w:lastRow="1" w:firstColumn="1" w:lastColumn="1" w:noHBand="0" w:noVBand="0"/>
      </w:tblPr>
      <w:tblGrid>
        <w:gridCol w:w="1619"/>
        <w:gridCol w:w="903"/>
        <w:gridCol w:w="865"/>
        <w:gridCol w:w="866"/>
        <w:gridCol w:w="1134"/>
        <w:gridCol w:w="1134"/>
        <w:gridCol w:w="1559"/>
      </w:tblGrid>
      <w:tr w:rsidR="00740DA6" w:rsidRPr="00CB1918" w14:paraId="5F0E024A" w14:textId="77777777" w:rsidTr="00125224">
        <w:trPr>
          <w:cantSplit/>
        </w:trPr>
        <w:tc>
          <w:tcPr>
            <w:tcW w:w="1619" w:type="dxa"/>
            <w:shd w:val="clear" w:color="auto" w:fill="D9D9D9" w:themeFill="background1" w:themeFillShade="D9"/>
          </w:tcPr>
          <w:p w14:paraId="7A4544C4" w14:textId="77777777" w:rsidR="00740DA6" w:rsidRPr="00CB1918" w:rsidRDefault="00740DA6" w:rsidP="00503FBD">
            <w:pPr>
              <w:pStyle w:val="TableText"/>
              <w:rPr>
                <w:b/>
              </w:rPr>
            </w:pPr>
            <w:r w:rsidRPr="00CB1918">
              <w:rPr>
                <w:b/>
              </w:rPr>
              <w:t>DHB</w:t>
            </w:r>
          </w:p>
        </w:tc>
        <w:tc>
          <w:tcPr>
            <w:tcW w:w="903" w:type="dxa"/>
            <w:shd w:val="clear" w:color="auto" w:fill="D9D9D9" w:themeFill="background1" w:themeFillShade="D9"/>
          </w:tcPr>
          <w:p w14:paraId="4E6BFC07" w14:textId="77777777" w:rsidR="00740DA6" w:rsidRPr="00CB1918" w:rsidRDefault="00740DA6" w:rsidP="00CB1918">
            <w:pPr>
              <w:pStyle w:val="TableText"/>
              <w:jc w:val="center"/>
              <w:rPr>
                <w:b/>
              </w:rPr>
            </w:pPr>
            <w:r w:rsidRPr="00CB1918">
              <w:rPr>
                <w:b/>
              </w:rPr>
              <w:t>Total number of beds</w:t>
            </w:r>
          </w:p>
        </w:tc>
        <w:tc>
          <w:tcPr>
            <w:tcW w:w="865" w:type="dxa"/>
            <w:shd w:val="clear" w:color="auto" w:fill="D9D9D9" w:themeFill="background1" w:themeFillShade="D9"/>
          </w:tcPr>
          <w:p w14:paraId="4FCD6383" w14:textId="13A0CED9" w:rsidR="00740DA6" w:rsidRPr="00CB1918" w:rsidRDefault="00740DA6" w:rsidP="00CB1918">
            <w:pPr>
              <w:pStyle w:val="TableText"/>
              <w:jc w:val="center"/>
              <w:rPr>
                <w:b/>
              </w:rPr>
            </w:pPr>
            <w:r w:rsidRPr="00CB1918">
              <w:rPr>
                <w:b/>
              </w:rPr>
              <w:t>Number</w:t>
            </w:r>
            <w:r w:rsidR="00CB1918" w:rsidRPr="00CB1918">
              <w:rPr>
                <w:b/>
              </w:rPr>
              <w:t xml:space="preserve"> </w:t>
            </w:r>
            <w:r w:rsidRPr="00CB1918">
              <w:rPr>
                <w:b/>
              </w:rPr>
              <w:t>of people</w:t>
            </w:r>
          </w:p>
        </w:tc>
        <w:tc>
          <w:tcPr>
            <w:tcW w:w="866" w:type="dxa"/>
            <w:shd w:val="clear" w:color="auto" w:fill="D9D9D9" w:themeFill="background1" w:themeFillShade="D9"/>
          </w:tcPr>
          <w:p w14:paraId="72A4D3AD" w14:textId="06EDFEB1" w:rsidR="00740DA6" w:rsidRPr="00CB1918" w:rsidRDefault="00740DA6" w:rsidP="00CB1918">
            <w:pPr>
              <w:pStyle w:val="TableText"/>
              <w:jc w:val="center"/>
              <w:rPr>
                <w:b/>
              </w:rPr>
            </w:pPr>
            <w:r w:rsidRPr="00CB1918">
              <w:rPr>
                <w:b/>
              </w:rPr>
              <w:t>Number</w:t>
            </w:r>
            <w:r w:rsidR="00CB1918" w:rsidRPr="00CB1918">
              <w:rPr>
                <w:b/>
              </w:rPr>
              <w:t xml:space="preserve"> </w:t>
            </w:r>
            <w:r w:rsidRPr="00CB1918">
              <w:rPr>
                <w:b/>
              </w:rPr>
              <w:t>of events</w:t>
            </w:r>
          </w:p>
        </w:tc>
        <w:tc>
          <w:tcPr>
            <w:tcW w:w="1134" w:type="dxa"/>
            <w:shd w:val="clear" w:color="auto" w:fill="D9D9D9" w:themeFill="background1" w:themeFillShade="D9"/>
          </w:tcPr>
          <w:p w14:paraId="60498031" w14:textId="4D6564F1" w:rsidR="00740DA6" w:rsidRPr="00CB1918" w:rsidRDefault="00740DA6" w:rsidP="00CB1918">
            <w:pPr>
              <w:pStyle w:val="TableText"/>
              <w:jc w:val="center"/>
              <w:rPr>
                <w:b/>
              </w:rPr>
            </w:pPr>
            <w:r w:rsidRPr="00CB1918">
              <w:rPr>
                <w:b/>
              </w:rPr>
              <w:t>Median number of events per</w:t>
            </w:r>
            <w:r w:rsidR="00C5177E" w:rsidRPr="00CB1918">
              <w:rPr>
                <w:b/>
              </w:rPr>
              <w:t xml:space="preserve"> </w:t>
            </w:r>
            <w:r w:rsidRPr="00CB1918">
              <w:rPr>
                <w:b/>
              </w:rPr>
              <w:t>person</w:t>
            </w:r>
          </w:p>
        </w:tc>
        <w:tc>
          <w:tcPr>
            <w:tcW w:w="1134" w:type="dxa"/>
            <w:shd w:val="clear" w:color="auto" w:fill="D9D9D9" w:themeFill="background1" w:themeFillShade="D9"/>
          </w:tcPr>
          <w:p w14:paraId="4FA8BEB9" w14:textId="7D57FD7A" w:rsidR="00740DA6" w:rsidRPr="00CB1918" w:rsidRDefault="00740DA6" w:rsidP="00CB1918">
            <w:pPr>
              <w:pStyle w:val="TableText"/>
              <w:jc w:val="center"/>
              <w:rPr>
                <w:b/>
              </w:rPr>
            </w:pPr>
            <w:r w:rsidRPr="00CB1918">
              <w:rPr>
                <w:b/>
              </w:rPr>
              <w:t>Average number of events per</w:t>
            </w:r>
            <w:r w:rsidR="00C5177E" w:rsidRPr="00CB1918">
              <w:rPr>
                <w:b/>
              </w:rPr>
              <w:t xml:space="preserve"> </w:t>
            </w:r>
            <w:r w:rsidRPr="00CB1918">
              <w:rPr>
                <w:b/>
              </w:rPr>
              <w:t>person</w:t>
            </w:r>
          </w:p>
        </w:tc>
        <w:tc>
          <w:tcPr>
            <w:tcW w:w="1559" w:type="dxa"/>
            <w:shd w:val="clear" w:color="auto" w:fill="D9D9D9" w:themeFill="background1" w:themeFillShade="D9"/>
          </w:tcPr>
          <w:p w14:paraId="17A99035" w14:textId="617F31E7" w:rsidR="00740DA6" w:rsidRPr="00CB1918" w:rsidRDefault="00740DA6" w:rsidP="00125224">
            <w:pPr>
              <w:pStyle w:val="TableText"/>
              <w:jc w:val="center"/>
              <w:rPr>
                <w:b/>
              </w:rPr>
            </w:pPr>
            <w:r w:rsidRPr="00CB1918">
              <w:rPr>
                <w:b/>
              </w:rPr>
              <w:t>Average</w:t>
            </w:r>
            <w:r w:rsidR="00125224">
              <w:rPr>
                <w:b/>
              </w:rPr>
              <w:br/>
            </w:r>
            <w:r w:rsidRPr="00CB1918">
              <w:rPr>
                <w:b/>
              </w:rPr>
              <w:t>number of events per number of beds</w:t>
            </w:r>
          </w:p>
        </w:tc>
      </w:tr>
      <w:tr w:rsidR="00740DA6" w:rsidRPr="00EC5EF1" w14:paraId="76A1C6CD" w14:textId="77777777" w:rsidTr="00125224">
        <w:trPr>
          <w:cantSplit/>
        </w:trPr>
        <w:tc>
          <w:tcPr>
            <w:tcW w:w="1619" w:type="dxa"/>
            <w:tcBorders>
              <w:bottom w:val="single" w:sz="4" w:space="0" w:color="A6A6A6" w:themeColor="background1" w:themeShade="A6"/>
            </w:tcBorders>
          </w:tcPr>
          <w:p w14:paraId="377AC433" w14:textId="77777777" w:rsidR="00740DA6" w:rsidRPr="00EC5EF1" w:rsidRDefault="00740DA6" w:rsidP="00CB1918">
            <w:pPr>
              <w:pStyle w:val="TableText"/>
            </w:pPr>
            <w:r w:rsidRPr="00EC5EF1">
              <w:t>Canterbury</w:t>
            </w:r>
          </w:p>
        </w:tc>
        <w:tc>
          <w:tcPr>
            <w:tcW w:w="903" w:type="dxa"/>
            <w:tcBorders>
              <w:bottom w:val="single" w:sz="4" w:space="0" w:color="A6A6A6" w:themeColor="background1" w:themeShade="A6"/>
            </w:tcBorders>
          </w:tcPr>
          <w:p w14:paraId="7BC5A0E8" w14:textId="77777777" w:rsidR="00740DA6" w:rsidRPr="00EC5EF1" w:rsidRDefault="00740DA6" w:rsidP="00CB1918">
            <w:pPr>
              <w:pStyle w:val="TableText"/>
              <w:tabs>
                <w:tab w:val="decimal" w:pos="480"/>
              </w:tabs>
            </w:pPr>
            <w:r w:rsidRPr="00EC5EF1">
              <w:t>8</w:t>
            </w:r>
          </w:p>
        </w:tc>
        <w:tc>
          <w:tcPr>
            <w:tcW w:w="865" w:type="dxa"/>
            <w:tcBorders>
              <w:bottom w:val="single" w:sz="4" w:space="0" w:color="A6A6A6" w:themeColor="background1" w:themeShade="A6"/>
            </w:tcBorders>
          </w:tcPr>
          <w:p w14:paraId="67BACFF3" w14:textId="77777777" w:rsidR="00740DA6" w:rsidRPr="00EC5EF1" w:rsidRDefault="00740DA6" w:rsidP="00CB1918">
            <w:pPr>
              <w:pStyle w:val="TableText"/>
              <w:tabs>
                <w:tab w:val="decimal" w:pos="480"/>
              </w:tabs>
            </w:pPr>
            <w:r w:rsidRPr="00EC5EF1">
              <w:t>9</w:t>
            </w:r>
          </w:p>
        </w:tc>
        <w:tc>
          <w:tcPr>
            <w:tcW w:w="866" w:type="dxa"/>
            <w:tcBorders>
              <w:bottom w:val="single" w:sz="4" w:space="0" w:color="A6A6A6" w:themeColor="background1" w:themeShade="A6"/>
            </w:tcBorders>
          </w:tcPr>
          <w:p w14:paraId="04C89E3C" w14:textId="77777777" w:rsidR="00740DA6" w:rsidRPr="00EC5EF1" w:rsidRDefault="00740DA6" w:rsidP="00CB1918">
            <w:pPr>
              <w:pStyle w:val="TableText"/>
              <w:tabs>
                <w:tab w:val="decimal" w:pos="480"/>
              </w:tabs>
            </w:pPr>
            <w:r w:rsidRPr="00EC5EF1">
              <w:t>117</w:t>
            </w:r>
          </w:p>
        </w:tc>
        <w:tc>
          <w:tcPr>
            <w:tcW w:w="1134" w:type="dxa"/>
            <w:tcBorders>
              <w:bottom w:val="single" w:sz="4" w:space="0" w:color="A6A6A6" w:themeColor="background1" w:themeShade="A6"/>
            </w:tcBorders>
          </w:tcPr>
          <w:p w14:paraId="1F6B0811" w14:textId="77777777" w:rsidR="00740DA6" w:rsidRPr="00EC5EF1" w:rsidRDefault="00740DA6" w:rsidP="00CB1918">
            <w:pPr>
              <w:pStyle w:val="TableText"/>
              <w:tabs>
                <w:tab w:val="decimal" w:pos="654"/>
              </w:tabs>
            </w:pPr>
            <w:r w:rsidRPr="00EC5EF1">
              <w:t>6</w:t>
            </w:r>
          </w:p>
        </w:tc>
        <w:tc>
          <w:tcPr>
            <w:tcW w:w="1134" w:type="dxa"/>
            <w:tcBorders>
              <w:bottom w:val="single" w:sz="4" w:space="0" w:color="A6A6A6" w:themeColor="background1" w:themeShade="A6"/>
            </w:tcBorders>
          </w:tcPr>
          <w:p w14:paraId="6821245A" w14:textId="77777777" w:rsidR="00740DA6" w:rsidRPr="00EC5EF1" w:rsidRDefault="00740DA6" w:rsidP="00CB1918">
            <w:pPr>
              <w:pStyle w:val="TableText"/>
              <w:tabs>
                <w:tab w:val="decimal" w:pos="654"/>
              </w:tabs>
            </w:pPr>
            <w:r w:rsidRPr="00EC5EF1">
              <w:t>13</w:t>
            </w:r>
          </w:p>
        </w:tc>
        <w:tc>
          <w:tcPr>
            <w:tcW w:w="1559" w:type="dxa"/>
            <w:tcBorders>
              <w:bottom w:val="single" w:sz="4" w:space="0" w:color="A6A6A6" w:themeColor="background1" w:themeShade="A6"/>
            </w:tcBorders>
          </w:tcPr>
          <w:p w14:paraId="5A7C8907" w14:textId="77777777" w:rsidR="00740DA6" w:rsidRPr="00EC5EF1" w:rsidRDefault="00740DA6" w:rsidP="00CB1918">
            <w:pPr>
              <w:pStyle w:val="TableText"/>
              <w:tabs>
                <w:tab w:val="decimal" w:pos="768"/>
              </w:tabs>
            </w:pPr>
            <w:r w:rsidRPr="00EC5EF1">
              <w:t>15</w:t>
            </w:r>
          </w:p>
        </w:tc>
      </w:tr>
      <w:tr w:rsidR="00740DA6" w:rsidRPr="00EC5EF1" w14:paraId="3A34C710" w14:textId="77777777" w:rsidTr="00125224">
        <w:trPr>
          <w:cantSplit/>
        </w:trPr>
        <w:tc>
          <w:tcPr>
            <w:tcW w:w="1619" w:type="dxa"/>
            <w:tcBorders>
              <w:top w:val="single" w:sz="4" w:space="0" w:color="A6A6A6" w:themeColor="background1" w:themeShade="A6"/>
              <w:bottom w:val="single" w:sz="4" w:space="0" w:color="A6A6A6" w:themeColor="background1" w:themeShade="A6"/>
            </w:tcBorders>
          </w:tcPr>
          <w:p w14:paraId="3754B0F1" w14:textId="77777777" w:rsidR="00740DA6" w:rsidRPr="00EC5EF1" w:rsidRDefault="00740DA6" w:rsidP="00CB1918">
            <w:pPr>
              <w:pStyle w:val="TableText"/>
            </w:pPr>
            <w:r w:rsidRPr="00EC5EF1">
              <w:t>Capital &amp; Coast</w:t>
            </w:r>
          </w:p>
        </w:tc>
        <w:tc>
          <w:tcPr>
            <w:tcW w:w="903" w:type="dxa"/>
            <w:tcBorders>
              <w:top w:val="single" w:sz="4" w:space="0" w:color="A6A6A6" w:themeColor="background1" w:themeShade="A6"/>
              <w:bottom w:val="single" w:sz="4" w:space="0" w:color="A6A6A6" w:themeColor="background1" w:themeShade="A6"/>
            </w:tcBorders>
          </w:tcPr>
          <w:p w14:paraId="4714DACD" w14:textId="77777777" w:rsidR="00740DA6" w:rsidRPr="00EC5EF1" w:rsidRDefault="00740DA6" w:rsidP="00CB1918">
            <w:pPr>
              <w:pStyle w:val="TableText"/>
              <w:tabs>
                <w:tab w:val="decimal" w:pos="480"/>
              </w:tabs>
            </w:pPr>
            <w:r w:rsidRPr="00EC5EF1">
              <w:t>32</w:t>
            </w:r>
          </w:p>
        </w:tc>
        <w:tc>
          <w:tcPr>
            <w:tcW w:w="865" w:type="dxa"/>
            <w:tcBorders>
              <w:top w:val="single" w:sz="4" w:space="0" w:color="A6A6A6" w:themeColor="background1" w:themeShade="A6"/>
              <w:bottom w:val="single" w:sz="4" w:space="0" w:color="A6A6A6" w:themeColor="background1" w:themeShade="A6"/>
            </w:tcBorders>
          </w:tcPr>
          <w:p w14:paraId="061ACEBB" w14:textId="77777777" w:rsidR="00740DA6" w:rsidRPr="00EC5EF1" w:rsidRDefault="00740DA6" w:rsidP="00CB1918">
            <w:pPr>
              <w:pStyle w:val="TableText"/>
              <w:tabs>
                <w:tab w:val="decimal" w:pos="480"/>
              </w:tabs>
            </w:pPr>
            <w:r w:rsidRPr="00EC5EF1">
              <w:t>9</w:t>
            </w:r>
          </w:p>
        </w:tc>
        <w:tc>
          <w:tcPr>
            <w:tcW w:w="866" w:type="dxa"/>
            <w:tcBorders>
              <w:top w:val="single" w:sz="4" w:space="0" w:color="A6A6A6" w:themeColor="background1" w:themeShade="A6"/>
              <w:bottom w:val="single" w:sz="4" w:space="0" w:color="A6A6A6" w:themeColor="background1" w:themeShade="A6"/>
            </w:tcBorders>
          </w:tcPr>
          <w:p w14:paraId="4D7990C2" w14:textId="77777777" w:rsidR="00740DA6" w:rsidRPr="00EC5EF1" w:rsidRDefault="00740DA6" w:rsidP="00CB1918">
            <w:pPr>
              <w:pStyle w:val="TableText"/>
              <w:tabs>
                <w:tab w:val="decimal" w:pos="480"/>
              </w:tabs>
            </w:pPr>
            <w:r w:rsidRPr="00EC5EF1">
              <w:t>28</w:t>
            </w:r>
          </w:p>
        </w:tc>
        <w:tc>
          <w:tcPr>
            <w:tcW w:w="1134" w:type="dxa"/>
            <w:tcBorders>
              <w:top w:val="single" w:sz="4" w:space="0" w:color="A6A6A6" w:themeColor="background1" w:themeShade="A6"/>
              <w:bottom w:val="single" w:sz="4" w:space="0" w:color="A6A6A6" w:themeColor="background1" w:themeShade="A6"/>
            </w:tcBorders>
          </w:tcPr>
          <w:p w14:paraId="4BB33E7D" w14:textId="77777777" w:rsidR="00740DA6" w:rsidRPr="00EC5EF1" w:rsidRDefault="00740DA6" w:rsidP="00CB1918">
            <w:pPr>
              <w:pStyle w:val="TableText"/>
              <w:tabs>
                <w:tab w:val="decimal" w:pos="654"/>
              </w:tabs>
            </w:pPr>
            <w:r w:rsidRPr="00EC5EF1">
              <w:t>2</w:t>
            </w:r>
          </w:p>
        </w:tc>
        <w:tc>
          <w:tcPr>
            <w:tcW w:w="1134" w:type="dxa"/>
            <w:tcBorders>
              <w:top w:val="single" w:sz="4" w:space="0" w:color="A6A6A6" w:themeColor="background1" w:themeShade="A6"/>
              <w:bottom w:val="single" w:sz="4" w:space="0" w:color="A6A6A6" w:themeColor="background1" w:themeShade="A6"/>
            </w:tcBorders>
          </w:tcPr>
          <w:p w14:paraId="36711D59" w14:textId="77777777" w:rsidR="00740DA6" w:rsidRPr="00EC5EF1" w:rsidRDefault="00740DA6" w:rsidP="00CB1918">
            <w:pPr>
              <w:pStyle w:val="TableText"/>
              <w:tabs>
                <w:tab w:val="decimal" w:pos="654"/>
              </w:tabs>
            </w:pPr>
            <w:r w:rsidRPr="00EC5EF1">
              <w:t>3</w:t>
            </w:r>
          </w:p>
        </w:tc>
        <w:tc>
          <w:tcPr>
            <w:tcW w:w="1559" w:type="dxa"/>
            <w:tcBorders>
              <w:top w:val="single" w:sz="4" w:space="0" w:color="A6A6A6" w:themeColor="background1" w:themeShade="A6"/>
              <w:bottom w:val="single" w:sz="4" w:space="0" w:color="A6A6A6" w:themeColor="background1" w:themeShade="A6"/>
            </w:tcBorders>
          </w:tcPr>
          <w:p w14:paraId="2C7FB44D" w14:textId="77777777" w:rsidR="00740DA6" w:rsidRPr="00EC5EF1" w:rsidRDefault="00740DA6" w:rsidP="00CB1918">
            <w:pPr>
              <w:pStyle w:val="TableText"/>
              <w:tabs>
                <w:tab w:val="decimal" w:pos="768"/>
              </w:tabs>
            </w:pPr>
            <w:r w:rsidRPr="00EC5EF1">
              <w:t>0.8</w:t>
            </w:r>
          </w:p>
        </w:tc>
      </w:tr>
      <w:tr w:rsidR="00740DA6" w:rsidRPr="00EC5EF1" w14:paraId="473AC08C" w14:textId="77777777" w:rsidTr="00125224">
        <w:trPr>
          <w:cantSplit/>
        </w:trPr>
        <w:tc>
          <w:tcPr>
            <w:tcW w:w="1619" w:type="dxa"/>
            <w:tcBorders>
              <w:top w:val="single" w:sz="4" w:space="0" w:color="A6A6A6" w:themeColor="background1" w:themeShade="A6"/>
              <w:bottom w:val="single" w:sz="4" w:space="0" w:color="A6A6A6" w:themeColor="background1" w:themeShade="A6"/>
            </w:tcBorders>
          </w:tcPr>
          <w:p w14:paraId="15C58988" w14:textId="77777777" w:rsidR="00740DA6" w:rsidRPr="00EC5EF1" w:rsidRDefault="00740DA6" w:rsidP="00CB1918">
            <w:pPr>
              <w:pStyle w:val="TableText"/>
            </w:pPr>
            <w:r w:rsidRPr="00EC5EF1">
              <w:t>Southern</w:t>
            </w:r>
          </w:p>
        </w:tc>
        <w:tc>
          <w:tcPr>
            <w:tcW w:w="903" w:type="dxa"/>
            <w:tcBorders>
              <w:top w:val="single" w:sz="4" w:space="0" w:color="A6A6A6" w:themeColor="background1" w:themeShade="A6"/>
              <w:bottom w:val="single" w:sz="4" w:space="0" w:color="A6A6A6" w:themeColor="background1" w:themeShade="A6"/>
            </w:tcBorders>
          </w:tcPr>
          <w:p w14:paraId="5639DC47" w14:textId="77777777" w:rsidR="00740DA6" w:rsidRPr="00EC5EF1" w:rsidRDefault="00740DA6" w:rsidP="00CB1918">
            <w:pPr>
              <w:pStyle w:val="TableText"/>
              <w:tabs>
                <w:tab w:val="decimal" w:pos="480"/>
              </w:tabs>
            </w:pPr>
            <w:r w:rsidRPr="00EC5EF1">
              <w:t>11</w:t>
            </w:r>
          </w:p>
        </w:tc>
        <w:tc>
          <w:tcPr>
            <w:tcW w:w="865" w:type="dxa"/>
            <w:tcBorders>
              <w:top w:val="single" w:sz="4" w:space="0" w:color="A6A6A6" w:themeColor="background1" w:themeShade="A6"/>
              <w:bottom w:val="single" w:sz="4" w:space="0" w:color="A6A6A6" w:themeColor="background1" w:themeShade="A6"/>
            </w:tcBorders>
          </w:tcPr>
          <w:p w14:paraId="04C480A4" w14:textId="77777777" w:rsidR="00740DA6" w:rsidRPr="00EC5EF1" w:rsidRDefault="00740DA6" w:rsidP="00CB1918">
            <w:pPr>
              <w:pStyle w:val="TableText"/>
              <w:tabs>
                <w:tab w:val="decimal" w:pos="480"/>
              </w:tabs>
            </w:pPr>
            <w:r w:rsidRPr="00EC5EF1">
              <w:t>12</w:t>
            </w:r>
          </w:p>
        </w:tc>
        <w:tc>
          <w:tcPr>
            <w:tcW w:w="866" w:type="dxa"/>
            <w:tcBorders>
              <w:top w:val="single" w:sz="4" w:space="0" w:color="A6A6A6" w:themeColor="background1" w:themeShade="A6"/>
              <w:bottom w:val="single" w:sz="4" w:space="0" w:color="A6A6A6" w:themeColor="background1" w:themeShade="A6"/>
            </w:tcBorders>
          </w:tcPr>
          <w:p w14:paraId="0187B5D3" w14:textId="77777777" w:rsidR="00740DA6" w:rsidRPr="00EC5EF1" w:rsidRDefault="00740DA6" w:rsidP="00CB1918">
            <w:pPr>
              <w:pStyle w:val="TableText"/>
              <w:tabs>
                <w:tab w:val="decimal" w:pos="480"/>
              </w:tabs>
            </w:pPr>
            <w:r w:rsidRPr="00EC5EF1">
              <w:t>64</w:t>
            </w:r>
          </w:p>
        </w:tc>
        <w:tc>
          <w:tcPr>
            <w:tcW w:w="1134" w:type="dxa"/>
            <w:tcBorders>
              <w:top w:val="single" w:sz="4" w:space="0" w:color="A6A6A6" w:themeColor="background1" w:themeShade="A6"/>
              <w:bottom w:val="single" w:sz="4" w:space="0" w:color="A6A6A6" w:themeColor="background1" w:themeShade="A6"/>
            </w:tcBorders>
          </w:tcPr>
          <w:p w14:paraId="4E571381" w14:textId="77777777" w:rsidR="00740DA6" w:rsidRPr="00EC5EF1" w:rsidRDefault="00740DA6" w:rsidP="00CB1918">
            <w:pPr>
              <w:pStyle w:val="TableText"/>
              <w:tabs>
                <w:tab w:val="decimal" w:pos="654"/>
              </w:tabs>
            </w:pPr>
            <w:r w:rsidRPr="00EC5EF1">
              <w:t>1</w:t>
            </w:r>
          </w:p>
        </w:tc>
        <w:tc>
          <w:tcPr>
            <w:tcW w:w="1134" w:type="dxa"/>
            <w:tcBorders>
              <w:top w:val="single" w:sz="4" w:space="0" w:color="A6A6A6" w:themeColor="background1" w:themeShade="A6"/>
              <w:bottom w:val="single" w:sz="4" w:space="0" w:color="A6A6A6" w:themeColor="background1" w:themeShade="A6"/>
            </w:tcBorders>
          </w:tcPr>
          <w:p w14:paraId="7D940A03" w14:textId="77777777" w:rsidR="00740DA6" w:rsidRPr="00EC5EF1" w:rsidRDefault="00740DA6" w:rsidP="00CB1918">
            <w:pPr>
              <w:pStyle w:val="TableText"/>
              <w:tabs>
                <w:tab w:val="decimal" w:pos="654"/>
              </w:tabs>
            </w:pPr>
            <w:r w:rsidRPr="00EC5EF1">
              <w:t>5</w:t>
            </w:r>
          </w:p>
        </w:tc>
        <w:tc>
          <w:tcPr>
            <w:tcW w:w="1559" w:type="dxa"/>
            <w:tcBorders>
              <w:top w:val="single" w:sz="4" w:space="0" w:color="A6A6A6" w:themeColor="background1" w:themeShade="A6"/>
              <w:bottom w:val="single" w:sz="4" w:space="0" w:color="A6A6A6" w:themeColor="background1" w:themeShade="A6"/>
            </w:tcBorders>
          </w:tcPr>
          <w:p w14:paraId="33510BB4" w14:textId="77777777" w:rsidR="00740DA6" w:rsidRPr="00EC5EF1" w:rsidRDefault="00740DA6" w:rsidP="00CB1918">
            <w:pPr>
              <w:pStyle w:val="TableText"/>
              <w:tabs>
                <w:tab w:val="decimal" w:pos="768"/>
              </w:tabs>
            </w:pPr>
            <w:r w:rsidRPr="00EC5EF1">
              <w:t>6</w:t>
            </w:r>
          </w:p>
        </w:tc>
      </w:tr>
      <w:tr w:rsidR="00740DA6" w:rsidRPr="00EC5EF1" w14:paraId="2149EB3F" w14:textId="77777777" w:rsidTr="00125224">
        <w:trPr>
          <w:cantSplit/>
        </w:trPr>
        <w:tc>
          <w:tcPr>
            <w:tcW w:w="1619" w:type="dxa"/>
            <w:tcBorders>
              <w:top w:val="single" w:sz="4" w:space="0" w:color="A6A6A6" w:themeColor="background1" w:themeShade="A6"/>
              <w:bottom w:val="single" w:sz="4" w:space="0" w:color="A6A6A6" w:themeColor="background1" w:themeShade="A6"/>
            </w:tcBorders>
          </w:tcPr>
          <w:p w14:paraId="33F991A1" w14:textId="77777777" w:rsidR="00740DA6" w:rsidRPr="00EC5EF1" w:rsidRDefault="00740DA6" w:rsidP="00CB1918">
            <w:pPr>
              <w:pStyle w:val="TableText"/>
            </w:pPr>
            <w:r w:rsidRPr="00EC5EF1">
              <w:t>Waikato</w:t>
            </w:r>
          </w:p>
        </w:tc>
        <w:tc>
          <w:tcPr>
            <w:tcW w:w="903" w:type="dxa"/>
            <w:tcBorders>
              <w:top w:val="single" w:sz="4" w:space="0" w:color="A6A6A6" w:themeColor="background1" w:themeShade="A6"/>
              <w:bottom w:val="single" w:sz="4" w:space="0" w:color="A6A6A6" w:themeColor="background1" w:themeShade="A6"/>
            </w:tcBorders>
          </w:tcPr>
          <w:p w14:paraId="08548E01" w14:textId="77777777" w:rsidR="00740DA6" w:rsidRPr="00EC5EF1" w:rsidRDefault="00740DA6" w:rsidP="00CB1918">
            <w:pPr>
              <w:pStyle w:val="TableText"/>
              <w:tabs>
                <w:tab w:val="decimal" w:pos="480"/>
              </w:tabs>
            </w:pPr>
            <w:r w:rsidRPr="00EC5EF1">
              <w:t>3</w:t>
            </w:r>
          </w:p>
        </w:tc>
        <w:tc>
          <w:tcPr>
            <w:tcW w:w="865" w:type="dxa"/>
            <w:tcBorders>
              <w:top w:val="single" w:sz="4" w:space="0" w:color="A6A6A6" w:themeColor="background1" w:themeShade="A6"/>
              <w:bottom w:val="single" w:sz="4" w:space="0" w:color="A6A6A6" w:themeColor="background1" w:themeShade="A6"/>
            </w:tcBorders>
          </w:tcPr>
          <w:p w14:paraId="2ED87EE7" w14:textId="77777777" w:rsidR="00740DA6" w:rsidRPr="00EC5EF1" w:rsidRDefault="00740DA6" w:rsidP="00CB1918">
            <w:pPr>
              <w:pStyle w:val="TableText"/>
              <w:tabs>
                <w:tab w:val="decimal" w:pos="480"/>
              </w:tabs>
            </w:pPr>
            <w:r w:rsidRPr="00EC5EF1">
              <w:t>1</w:t>
            </w:r>
          </w:p>
        </w:tc>
        <w:tc>
          <w:tcPr>
            <w:tcW w:w="866" w:type="dxa"/>
            <w:tcBorders>
              <w:top w:val="single" w:sz="4" w:space="0" w:color="A6A6A6" w:themeColor="background1" w:themeShade="A6"/>
              <w:bottom w:val="single" w:sz="4" w:space="0" w:color="A6A6A6" w:themeColor="background1" w:themeShade="A6"/>
            </w:tcBorders>
          </w:tcPr>
          <w:p w14:paraId="428922C8" w14:textId="77777777" w:rsidR="00740DA6" w:rsidRPr="00EC5EF1" w:rsidRDefault="00740DA6" w:rsidP="00CB1918">
            <w:pPr>
              <w:pStyle w:val="TableText"/>
              <w:tabs>
                <w:tab w:val="decimal" w:pos="480"/>
              </w:tabs>
            </w:pPr>
            <w:r w:rsidRPr="00EC5EF1">
              <w:t>11</w:t>
            </w:r>
          </w:p>
        </w:tc>
        <w:tc>
          <w:tcPr>
            <w:tcW w:w="1134" w:type="dxa"/>
            <w:tcBorders>
              <w:top w:val="single" w:sz="4" w:space="0" w:color="A6A6A6" w:themeColor="background1" w:themeShade="A6"/>
              <w:bottom w:val="single" w:sz="4" w:space="0" w:color="A6A6A6" w:themeColor="background1" w:themeShade="A6"/>
            </w:tcBorders>
          </w:tcPr>
          <w:p w14:paraId="22083BB5" w14:textId="77777777" w:rsidR="00740DA6" w:rsidRPr="00EC5EF1" w:rsidRDefault="00740DA6" w:rsidP="00CB1918">
            <w:pPr>
              <w:pStyle w:val="TableText"/>
              <w:tabs>
                <w:tab w:val="decimal" w:pos="654"/>
              </w:tabs>
            </w:pPr>
            <w:r w:rsidRPr="00EC5EF1">
              <w:t>11</w:t>
            </w:r>
          </w:p>
        </w:tc>
        <w:tc>
          <w:tcPr>
            <w:tcW w:w="1134" w:type="dxa"/>
            <w:tcBorders>
              <w:top w:val="single" w:sz="4" w:space="0" w:color="A6A6A6" w:themeColor="background1" w:themeShade="A6"/>
              <w:bottom w:val="single" w:sz="4" w:space="0" w:color="A6A6A6" w:themeColor="background1" w:themeShade="A6"/>
            </w:tcBorders>
          </w:tcPr>
          <w:p w14:paraId="30E75B8F" w14:textId="77777777" w:rsidR="00740DA6" w:rsidRPr="00EC5EF1" w:rsidRDefault="00740DA6" w:rsidP="00CB1918">
            <w:pPr>
              <w:pStyle w:val="TableText"/>
              <w:tabs>
                <w:tab w:val="decimal" w:pos="654"/>
              </w:tabs>
            </w:pPr>
            <w:r w:rsidRPr="00EC5EF1">
              <w:t>11</w:t>
            </w:r>
          </w:p>
        </w:tc>
        <w:tc>
          <w:tcPr>
            <w:tcW w:w="1559" w:type="dxa"/>
            <w:tcBorders>
              <w:top w:val="single" w:sz="4" w:space="0" w:color="A6A6A6" w:themeColor="background1" w:themeShade="A6"/>
              <w:bottom w:val="single" w:sz="4" w:space="0" w:color="A6A6A6" w:themeColor="background1" w:themeShade="A6"/>
            </w:tcBorders>
          </w:tcPr>
          <w:p w14:paraId="36B03765" w14:textId="77777777" w:rsidR="00740DA6" w:rsidRPr="00EC5EF1" w:rsidRDefault="00740DA6" w:rsidP="00CB1918">
            <w:pPr>
              <w:pStyle w:val="TableText"/>
              <w:tabs>
                <w:tab w:val="decimal" w:pos="768"/>
              </w:tabs>
            </w:pPr>
            <w:r w:rsidRPr="00EC5EF1">
              <w:t>4</w:t>
            </w:r>
          </w:p>
        </w:tc>
      </w:tr>
      <w:tr w:rsidR="00740DA6" w:rsidRPr="00EC5EF1" w14:paraId="312EFA1D" w14:textId="77777777" w:rsidTr="00125224">
        <w:trPr>
          <w:cantSplit/>
        </w:trPr>
        <w:tc>
          <w:tcPr>
            <w:tcW w:w="1619" w:type="dxa"/>
            <w:tcBorders>
              <w:top w:val="single" w:sz="4" w:space="0" w:color="A6A6A6" w:themeColor="background1" w:themeShade="A6"/>
              <w:bottom w:val="single" w:sz="4" w:space="0" w:color="A6A6A6" w:themeColor="background1" w:themeShade="A6"/>
            </w:tcBorders>
          </w:tcPr>
          <w:p w14:paraId="2BD2834A" w14:textId="77777777" w:rsidR="00740DA6" w:rsidRPr="00EC5EF1" w:rsidRDefault="00740DA6" w:rsidP="00CB1918">
            <w:pPr>
              <w:pStyle w:val="TableText"/>
            </w:pPr>
            <w:proofErr w:type="spellStart"/>
            <w:r w:rsidRPr="00EC5EF1">
              <w:t>Waitemata</w:t>
            </w:r>
            <w:proofErr w:type="spellEnd"/>
          </w:p>
        </w:tc>
        <w:tc>
          <w:tcPr>
            <w:tcW w:w="903" w:type="dxa"/>
            <w:tcBorders>
              <w:top w:val="single" w:sz="4" w:space="0" w:color="A6A6A6" w:themeColor="background1" w:themeShade="A6"/>
              <w:bottom w:val="single" w:sz="4" w:space="0" w:color="A6A6A6" w:themeColor="background1" w:themeShade="A6"/>
            </w:tcBorders>
          </w:tcPr>
          <w:p w14:paraId="46037896" w14:textId="77777777" w:rsidR="00740DA6" w:rsidRPr="00EC5EF1" w:rsidRDefault="00740DA6" w:rsidP="00CB1918">
            <w:pPr>
              <w:pStyle w:val="TableText"/>
              <w:tabs>
                <w:tab w:val="decimal" w:pos="480"/>
              </w:tabs>
            </w:pPr>
            <w:r w:rsidRPr="00EC5EF1">
              <w:t>12</w:t>
            </w:r>
          </w:p>
        </w:tc>
        <w:tc>
          <w:tcPr>
            <w:tcW w:w="865" w:type="dxa"/>
            <w:tcBorders>
              <w:top w:val="single" w:sz="4" w:space="0" w:color="A6A6A6" w:themeColor="background1" w:themeShade="A6"/>
              <w:bottom w:val="single" w:sz="4" w:space="0" w:color="A6A6A6" w:themeColor="background1" w:themeShade="A6"/>
            </w:tcBorders>
          </w:tcPr>
          <w:p w14:paraId="0E35F002" w14:textId="77777777" w:rsidR="00740DA6" w:rsidRPr="00EC5EF1" w:rsidRDefault="00740DA6" w:rsidP="00CB1918">
            <w:pPr>
              <w:pStyle w:val="TableText"/>
              <w:tabs>
                <w:tab w:val="decimal" w:pos="480"/>
              </w:tabs>
            </w:pPr>
            <w:r w:rsidRPr="00EC5EF1">
              <w:t>8</w:t>
            </w:r>
          </w:p>
        </w:tc>
        <w:tc>
          <w:tcPr>
            <w:tcW w:w="866" w:type="dxa"/>
            <w:tcBorders>
              <w:top w:val="single" w:sz="4" w:space="0" w:color="A6A6A6" w:themeColor="background1" w:themeShade="A6"/>
              <w:bottom w:val="single" w:sz="4" w:space="0" w:color="A6A6A6" w:themeColor="background1" w:themeShade="A6"/>
            </w:tcBorders>
          </w:tcPr>
          <w:p w14:paraId="46452437" w14:textId="77777777" w:rsidR="00740DA6" w:rsidRPr="00EC5EF1" w:rsidRDefault="00740DA6" w:rsidP="00CB1918">
            <w:pPr>
              <w:pStyle w:val="TableText"/>
              <w:tabs>
                <w:tab w:val="decimal" w:pos="480"/>
              </w:tabs>
            </w:pPr>
            <w:r w:rsidRPr="00EC5EF1">
              <w:t>338</w:t>
            </w:r>
          </w:p>
        </w:tc>
        <w:tc>
          <w:tcPr>
            <w:tcW w:w="1134" w:type="dxa"/>
            <w:tcBorders>
              <w:top w:val="single" w:sz="4" w:space="0" w:color="A6A6A6" w:themeColor="background1" w:themeShade="A6"/>
              <w:bottom w:val="single" w:sz="4" w:space="0" w:color="A6A6A6" w:themeColor="background1" w:themeShade="A6"/>
            </w:tcBorders>
          </w:tcPr>
          <w:p w14:paraId="658B2141" w14:textId="77777777" w:rsidR="00740DA6" w:rsidRPr="00EC5EF1" w:rsidRDefault="00740DA6" w:rsidP="00CB1918">
            <w:pPr>
              <w:pStyle w:val="TableText"/>
              <w:tabs>
                <w:tab w:val="decimal" w:pos="654"/>
              </w:tabs>
            </w:pPr>
            <w:r w:rsidRPr="00EC5EF1">
              <w:t>6</w:t>
            </w:r>
          </w:p>
        </w:tc>
        <w:tc>
          <w:tcPr>
            <w:tcW w:w="1134" w:type="dxa"/>
            <w:tcBorders>
              <w:top w:val="single" w:sz="4" w:space="0" w:color="A6A6A6" w:themeColor="background1" w:themeShade="A6"/>
              <w:bottom w:val="single" w:sz="4" w:space="0" w:color="A6A6A6" w:themeColor="background1" w:themeShade="A6"/>
            </w:tcBorders>
          </w:tcPr>
          <w:p w14:paraId="25879B33" w14:textId="77777777" w:rsidR="00740DA6" w:rsidRPr="00EC5EF1" w:rsidRDefault="00740DA6" w:rsidP="00CB1918">
            <w:pPr>
              <w:pStyle w:val="TableText"/>
              <w:tabs>
                <w:tab w:val="decimal" w:pos="654"/>
              </w:tabs>
            </w:pPr>
            <w:r w:rsidRPr="00EC5EF1">
              <w:t>42</w:t>
            </w:r>
          </w:p>
        </w:tc>
        <w:tc>
          <w:tcPr>
            <w:tcW w:w="1559" w:type="dxa"/>
            <w:tcBorders>
              <w:top w:val="single" w:sz="4" w:space="0" w:color="A6A6A6" w:themeColor="background1" w:themeShade="A6"/>
              <w:bottom w:val="single" w:sz="4" w:space="0" w:color="A6A6A6" w:themeColor="background1" w:themeShade="A6"/>
            </w:tcBorders>
          </w:tcPr>
          <w:p w14:paraId="5E59AC2C" w14:textId="77777777" w:rsidR="00740DA6" w:rsidRPr="00EC5EF1" w:rsidRDefault="00740DA6" w:rsidP="00CB1918">
            <w:pPr>
              <w:pStyle w:val="TableText"/>
              <w:tabs>
                <w:tab w:val="decimal" w:pos="768"/>
              </w:tabs>
            </w:pPr>
            <w:r w:rsidRPr="00EC5EF1">
              <w:t>28</w:t>
            </w:r>
          </w:p>
        </w:tc>
      </w:tr>
    </w:tbl>
    <w:p w14:paraId="723DF41D" w14:textId="77777777" w:rsidR="00740DA6" w:rsidRPr="00EC5EF1" w:rsidRDefault="00740DA6" w:rsidP="00C5177E">
      <w:pPr>
        <w:pStyle w:val="Note"/>
      </w:pPr>
      <w:r w:rsidRPr="00EC5EF1">
        <w:t>Note: This data only presents seclusion data for care recipients with a legal status under the IDCC&amp;R Act.</w:t>
      </w:r>
    </w:p>
    <w:p w14:paraId="4DCAE49C" w14:textId="5E0D72EC" w:rsidR="00740DA6" w:rsidRPr="00EC5EF1" w:rsidRDefault="00740DA6" w:rsidP="00C5177E">
      <w:pPr>
        <w:pStyle w:val="Source"/>
      </w:pPr>
      <w:r w:rsidRPr="00EC5EF1">
        <w:t>Source: All DHB data supplied manually</w:t>
      </w:r>
    </w:p>
    <w:p w14:paraId="7BB11A0C" w14:textId="77777777" w:rsidR="00740DA6" w:rsidRPr="00EC5EF1" w:rsidRDefault="00740DA6" w:rsidP="00125224"/>
    <w:p w14:paraId="199CE039" w14:textId="723A202A" w:rsidR="00740DA6" w:rsidRDefault="00740DA6" w:rsidP="005116F2">
      <w:pPr>
        <w:pStyle w:val="Table"/>
      </w:pPr>
      <w:bookmarkStart w:id="100" w:name="_Toc2845750"/>
      <w:r w:rsidRPr="00EC5EF1">
        <w:t>Table 6: Seclusion data for people with intellectual disabilities, by DHB and seclusion hours for the period 1 January to 31 December 2017</w:t>
      </w:r>
      <w:bookmarkEnd w:id="100"/>
    </w:p>
    <w:tbl>
      <w:tblPr>
        <w:tblW w:w="8080" w:type="dxa"/>
        <w:tblInd w:w="57" w:type="dxa"/>
        <w:tblLayout w:type="fixed"/>
        <w:tblCellMar>
          <w:left w:w="57" w:type="dxa"/>
          <w:right w:w="57" w:type="dxa"/>
        </w:tblCellMar>
        <w:tblLook w:val="01E0" w:firstRow="1" w:lastRow="1" w:firstColumn="1" w:lastColumn="1" w:noHBand="0" w:noVBand="0"/>
      </w:tblPr>
      <w:tblGrid>
        <w:gridCol w:w="1748"/>
        <w:gridCol w:w="2110"/>
        <w:gridCol w:w="2111"/>
        <w:gridCol w:w="2111"/>
      </w:tblGrid>
      <w:tr w:rsidR="00740DA6" w:rsidRPr="00CB1918" w14:paraId="58D1E94E" w14:textId="77777777" w:rsidTr="00125224">
        <w:trPr>
          <w:cantSplit/>
        </w:trPr>
        <w:tc>
          <w:tcPr>
            <w:tcW w:w="1748" w:type="dxa"/>
            <w:shd w:val="clear" w:color="auto" w:fill="D9D9D9" w:themeFill="background1" w:themeFillShade="D9"/>
          </w:tcPr>
          <w:p w14:paraId="2637F200" w14:textId="77777777" w:rsidR="00740DA6" w:rsidRPr="00CB1918" w:rsidRDefault="00740DA6" w:rsidP="00CB1918">
            <w:pPr>
              <w:pStyle w:val="TableText"/>
              <w:rPr>
                <w:b/>
              </w:rPr>
            </w:pPr>
            <w:r w:rsidRPr="00CB1918">
              <w:rPr>
                <w:b/>
              </w:rPr>
              <w:t>DHB</w:t>
            </w:r>
          </w:p>
        </w:tc>
        <w:tc>
          <w:tcPr>
            <w:tcW w:w="2110" w:type="dxa"/>
            <w:shd w:val="clear" w:color="auto" w:fill="D9D9D9" w:themeFill="background1" w:themeFillShade="D9"/>
          </w:tcPr>
          <w:p w14:paraId="4B4BB018" w14:textId="77777777" w:rsidR="00740DA6" w:rsidRPr="00CB1918" w:rsidRDefault="00740DA6" w:rsidP="00CB1918">
            <w:pPr>
              <w:pStyle w:val="TableText"/>
              <w:jc w:val="center"/>
              <w:rPr>
                <w:b/>
              </w:rPr>
            </w:pPr>
            <w:r w:rsidRPr="00CB1918">
              <w:rPr>
                <w:b/>
              </w:rPr>
              <w:t>Total seclusion hours (hours)</w:t>
            </w:r>
          </w:p>
        </w:tc>
        <w:tc>
          <w:tcPr>
            <w:tcW w:w="2111" w:type="dxa"/>
            <w:shd w:val="clear" w:color="auto" w:fill="D9D9D9" w:themeFill="background1" w:themeFillShade="D9"/>
          </w:tcPr>
          <w:p w14:paraId="31AF72DB" w14:textId="77777777" w:rsidR="00740DA6" w:rsidRPr="00CB1918" w:rsidRDefault="00740DA6" w:rsidP="00CB1918">
            <w:pPr>
              <w:pStyle w:val="TableText"/>
              <w:jc w:val="center"/>
              <w:rPr>
                <w:b/>
              </w:rPr>
            </w:pPr>
            <w:r w:rsidRPr="00CB1918">
              <w:rPr>
                <w:b/>
              </w:rPr>
              <w:t>Median duration of seclusion events (</w:t>
            </w:r>
            <w:proofErr w:type="spellStart"/>
            <w:r w:rsidRPr="00CB1918">
              <w:rPr>
                <w:b/>
              </w:rPr>
              <w:t>hours:minutes</w:t>
            </w:r>
            <w:proofErr w:type="spellEnd"/>
            <w:r w:rsidRPr="00CB1918">
              <w:rPr>
                <w:b/>
              </w:rPr>
              <w:t>)</w:t>
            </w:r>
          </w:p>
        </w:tc>
        <w:tc>
          <w:tcPr>
            <w:tcW w:w="2111" w:type="dxa"/>
            <w:shd w:val="clear" w:color="auto" w:fill="D9D9D9" w:themeFill="background1" w:themeFillShade="D9"/>
          </w:tcPr>
          <w:p w14:paraId="32D60D88" w14:textId="77777777" w:rsidR="00740DA6" w:rsidRPr="00CB1918" w:rsidRDefault="00740DA6" w:rsidP="00CB1918">
            <w:pPr>
              <w:pStyle w:val="TableText"/>
              <w:jc w:val="center"/>
              <w:rPr>
                <w:b/>
              </w:rPr>
            </w:pPr>
            <w:r w:rsidRPr="00CB1918">
              <w:rPr>
                <w:b/>
              </w:rPr>
              <w:t>Average duration of seclusion events (</w:t>
            </w:r>
            <w:proofErr w:type="spellStart"/>
            <w:r w:rsidRPr="00CB1918">
              <w:rPr>
                <w:b/>
              </w:rPr>
              <w:t>hours:minutes</w:t>
            </w:r>
            <w:proofErr w:type="spellEnd"/>
            <w:r w:rsidRPr="00CB1918">
              <w:rPr>
                <w:b/>
              </w:rPr>
              <w:t>)</w:t>
            </w:r>
          </w:p>
        </w:tc>
      </w:tr>
      <w:tr w:rsidR="00740DA6" w:rsidRPr="00EC5EF1" w14:paraId="7E992F0F" w14:textId="77777777" w:rsidTr="00125224">
        <w:trPr>
          <w:cantSplit/>
        </w:trPr>
        <w:tc>
          <w:tcPr>
            <w:tcW w:w="1748" w:type="dxa"/>
            <w:tcBorders>
              <w:bottom w:val="single" w:sz="4" w:space="0" w:color="A6A6A6" w:themeColor="background1" w:themeShade="A6"/>
            </w:tcBorders>
          </w:tcPr>
          <w:p w14:paraId="07F03972" w14:textId="77777777" w:rsidR="00740DA6" w:rsidRPr="00EC5EF1" w:rsidRDefault="00740DA6" w:rsidP="00CB1918">
            <w:pPr>
              <w:pStyle w:val="TableText"/>
            </w:pPr>
            <w:r w:rsidRPr="00EC5EF1">
              <w:t>Canterbury</w:t>
            </w:r>
          </w:p>
        </w:tc>
        <w:tc>
          <w:tcPr>
            <w:tcW w:w="2110" w:type="dxa"/>
            <w:tcBorders>
              <w:bottom w:val="single" w:sz="4" w:space="0" w:color="A6A6A6" w:themeColor="background1" w:themeShade="A6"/>
            </w:tcBorders>
          </w:tcPr>
          <w:p w14:paraId="25D8714E" w14:textId="77777777" w:rsidR="00740DA6" w:rsidRPr="00EC5EF1" w:rsidRDefault="00740DA6" w:rsidP="00CB1918">
            <w:pPr>
              <w:pStyle w:val="TableText"/>
              <w:tabs>
                <w:tab w:val="decimal" w:pos="1164"/>
              </w:tabs>
            </w:pPr>
            <w:r w:rsidRPr="00EC5EF1">
              <w:t>622</w:t>
            </w:r>
          </w:p>
        </w:tc>
        <w:tc>
          <w:tcPr>
            <w:tcW w:w="2111" w:type="dxa"/>
            <w:tcBorders>
              <w:bottom w:val="single" w:sz="4" w:space="0" w:color="A6A6A6" w:themeColor="background1" w:themeShade="A6"/>
            </w:tcBorders>
          </w:tcPr>
          <w:p w14:paraId="7B7F7B39" w14:textId="77777777" w:rsidR="00740DA6" w:rsidRPr="00EC5EF1" w:rsidRDefault="00740DA6" w:rsidP="00CB1918">
            <w:pPr>
              <w:pStyle w:val="TableText"/>
              <w:jc w:val="center"/>
            </w:pPr>
            <w:r w:rsidRPr="00EC5EF1">
              <w:t>3:31</w:t>
            </w:r>
          </w:p>
        </w:tc>
        <w:tc>
          <w:tcPr>
            <w:tcW w:w="2111" w:type="dxa"/>
            <w:tcBorders>
              <w:bottom w:val="single" w:sz="4" w:space="0" w:color="A6A6A6" w:themeColor="background1" w:themeShade="A6"/>
            </w:tcBorders>
          </w:tcPr>
          <w:p w14:paraId="64A73B42" w14:textId="77777777" w:rsidR="00740DA6" w:rsidRPr="00EC5EF1" w:rsidRDefault="00740DA6" w:rsidP="00CB1918">
            <w:pPr>
              <w:pStyle w:val="TableText"/>
              <w:tabs>
                <w:tab w:val="decimal" w:pos="972"/>
              </w:tabs>
            </w:pPr>
            <w:r w:rsidRPr="00EC5EF1">
              <w:t>5:19</w:t>
            </w:r>
          </w:p>
        </w:tc>
      </w:tr>
      <w:tr w:rsidR="00740DA6" w:rsidRPr="00EC5EF1" w14:paraId="111DC5B0" w14:textId="77777777" w:rsidTr="00125224">
        <w:trPr>
          <w:cantSplit/>
        </w:trPr>
        <w:tc>
          <w:tcPr>
            <w:tcW w:w="1748" w:type="dxa"/>
            <w:tcBorders>
              <w:top w:val="single" w:sz="4" w:space="0" w:color="A6A6A6" w:themeColor="background1" w:themeShade="A6"/>
              <w:bottom w:val="single" w:sz="4" w:space="0" w:color="A6A6A6" w:themeColor="background1" w:themeShade="A6"/>
            </w:tcBorders>
          </w:tcPr>
          <w:p w14:paraId="55AF5BB8" w14:textId="77777777" w:rsidR="00740DA6" w:rsidRPr="00EC5EF1" w:rsidRDefault="00740DA6" w:rsidP="00CB1918">
            <w:pPr>
              <w:pStyle w:val="TableText"/>
            </w:pPr>
            <w:r w:rsidRPr="00EC5EF1">
              <w:t>Capital &amp; Coast</w:t>
            </w:r>
          </w:p>
        </w:tc>
        <w:tc>
          <w:tcPr>
            <w:tcW w:w="2110" w:type="dxa"/>
            <w:tcBorders>
              <w:top w:val="single" w:sz="4" w:space="0" w:color="A6A6A6" w:themeColor="background1" w:themeShade="A6"/>
              <w:bottom w:val="single" w:sz="4" w:space="0" w:color="A6A6A6" w:themeColor="background1" w:themeShade="A6"/>
            </w:tcBorders>
          </w:tcPr>
          <w:p w14:paraId="435E72B1" w14:textId="77777777" w:rsidR="00740DA6" w:rsidRPr="00EC5EF1" w:rsidRDefault="00740DA6" w:rsidP="00CB1918">
            <w:pPr>
              <w:pStyle w:val="TableText"/>
              <w:tabs>
                <w:tab w:val="decimal" w:pos="1164"/>
              </w:tabs>
            </w:pPr>
            <w:r w:rsidRPr="00EC5EF1">
              <w:t>182</w:t>
            </w:r>
          </w:p>
        </w:tc>
        <w:tc>
          <w:tcPr>
            <w:tcW w:w="2111" w:type="dxa"/>
            <w:tcBorders>
              <w:top w:val="single" w:sz="4" w:space="0" w:color="A6A6A6" w:themeColor="background1" w:themeShade="A6"/>
              <w:bottom w:val="single" w:sz="4" w:space="0" w:color="A6A6A6" w:themeColor="background1" w:themeShade="A6"/>
            </w:tcBorders>
          </w:tcPr>
          <w:p w14:paraId="1962C9C5" w14:textId="77777777" w:rsidR="00740DA6" w:rsidRPr="00EC5EF1" w:rsidRDefault="00740DA6" w:rsidP="00CB1918">
            <w:pPr>
              <w:pStyle w:val="TableText"/>
              <w:jc w:val="center"/>
            </w:pPr>
            <w:r w:rsidRPr="00EC5EF1">
              <w:t>3:05</w:t>
            </w:r>
          </w:p>
        </w:tc>
        <w:tc>
          <w:tcPr>
            <w:tcW w:w="2111" w:type="dxa"/>
            <w:tcBorders>
              <w:top w:val="single" w:sz="4" w:space="0" w:color="A6A6A6" w:themeColor="background1" w:themeShade="A6"/>
              <w:bottom w:val="single" w:sz="4" w:space="0" w:color="A6A6A6" w:themeColor="background1" w:themeShade="A6"/>
            </w:tcBorders>
          </w:tcPr>
          <w:p w14:paraId="7DE33965" w14:textId="77777777" w:rsidR="00740DA6" w:rsidRPr="00EC5EF1" w:rsidRDefault="00740DA6" w:rsidP="00CB1918">
            <w:pPr>
              <w:pStyle w:val="TableText"/>
              <w:tabs>
                <w:tab w:val="decimal" w:pos="972"/>
              </w:tabs>
            </w:pPr>
            <w:r w:rsidRPr="00EC5EF1">
              <w:t>6:30</w:t>
            </w:r>
          </w:p>
        </w:tc>
      </w:tr>
      <w:tr w:rsidR="00740DA6" w:rsidRPr="00EC5EF1" w14:paraId="4A1D7DBE" w14:textId="77777777" w:rsidTr="00125224">
        <w:trPr>
          <w:cantSplit/>
        </w:trPr>
        <w:tc>
          <w:tcPr>
            <w:tcW w:w="1748" w:type="dxa"/>
            <w:tcBorders>
              <w:top w:val="single" w:sz="4" w:space="0" w:color="A6A6A6" w:themeColor="background1" w:themeShade="A6"/>
              <w:bottom w:val="single" w:sz="4" w:space="0" w:color="A6A6A6" w:themeColor="background1" w:themeShade="A6"/>
            </w:tcBorders>
          </w:tcPr>
          <w:p w14:paraId="3E35BD4A" w14:textId="77777777" w:rsidR="00740DA6" w:rsidRPr="00EC5EF1" w:rsidRDefault="00740DA6" w:rsidP="00CB1918">
            <w:pPr>
              <w:pStyle w:val="TableText"/>
            </w:pPr>
            <w:r w:rsidRPr="00EC5EF1">
              <w:t>Southern</w:t>
            </w:r>
          </w:p>
        </w:tc>
        <w:tc>
          <w:tcPr>
            <w:tcW w:w="2110" w:type="dxa"/>
            <w:tcBorders>
              <w:top w:val="single" w:sz="4" w:space="0" w:color="A6A6A6" w:themeColor="background1" w:themeShade="A6"/>
              <w:bottom w:val="single" w:sz="4" w:space="0" w:color="A6A6A6" w:themeColor="background1" w:themeShade="A6"/>
            </w:tcBorders>
          </w:tcPr>
          <w:p w14:paraId="2EAB9D3F" w14:textId="77777777" w:rsidR="00740DA6" w:rsidRPr="00EC5EF1" w:rsidRDefault="00740DA6" w:rsidP="00CB1918">
            <w:pPr>
              <w:pStyle w:val="TableText"/>
              <w:tabs>
                <w:tab w:val="decimal" w:pos="1164"/>
              </w:tabs>
            </w:pPr>
            <w:r w:rsidRPr="00EC5EF1">
              <w:t>254</w:t>
            </w:r>
          </w:p>
        </w:tc>
        <w:tc>
          <w:tcPr>
            <w:tcW w:w="2111" w:type="dxa"/>
            <w:tcBorders>
              <w:top w:val="single" w:sz="4" w:space="0" w:color="A6A6A6" w:themeColor="background1" w:themeShade="A6"/>
              <w:bottom w:val="single" w:sz="4" w:space="0" w:color="A6A6A6" w:themeColor="background1" w:themeShade="A6"/>
            </w:tcBorders>
          </w:tcPr>
          <w:p w14:paraId="08BC39CE" w14:textId="77777777" w:rsidR="00740DA6" w:rsidRPr="00EC5EF1" w:rsidRDefault="00740DA6" w:rsidP="00CB1918">
            <w:pPr>
              <w:pStyle w:val="TableText"/>
              <w:jc w:val="center"/>
            </w:pPr>
            <w:r w:rsidRPr="00EC5EF1">
              <w:t>2:20</w:t>
            </w:r>
          </w:p>
        </w:tc>
        <w:tc>
          <w:tcPr>
            <w:tcW w:w="2111" w:type="dxa"/>
            <w:tcBorders>
              <w:top w:val="single" w:sz="4" w:space="0" w:color="A6A6A6" w:themeColor="background1" w:themeShade="A6"/>
              <w:bottom w:val="single" w:sz="4" w:space="0" w:color="A6A6A6" w:themeColor="background1" w:themeShade="A6"/>
            </w:tcBorders>
          </w:tcPr>
          <w:p w14:paraId="380244FD" w14:textId="77777777" w:rsidR="00740DA6" w:rsidRPr="00EC5EF1" w:rsidRDefault="00740DA6" w:rsidP="00CB1918">
            <w:pPr>
              <w:pStyle w:val="TableText"/>
              <w:tabs>
                <w:tab w:val="decimal" w:pos="972"/>
              </w:tabs>
            </w:pPr>
            <w:r w:rsidRPr="00EC5EF1">
              <w:t>3:58</w:t>
            </w:r>
          </w:p>
        </w:tc>
      </w:tr>
      <w:tr w:rsidR="00740DA6" w:rsidRPr="00EC5EF1" w14:paraId="6309BA45" w14:textId="77777777" w:rsidTr="00125224">
        <w:trPr>
          <w:cantSplit/>
        </w:trPr>
        <w:tc>
          <w:tcPr>
            <w:tcW w:w="1748" w:type="dxa"/>
            <w:tcBorders>
              <w:top w:val="single" w:sz="4" w:space="0" w:color="A6A6A6" w:themeColor="background1" w:themeShade="A6"/>
              <w:bottom w:val="single" w:sz="4" w:space="0" w:color="A6A6A6" w:themeColor="background1" w:themeShade="A6"/>
            </w:tcBorders>
          </w:tcPr>
          <w:p w14:paraId="686DC813" w14:textId="77777777" w:rsidR="00740DA6" w:rsidRPr="00EC5EF1" w:rsidRDefault="00740DA6" w:rsidP="00CB1918">
            <w:pPr>
              <w:pStyle w:val="TableText"/>
            </w:pPr>
            <w:r w:rsidRPr="00EC5EF1">
              <w:t>Waikato</w:t>
            </w:r>
          </w:p>
        </w:tc>
        <w:tc>
          <w:tcPr>
            <w:tcW w:w="2110" w:type="dxa"/>
            <w:tcBorders>
              <w:top w:val="single" w:sz="4" w:space="0" w:color="A6A6A6" w:themeColor="background1" w:themeShade="A6"/>
              <w:bottom w:val="single" w:sz="4" w:space="0" w:color="A6A6A6" w:themeColor="background1" w:themeShade="A6"/>
            </w:tcBorders>
          </w:tcPr>
          <w:p w14:paraId="56A169E0" w14:textId="77777777" w:rsidR="00740DA6" w:rsidRPr="00EC5EF1" w:rsidRDefault="00740DA6" w:rsidP="00CB1918">
            <w:pPr>
              <w:pStyle w:val="TableText"/>
              <w:tabs>
                <w:tab w:val="decimal" w:pos="1164"/>
              </w:tabs>
            </w:pPr>
            <w:r w:rsidRPr="00EC5EF1">
              <w:t>120</w:t>
            </w:r>
          </w:p>
        </w:tc>
        <w:tc>
          <w:tcPr>
            <w:tcW w:w="2111" w:type="dxa"/>
            <w:tcBorders>
              <w:top w:val="single" w:sz="4" w:space="0" w:color="A6A6A6" w:themeColor="background1" w:themeShade="A6"/>
              <w:bottom w:val="single" w:sz="4" w:space="0" w:color="A6A6A6" w:themeColor="background1" w:themeShade="A6"/>
            </w:tcBorders>
          </w:tcPr>
          <w:p w14:paraId="0967A293" w14:textId="77777777" w:rsidR="00740DA6" w:rsidRPr="00EC5EF1" w:rsidRDefault="00740DA6" w:rsidP="00CB1918">
            <w:pPr>
              <w:pStyle w:val="TableText"/>
              <w:jc w:val="center"/>
            </w:pPr>
            <w:r w:rsidRPr="00EC5EF1">
              <w:t>2:45</w:t>
            </w:r>
          </w:p>
        </w:tc>
        <w:tc>
          <w:tcPr>
            <w:tcW w:w="2111" w:type="dxa"/>
            <w:tcBorders>
              <w:top w:val="single" w:sz="4" w:space="0" w:color="A6A6A6" w:themeColor="background1" w:themeShade="A6"/>
              <w:bottom w:val="single" w:sz="4" w:space="0" w:color="A6A6A6" w:themeColor="background1" w:themeShade="A6"/>
            </w:tcBorders>
          </w:tcPr>
          <w:p w14:paraId="67D49FF7" w14:textId="77777777" w:rsidR="00740DA6" w:rsidRPr="00EC5EF1" w:rsidRDefault="00740DA6" w:rsidP="00CB1918">
            <w:pPr>
              <w:pStyle w:val="TableText"/>
              <w:tabs>
                <w:tab w:val="decimal" w:pos="972"/>
              </w:tabs>
            </w:pPr>
            <w:r w:rsidRPr="00EC5EF1">
              <w:t>10:55</w:t>
            </w:r>
          </w:p>
        </w:tc>
      </w:tr>
      <w:tr w:rsidR="00740DA6" w:rsidRPr="00EC5EF1" w14:paraId="55707914" w14:textId="77777777" w:rsidTr="00125224">
        <w:trPr>
          <w:cantSplit/>
        </w:trPr>
        <w:tc>
          <w:tcPr>
            <w:tcW w:w="1748" w:type="dxa"/>
            <w:tcBorders>
              <w:top w:val="single" w:sz="4" w:space="0" w:color="A6A6A6" w:themeColor="background1" w:themeShade="A6"/>
              <w:bottom w:val="single" w:sz="4" w:space="0" w:color="A6A6A6" w:themeColor="background1" w:themeShade="A6"/>
            </w:tcBorders>
          </w:tcPr>
          <w:p w14:paraId="073BC65B" w14:textId="77777777" w:rsidR="00740DA6" w:rsidRPr="00EC5EF1" w:rsidRDefault="00740DA6" w:rsidP="00CB1918">
            <w:pPr>
              <w:pStyle w:val="TableText"/>
            </w:pPr>
            <w:proofErr w:type="spellStart"/>
            <w:r w:rsidRPr="00EC5EF1">
              <w:t>Waitemata</w:t>
            </w:r>
            <w:proofErr w:type="spellEnd"/>
          </w:p>
        </w:tc>
        <w:tc>
          <w:tcPr>
            <w:tcW w:w="2110" w:type="dxa"/>
            <w:tcBorders>
              <w:top w:val="single" w:sz="4" w:space="0" w:color="A6A6A6" w:themeColor="background1" w:themeShade="A6"/>
              <w:bottom w:val="single" w:sz="4" w:space="0" w:color="A6A6A6" w:themeColor="background1" w:themeShade="A6"/>
            </w:tcBorders>
          </w:tcPr>
          <w:p w14:paraId="1B354A02" w14:textId="5FF7DEFE" w:rsidR="00740DA6" w:rsidRPr="00EC5EF1" w:rsidRDefault="00740DA6" w:rsidP="00CB1918">
            <w:pPr>
              <w:pStyle w:val="TableText"/>
              <w:tabs>
                <w:tab w:val="decimal" w:pos="1164"/>
              </w:tabs>
            </w:pPr>
            <w:r w:rsidRPr="00EC5EF1">
              <w:t>3</w:t>
            </w:r>
            <w:r w:rsidR="00CB1918">
              <w:t>,</w:t>
            </w:r>
            <w:r w:rsidRPr="00EC5EF1">
              <w:t>166</w:t>
            </w:r>
          </w:p>
        </w:tc>
        <w:tc>
          <w:tcPr>
            <w:tcW w:w="2111" w:type="dxa"/>
            <w:tcBorders>
              <w:top w:val="single" w:sz="4" w:space="0" w:color="A6A6A6" w:themeColor="background1" w:themeShade="A6"/>
              <w:bottom w:val="single" w:sz="4" w:space="0" w:color="A6A6A6" w:themeColor="background1" w:themeShade="A6"/>
            </w:tcBorders>
          </w:tcPr>
          <w:p w14:paraId="6664E400" w14:textId="77777777" w:rsidR="00740DA6" w:rsidRPr="00EC5EF1" w:rsidRDefault="00740DA6" w:rsidP="00CB1918">
            <w:pPr>
              <w:pStyle w:val="TableText"/>
              <w:jc w:val="center"/>
            </w:pPr>
            <w:r w:rsidRPr="00EC5EF1">
              <w:t>7:29</w:t>
            </w:r>
          </w:p>
        </w:tc>
        <w:tc>
          <w:tcPr>
            <w:tcW w:w="2111" w:type="dxa"/>
            <w:tcBorders>
              <w:top w:val="single" w:sz="4" w:space="0" w:color="A6A6A6" w:themeColor="background1" w:themeShade="A6"/>
              <w:bottom w:val="single" w:sz="4" w:space="0" w:color="A6A6A6" w:themeColor="background1" w:themeShade="A6"/>
            </w:tcBorders>
          </w:tcPr>
          <w:p w14:paraId="478BB375" w14:textId="77777777" w:rsidR="00740DA6" w:rsidRPr="00EC5EF1" w:rsidRDefault="00740DA6" w:rsidP="00CB1918">
            <w:pPr>
              <w:pStyle w:val="TableText"/>
              <w:tabs>
                <w:tab w:val="decimal" w:pos="972"/>
              </w:tabs>
            </w:pPr>
            <w:r w:rsidRPr="00EC5EF1">
              <w:t>9:22</w:t>
            </w:r>
          </w:p>
        </w:tc>
      </w:tr>
    </w:tbl>
    <w:p w14:paraId="56E1CB7B" w14:textId="77777777" w:rsidR="00740DA6" w:rsidRPr="00EC5EF1" w:rsidRDefault="00740DA6" w:rsidP="005116F2">
      <w:pPr>
        <w:pStyle w:val="Note"/>
      </w:pPr>
      <w:r w:rsidRPr="00EC5EF1">
        <w:t>Note: This data only presents seclusion data for care recipients with a legal status under the IDCC&amp;R Act.</w:t>
      </w:r>
    </w:p>
    <w:p w14:paraId="2F481802" w14:textId="44FEA35F" w:rsidR="00740DA6" w:rsidRPr="00EC5EF1" w:rsidRDefault="00740DA6" w:rsidP="005116F2">
      <w:pPr>
        <w:pStyle w:val="Source"/>
      </w:pPr>
      <w:r w:rsidRPr="00EC5EF1">
        <w:t>Source: All DHB data supplied manually</w:t>
      </w:r>
    </w:p>
    <w:p w14:paraId="244C92F8" w14:textId="77777777" w:rsidR="005116F2" w:rsidRDefault="005116F2" w:rsidP="00125224"/>
    <w:p w14:paraId="7BCDD4E6" w14:textId="15E599DE" w:rsidR="00740DA6" w:rsidRPr="00EC5EF1" w:rsidRDefault="00740DA6" w:rsidP="005116F2">
      <w:r w:rsidRPr="00EC5EF1">
        <w:t>Table 7 presents seclusion indicators for forensic mental health services for the 2017 calendar year. These indicators cannot be compared with adult service indicators because they do not reflect the same client base. The rates of seclusion for the relatively small group of people in the care of forensic mental health services can be affected by individuals who were secluded significantly more often or for longer than others.</w:t>
      </w:r>
    </w:p>
    <w:p w14:paraId="226D6308" w14:textId="77777777" w:rsidR="00740DA6" w:rsidRPr="00EC5EF1" w:rsidRDefault="00740DA6" w:rsidP="005116F2"/>
    <w:p w14:paraId="597CFDE6" w14:textId="2D6DE196" w:rsidR="00740DA6" w:rsidRDefault="00740DA6" w:rsidP="005116F2">
      <w:pPr>
        <w:pStyle w:val="Table"/>
      </w:pPr>
      <w:bookmarkStart w:id="101" w:name="_Toc2845751"/>
      <w:r w:rsidRPr="00EC5EF1">
        <w:rPr>
          <w:noProof/>
          <w:lang w:eastAsia="en-NZ"/>
        </w:rPr>
        <w:lastRenderedPageBreak/>
        <w:drawing>
          <wp:anchor distT="0" distB="0" distL="0" distR="0" simplePos="0" relativeHeight="251767808" behindDoc="0" locked="0" layoutInCell="1" allowOverlap="1" wp14:anchorId="2F55B399" wp14:editId="1EA59F23">
            <wp:simplePos x="0" y="0"/>
            <wp:positionH relativeFrom="page">
              <wp:posOffset>8060163</wp:posOffset>
            </wp:positionH>
            <wp:positionV relativeFrom="paragraph">
              <wp:posOffset>50570</wp:posOffset>
            </wp:positionV>
            <wp:extent cx="155575" cy="155575"/>
            <wp:effectExtent l="0" t="0" r="0" b="0"/>
            <wp:wrapNone/>
            <wp:docPr id="29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Table 7: Seclusion indicators for forensic mental health services, by DHB, 1 January to 31</w:t>
      </w:r>
      <w:r w:rsidR="005116F2">
        <w:t> </w:t>
      </w:r>
      <w:r w:rsidRPr="00EC5EF1">
        <w:t>December 2017</w:t>
      </w:r>
      <w:bookmarkEnd w:id="101"/>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854"/>
        <w:gridCol w:w="1461"/>
        <w:gridCol w:w="1461"/>
        <w:gridCol w:w="1461"/>
        <w:gridCol w:w="1843"/>
      </w:tblGrid>
      <w:tr w:rsidR="00740DA6" w:rsidRPr="00CB1918" w14:paraId="32EC4ED1" w14:textId="77777777" w:rsidTr="00125224">
        <w:trPr>
          <w:cantSplit/>
        </w:trPr>
        <w:tc>
          <w:tcPr>
            <w:tcW w:w="1854" w:type="dxa"/>
            <w:tcBorders>
              <w:top w:val="nil"/>
              <w:bottom w:val="nil"/>
            </w:tcBorders>
            <w:shd w:val="clear" w:color="auto" w:fill="D9D9D9" w:themeFill="background1" w:themeFillShade="D9"/>
          </w:tcPr>
          <w:p w14:paraId="51CD3D5E" w14:textId="77777777" w:rsidR="00740DA6" w:rsidRPr="00CB1918" w:rsidRDefault="00740DA6" w:rsidP="00CB1918">
            <w:pPr>
              <w:pStyle w:val="TableText"/>
              <w:rPr>
                <w:b/>
              </w:rPr>
            </w:pPr>
            <w:r w:rsidRPr="00CB1918">
              <w:rPr>
                <w:b/>
              </w:rPr>
              <w:t>DHB</w:t>
            </w:r>
          </w:p>
        </w:tc>
        <w:tc>
          <w:tcPr>
            <w:tcW w:w="1461" w:type="dxa"/>
            <w:tcBorders>
              <w:top w:val="nil"/>
              <w:bottom w:val="nil"/>
            </w:tcBorders>
            <w:shd w:val="clear" w:color="auto" w:fill="D9D9D9" w:themeFill="background1" w:themeFillShade="D9"/>
          </w:tcPr>
          <w:p w14:paraId="49B81684" w14:textId="0BFA255D" w:rsidR="00740DA6" w:rsidRPr="00CB1918" w:rsidRDefault="00740DA6" w:rsidP="00CB1918">
            <w:pPr>
              <w:pStyle w:val="TableText"/>
              <w:jc w:val="center"/>
              <w:rPr>
                <w:b/>
              </w:rPr>
            </w:pPr>
            <w:r w:rsidRPr="00CB1918">
              <w:rPr>
                <w:b/>
              </w:rPr>
              <w:t>Clients</w:t>
            </w:r>
            <w:r w:rsidR="00CB1918">
              <w:rPr>
                <w:b/>
              </w:rPr>
              <w:br/>
            </w:r>
            <w:r w:rsidRPr="00CB1918">
              <w:rPr>
                <w:b/>
              </w:rPr>
              <w:t>secluded</w:t>
            </w:r>
          </w:p>
        </w:tc>
        <w:tc>
          <w:tcPr>
            <w:tcW w:w="1461" w:type="dxa"/>
            <w:tcBorders>
              <w:top w:val="nil"/>
              <w:bottom w:val="nil"/>
            </w:tcBorders>
            <w:shd w:val="clear" w:color="auto" w:fill="D9D9D9" w:themeFill="background1" w:themeFillShade="D9"/>
          </w:tcPr>
          <w:p w14:paraId="00824E21" w14:textId="78002FB5" w:rsidR="00740DA6" w:rsidRPr="00CB1918" w:rsidRDefault="00740DA6" w:rsidP="00CB1918">
            <w:pPr>
              <w:pStyle w:val="TableText"/>
              <w:jc w:val="center"/>
              <w:rPr>
                <w:b/>
              </w:rPr>
            </w:pPr>
            <w:r w:rsidRPr="00CB1918">
              <w:rPr>
                <w:b/>
              </w:rPr>
              <w:t>Number of</w:t>
            </w:r>
            <w:r w:rsidR="00CB1918" w:rsidRPr="00CB1918">
              <w:rPr>
                <w:b/>
              </w:rPr>
              <w:t xml:space="preserve"> </w:t>
            </w:r>
            <w:r w:rsidRPr="00CB1918">
              <w:rPr>
                <w:b/>
              </w:rPr>
              <w:t>events</w:t>
            </w:r>
          </w:p>
        </w:tc>
        <w:tc>
          <w:tcPr>
            <w:tcW w:w="1461" w:type="dxa"/>
            <w:tcBorders>
              <w:top w:val="nil"/>
              <w:bottom w:val="nil"/>
            </w:tcBorders>
            <w:shd w:val="clear" w:color="auto" w:fill="D9D9D9" w:themeFill="background1" w:themeFillShade="D9"/>
          </w:tcPr>
          <w:p w14:paraId="21FC09DA" w14:textId="16694EA1" w:rsidR="00740DA6" w:rsidRPr="00CB1918" w:rsidRDefault="00740DA6" w:rsidP="00CB1918">
            <w:pPr>
              <w:pStyle w:val="TableText"/>
              <w:jc w:val="center"/>
              <w:rPr>
                <w:b/>
              </w:rPr>
            </w:pPr>
            <w:r w:rsidRPr="00CB1918">
              <w:rPr>
                <w:b/>
              </w:rPr>
              <w:t>Total</w:t>
            </w:r>
            <w:r w:rsidR="00CB1918">
              <w:rPr>
                <w:b/>
              </w:rPr>
              <w:br/>
            </w:r>
            <w:r w:rsidRPr="00CB1918">
              <w:rPr>
                <w:b/>
              </w:rPr>
              <w:t>hours</w:t>
            </w:r>
          </w:p>
        </w:tc>
        <w:tc>
          <w:tcPr>
            <w:tcW w:w="1843" w:type="dxa"/>
            <w:tcBorders>
              <w:top w:val="nil"/>
              <w:bottom w:val="nil"/>
            </w:tcBorders>
            <w:shd w:val="clear" w:color="auto" w:fill="D9D9D9" w:themeFill="background1" w:themeFillShade="D9"/>
          </w:tcPr>
          <w:p w14:paraId="5D12BD12" w14:textId="77777777" w:rsidR="00740DA6" w:rsidRPr="00CB1918" w:rsidRDefault="00740DA6" w:rsidP="00CB1918">
            <w:pPr>
              <w:pStyle w:val="TableText"/>
              <w:jc w:val="center"/>
              <w:rPr>
                <w:b/>
              </w:rPr>
            </w:pPr>
            <w:r w:rsidRPr="00CB1918">
              <w:rPr>
                <w:b/>
              </w:rPr>
              <w:t>Average duration per client (hours)</w:t>
            </w:r>
          </w:p>
        </w:tc>
      </w:tr>
      <w:tr w:rsidR="00740DA6" w:rsidRPr="00EC5EF1" w14:paraId="75E0049B" w14:textId="77777777" w:rsidTr="00125224">
        <w:trPr>
          <w:cantSplit/>
        </w:trPr>
        <w:tc>
          <w:tcPr>
            <w:tcW w:w="1854" w:type="dxa"/>
            <w:tcBorders>
              <w:top w:val="nil"/>
            </w:tcBorders>
          </w:tcPr>
          <w:p w14:paraId="2E98800B" w14:textId="77777777" w:rsidR="00740DA6" w:rsidRPr="00EC5EF1" w:rsidRDefault="00740DA6" w:rsidP="00CB1918">
            <w:pPr>
              <w:pStyle w:val="TableText"/>
            </w:pPr>
            <w:r w:rsidRPr="00EC5EF1">
              <w:t>Canterbury</w:t>
            </w:r>
          </w:p>
        </w:tc>
        <w:tc>
          <w:tcPr>
            <w:tcW w:w="1461" w:type="dxa"/>
            <w:tcBorders>
              <w:top w:val="nil"/>
            </w:tcBorders>
          </w:tcPr>
          <w:p w14:paraId="2B74F0DA" w14:textId="77777777" w:rsidR="00740DA6" w:rsidRPr="00EC5EF1" w:rsidRDefault="00740DA6" w:rsidP="00CB1918">
            <w:pPr>
              <w:pStyle w:val="TableText"/>
              <w:tabs>
                <w:tab w:val="decimal" w:pos="768"/>
              </w:tabs>
            </w:pPr>
            <w:r w:rsidRPr="00EC5EF1">
              <w:t>15</w:t>
            </w:r>
          </w:p>
        </w:tc>
        <w:tc>
          <w:tcPr>
            <w:tcW w:w="1461" w:type="dxa"/>
            <w:tcBorders>
              <w:top w:val="nil"/>
            </w:tcBorders>
          </w:tcPr>
          <w:p w14:paraId="4048A048" w14:textId="77777777" w:rsidR="00740DA6" w:rsidRPr="00EC5EF1" w:rsidRDefault="00740DA6" w:rsidP="00CB1918">
            <w:pPr>
              <w:pStyle w:val="TableText"/>
              <w:tabs>
                <w:tab w:val="decimal" w:pos="768"/>
              </w:tabs>
            </w:pPr>
            <w:r w:rsidRPr="00EC5EF1">
              <w:t>77</w:t>
            </w:r>
          </w:p>
        </w:tc>
        <w:tc>
          <w:tcPr>
            <w:tcW w:w="1461" w:type="dxa"/>
            <w:tcBorders>
              <w:top w:val="nil"/>
            </w:tcBorders>
          </w:tcPr>
          <w:p w14:paraId="3D39AFC4" w14:textId="77777777" w:rsidR="00740DA6" w:rsidRPr="00EC5EF1" w:rsidRDefault="00740DA6" w:rsidP="00CB1918">
            <w:pPr>
              <w:pStyle w:val="TableText"/>
              <w:tabs>
                <w:tab w:val="decimal" w:pos="834"/>
              </w:tabs>
            </w:pPr>
            <w:r w:rsidRPr="00EC5EF1">
              <w:t>1,941</w:t>
            </w:r>
          </w:p>
        </w:tc>
        <w:tc>
          <w:tcPr>
            <w:tcW w:w="1843" w:type="dxa"/>
            <w:tcBorders>
              <w:top w:val="nil"/>
            </w:tcBorders>
          </w:tcPr>
          <w:p w14:paraId="6918C239" w14:textId="77777777" w:rsidR="00740DA6" w:rsidRPr="00EC5EF1" w:rsidRDefault="00740DA6" w:rsidP="00CB1918">
            <w:pPr>
              <w:pStyle w:val="TableText"/>
              <w:jc w:val="center"/>
            </w:pPr>
            <w:r w:rsidRPr="00EC5EF1">
              <w:t>25.2</w:t>
            </w:r>
          </w:p>
        </w:tc>
      </w:tr>
      <w:tr w:rsidR="00740DA6" w:rsidRPr="00EC5EF1" w14:paraId="0CAC8120" w14:textId="77777777" w:rsidTr="00125224">
        <w:trPr>
          <w:cantSplit/>
        </w:trPr>
        <w:tc>
          <w:tcPr>
            <w:tcW w:w="1854" w:type="dxa"/>
          </w:tcPr>
          <w:p w14:paraId="2E1DB0D6" w14:textId="77777777" w:rsidR="00740DA6" w:rsidRPr="00EC5EF1" w:rsidRDefault="00740DA6" w:rsidP="00CB1918">
            <w:pPr>
              <w:pStyle w:val="TableText"/>
            </w:pPr>
            <w:r w:rsidRPr="00EC5EF1">
              <w:t>Capital &amp; Coast</w:t>
            </w:r>
          </w:p>
        </w:tc>
        <w:tc>
          <w:tcPr>
            <w:tcW w:w="1461" w:type="dxa"/>
          </w:tcPr>
          <w:p w14:paraId="4415C567" w14:textId="77777777" w:rsidR="00740DA6" w:rsidRPr="00EC5EF1" w:rsidRDefault="00740DA6" w:rsidP="00CB1918">
            <w:pPr>
              <w:pStyle w:val="TableText"/>
              <w:tabs>
                <w:tab w:val="decimal" w:pos="768"/>
              </w:tabs>
            </w:pPr>
            <w:r w:rsidRPr="00EC5EF1">
              <w:t>7</w:t>
            </w:r>
          </w:p>
        </w:tc>
        <w:tc>
          <w:tcPr>
            <w:tcW w:w="1461" w:type="dxa"/>
          </w:tcPr>
          <w:p w14:paraId="1242DB16" w14:textId="77777777" w:rsidR="00740DA6" w:rsidRPr="00EC5EF1" w:rsidRDefault="00740DA6" w:rsidP="00CB1918">
            <w:pPr>
              <w:pStyle w:val="TableText"/>
              <w:tabs>
                <w:tab w:val="decimal" w:pos="768"/>
              </w:tabs>
            </w:pPr>
            <w:r w:rsidRPr="00EC5EF1">
              <w:t>46</w:t>
            </w:r>
          </w:p>
        </w:tc>
        <w:tc>
          <w:tcPr>
            <w:tcW w:w="1461" w:type="dxa"/>
          </w:tcPr>
          <w:p w14:paraId="29DB863A" w14:textId="77777777" w:rsidR="00740DA6" w:rsidRPr="00EC5EF1" w:rsidRDefault="00740DA6" w:rsidP="00CB1918">
            <w:pPr>
              <w:pStyle w:val="TableText"/>
              <w:tabs>
                <w:tab w:val="decimal" w:pos="834"/>
              </w:tabs>
            </w:pPr>
            <w:r w:rsidRPr="00EC5EF1">
              <w:t>921</w:t>
            </w:r>
          </w:p>
        </w:tc>
        <w:tc>
          <w:tcPr>
            <w:tcW w:w="1843" w:type="dxa"/>
          </w:tcPr>
          <w:p w14:paraId="65B9317D" w14:textId="77777777" w:rsidR="00740DA6" w:rsidRPr="00EC5EF1" w:rsidRDefault="00740DA6" w:rsidP="00CB1918">
            <w:pPr>
              <w:pStyle w:val="TableText"/>
              <w:jc w:val="center"/>
            </w:pPr>
            <w:r w:rsidRPr="00EC5EF1">
              <w:t>20.0</w:t>
            </w:r>
          </w:p>
        </w:tc>
      </w:tr>
      <w:tr w:rsidR="00740DA6" w:rsidRPr="00EC5EF1" w14:paraId="1921E022" w14:textId="77777777" w:rsidTr="00125224">
        <w:trPr>
          <w:cantSplit/>
        </w:trPr>
        <w:tc>
          <w:tcPr>
            <w:tcW w:w="1854" w:type="dxa"/>
          </w:tcPr>
          <w:p w14:paraId="50E24DA4" w14:textId="77777777" w:rsidR="00740DA6" w:rsidRPr="00EC5EF1" w:rsidRDefault="00740DA6" w:rsidP="00CB1918">
            <w:pPr>
              <w:pStyle w:val="TableText"/>
            </w:pPr>
            <w:r w:rsidRPr="00EC5EF1">
              <w:t>Southern</w:t>
            </w:r>
          </w:p>
        </w:tc>
        <w:tc>
          <w:tcPr>
            <w:tcW w:w="1461" w:type="dxa"/>
          </w:tcPr>
          <w:p w14:paraId="14C95C14" w14:textId="77777777" w:rsidR="00740DA6" w:rsidRPr="00EC5EF1" w:rsidRDefault="00740DA6" w:rsidP="00CB1918">
            <w:pPr>
              <w:pStyle w:val="TableText"/>
              <w:tabs>
                <w:tab w:val="decimal" w:pos="768"/>
              </w:tabs>
            </w:pPr>
            <w:r w:rsidRPr="00EC5EF1">
              <w:t>6</w:t>
            </w:r>
          </w:p>
        </w:tc>
        <w:tc>
          <w:tcPr>
            <w:tcW w:w="1461" w:type="dxa"/>
          </w:tcPr>
          <w:p w14:paraId="0BDE3A65" w14:textId="77777777" w:rsidR="00740DA6" w:rsidRPr="00EC5EF1" w:rsidRDefault="00740DA6" w:rsidP="00CB1918">
            <w:pPr>
              <w:pStyle w:val="TableText"/>
              <w:tabs>
                <w:tab w:val="decimal" w:pos="768"/>
              </w:tabs>
            </w:pPr>
            <w:r w:rsidRPr="00EC5EF1">
              <w:t>35</w:t>
            </w:r>
          </w:p>
        </w:tc>
        <w:tc>
          <w:tcPr>
            <w:tcW w:w="1461" w:type="dxa"/>
          </w:tcPr>
          <w:p w14:paraId="6772E0F9" w14:textId="77777777" w:rsidR="00740DA6" w:rsidRPr="00EC5EF1" w:rsidRDefault="00740DA6" w:rsidP="00CB1918">
            <w:pPr>
              <w:pStyle w:val="TableText"/>
              <w:tabs>
                <w:tab w:val="decimal" w:pos="834"/>
              </w:tabs>
            </w:pPr>
            <w:r w:rsidRPr="00EC5EF1">
              <w:t>1,764</w:t>
            </w:r>
          </w:p>
        </w:tc>
        <w:tc>
          <w:tcPr>
            <w:tcW w:w="1843" w:type="dxa"/>
          </w:tcPr>
          <w:p w14:paraId="3D2D97B5" w14:textId="77777777" w:rsidR="00740DA6" w:rsidRPr="00EC5EF1" w:rsidRDefault="00740DA6" w:rsidP="00CB1918">
            <w:pPr>
              <w:pStyle w:val="TableText"/>
              <w:jc w:val="center"/>
            </w:pPr>
            <w:r w:rsidRPr="00EC5EF1">
              <w:t>50.4</w:t>
            </w:r>
          </w:p>
        </w:tc>
      </w:tr>
      <w:tr w:rsidR="00740DA6" w:rsidRPr="00EC5EF1" w14:paraId="16DCB6A9" w14:textId="77777777" w:rsidTr="00125224">
        <w:trPr>
          <w:cantSplit/>
        </w:trPr>
        <w:tc>
          <w:tcPr>
            <w:tcW w:w="1854" w:type="dxa"/>
          </w:tcPr>
          <w:p w14:paraId="43A048F9" w14:textId="77777777" w:rsidR="00740DA6" w:rsidRPr="00EC5EF1" w:rsidRDefault="00740DA6" w:rsidP="00CB1918">
            <w:pPr>
              <w:pStyle w:val="TableText"/>
            </w:pPr>
            <w:r w:rsidRPr="00EC5EF1">
              <w:t>Waikato</w:t>
            </w:r>
          </w:p>
        </w:tc>
        <w:tc>
          <w:tcPr>
            <w:tcW w:w="1461" w:type="dxa"/>
          </w:tcPr>
          <w:p w14:paraId="771C6360" w14:textId="77777777" w:rsidR="00740DA6" w:rsidRPr="00EC5EF1" w:rsidRDefault="00740DA6" w:rsidP="00CB1918">
            <w:pPr>
              <w:pStyle w:val="TableText"/>
              <w:tabs>
                <w:tab w:val="decimal" w:pos="768"/>
              </w:tabs>
            </w:pPr>
            <w:r w:rsidRPr="00EC5EF1">
              <w:t>18</w:t>
            </w:r>
          </w:p>
        </w:tc>
        <w:tc>
          <w:tcPr>
            <w:tcW w:w="1461" w:type="dxa"/>
          </w:tcPr>
          <w:p w14:paraId="171D61CC" w14:textId="77777777" w:rsidR="00740DA6" w:rsidRPr="00EC5EF1" w:rsidRDefault="00740DA6" w:rsidP="00CB1918">
            <w:pPr>
              <w:pStyle w:val="TableText"/>
              <w:tabs>
                <w:tab w:val="decimal" w:pos="768"/>
              </w:tabs>
            </w:pPr>
            <w:r w:rsidRPr="00EC5EF1">
              <w:t>33</w:t>
            </w:r>
          </w:p>
        </w:tc>
        <w:tc>
          <w:tcPr>
            <w:tcW w:w="1461" w:type="dxa"/>
          </w:tcPr>
          <w:p w14:paraId="5D3D95C4" w14:textId="77777777" w:rsidR="00740DA6" w:rsidRPr="00EC5EF1" w:rsidRDefault="00740DA6" w:rsidP="00CB1918">
            <w:pPr>
              <w:pStyle w:val="TableText"/>
              <w:tabs>
                <w:tab w:val="decimal" w:pos="834"/>
              </w:tabs>
            </w:pPr>
            <w:r w:rsidRPr="00EC5EF1">
              <w:t>1,943</w:t>
            </w:r>
          </w:p>
        </w:tc>
        <w:tc>
          <w:tcPr>
            <w:tcW w:w="1843" w:type="dxa"/>
          </w:tcPr>
          <w:p w14:paraId="1EA7650F" w14:textId="77777777" w:rsidR="00740DA6" w:rsidRPr="00EC5EF1" w:rsidRDefault="00740DA6" w:rsidP="00CB1918">
            <w:pPr>
              <w:pStyle w:val="TableText"/>
              <w:jc w:val="center"/>
            </w:pPr>
            <w:r w:rsidRPr="00EC5EF1">
              <w:t>58.9</w:t>
            </w:r>
          </w:p>
        </w:tc>
      </w:tr>
      <w:tr w:rsidR="00740DA6" w:rsidRPr="00EC5EF1" w14:paraId="64F44101" w14:textId="77777777" w:rsidTr="00125224">
        <w:trPr>
          <w:cantSplit/>
        </w:trPr>
        <w:tc>
          <w:tcPr>
            <w:tcW w:w="1854" w:type="dxa"/>
          </w:tcPr>
          <w:p w14:paraId="2C582C71" w14:textId="77777777" w:rsidR="00740DA6" w:rsidRPr="00EC5EF1" w:rsidRDefault="00740DA6" w:rsidP="00CB1918">
            <w:pPr>
              <w:pStyle w:val="TableText"/>
            </w:pPr>
            <w:proofErr w:type="spellStart"/>
            <w:r w:rsidRPr="00EC5EF1">
              <w:t>Waitemata</w:t>
            </w:r>
            <w:proofErr w:type="spellEnd"/>
          </w:p>
        </w:tc>
        <w:tc>
          <w:tcPr>
            <w:tcW w:w="1461" w:type="dxa"/>
          </w:tcPr>
          <w:p w14:paraId="4DADA39F" w14:textId="77777777" w:rsidR="00740DA6" w:rsidRPr="00EC5EF1" w:rsidRDefault="00740DA6" w:rsidP="00CB1918">
            <w:pPr>
              <w:pStyle w:val="TableText"/>
              <w:tabs>
                <w:tab w:val="decimal" w:pos="768"/>
              </w:tabs>
            </w:pPr>
            <w:r w:rsidRPr="00EC5EF1">
              <w:t>38</w:t>
            </w:r>
          </w:p>
        </w:tc>
        <w:tc>
          <w:tcPr>
            <w:tcW w:w="1461" w:type="dxa"/>
          </w:tcPr>
          <w:p w14:paraId="196AE9EC" w14:textId="77777777" w:rsidR="00740DA6" w:rsidRPr="00EC5EF1" w:rsidRDefault="00740DA6" w:rsidP="00CB1918">
            <w:pPr>
              <w:pStyle w:val="TableText"/>
              <w:tabs>
                <w:tab w:val="decimal" w:pos="768"/>
              </w:tabs>
            </w:pPr>
            <w:r w:rsidRPr="00EC5EF1">
              <w:t>158</w:t>
            </w:r>
          </w:p>
        </w:tc>
        <w:tc>
          <w:tcPr>
            <w:tcW w:w="1461" w:type="dxa"/>
          </w:tcPr>
          <w:p w14:paraId="359CD070" w14:textId="77777777" w:rsidR="00740DA6" w:rsidRPr="00EC5EF1" w:rsidRDefault="00740DA6" w:rsidP="00CB1918">
            <w:pPr>
              <w:pStyle w:val="TableText"/>
              <w:tabs>
                <w:tab w:val="decimal" w:pos="834"/>
              </w:tabs>
            </w:pPr>
            <w:r w:rsidRPr="00EC5EF1">
              <w:t>4,777</w:t>
            </w:r>
          </w:p>
        </w:tc>
        <w:tc>
          <w:tcPr>
            <w:tcW w:w="1843" w:type="dxa"/>
          </w:tcPr>
          <w:p w14:paraId="5BF51A06" w14:textId="77777777" w:rsidR="00740DA6" w:rsidRPr="00EC5EF1" w:rsidRDefault="00740DA6" w:rsidP="00CB1918">
            <w:pPr>
              <w:pStyle w:val="TableText"/>
              <w:jc w:val="center"/>
            </w:pPr>
            <w:r w:rsidRPr="00EC5EF1">
              <w:t>30.2</w:t>
            </w:r>
          </w:p>
        </w:tc>
      </w:tr>
      <w:tr w:rsidR="00740DA6" w:rsidRPr="00EC5EF1" w14:paraId="111F19A1" w14:textId="77777777" w:rsidTr="00125224">
        <w:trPr>
          <w:cantSplit/>
        </w:trPr>
        <w:tc>
          <w:tcPr>
            <w:tcW w:w="1854" w:type="dxa"/>
          </w:tcPr>
          <w:p w14:paraId="096EA1A0" w14:textId="77777777" w:rsidR="00740DA6" w:rsidRPr="00EC5EF1" w:rsidRDefault="00740DA6" w:rsidP="00CB1918">
            <w:pPr>
              <w:pStyle w:val="TableText"/>
            </w:pPr>
            <w:r w:rsidRPr="00EC5EF1">
              <w:t>Whanganui</w:t>
            </w:r>
          </w:p>
        </w:tc>
        <w:tc>
          <w:tcPr>
            <w:tcW w:w="1461" w:type="dxa"/>
          </w:tcPr>
          <w:p w14:paraId="743B3DEE" w14:textId="77777777" w:rsidR="00740DA6" w:rsidRPr="00EC5EF1" w:rsidRDefault="00740DA6" w:rsidP="00CB1918">
            <w:pPr>
              <w:pStyle w:val="TableText"/>
              <w:tabs>
                <w:tab w:val="decimal" w:pos="768"/>
              </w:tabs>
            </w:pPr>
            <w:r w:rsidRPr="00EC5EF1">
              <w:t>1</w:t>
            </w:r>
          </w:p>
        </w:tc>
        <w:tc>
          <w:tcPr>
            <w:tcW w:w="1461" w:type="dxa"/>
          </w:tcPr>
          <w:p w14:paraId="1FC3C641" w14:textId="77777777" w:rsidR="00740DA6" w:rsidRPr="00EC5EF1" w:rsidRDefault="00740DA6" w:rsidP="00CB1918">
            <w:pPr>
              <w:pStyle w:val="TableText"/>
              <w:tabs>
                <w:tab w:val="decimal" w:pos="768"/>
              </w:tabs>
            </w:pPr>
            <w:r w:rsidRPr="00EC5EF1">
              <w:t>1</w:t>
            </w:r>
          </w:p>
        </w:tc>
        <w:tc>
          <w:tcPr>
            <w:tcW w:w="1461" w:type="dxa"/>
          </w:tcPr>
          <w:p w14:paraId="34996994" w14:textId="77777777" w:rsidR="00740DA6" w:rsidRPr="00EC5EF1" w:rsidRDefault="00740DA6" w:rsidP="00CB1918">
            <w:pPr>
              <w:pStyle w:val="TableText"/>
              <w:tabs>
                <w:tab w:val="decimal" w:pos="834"/>
              </w:tabs>
            </w:pPr>
            <w:r w:rsidRPr="00EC5EF1">
              <w:t>96</w:t>
            </w:r>
          </w:p>
        </w:tc>
        <w:tc>
          <w:tcPr>
            <w:tcW w:w="1843" w:type="dxa"/>
          </w:tcPr>
          <w:p w14:paraId="7C7434EB" w14:textId="77777777" w:rsidR="00740DA6" w:rsidRPr="00EC5EF1" w:rsidRDefault="00740DA6" w:rsidP="00CB1918">
            <w:pPr>
              <w:pStyle w:val="TableText"/>
              <w:jc w:val="center"/>
            </w:pPr>
            <w:r w:rsidRPr="00EC5EF1">
              <w:t>96.3</w:t>
            </w:r>
          </w:p>
        </w:tc>
      </w:tr>
      <w:tr w:rsidR="00740DA6" w:rsidRPr="00EC5EF1" w14:paraId="4C345288" w14:textId="77777777" w:rsidTr="00125224">
        <w:trPr>
          <w:cantSplit/>
        </w:trPr>
        <w:tc>
          <w:tcPr>
            <w:tcW w:w="1854" w:type="dxa"/>
          </w:tcPr>
          <w:p w14:paraId="7126EB82" w14:textId="77777777" w:rsidR="00740DA6" w:rsidRPr="00EC5EF1" w:rsidRDefault="00740DA6" w:rsidP="00CB1918">
            <w:pPr>
              <w:pStyle w:val="TableText"/>
            </w:pPr>
            <w:r w:rsidRPr="00EC5EF1">
              <w:t>Total</w:t>
            </w:r>
          </w:p>
        </w:tc>
        <w:tc>
          <w:tcPr>
            <w:tcW w:w="1461" w:type="dxa"/>
          </w:tcPr>
          <w:p w14:paraId="7D25D900" w14:textId="77777777" w:rsidR="00740DA6" w:rsidRPr="00EC5EF1" w:rsidRDefault="00740DA6" w:rsidP="00CB1918">
            <w:pPr>
              <w:pStyle w:val="TableText"/>
              <w:tabs>
                <w:tab w:val="decimal" w:pos="768"/>
              </w:tabs>
            </w:pPr>
            <w:r w:rsidRPr="00EC5EF1">
              <w:t>83</w:t>
            </w:r>
          </w:p>
        </w:tc>
        <w:tc>
          <w:tcPr>
            <w:tcW w:w="1461" w:type="dxa"/>
          </w:tcPr>
          <w:p w14:paraId="3002E217" w14:textId="77777777" w:rsidR="00740DA6" w:rsidRPr="00EC5EF1" w:rsidRDefault="00740DA6" w:rsidP="00CB1918">
            <w:pPr>
              <w:pStyle w:val="TableText"/>
              <w:tabs>
                <w:tab w:val="decimal" w:pos="768"/>
              </w:tabs>
            </w:pPr>
            <w:r w:rsidRPr="00EC5EF1">
              <w:t>350</w:t>
            </w:r>
          </w:p>
        </w:tc>
        <w:tc>
          <w:tcPr>
            <w:tcW w:w="1461" w:type="dxa"/>
          </w:tcPr>
          <w:p w14:paraId="79A86764" w14:textId="77777777" w:rsidR="00740DA6" w:rsidRPr="00EC5EF1" w:rsidRDefault="00740DA6" w:rsidP="00CB1918">
            <w:pPr>
              <w:pStyle w:val="TableText"/>
              <w:tabs>
                <w:tab w:val="decimal" w:pos="834"/>
              </w:tabs>
            </w:pPr>
            <w:r w:rsidRPr="00EC5EF1">
              <w:t>11,442</w:t>
            </w:r>
          </w:p>
        </w:tc>
        <w:tc>
          <w:tcPr>
            <w:tcW w:w="1843" w:type="dxa"/>
          </w:tcPr>
          <w:p w14:paraId="4C935BC4" w14:textId="77777777" w:rsidR="00740DA6" w:rsidRPr="00EC5EF1" w:rsidRDefault="00740DA6" w:rsidP="00CB1918">
            <w:pPr>
              <w:pStyle w:val="TableText"/>
              <w:jc w:val="center"/>
            </w:pPr>
            <w:r w:rsidRPr="00EC5EF1">
              <w:t>32.7</w:t>
            </w:r>
          </w:p>
        </w:tc>
      </w:tr>
    </w:tbl>
    <w:p w14:paraId="0E4F0D91" w14:textId="77777777" w:rsidR="00740DA6" w:rsidRPr="00EC5EF1" w:rsidRDefault="00740DA6" w:rsidP="005116F2">
      <w:pPr>
        <w:pStyle w:val="Note"/>
      </w:pPr>
      <w:r w:rsidRPr="00EC5EF1">
        <w:t xml:space="preserve">Notes: The sum of the total clients does not match the total reported because two clients were seen by both Waikato and </w:t>
      </w:r>
      <w:proofErr w:type="spellStart"/>
      <w:r w:rsidRPr="00EC5EF1">
        <w:t>Waitemata</w:t>
      </w:r>
      <w:proofErr w:type="spellEnd"/>
      <w:r w:rsidRPr="00EC5EF1">
        <w:t xml:space="preserve"> DHBs.</w:t>
      </w:r>
    </w:p>
    <w:p w14:paraId="09C82535" w14:textId="77777777" w:rsidR="00740DA6" w:rsidRPr="00EC5EF1" w:rsidRDefault="00740DA6" w:rsidP="005116F2">
      <w:pPr>
        <w:pStyle w:val="Note"/>
      </w:pPr>
      <w:r w:rsidRPr="00EC5EF1">
        <w:t>Clients are aged 20–64 years. Clients are mental health services only.</w:t>
      </w:r>
    </w:p>
    <w:p w14:paraId="5E481833" w14:textId="77CE52F8" w:rsidR="00740DA6" w:rsidRPr="00EC5EF1" w:rsidRDefault="00740DA6" w:rsidP="005116F2">
      <w:pPr>
        <w:pStyle w:val="Source"/>
      </w:pPr>
      <w:r w:rsidRPr="00EC5EF1">
        <w:t>Source: PRIMHD data extracted on 17 August 2018; Southern DHB supplied data manually</w:t>
      </w:r>
    </w:p>
    <w:p w14:paraId="0ED55457" w14:textId="71887901" w:rsidR="00740DA6" w:rsidRDefault="00740DA6" w:rsidP="00CB1918"/>
    <w:p w14:paraId="417D8635" w14:textId="77777777" w:rsidR="00740DA6" w:rsidRPr="00EC5EF1" w:rsidRDefault="00740DA6" w:rsidP="00CB1918">
      <w:pPr>
        <w:pStyle w:val="Heading2"/>
      </w:pPr>
      <w:bookmarkStart w:id="102" w:name="_Toc2845672"/>
      <w:r w:rsidRPr="00EC5EF1">
        <w:t>Forensic mental health services</w:t>
      </w:r>
      <w:bookmarkEnd w:id="102"/>
    </w:p>
    <w:p w14:paraId="079288AF" w14:textId="77777777" w:rsidR="00740DA6" w:rsidRPr="00EC5EF1" w:rsidRDefault="00740DA6" w:rsidP="00CB1918">
      <w:pPr>
        <w:pStyle w:val="Heading3"/>
      </w:pPr>
      <w:bookmarkStart w:id="103" w:name="_Toc2845673"/>
      <w:r w:rsidRPr="00EC5EF1">
        <w:t>Special and restricted patients</w:t>
      </w:r>
      <w:bookmarkEnd w:id="103"/>
    </w:p>
    <w:p w14:paraId="1B92447E" w14:textId="77777777" w:rsidR="00740DA6" w:rsidRPr="00EC5EF1" w:rsidRDefault="00740DA6" w:rsidP="00CB1918">
      <w:pPr>
        <w:keepLines/>
      </w:pPr>
      <w:r w:rsidRPr="00EC5EF1">
        <w:t>New Zealand legislation specifically allows for people who have been charged with or convicted of an offence and meet certain criteria in terms of their mental illness to be treated for that condition in hospital. Treating mental illness is an important step towards helping an individual address the reasons for their offending. In doing so, they can reduce their chances of re-offending and significantly improve their wellbeing.</w:t>
      </w:r>
    </w:p>
    <w:p w14:paraId="4AC67E55" w14:textId="77777777" w:rsidR="005116F2" w:rsidRDefault="005116F2" w:rsidP="005116F2"/>
    <w:p w14:paraId="555A61F9" w14:textId="1770033C" w:rsidR="00740DA6" w:rsidRDefault="00740DA6" w:rsidP="005116F2">
      <w:r w:rsidRPr="00EC5EF1">
        <w:t>The terms ‘special patient’ and ‘restricted patient’ refer to mentally ill offenders detained in a forensic mental health service under specific legislative</w:t>
      </w:r>
      <w:r w:rsidR="00DE0BB2">
        <w:t xml:space="preserve"> </w:t>
      </w:r>
      <w:r w:rsidRPr="00EC5EF1">
        <w:t>provisions.</w:t>
      </w:r>
      <w:r w:rsidR="005116F2">
        <w:rPr>
          <w:rStyle w:val="FootnoteReference"/>
        </w:rPr>
        <w:footnoteReference w:id="34"/>
      </w:r>
    </w:p>
    <w:p w14:paraId="3F38E4E5" w14:textId="77777777" w:rsidR="005116F2" w:rsidRPr="005116F2" w:rsidRDefault="005116F2" w:rsidP="005116F2"/>
    <w:p w14:paraId="076D8340" w14:textId="7FC385AC" w:rsidR="00740DA6" w:rsidRPr="00EC5EF1" w:rsidRDefault="00740DA6" w:rsidP="005116F2">
      <w:r w:rsidRPr="005116F2">
        <w:rPr>
          <w:b/>
        </w:rPr>
        <w:t>Special patients</w:t>
      </w:r>
      <w:r w:rsidR="005116F2" w:rsidRPr="005116F2">
        <w:rPr>
          <w:rStyle w:val="FootnoteReference"/>
        </w:rPr>
        <w:footnoteReference w:id="35"/>
      </w:r>
      <w:r w:rsidR="005116F2" w:rsidRPr="005116F2">
        <w:t xml:space="preserve"> </w:t>
      </w:r>
      <w:r w:rsidRPr="00EC5EF1">
        <w:t>include:</w:t>
      </w:r>
    </w:p>
    <w:p w14:paraId="0F50D00C" w14:textId="0D274AE2" w:rsidR="00740DA6" w:rsidRPr="00EC5EF1" w:rsidRDefault="00740DA6" w:rsidP="005116F2">
      <w:pPr>
        <w:pStyle w:val="Bullet"/>
      </w:pPr>
      <w:r w:rsidRPr="00EC5EF1">
        <w:t>people charged with, or convicted of, a criminal offence and remanded to a hospital for a psychiatric</w:t>
      </w:r>
      <w:r w:rsidR="00DE0BB2">
        <w:t xml:space="preserve"> </w:t>
      </w:r>
      <w:r w:rsidRPr="00EC5EF1">
        <w:t>report</w:t>
      </w:r>
    </w:p>
    <w:p w14:paraId="2A4A0CC4" w14:textId="77777777" w:rsidR="00740DA6" w:rsidRPr="00EC5EF1" w:rsidRDefault="00740DA6" w:rsidP="005116F2">
      <w:pPr>
        <w:pStyle w:val="Bullet"/>
      </w:pPr>
      <w:r w:rsidRPr="00EC5EF1">
        <w:t>remanded or sentenced prisoners transferred from prison to a hospital</w:t>
      </w:r>
    </w:p>
    <w:p w14:paraId="75D87BB7" w14:textId="77777777" w:rsidR="00740DA6" w:rsidRPr="00EC5EF1" w:rsidRDefault="00740DA6" w:rsidP="005116F2">
      <w:pPr>
        <w:pStyle w:val="Bullet"/>
      </w:pPr>
      <w:r w:rsidRPr="00EC5EF1">
        <w:t>defendants found not guilty by reason of insanity (see Appendix 3: Special and restricted patients)</w:t>
      </w:r>
    </w:p>
    <w:p w14:paraId="0D0F0462" w14:textId="77777777" w:rsidR="00740DA6" w:rsidRPr="00EC5EF1" w:rsidRDefault="00740DA6" w:rsidP="00A20F1B">
      <w:pPr>
        <w:pStyle w:val="Bullet"/>
        <w:keepNext/>
      </w:pPr>
      <w:r w:rsidRPr="00EC5EF1">
        <w:lastRenderedPageBreak/>
        <w:t>defendants who are unfit to stand trial</w:t>
      </w:r>
    </w:p>
    <w:p w14:paraId="1427E278" w14:textId="0AEC0F13" w:rsidR="00740DA6" w:rsidRDefault="00740DA6" w:rsidP="005116F2">
      <w:pPr>
        <w:pStyle w:val="Bullet"/>
      </w:pPr>
      <w:proofErr w:type="gramStart"/>
      <w:r w:rsidRPr="00EC5EF1">
        <w:t>people</w:t>
      </w:r>
      <w:proofErr w:type="gramEnd"/>
      <w:r w:rsidRPr="00EC5EF1">
        <w:t xml:space="preserve"> who have been convicted of a criminal offence and both sentenced to a term of imprisonment and placed under a compulsory treatment order.</w:t>
      </w:r>
    </w:p>
    <w:p w14:paraId="1D0AFB7C" w14:textId="77777777" w:rsidR="005116F2" w:rsidRPr="00EC5EF1" w:rsidRDefault="005116F2" w:rsidP="005116F2"/>
    <w:p w14:paraId="5927D847" w14:textId="52D6D5C9" w:rsidR="00740DA6" w:rsidRDefault="00740DA6" w:rsidP="005116F2">
      <w:r w:rsidRPr="00A20F1B">
        <w:rPr>
          <w:b/>
          <w:noProof/>
          <w:lang w:eastAsia="en-NZ"/>
        </w:rPr>
        <w:drawing>
          <wp:anchor distT="0" distB="0" distL="0" distR="0" simplePos="0" relativeHeight="251769856" behindDoc="0" locked="0" layoutInCell="1" allowOverlap="1" wp14:anchorId="2434EAF0" wp14:editId="16D45238">
            <wp:simplePos x="0" y="0"/>
            <wp:positionH relativeFrom="page">
              <wp:posOffset>8060163</wp:posOffset>
            </wp:positionH>
            <wp:positionV relativeFrom="paragraph">
              <wp:posOffset>63709</wp:posOffset>
            </wp:positionV>
            <wp:extent cx="155575" cy="155575"/>
            <wp:effectExtent l="0" t="0" r="0" b="0"/>
            <wp:wrapNone/>
            <wp:docPr id="29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A20F1B">
        <w:rPr>
          <w:b/>
        </w:rPr>
        <w:t>Restricted patients</w:t>
      </w:r>
      <w:r w:rsidRPr="005116F2">
        <w:t xml:space="preserve"> </w:t>
      </w:r>
      <w:r w:rsidRPr="00EC5EF1">
        <w:t>are people detained by a court order because they pose a danger to others. Restricted patients are generally subject to the same leave provisions as the provisions that apply to special patients.</w:t>
      </w:r>
    </w:p>
    <w:p w14:paraId="4A132AB8" w14:textId="43430D19" w:rsidR="005116F2" w:rsidRDefault="005116F2" w:rsidP="005116F2"/>
    <w:p w14:paraId="68A10EF5" w14:textId="77777777" w:rsidR="00740DA6" w:rsidRPr="00EC5EF1" w:rsidRDefault="00740DA6" w:rsidP="00CB1918">
      <w:pPr>
        <w:pStyle w:val="Heading3"/>
      </w:pPr>
      <w:bookmarkStart w:id="104" w:name="_Toc2845674"/>
      <w:r w:rsidRPr="00EC5EF1">
        <w:t>Forensic mental health services</w:t>
      </w:r>
      <w:bookmarkEnd w:id="104"/>
    </w:p>
    <w:p w14:paraId="05C7ADD1" w14:textId="77777777" w:rsidR="00740DA6" w:rsidRPr="00EC5EF1" w:rsidRDefault="00740DA6" w:rsidP="005116F2">
      <w:r w:rsidRPr="00EC5EF1">
        <w:t>Forensic mental health services are responsible for the care and treatment of special patients and restricted patients within the legislative framework of the Mental Health Act and the Criminal Procedure (Mentally Impaired Persons) Act 2003 (the CP (MIP) Act).</w:t>
      </w:r>
    </w:p>
    <w:p w14:paraId="1F0314B4" w14:textId="77777777" w:rsidR="005116F2" w:rsidRDefault="005116F2" w:rsidP="005116F2"/>
    <w:p w14:paraId="5863D21D" w14:textId="5C5AB5F3" w:rsidR="00740DA6" w:rsidRPr="00EC5EF1" w:rsidRDefault="00740DA6" w:rsidP="005116F2">
      <w:r w:rsidRPr="00EC5EF1">
        <w:t>When managing special patients, forensic mental health services are required to balance the rights, treatment and rehabilitative needs of the individual patient against the safety of the public and the concerns of any victims.</w:t>
      </w:r>
    </w:p>
    <w:p w14:paraId="6A92C0AF" w14:textId="77777777" w:rsidR="005116F2" w:rsidRDefault="005116F2" w:rsidP="005116F2"/>
    <w:p w14:paraId="08807C4E" w14:textId="543E06AB" w:rsidR="00740DA6" w:rsidRPr="00EC5EF1" w:rsidRDefault="00740DA6" w:rsidP="00A20F1B">
      <w:r w:rsidRPr="00EC5EF1">
        <w:t>The clinical management of special patients lies with the patient’s responsible clinician. However, leave and change of legal status require consideration and approval by the Director of Mental Health, and (depending on the legal status of the patient) the Minister of Health and/or the Attorney-General. This level of decision- making reflects the seriousness of special patients’ status and the need to ensure that a wide range of factors are considered when making decisions about such</w:t>
      </w:r>
      <w:r w:rsidR="00DE0BB2">
        <w:t xml:space="preserve"> </w:t>
      </w:r>
      <w:r w:rsidRPr="00EC5EF1">
        <w:t>patients.</w:t>
      </w:r>
    </w:p>
    <w:p w14:paraId="442D60AD" w14:textId="77777777" w:rsidR="00740DA6" w:rsidRPr="00EC5EF1" w:rsidRDefault="00740DA6" w:rsidP="00740DA6">
      <w:pPr>
        <w:rPr>
          <w:sz w:val="20"/>
        </w:rPr>
      </w:pPr>
    </w:p>
    <w:p w14:paraId="2A372369" w14:textId="35037D13" w:rsidR="00740DA6" w:rsidRPr="00EC5EF1" w:rsidRDefault="00740DA6" w:rsidP="005116F2">
      <w:r w:rsidRPr="00EC5EF1">
        <w:t xml:space="preserve">Special and restricted patients are detained in the care of one of five regional forensic psychiatry services throughout New Zealand under the jurisdiction of </w:t>
      </w:r>
      <w:proofErr w:type="spellStart"/>
      <w:r w:rsidRPr="00EC5EF1">
        <w:t>Waitemata</w:t>
      </w:r>
      <w:proofErr w:type="spellEnd"/>
      <w:r w:rsidRPr="00EC5EF1">
        <w:t>, Waikato, Capital &amp; Coast, Canterbury and Southern DHBs.</w:t>
      </w:r>
      <w:r w:rsidR="005116F2">
        <w:rPr>
          <w:rStyle w:val="FootnoteReference"/>
        </w:rPr>
        <w:footnoteReference w:id="36"/>
      </w:r>
      <w:r w:rsidR="005116F2">
        <w:t xml:space="preserve"> </w:t>
      </w:r>
      <w:r w:rsidRPr="00EC5EF1">
        <w:t>These services develop management plans to progressively reintegrate people into the community as treatment improves their mental health.</w:t>
      </w:r>
    </w:p>
    <w:p w14:paraId="0F94B87F" w14:textId="77777777" w:rsidR="005116F2" w:rsidRDefault="005116F2" w:rsidP="005116F2"/>
    <w:p w14:paraId="20563562" w14:textId="792ABF36" w:rsidR="00740DA6" w:rsidRPr="005116F2" w:rsidRDefault="00740DA6" w:rsidP="005116F2">
      <w:r w:rsidRPr="00EC5EF1">
        <w:t>During 2017, there were 378 people with special patient status. On any given day, there were approximately 196 people with special patient status.</w:t>
      </w:r>
      <w:r w:rsidR="005116F2">
        <w:rPr>
          <w:rStyle w:val="FootnoteReference"/>
        </w:rPr>
        <w:footnoteReference w:id="37"/>
      </w:r>
    </w:p>
    <w:p w14:paraId="264AB9F5" w14:textId="77777777" w:rsidR="00740DA6" w:rsidRPr="00EC5EF1" w:rsidRDefault="00740DA6" w:rsidP="005116F2"/>
    <w:p w14:paraId="1BCCBF2D" w14:textId="77777777" w:rsidR="00740DA6" w:rsidRPr="00EC5EF1" w:rsidRDefault="00740DA6" w:rsidP="005116F2">
      <w:pPr>
        <w:pStyle w:val="Figure"/>
      </w:pPr>
      <w:bookmarkStart w:id="105" w:name="_Toc2845730"/>
      <w:r w:rsidRPr="00EC5EF1">
        <w:lastRenderedPageBreak/>
        <w:t>Figure 28: Total number of special patients, by DHB, 1 January to 31 December 2017</w:t>
      </w:r>
      <w:bookmarkEnd w:id="105"/>
    </w:p>
    <w:p w14:paraId="18CEECA7" w14:textId="7A8EC458" w:rsidR="00740DA6" w:rsidRPr="00EC5EF1" w:rsidRDefault="00A20F1B" w:rsidP="005116F2">
      <w:r>
        <w:rPr>
          <w:noProof/>
          <w:lang w:eastAsia="en-NZ"/>
        </w:rPr>
        <w:drawing>
          <wp:inline distT="0" distB="0" distL="0" distR="0" wp14:anchorId="520F6E96" wp14:editId="67FAA9FE">
            <wp:extent cx="5130165" cy="2410333"/>
            <wp:effectExtent l="0" t="0" r="0" b="9525"/>
            <wp:docPr id="40" name="Picture 40" title="Figure 28: Total number of special patients, by DHB, 1 January to 31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130165" cy="2410333"/>
                    </a:xfrm>
                    <a:prstGeom prst="rect">
                      <a:avLst/>
                    </a:prstGeom>
                  </pic:spPr>
                </pic:pic>
              </a:graphicData>
            </a:graphic>
          </wp:inline>
        </w:drawing>
      </w:r>
    </w:p>
    <w:p w14:paraId="207C7B4D" w14:textId="34B93801" w:rsidR="00740DA6" w:rsidRDefault="00740DA6" w:rsidP="005116F2">
      <w:pPr>
        <w:pStyle w:val="Source"/>
      </w:pPr>
      <w:r w:rsidRPr="00EC5EF1">
        <w:t>Source: PRIMHD collection, extracted on 14 August 2018</w:t>
      </w:r>
    </w:p>
    <w:p w14:paraId="166A51AD" w14:textId="77777777" w:rsidR="005116F2" w:rsidRPr="005116F2" w:rsidRDefault="005116F2" w:rsidP="005116F2"/>
    <w:p w14:paraId="62930C97" w14:textId="77777777" w:rsidR="00740DA6" w:rsidRPr="00EC5EF1" w:rsidRDefault="00740DA6" w:rsidP="00CB1918">
      <w:pPr>
        <w:pStyle w:val="Heading3"/>
      </w:pPr>
      <w:bookmarkStart w:id="106" w:name="_Toc2845675"/>
      <w:r w:rsidRPr="00EC5EF1">
        <w:t>Extended forensic care (EFC) special patients</w:t>
      </w:r>
      <w:bookmarkEnd w:id="106"/>
    </w:p>
    <w:p w14:paraId="3E56F1F8" w14:textId="03577EC0" w:rsidR="00740DA6" w:rsidRPr="00EC5EF1" w:rsidRDefault="00740DA6" w:rsidP="005116F2">
      <w:r w:rsidRPr="00EC5EF1">
        <w:t>‘EFC special patients’ refers to patients who have been detained in a forensic mental health service. These special patients have been found not guilty by reason of insanity or unfit to stand trial and have been remanded to one of the five forensic mental</w:t>
      </w:r>
      <w:r w:rsidR="00DE0BB2">
        <w:t xml:space="preserve"> </w:t>
      </w:r>
      <w:r w:rsidRPr="00EC5EF1">
        <w:t>health facilities in New Zealand under section 24(2)(a) of the CP (MIP) Act.</w:t>
      </w:r>
    </w:p>
    <w:p w14:paraId="772B1474" w14:textId="77777777" w:rsidR="005116F2" w:rsidRDefault="005116F2" w:rsidP="005116F2"/>
    <w:p w14:paraId="288D8D43" w14:textId="3CC89C90" w:rsidR="00740DA6" w:rsidRPr="00EC5EF1" w:rsidRDefault="00740DA6" w:rsidP="005116F2">
      <w:r w:rsidRPr="00EC5EF1">
        <w:t>Also included in these statistics are patients subject to a restricted patient order (section 55 of the Mental Health Act). In 2017, there were a total of 139 EFC special patients.</w:t>
      </w:r>
    </w:p>
    <w:p w14:paraId="422C70F4" w14:textId="0467A3FD" w:rsidR="005116F2" w:rsidRDefault="005116F2" w:rsidP="005116F2"/>
    <w:p w14:paraId="597118D5" w14:textId="4ABCA5AB" w:rsidR="00740DA6" w:rsidRPr="00EC5EF1" w:rsidRDefault="00740DA6" w:rsidP="005116F2">
      <w:r w:rsidRPr="00EC5EF1">
        <w:t>EFC special patients are categorised primarily by a severe psychiatric disorder that significantly influenced a crime that they committed, such that the person had little understanding of the nature of the act (see Appendix 3: Special and restricted patients for a description of the insanity defence). Restricted patients pose a danger to themselves and other people such that they are detained to a forensic mental health service. Restricted patients are subject to the same provisions as special patients, though they may not have necessarily committed a crime to be detained under special patient status. They may have also been transferred from prison or previously had a special patient status that was changed when their sentence ended.</w:t>
      </w:r>
    </w:p>
    <w:p w14:paraId="62D286E2" w14:textId="77777777" w:rsidR="00740DA6" w:rsidRPr="00EC5EF1" w:rsidRDefault="00740DA6" w:rsidP="00740DA6">
      <w:pPr>
        <w:rPr>
          <w:sz w:val="20"/>
        </w:rPr>
      </w:pPr>
    </w:p>
    <w:p w14:paraId="2BE85A34" w14:textId="77777777" w:rsidR="00740DA6" w:rsidRPr="00EC5EF1" w:rsidRDefault="00740DA6" w:rsidP="00CB1918">
      <w:pPr>
        <w:pStyle w:val="Heading3"/>
      </w:pPr>
      <w:bookmarkStart w:id="107" w:name="_Toc2845676"/>
      <w:r w:rsidRPr="00EC5EF1">
        <w:t>Short-term forensic care (SFC) special patients</w:t>
      </w:r>
      <w:bookmarkEnd w:id="107"/>
    </w:p>
    <w:p w14:paraId="0BD945E0" w14:textId="68F78E10" w:rsidR="00740DA6" w:rsidRDefault="00740DA6" w:rsidP="00CB1918">
      <w:r w:rsidRPr="00EC5EF1">
        <w:t>‘SFC special patients’ refers to patients transferred to a forensic mental health service from prison for compulsory mental health assessment and treatment (including those under a ‘hybrid order’). In 2017, there were a total of 254 SFC special patients.</w:t>
      </w:r>
    </w:p>
    <w:p w14:paraId="7C11E05D" w14:textId="77777777" w:rsidR="00CB1918" w:rsidRPr="00EC5EF1" w:rsidRDefault="00CB1918" w:rsidP="00CB1918"/>
    <w:p w14:paraId="295A52B5" w14:textId="54D946D8" w:rsidR="00740DA6" w:rsidRDefault="00740DA6" w:rsidP="00A20F1B">
      <w:pPr>
        <w:keepLines/>
      </w:pPr>
      <w:r w:rsidRPr="00EC5EF1">
        <w:lastRenderedPageBreak/>
        <w:t>Once a person has been sentenced to a term of imprisonment, any compulsory mental health treatment order relating to them ceases to have effect. Remand prisoners may remain on a pre-existing compulsory treatment order, but it is unlawful to enforce compulsory treatment in the prison environment.</w:t>
      </w:r>
    </w:p>
    <w:p w14:paraId="2E7FBE70" w14:textId="77777777" w:rsidR="00CB1918" w:rsidRPr="00EC5EF1" w:rsidRDefault="00CB1918" w:rsidP="00CB1918"/>
    <w:p w14:paraId="373C87A2" w14:textId="6A58A4B1" w:rsidR="00740DA6" w:rsidRPr="00EC5EF1" w:rsidRDefault="00740DA6" w:rsidP="00CB1918">
      <w:r w:rsidRPr="00EC5EF1">
        <w:t>If a mentally disordered prisoner requires compulsory assessment and/or treatment, section 45 of the Mental Health Act provides for their transfer to hospital. Section</w:t>
      </w:r>
      <w:r w:rsidR="00CB1918">
        <w:t> </w:t>
      </w:r>
      <w:r w:rsidRPr="00EC5EF1">
        <w:t>46 allows for voluntary admission to hospital with the approval of the prison superintendent. Services must notify the Director of Mental Health of all such admissions. On advice from services, the Director can direct the person’s return to prison under section 47 of the Mental Health Act.</w:t>
      </w:r>
    </w:p>
    <w:p w14:paraId="282C1058" w14:textId="77777777" w:rsidR="00740DA6" w:rsidRPr="00EC5EF1" w:rsidRDefault="00740DA6" w:rsidP="00125224"/>
    <w:p w14:paraId="3D7BC62D" w14:textId="17FFB9CE" w:rsidR="00740DA6" w:rsidRDefault="00740DA6" w:rsidP="005116F2">
      <w:pPr>
        <w:pStyle w:val="Table"/>
      </w:pPr>
      <w:bookmarkStart w:id="108" w:name="_Toc2845752"/>
      <w:r w:rsidRPr="00EC5EF1">
        <w:t>Table 8: Total number of special patients, by type and DHB, 1 January to 31</w:t>
      </w:r>
      <w:r w:rsidR="005116F2">
        <w:t> </w:t>
      </w:r>
      <w:r w:rsidRPr="00EC5EF1">
        <w:t>December 2017</w:t>
      </w:r>
      <w:bookmarkEnd w:id="108"/>
    </w:p>
    <w:tbl>
      <w:tblPr>
        <w:tblW w:w="8080" w:type="dxa"/>
        <w:tblInd w:w="57" w:type="dxa"/>
        <w:tblLayout w:type="fixed"/>
        <w:tblCellMar>
          <w:left w:w="57" w:type="dxa"/>
          <w:right w:w="57" w:type="dxa"/>
        </w:tblCellMar>
        <w:tblLook w:val="01E0" w:firstRow="1" w:lastRow="1" w:firstColumn="1" w:lastColumn="1" w:noHBand="0" w:noVBand="0"/>
      </w:tblPr>
      <w:tblGrid>
        <w:gridCol w:w="1843"/>
        <w:gridCol w:w="2015"/>
        <w:gridCol w:w="2111"/>
        <w:gridCol w:w="2111"/>
      </w:tblGrid>
      <w:tr w:rsidR="00D56CBB" w:rsidRPr="00CB1918" w14:paraId="29CB7433" w14:textId="77777777" w:rsidTr="00125224">
        <w:trPr>
          <w:cantSplit/>
        </w:trPr>
        <w:tc>
          <w:tcPr>
            <w:tcW w:w="1843" w:type="dxa"/>
            <w:shd w:val="clear" w:color="auto" w:fill="D9D9D9" w:themeFill="background1" w:themeFillShade="D9"/>
          </w:tcPr>
          <w:p w14:paraId="1C2F9726" w14:textId="49C330C0" w:rsidR="00D56CBB" w:rsidRPr="00CB1918" w:rsidRDefault="00D56CBB" w:rsidP="00C66809">
            <w:pPr>
              <w:pStyle w:val="TableText"/>
              <w:rPr>
                <w:b/>
              </w:rPr>
            </w:pPr>
            <w:r>
              <w:rPr>
                <w:b/>
              </w:rPr>
              <w:t>Forensic services</w:t>
            </w:r>
          </w:p>
        </w:tc>
        <w:tc>
          <w:tcPr>
            <w:tcW w:w="2015" w:type="dxa"/>
            <w:shd w:val="clear" w:color="auto" w:fill="D9D9D9" w:themeFill="background1" w:themeFillShade="D9"/>
          </w:tcPr>
          <w:p w14:paraId="68C6607F" w14:textId="25C3D5DC" w:rsidR="00D56CBB" w:rsidRPr="00CB1918" w:rsidRDefault="00D56CBB" w:rsidP="00C66809">
            <w:pPr>
              <w:pStyle w:val="TableText"/>
              <w:jc w:val="center"/>
              <w:rPr>
                <w:b/>
              </w:rPr>
            </w:pPr>
            <w:r>
              <w:rPr>
                <w:b/>
              </w:rPr>
              <w:t>EFC special patients</w:t>
            </w:r>
          </w:p>
        </w:tc>
        <w:tc>
          <w:tcPr>
            <w:tcW w:w="2111" w:type="dxa"/>
            <w:shd w:val="clear" w:color="auto" w:fill="D9D9D9" w:themeFill="background1" w:themeFillShade="D9"/>
          </w:tcPr>
          <w:p w14:paraId="1D70E438" w14:textId="74E6FAE7" w:rsidR="00D56CBB" w:rsidRPr="00CB1918" w:rsidRDefault="00D56CBB" w:rsidP="00C66809">
            <w:pPr>
              <w:pStyle w:val="TableText"/>
              <w:jc w:val="center"/>
              <w:rPr>
                <w:b/>
              </w:rPr>
            </w:pPr>
            <w:r>
              <w:rPr>
                <w:b/>
              </w:rPr>
              <w:t>SFC special patients</w:t>
            </w:r>
          </w:p>
        </w:tc>
        <w:tc>
          <w:tcPr>
            <w:tcW w:w="2111" w:type="dxa"/>
            <w:shd w:val="clear" w:color="auto" w:fill="D9D9D9" w:themeFill="background1" w:themeFillShade="D9"/>
          </w:tcPr>
          <w:p w14:paraId="0EF00A65" w14:textId="156D7131" w:rsidR="00D56CBB" w:rsidRPr="00CB1918" w:rsidRDefault="00D56CBB" w:rsidP="00C66809">
            <w:pPr>
              <w:pStyle w:val="TableText"/>
              <w:jc w:val="center"/>
              <w:rPr>
                <w:b/>
              </w:rPr>
            </w:pPr>
            <w:r>
              <w:rPr>
                <w:b/>
              </w:rPr>
              <w:t>Total special patients</w:t>
            </w:r>
          </w:p>
        </w:tc>
      </w:tr>
      <w:tr w:rsidR="00D56CBB" w:rsidRPr="00EC5EF1" w14:paraId="1607EEED" w14:textId="77777777" w:rsidTr="00125224">
        <w:trPr>
          <w:cantSplit/>
        </w:trPr>
        <w:tc>
          <w:tcPr>
            <w:tcW w:w="1843" w:type="dxa"/>
            <w:tcBorders>
              <w:bottom w:val="single" w:sz="4" w:space="0" w:color="A6A6A6" w:themeColor="background1" w:themeShade="A6"/>
            </w:tcBorders>
          </w:tcPr>
          <w:p w14:paraId="7D358225" w14:textId="3C5344A9" w:rsidR="00D56CBB" w:rsidRPr="00EC5EF1" w:rsidRDefault="00D56CBB" w:rsidP="00C66809">
            <w:pPr>
              <w:pStyle w:val="TableText"/>
            </w:pPr>
            <w:r>
              <w:t>Canterbury DHB</w:t>
            </w:r>
          </w:p>
        </w:tc>
        <w:tc>
          <w:tcPr>
            <w:tcW w:w="2015" w:type="dxa"/>
            <w:tcBorders>
              <w:bottom w:val="single" w:sz="4" w:space="0" w:color="A6A6A6" w:themeColor="background1" w:themeShade="A6"/>
            </w:tcBorders>
          </w:tcPr>
          <w:p w14:paraId="08CEB96F" w14:textId="65792CB4" w:rsidR="00D56CBB" w:rsidRPr="00EC5EF1" w:rsidRDefault="00D56CBB" w:rsidP="00037C64">
            <w:pPr>
              <w:pStyle w:val="TableText"/>
              <w:jc w:val="center"/>
            </w:pPr>
            <w:r>
              <w:t>15</w:t>
            </w:r>
          </w:p>
        </w:tc>
        <w:tc>
          <w:tcPr>
            <w:tcW w:w="2111" w:type="dxa"/>
            <w:tcBorders>
              <w:bottom w:val="single" w:sz="4" w:space="0" w:color="A6A6A6" w:themeColor="background1" w:themeShade="A6"/>
            </w:tcBorders>
          </w:tcPr>
          <w:p w14:paraId="7DAC91B1" w14:textId="76E9A471" w:rsidR="00D56CBB" w:rsidRPr="00EC5EF1" w:rsidRDefault="00D56CBB" w:rsidP="00037C64">
            <w:pPr>
              <w:pStyle w:val="TableText"/>
              <w:tabs>
                <w:tab w:val="decimal" w:pos="1092"/>
              </w:tabs>
            </w:pPr>
            <w:r>
              <w:t>30</w:t>
            </w:r>
          </w:p>
        </w:tc>
        <w:tc>
          <w:tcPr>
            <w:tcW w:w="2111" w:type="dxa"/>
            <w:tcBorders>
              <w:bottom w:val="single" w:sz="4" w:space="0" w:color="A6A6A6" w:themeColor="background1" w:themeShade="A6"/>
            </w:tcBorders>
          </w:tcPr>
          <w:p w14:paraId="605E203F" w14:textId="0600972D" w:rsidR="00D56CBB" w:rsidRPr="00EC5EF1" w:rsidRDefault="00D56CBB" w:rsidP="00C66809">
            <w:pPr>
              <w:pStyle w:val="TableText"/>
              <w:tabs>
                <w:tab w:val="decimal" w:pos="972"/>
              </w:tabs>
            </w:pPr>
            <w:r>
              <w:t>45</w:t>
            </w:r>
          </w:p>
        </w:tc>
      </w:tr>
      <w:tr w:rsidR="00D56CBB" w:rsidRPr="00EC5EF1" w14:paraId="2DDB7DF6" w14:textId="77777777" w:rsidTr="00125224">
        <w:trPr>
          <w:cantSplit/>
        </w:trPr>
        <w:tc>
          <w:tcPr>
            <w:tcW w:w="1843" w:type="dxa"/>
            <w:tcBorders>
              <w:top w:val="single" w:sz="4" w:space="0" w:color="A6A6A6" w:themeColor="background1" w:themeShade="A6"/>
              <w:bottom w:val="single" w:sz="4" w:space="0" w:color="A6A6A6" w:themeColor="background1" w:themeShade="A6"/>
            </w:tcBorders>
          </w:tcPr>
          <w:p w14:paraId="4965AC00" w14:textId="3B89503C" w:rsidR="00D56CBB" w:rsidRPr="00EC5EF1" w:rsidRDefault="00D56CBB" w:rsidP="00C66809">
            <w:pPr>
              <w:pStyle w:val="TableText"/>
            </w:pPr>
            <w:r>
              <w:t>Capital &amp; Coast DHB</w:t>
            </w:r>
          </w:p>
        </w:tc>
        <w:tc>
          <w:tcPr>
            <w:tcW w:w="2015" w:type="dxa"/>
            <w:tcBorders>
              <w:top w:val="single" w:sz="4" w:space="0" w:color="A6A6A6" w:themeColor="background1" w:themeShade="A6"/>
              <w:bottom w:val="single" w:sz="4" w:space="0" w:color="A6A6A6" w:themeColor="background1" w:themeShade="A6"/>
            </w:tcBorders>
          </w:tcPr>
          <w:p w14:paraId="5C8454CA" w14:textId="5D1F1251" w:rsidR="00D56CBB" w:rsidRPr="00EC5EF1" w:rsidRDefault="00D56CBB" w:rsidP="00037C64">
            <w:pPr>
              <w:pStyle w:val="TableText"/>
              <w:jc w:val="center"/>
            </w:pPr>
            <w:r>
              <w:t>38</w:t>
            </w:r>
          </w:p>
        </w:tc>
        <w:tc>
          <w:tcPr>
            <w:tcW w:w="2111" w:type="dxa"/>
            <w:tcBorders>
              <w:top w:val="single" w:sz="4" w:space="0" w:color="A6A6A6" w:themeColor="background1" w:themeShade="A6"/>
              <w:bottom w:val="single" w:sz="4" w:space="0" w:color="A6A6A6" w:themeColor="background1" w:themeShade="A6"/>
            </w:tcBorders>
          </w:tcPr>
          <w:p w14:paraId="5BB5AC96" w14:textId="1CF931BE" w:rsidR="00D56CBB" w:rsidRPr="00EC5EF1" w:rsidRDefault="00D56CBB" w:rsidP="00037C64">
            <w:pPr>
              <w:pStyle w:val="TableText"/>
              <w:tabs>
                <w:tab w:val="decimal" w:pos="1092"/>
              </w:tabs>
            </w:pPr>
            <w:r>
              <w:t>62</w:t>
            </w:r>
          </w:p>
        </w:tc>
        <w:tc>
          <w:tcPr>
            <w:tcW w:w="2111" w:type="dxa"/>
            <w:tcBorders>
              <w:top w:val="single" w:sz="4" w:space="0" w:color="A6A6A6" w:themeColor="background1" w:themeShade="A6"/>
              <w:bottom w:val="single" w:sz="4" w:space="0" w:color="A6A6A6" w:themeColor="background1" w:themeShade="A6"/>
            </w:tcBorders>
          </w:tcPr>
          <w:p w14:paraId="63AAE336" w14:textId="22DFED3B" w:rsidR="00D56CBB" w:rsidRPr="00EC5EF1" w:rsidRDefault="00D56CBB" w:rsidP="00C66809">
            <w:pPr>
              <w:pStyle w:val="TableText"/>
              <w:tabs>
                <w:tab w:val="decimal" w:pos="972"/>
              </w:tabs>
            </w:pPr>
            <w:r>
              <w:t>98</w:t>
            </w:r>
          </w:p>
        </w:tc>
      </w:tr>
      <w:tr w:rsidR="00D56CBB" w:rsidRPr="00EC5EF1" w14:paraId="515C979E" w14:textId="77777777" w:rsidTr="00125224">
        <w:trPr>
          <w:cantSplit/>
        </w:trPr>
        <w:tc>
          <w:tcPr>
            <w:tcW w:w="1843" w:type="dxa"/>
            <w:tcBorders>
              <w:top w:val="single" w:sz="4" w:space="0" w:color="A6A6A6" w:themeColor="background1" w:themeShade="A6"/>
              <w:bottom w:val="single" w:sz="4" w:space="0" w:color="A6A6A6" w:themeColor="background1" w:themeShade="A6"/>
            </w:tcBorders>
          </w:tcPr>
          <w:p w14:paraId="587C1D0F" w14:textId="3AC18E52" w:rsidR="00D56CBB" w:rsidRPr="00EC5EF1" w:rsidRDefault="00D56CBB" w:rsidP="00C66809">
            <w:pPr>
              <w:pStyle w:val="TableText"/>
            </w:pPr>
            <w:r>
              <w:t>Southern DHB</w:t>
            </w:r>
          </w:p>
        </w:tc>
        <w:tc>
          <w:tcPr>
            <w:tcW w:w="2015" w:type="dxa"/>
            <w:tcBorders>
              <w:top w:val="single" w:sz="4" w:space="0" w:color="A6A6A6" w:themeColor="background1" w:themeShade="A6"/>
              <w:bottom w:val="single" w:sz="4" w:space="0" w:color="A6A6A6" w:themeColor="background1" w:themeShade="A6"/>
            </w:tcBorders>
          </w:tcPr>
          <w:p w14:paraId="2C73A85C" w14:textId="240C1184" w:rsidR="00D56CBB" w:rsidRPr="00EC5EF1" w:rsidRDefault="00D56CBB" w:rsidP="00037C64">
            <w:pPr>
              <w:pStyle w:val="TableText"/>
              <w:jc w:val="center"/>
            </w:pPr>
            <w:r>
              <w:t>11</w:t>
            </w:r>
          </w:p>
        </w:tc>
        <w:tc>
          <w:tcPr>
            <w:tcW w:w="2111" w:type="dxa"/>
            <w:tcBorders>
              <w:top w:val="single" w:sz="4" w:space="0" w:color="A6A6A6" w:themeColor="background1" w:themeShade="A6"/>
              <w:bottom w:val="single" w:sz="4" w:space="0" w:color="A6A6A6" w:themeColor="background1" w:themeShade="A6"/>
            </w:tcBorders>
          </w:tcPr>
          <w:p w14:paraId="6C0E9814" w14:textId="1EF6117B" w:rsidR="00D56CBB" w:rsidRPr="00EC5EF1" w:rsidRDefault="00D56CBB" w:rsidP="00037C64">
            <w:pPr>
              <w:pStyle w:val="TableText"/>
              <w:tabs>
                <w:tab w:val="decimal" w:pos="1092"/>
              </w:tabs>
            </w:pPr>
            <w:r>
              <w:t>7</w:t>
            </w:r>
          </w:p>
        </w:tc>
        <w:tc>
          <w:tcPr>
            <w:tcW w:w="2111" w:type="dxa"/>
            <w:tcBorders>
              <w:top w:val="single" w:sz="4" w:space="0" w:color="A6A6A6" w:themeColor="background1" w:themeShade="A6"/>
              <w:bottom w:val="single" w:sz="4" w:space="0" w:color="A6A6A6" w:themeColor="background1" w:themeShade="A6"/>
            </w:tcBorders>
          </w:tcPr>
          <w:p w14:paraId="06ED1C1F" w14:textId="2F8A624E" w:rsidR="00D56CBB" w:rsidRPr="00EC5EF1" w:rsidRDefault="00D56CBB" w:rsidP="00C66809">
            <w:pPr>
              <w:pStyle w:val="TableText"/>
              <w:tabs>
                <w:tab w:val="decimal" w:pos="972"/>
              </w:tabs>
            </w:pPr>
            <w:r>
              <w:t>18</w:t>
            </w:r>
          </w:p>
        </w:tc>
      </w:tr>
      <w:tr w:rsidR="00D56CBB" w:rsidRPr="00EC5EF1" w14:paraId="1B9D8067" w14:textId="77777777" w:rsidTr="00125224">
        <w:trPr>
          <w:cantSplit/>
        </w:trPr>
        <w:tc>
          <w:tcPr>
            <w:tcW w:w="1843" w:type="dxa"/>
            <w:tcBorders>
              <w:top w:val="single" w:sz="4" w:space="0" w:color="A6A6A6" w:themeColor="background1" w:themeShade="A6"/>
              <w:bottom w:val="single" w:sz="4" w:space="0" w:color="A6A6A6" w:themeColor="background1" w:themeShade="A6"/>
            </w:tcBorders>
          </w:tcPr>
          <w:p w14:paraId="683177BD" w14:textId="0BD0FEB5" w:rsidR="00D56CBB" w:rsidRPr="00EC5EF1" w:rsidRDefault="00D56CBB" w:rsidP="00C66809">
            <w:pPr>
              <w:pStyle w:val="TableText"/>
            </w:pPr>
            <w:r>
              <w:t>Waikato DHB</w:t>
            </w:r>
          </w:p>
        </w:tc>
        <w:tc>
          <w:tcPr>
            <w:tcW w:w="2015" w:type="dxa"/>
            <w:tcBorders>
              <w:top w:val="single" w:sz="4" w:space="0" w:color="A6A6A6" w:themeColor="background1" w:themeShade="A6"/>
              <w:bottom w:val="single" w:sz="4" w:space="0" w:color="A6A6A6" w:themeColor="background1" w:themeShade="A6"/>
            </w:tcBorders>
          </w:tcPr>
          <w:p w14:paraId="4CCB8AB7" w14:textId="2FA4F971" w:rsidR="00D56CBB" w:rsidRPr="00EC5EF1" w:rsidRDefault="00D56CBB" w:rsidP="00037C64">
            <w:pPr>
              <w:pStyle w:val="TableText"/>
              <w:jc w:val="center"/>
            </w:pPr>
            <w:r>
              <w:t>29</w:t>
            </w:r>
          </w:p>
        </w:tc>
        <w:tc>
          <w:tcPr>
            <w:tcW w:w="2111" w:type="dxa"/>
            <w:tcBorders>
              <w:top w:val="single" w:sz="4" w:space="0" w:color="A6A6A6" w:themeColor="background1" w:themeShade="A6"/>
              <w:bottom w:val="single" w:sz="4" w:space="0" w:color="A6A6A6" w:themeColor="background1" w:themeShade="A6"/>
            </w:tcBorders>
          </w:tcPr>
          <w:p w14:paraId="37956E64" w14:textId="3CAD4F63" w:rsidR="00D56CBB" w:rsidRPr="00EC5EF1" w:rsidRDefault="00D56CBB" w:rsidP="00037C64">
            <w:pPr>
              <w:pStyle w:val="TableText"/>
              <w:tabs>
                <w:tab w:val="decimal" w:pos="1092"/>
              </w:tabs>
            </w:pPr>
            <w:r>
              <w:t>59</w:t>
            </w:r>
          </w:p>
        </w:tc>
        <w:tc>
          <w:tcPr>
            <w:tcW w:w="2111" w:type="dxa"/>
            <w:tcBorders>
              <w:top w:val="single" w:sz="4" w:space="0" w:color="A6A6A6" w:themeColor="background1" w:themeShade="A6"/>
              <w:bottom w:val="single" w:sz="4" w:space="0" w:color="A6A6A6" w:themeColor="background1" w:themeShade="A6"/>
            </w:tcBorders>
          </w:tcPr>
          <w:p w14:paraId="7AB8B8FB" w14:textId="2F503400" w:rsidR="00D56CBB" w:rsidRPr="00EC5EF1" w:rsidRDefault="00D56CBB" w:rsidP="00C66809">
            <w:pPr>
              <w:pStyle w:val="TableText"/>
              <w:tabs>
                <w:tab w:val="decimal" w:pos="972"/>
              </w:tabs>
            </w:pPr>
            <w:r>
              <w:t>81</w:t>
            </w:r>
          </w:p>
        </w:tc>
      </w:tr>
      <w:tr w:rsidR="00D56CBB" w:rsidRPr="00EC5EF1" w14:paraId="1C9A6FA5" w14:textId="77777777" w:rsidTr="00125224">
        <w:trPr>
          <w:cantSplit/>
        </w:trPr>
        <w:tc>
          <w:tcPr>
            <w:tcW w:w="1843" w:type="dxa"/>
            <w:tcBorders>
              <w:top w:val="single" w:sz="4" w:space="0" w:color="A6A6A6" w:themeColor="background1" w:themeShade="A6"/>
              <w:bottom w:val="single" w:sz="4" w:space="0" w:color="A6A6A6" w:themeColor="background1" w:themeShade="A6"/>
            </w:tcBorders>
          </w:tcPr>
          <w:p w14:paraId="0453B5C8" w14:textId="53D22752" w:rsidR="00D56CBB" w:rsidRPr="00EC5EF1" w:rsidRDefault="00D56CBB" w:rsidP="00C66809">
            <w:pPr>
              <w:pStyle w:val="TableText"/>
            </w:pPr>
            <w:proofErr w:type="spellStart"/>
            <w:r>
              <w:t>Waitemata</w:t>
            </w:r>
            <w:proofErr w:type="spellEnd"/>
            <w:r>
              <w:t xml:space="preserve"> DHB</w:t>
            </w:r>
          </w:p>
        </w:tc>
        <w:tc>
          <w:tcPr>
            <w:tcW w:w="2015" w:type="dxa"/>
            <w:tcBorders>
              <w:top w:val="single" w:sz="4" w:space="0" w:color="A6A6A6" w:themeColor="background1" w:themeShade="A6"/>
              <w:bottom w:val="single" w:sz="4" w:space="0" w:color="A6A6A6" w:themeColor="background1" w:themeShade="A6"/>
            </w:tcBorders>
          </w:tcPr>
          <w:p w14:paraId="1A715C47" w14:textId="5994C1F3" w:rsidR="00D56CBB" w:rsidRPr="00EC5EF1" w:rsidRDefault="00D56CBB" w:rsidP="00037C64">
            <w:pPr>
              <w:pStyle w:val="TableText"/>
              <w:jc w:val="center"/>
            </w:pPr>
            <w:r>
              <w:t>46</w:t>
            </w:r>
          </w:p>
        </w:tc>
        <w:tc>
          <w:tcPr>
            <w:tcW w:w="2111" w:type="dxa"/>
            <w:tcBorders>
              <w:top w:val="single" w:sz="4" w:space="0" w:color="A6A6A6" w:themeColor="background1" w:themeShade="A6"/>
              <w:bottom w:val="single" w:sz="4" w:space="0" w:color="A6A6A6" w:themeColor="background1" w:themeShade="A6"/>
            </w:tcBorders>
          </w:tcPr>
          <w:p w14:paraId="09EDC020" w14:textId="1794B647" w:rsidR="00D56CBB" w:rsidRPr="00EC5EF1" w:rsidRDefault="00D56CBB" w:rsidP="00037C64">
            <w:pPr>
              <w:pStyle w:val="TableText"/>
              <w:tabs>
                <w:tab w:val="decimal" w:pos="1092"/>
              </w:tabs>
            </w:pPr>
            <w:r>
              <w:t>96</w:t>
            </w:r>
          </w:p>
        </w:tc>
        <w:tc>
          <w:tcPr>
            <w:tcW w:w="2111" w:type="dxa"/>
            <w:tcBorders>
              <w:top w:val="single" w:sz="4" w:space="0" w:color="A6A6A6" w:themeColor="background1" w:themeShade="A6"/>
              <w:bottom w:val="single" w:sz="4" w:space="0" w:color="A6A6A6" w:themeColor="background1" w:themeShade="A6"/>
            </w:tcBorders>
          </w:tcPr>
          <w:p w14:paraId="00F0452D" w14:textId="45583E6E" w:rsidR="00D56CBB" w:rsidRPr="00EC5EF1" w:rsidRDefault="00D56CBB" w:rsidP="00C66809">
            <w:pPr>
              <w:pStyle w:val="TableText"/>
              <w:tabs>
                <w:tab w:val="decimal" w:pos="972"/>
              </w:tabs>
            </w:pPr>
            <w:r>
              <w:t>139</w:t>
            </w:r>
          </w:p>
        </w:tc>
      </w:tr>
    </w:tbl>
    <w:p w14:paraId="3C41040C" w14:textId="52D54C54" w:rsidR="00740DA6" w:rsidRPr="00EC5EF1" w:rsidRDefault="00740DA6" w:rsidP="005116F2">
      <w:pPr>
        <w:pStyle w:val="Note"/>
      </w:pPr>
      <w:r w:rsidRPr="00EC5EF1">
        <w:t>Notes: Some people will be counted as special patients against more than one DHB if they received treatment with more than one DHB. This means the total of this data is higher than the national total.</w:t>
      </w:r>
    </w:p>
    <w:p w14:paraId="25451F85" w14:textId="4DC5C383" w:rsidR="00740DA6" w:rsidRDefault="00740DA6" w:rsidP="005116F2">
      <w:pPr>
        <w:pStyle w:val="Note"/>
      </w:pPr>
      <w:r w:rsidRPr="00EC5EF1">
        <w:t>Certain special patient orders enable a Court to direct treatment outside a regional forensic service – this data has been excluded due to low numbers and to protect patient confidentiality.</w:t>
      </w:r>
    </w:p>
    <w:p w14:paraId="67D6FF04" w14:textId="597E5521" w:rsidR="00740DA6" w:rsidRPr="00EC5EF1" w:rsidRDefault="00740DA6" w:rsidP="00037C64">
      <w:pPr>
        <w:pStyle w:val="Source"/>
      </w:pPr>
      <w:r w:rsidRPr="00EC5EF1">
        <w:t>Source:</w:t>
      </w:r>
      <w:r w:rsidR="00DE0BB2">
        <w:t xml:space="preserve"> </w:t>
      </w:r>
      <w:r w:rsidRPr="00EC5EF1">
        <w:t>PRIMHD collection, extracted on 14 August 2018</w:t>
      </w:r>
    </w:p>
    <w:p w14:paraId="03720877" w14:textId="77777777" w:rsidR="00740DA6" w:rsidRPr="00EC5EF1" w:rsidRDefault="00740DA6" w:rsidP="005116F2"/>
    <w:p w14:paraId="48BB7919" w14:textId="77777777" w:rsidR="00740DA6" w:rsidRPr="00EC5EF1" w:rsidRDefault="00740DA6" w:rsidP="005116F2">
      <w:pPr>
        <w:pStyle w:val="Figure"/>
      </w:pPr>
      <w:bookmarkStart w:id="109" w:name="_Toc2845731"/>
      <w:r w:rsidRPr="00EC5EF1">
        <w:t>Figure 29: Percentage of extended forensic care and short-term forensic care legal statuses, by DHB, 1 January to 31 December 2017</w:t>
      </w:r>
      <w:bookmarkEnd w:id="109"/>
    </w:p>
    <w:p w14:paraId="59404A4D" w14:textId="05229360" w:rsidR="00740DA6" w:rsidRPr="00EC5EF1" w:rsidRDefault="00A20F1B" w:rsidP="005116F2">
      <w:r>
        <w:rPr>
          <w:noProof/>
          <w:lang w:eastAsia="en-NZ"/>
        </w:rPr>
        <w:drawing>
          <wp:inline distT="0" distB="0" distL="0" distR="0" wp14:anchorId="1A7C6D2B" wp14:editId="329B5466">
            <wp:extent cx="5130165" cy="2254861"/>
            <wp:effectExtent l="0" t="0" r="0" b="0"/>
            <wp:docPr id="42" name="Picture 42" title="Figure 29: Percentage of extended forensic care and short-term forensic care legal statuses, by DHB, 1 January to 31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130165" cy="2254861"/>
                    </a:xfrm>
                    <a:prstGeom prst="rect">
                      <a:avLst/>
                    </a:prstGeom>
                  </pic:spPr>
                </pic:pic>
              </a:graphicData>
            </a:graphic>
          </wp:inline>
        </w:drawing>
      </w:r>
    </w:p>
    <w:p w14:paraId="51ADD00B" w14:textId="4F079400" w:rsidR="00740DA6" w:rsidRPr="00EC5EF1" w:rsidRDefault="00740DA6" w:rsidP="005116F2">
      <w:pPr>
        <w:pStyle w:val="Note"/>
      </w:pPr>
      <w:r w:rsidRPr="00EC5EF1">
        <w:t>Note: Unlike previous data in this section, the data used in this figure is based on a count of legal statuses rather than people. One special patient may have many legal statuses</w:t>
      </w:r>
      <w:r w:rsidR="00DE0BB2">
        <w:t xml:space="preserve"> </w:t>
      </w:r>
      <w:r w:rsidRPr="00EC5EF1">
        <w:t>in a period, which could be in different categories, but each special patient legal status</w:t>
      </w:r>
      <w:r w:rsidR="005116F2">
        <w:t xml:space="preserve"> </w:t>
      </w:r>
      <w:r w:rsidRPr="00EC5EF1">
        <w:t>can only be in one category – EFC or SFC. Please use caution when comparing the legal status counts with the counts of people with legal statuses.</w:t>
      </w:r>
    </w:p>
    <w:p w14:paraId="141322B8" w14:textId="77777777" w:rsidR="00740DA6" w:rsidRPr="00EC5EF1" w:rsidRDefault="00740DA6" w:rsidP="00037C64">
      <w:pPr>
        <w:pStyle w:val="Source"/>
      </w:pPr>
      <w:r w:rsidRPr="00EC5EF1">
        <w:t>Source: PRIMHD collection, extracted on 14 August 2018</w:t>
      </w:r>
    </w:p>
    <w:p w14:paraId="66A165A8" w14:textId="77777777" w:rsidR="005116F2" w:rsidRDefault="005116F2" w:rsidP="005116F2"/>
    <w:p w14:paraId="3D27B5D3" w14:textId="08BFCCF7" w:rsidR="00740DA6" w:rsidRDefault="00740DA6" w:rsidP="005116F2">
      <w:r w:rsidRPr="00EC5EF1">
        <w:rPr>
          <w:noProof/>
          <w:lang w:eastAsia="en-NZ"/>
        </w:rPr>
        <w:lastRenderedPageBreak/>
        <w:drawing>
          <wp:anchor distT="0" distB="0" distL="0" distR="0" simplePos="0" relativeHeight="251776000" behindDoc="0" locked="0" layoutInCell="1" allowOverlap="1" wp14:anchorId="4B2074B2" wp14:editId="4126D2C2">
            <wp:simplePos x="0" y="0"/>
            <wp:positionH relativeFrom="page">
              <wp:posOffset>8060163</wp:posOffset>
            </wp:positionH>
            <wp:positionV relativeFrom="paragraph">
              <wp:posOffset>530978</wp:posOffset>
            </wp:positionV>
            <wp:extent cx="155575" cy="155575"/>
            <wp:effectExtent l="0" t="0" r="0" b="0"/>
            <wp:wrapNone/>
            <wp:docPr id="30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The CP (MIP) Act allows the Court to sentence a convicted offender to a term of imprisonment while also ordering their detention in hospital as a special patient (if mentally disordered). These orders are referred to as hybrid orders because they combine aspects of compulsory treatment and imprisonment.</w:t>
      </w:r>
    </w:p>
    <w:p w14:paraId="38088B32" w14:textId="77777777" w:rsidR="005116F2" w:rsidRPr="00EC5EF1" w:rsidRDefault="005116F2" w:rsidP="005116F2"/>
    <w:p w14:paraId="37773658" w14:textId="77777777" w:rsidR="00740DA6" w:rsidRPr="00EC5EF1" w:rsidRDefault="00740DA6" w:rsidP="00037C64">
      <w:pPr>
        <w:pStyle w:val="Heading3"/>
      </w:pPr>
      <w:bookmarkStart w:id="110" w:name="_Toc2845677"/>
      <w:r w:rsidRPr="00EC5EF1">
        <w:t>Sex, age and ethnicity of special patients</w:t>
      </w:r>
      <w:bookmarkEnd w:id="110"/>
    </w:p>
    <w:p w14:paraId="736CADE0" w14:textId="77777777" w:rsidR="00740DA6" w:rsidRPr="00EC5EF1" w:rsidRDefault="00740DA6" w:rsidP="005116F2">
      <w:r w:rsidRPr="00EC5EF1">
        <w:t>In 2017, most people subject to a special patient legal status were male (86 percent). Special patients were seven times more likely to be male than female (14 percent). The most common age group for special patients was 25–29 years old (see Figure 30).</w:t>
      </w:r>
    </w:p>
    <w:p w14:paraId="2B575766" w14:textId="77777777" w:rsidR="00740DA6" w:rsidRPr="00EC5EF1" w:rsidRDefault="00740DA6" w:rsidP="005116F2"/>
    <w:p w14:paraId="50C0A29E" w14:textId="3AD0D85A" w:rsidR="00740DA6" w:rsidRDefault="00740DA6" w:rsidP="005116F2">
      <w:pPr>
        <w:pStyle w:val="Figure"/>
      </w:pPr>
      <w:bookmarkStart w:id="111" w:name="_Toc2845732"/>
      <w:r w:rsidRPr="00EC5EF1">
        <w:t>Figure 30: Total number of special patients, by age group, 1 January to 31 December 2017</w:t>
      </w:r>
      <w:bookmarkEnd w:id="111"/>
    </w:p>
    <w:p w14:paraId="7908D0B4" w14:textId="2F464216" w:rsidR="005116F2" w:rsidRPr="005116F2" w:rsidRDefault="00A20F1B" w:rsidP="005116F2">
      <w:r>
        <w:rPr>
          <w:noProof/>
          <w:lang w:eastAsia="en-NZ"/>
        </w:rPr>
        <w:drawing>
          <wp:inline distT="0" distB="0" distL="0" distR="0" wp14:anchorId="3562042F" wp14:editId="5A6F1077">
            <wp:extent cx="5130165" cy="2236226"/>
            <wp:effectExtent l="0" t="0" r="0" b="0"/>
            <wp:docPr id="43" name="Picture 43" title="Figure 30: Total number of special patients, by age group, 1 January to 31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130165" cy="2236226"/>
                    </a:xfrm>
                    <a:prstGeom prst="rect">
                      <a:avLst/>
                    </a:prstGeom>
                  </pic:spPr>
                </pic:pic>
              </a:graphicData>
            </a:graphic>
          </wp:inline>
        </w:drawing>
      </w:r>
    </w:p>
    <w:p w14:paraId="29334ECE" w14:textId="77777777" w:rsidR="00740DA6" w:rsidRPr="00EC5EF1" w:rsidRDefault="00740DA6" w:rsidP="00037C64">
      <w:pPr>
        <w:pStyle w:val="Source"/>
      </w:pPr>
      <w:r w:rsidRPr="00EC5EF1">
        <w:t>Source: PRIMHD collection, extracted on 14 August 2018</w:t>
      </w:r>
    </w:p>
    <w:p w14:paraId="30630C34" w14:textId="77777777" w:rsidR="00740DA6" w:rsidRPr="00EC5EF1" w:rsidRDefault="00740DA6" w:rsidP="00740DA6">
      <w:pPr>
        <w:rPr>
          <w:sz w:val="20"/>
        </w:rPr>
      </w:pPr>
    </w:p>
    <w:p w14:paraId="15F79DB4" w14:textId="6E117C35" w:rsidR="00740DA6" w:rsidRPr="00EC5EF1" w:rsidRDefault="00740DA6" w:rsidP="005116F2">
      <w:r w:rsidRPr="00EC5EF1">
        <w:t>As Figure 31 indicates, in 2017 the highest proportion of people subject to a special patient order were Māori (51 percent). However, the largest proportion of EFC special patients (those remanded to a forensic health facility) had an ethnicity classification</w:t>
      </w:r>
      <w:r w:rsidR="00DE0BB2">
        <w:t xml:space="preserve"> </w:t>
      </w:r>
      <w:r w:rsidRPr="00EC5EF1">
        <w:t>of ‘other’</w:t>
      </w:r>
      <w:r w:rsidR="005116F2">
        <w:t>,</w:t>
      </w:r>
      <w:r w:rsidR="005116F2">
        <w:rPr>
          <w:rStyle w:val="FootnoteReference"/>
        </w:rPr>
        <w:footnoteReference w:id="38"/>
      </w:r>
      <w:r w:rsidRPr="00EC5EF1">
        <w:t xml:space="preserve"> at 43 percent. Māori special patients made up 40 percent of EFC special patients and 58 percent of SFC special patients (see Figure 32). This difference in proportion is likely to reflect the high proportion of Māori in the prison population.</w:t>
      </w:r>
    </w:p>
    <w:p w14:paraId="5769BD22" w14:textId="77777777" w:rsidR="00740DA6" w:rsidRPr="00EC5EF1" w:rsidRDefault="00740DA6" w:rsidP="005116F2"/>
    <w:p w14:paraId="0E89AAC7" w14:textId="7E123F51" w:rsidR="00740DA6" w:rsidRDefault="00740DA6" w:rsidP="005116F2">
      <w:pPr>
        <w:pStyle w:val="Figure"/>
      </w:pPr>
      <w:bookmarkStart w:id="112" w:name="_Toc2845733"/>
      <w:r w:rsidRPr="00EC5EF1">
        <w:lastRenderedPageBreak/>
        <w:t>Figure 31: Total number of special patients, by ethnicity, 1 January to 31 December 2017</w:t>
      </w:r>
      <w:bookmarkEnd w:id="112"/>
    </w:p>
    <w:p w14:paraId="1D1408E1" w14:textId="77F8AE59" w:rsidR="005116F2" w:rsidRPr="005116F2" w:rsidRDefault="00A20F1B" w:rsidP="005116F2">
      <w:r>
        <w:rPr>
          <w:noProof/>
          <w:lang w:eastAsia="en-NZ"/>
        </w:rPr>
        <w:drawing>
          <wp:inline distT="0" distB="0" distL="0" distR="0" wp14:anchorId="1A4582A5" wp14:editId="77CEE226">
            <wp:extent cx="3065824" cy="2818014"/>
            <wp:effectExtent l="0" t="0" r="1270" b="1905"/>
            <wp:docPr id="44" name="Picture 44" title="Figure 31: Total number of special patients, by ethnicity, 1 January to 31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4158"/>
                    <a:stretch/>
                  </pic:blipFill>
                  <pic:spPr bwMode="auto">
                    <a:xfrm>
                      <a:off x="0" y="0"/>
                      <a:ext cx="3067332" cy="2819400"/>
                    </a:xfrm>
                    <a:prstGeom prst="rect">
                      <a:avLst/>
                    </a:prstGeom>
                    <a:ln>
                      <a:noFill/>
                    </a:ln>
                    <a:extLst>
                      <a:ext uri="{53640926-AAD7-44D8-BBD7-CCE9431645EC}">
                        <a14:shadowObscured xmlns:a14="http://schemas.microsoft.com/office/drawing/2010/main"/>
                      </a:ext>
                    </a:extLst>
                  </pic:spPr>
                </pic:pic>
              </a:graphicData>
            </a:graphic>
          </wp:inline>
        </w:drawing>
      </w:r>
    </w:p>
    <w:p w14:paraId="60ECFB7B" w14:textId="09702AB5" w:rsidR="00740DA6" w:rsidRPr="00EC5EF1" w:rsidRDefault="00740DA6" w:rsidP="00037C64">
      <w:pPr>
        <w:pStyle w:val="Source"/>
      </w:pPr>
      <w:r w:rsidRPr="00EC5EF1">
        <w:rPr>
          <w:noProof/>
          <w:lang w:eastAsia="en-NZ"/>
        </w:rPr>
        <w:drawing>
          <wp:anchor distT="0" distB="0" distL="0" distR="0" simplePos="0" relativeHeight="251778048" behindDoc="0" locked="0" layoutInCell="1" allowOverlap="1" wp14:anchorId="656EAFC2" wp14:editId="2F230725">
            <wp:simplePos x="0" y="0"/>
            <wp:positionH relativeFrom="page">
              <wp:posOffset>8060163</wp:posOffset>
            </wp:positionH>
            <wp:positionV relativeFrom="paragraph">
              <wp:posOffset>322431</wp:posOffset>
            </wp:positionV>
            <wp:extent cx="155575" cy="155575"/>
            <wp:effectExtent l="0" t="0" r="0" b="0"/>
            <wp:wrapNone/>
            <wp:docPr id="31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Source: PRIMHD collection, extracted on 14 August 2018</w:t>
      </w:r>
    </w:p>
    <w:p w14:paraId="7E788621" w14:textId="77777777" w:rsidR="00740DA6" w:rsidRPr="00EC5EF1" w:rsidRDefault="00740DA6" w:rsidP="005116F2"/>
    <w:p w14:paraId="70BEA821" w14:textId="73540DAF" w:rsidR="00740DA6" w:rsidRPr="00EC5EF1" w:rsidRDefault="00740DA6" w:rsidP="005116F2">
      <w:pPr>
        <w:pStyle w:val="Figure"/>
      </w:pPr>
      <w:bookmarkStart w:id="113" w:name="_Toc2845734"/>
      <w:r w:rsidRPr="00EC5EF1">
        <w:t>Figure 32: Total number of special patients, by ethnicity and special patient type, 1</w:t>
      </w:r>
      <w:r w:rsidR="005116F2">
        <w:t> </w:t>
      </w:r>
      <w:r w:rsidRPr="00EC5EF1">
        <w:t>January to 31 December 2017</w:t>
      </w:r>
      <w:bookmarkEnd w:id="113"/>
    </w:p>
    <w:p w14:paraId="5D44FBD6" w14:textId="1DBCB3F5" w:rsidR="00740DA6" w:rsidRDefault="00A20F1B" w:rsidP="005116F2">
      <w:r>
        <w:rPr>
          <w:noProof/>
          <w:lang w:eastAsia="en-NZ"/>
        </w:rPr>
        <w:drawing>
          <wp:inline distT="0" distB="0" distL="0" distR="0" wp14:anchorId="6B50808A" wp14:editId="402A2F4D">
            <wp:extent cx="5130165" cy="2418260"/>
            <wp:effectExtent l="0" t="0" r="0" b="1270"/>
            <wp:docPr id="45" name="Picture 45" title="Figure 32: Total number of special patients, by ethnicity and special patient type, 1 January to 31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130165" cy="2418260"/>
                    </a:xfrm>
                    <a:prstGeom prst="rect">
                      <a:avLst/>
                    </a:prstGeom>
                  </pic:spPr>
                </pic:pic>
              </a:graphicData>
            </a:graphic>
          </wp:inline>
        </w:drawing>
      </w:r>
    </w:p>
    <w:p w14:paraId="0A57E097" w14:textId="77777777" w:rsidR="005116F2" w:rsidRDefault="00740DA6" w:rsidP="005116F2">
      <w:pPr>
        <w:pStyle w:val="Note"/>
      </w:pPr>
      <w:r w:rsidRPr="00EC5EF1">
        <w:t>Note: A patient may be represented in one or more categories in this graph.</w:t>
      </w:r>
    </w:p>
    <w:p w14:paraId="158AF9C9" w14:textId="40A64CF7" w:rsidR="00740DA6" w:rsidRPr="00EC5EF1" w:rsidRDefault="00740DA6" w:rsidP="005116F2">
      <w:pPr>
        <w:pStyle w:val="Note"/>
      </w:pPr>
      <w:r w:rsidRPr="00EC5EF1">
        <w:t>Source: PRIMHD collection, extracted on 14 August 2018</w:t>
      </w:r>
    </w:p>
    <w:p w14:paraId="0F9D41A7" w14:textId="77777777" w:rsidR="00740DA6" w:rsidRPr="00EC5EF1" w:rsidRDefault="00740DA6" w:rsidP="00740DA6">
      <w:pPr>
        <w:rPr>
          <w:sz w:val="20"/>
        </w:rPr>
      </w:pPr>
    </w:p>
    <w:p w14:paraId="417997DE" w14:textId="77777777" w:rsidR="00740DA6" w:rsidRPr="00EC5EF1" w:rsidRDefault="00740DA6" w:rsidP="00037C64">
      <w:pPr>
        <w:pStyle w:val="Heading3"/>
      </w:pPr>
      <w:bookmarkStart w:id="114" w:name="_Toc2845678"/>
      <w:r w:rsidRPr="00EC5EF1">
        <w:lastRenderedPageBreak/>
        <w:t>Decisions regarding leave and change of legal status for special and restricted patients</w:t>
      </w:r>
      <w:bookmarkEnd w:id="114"/>
    </w:p>
    <w:p w14:paraId="0734182D" w14:textId="323EB51C" w:rsidR="00740DA6" w:rsidRDefault="00740DA6" w:rsidP="00A20F1B">
      <w:pPr>
        <w:keepLines/>
      </w:pPr>
      <w:r w:rsidRPr="00EC5EF1">
        <w:t>The Director of Mental Health has a central role in managing special patients and</w:t>
      </w:r>
      <w:r w:rsidR="00037C64">
        <w:t xml:space="preserve"> </w:t>
      </w:r>
      <w:r w:rsidRPr="00EC5EF1">
        <w:t>restricted patients. The Director must be notified of the admission, discharge or transfer of special and restricted patients, and certain incidents involving these people (section 43 of the Mental Health Act). The Director may direct the transfer of such patients between DHBs under section 49 of the Mental Health Act or grant leave for any period not</w:t>
      </w:r>
      <w:r w:rsidR="005116F2">
        <w:t xml:space="preserve"> </w:t>
      </w:r>
      <w:r w:rsidRPr="00EC5EF1">
        <w:t>exceeding seven days for certain special and restricted patients (section</w:t>
      </w:r>
      <w:r w:rsidR="00037C64">
        <w:t> </w:t>
      </w:r>
      <w:r w:rsidRPr="00EC5EF1">
        <w:t>52).</w:t>
      </w:r>
    </w:p>
    <w:p w14:paraId="2AB6CC6A" w14:textId="77777777" w:rsidR="00037C64" w:rsidRPr="00EC5EF1" w:rsidRDefault="00037C64" w:rsidP="00037C64"/>
    <w:p w14:paraId="57F228B9" w14:textId="66C06C1A" w:rsidR="00740DA6" w:rsidRPr="00EC5EF1" w:rsidRDefault="00740DA6" w:rsidP="00037C64">
      <w:r w:rsidRPr="00EC5EF1">
        <w:t>Leave is an important part of a special patient’s rehabilitation and occurs in a carefully stepped manner. Patients usually begin by having walks on the hospital grounds escorted by forensic service staff. If appropriate, patients progress to unescorted ground leave and then to escorted and unescorted community leave. This leave is typically used to attend appointments, work, rehabilitation programmes or to visit family. After increasing periods of successful unescorted leave, it may be appropriate for some individuals to progress to a less secure settings. Individuals may move to</w:t>
      </w:r>
      <w:r w:rsidR="00037C64">
        <w:t xml:space="preserve"> </w:t>
      </w:r>
      <w:r w:rsidRPr="00EC5EF1">
        <w:rPr>
          <w:noProof/>
          <w:lang w:eastAsia="en-NZ"/>
        </w:rPr>
        <w:drawing>
          <wp:anchor distT="0" distB="0" distL="0" distR="0" simplePos="0" relativeHeight="251780096" behindDoc="0" locked="0" layoutInCell="1" allowOverlap="1" wp14:anchorId="6E2E321F" wp14:editId="415C03C1">
            <wp:simplePos x="0" y="0"/>
            <wp:positionH relativeFrom="page">
              <wp:posOffset>8060163</wp:posOffset>
            </wp:positionH>
            <wp:positionV relativeFrom="paragraph">
              <wp:posOffset>514891</wp:posOffset>
            </wp:positionV>
            <wp:extent cx="155575" cy="155575"/>
            <wp:effectExtent l="0" t="0" r="0" b="0"/>
            <wp:wrapNone/>
            <wp:docPr id="31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an open hospital unit and eventually reside in the community, often in supported accommodation or with family. It is important to note that not all special patients will be eligible for leave, and that there is no requirement for progression towards less secure conditions if this is not supported by risk assessment or progress.</w:t>
      </w:r>
    </w:p>
    <w:p w14:paraId="40E72832" w14:textId="77777777" w:rsidR="00037C64" w:rsidRDefault="00037C64" w:rsidP="00037C64"/>
    <w:p w14:paraId="00111EF2" w14:textId="7F001308" w:rsidR="00740DA6" w:rsidRPr="00EC5EF1" w:rsidRDefault="00740DA6" w:rsidP="00037C64">
      <w:r w:rsidRPr="00EC5EF1">
        <w:t>The Minister of Health grants periods of leave over seven days (section 50), which are available to certain categories of special patients. The Director briefs the Minister of Health when requests for leave are made. Initial ministerial section 50 leave is usually granted for a period of six months, with the possibility of a further application for ministerial leave for a period of 12 months.</w:t>
      </w:r>
    </w:p>
    <w:p w14:paraId="6C2B5C2C" w14:textId="77777777" w:rsidR="00037C64" w:rsidRDefault="00037C64" w:rsidP="00037C64"/>
    <w:p w14:paraId="2BDCE64F" w14:textId="7EFDDD9A" w:rsidR="00740DA6" w:rsidRPr="00EC5EF1" w:rsidRDefault="00740DA6" w:rsidP="00037C64">
      <w:r w:rsidRPr="00EC5EF1">
        <w:t>While on leave, special patients are subject to leave conditions and regular monitoring by their treating team. If a special patient breaches their leave conditions or their mental state requires their return to hospital, leave may be revoked. If the patient is subject to a further 12 month ministerial long leave, the Director may recommend the Minister revokes leave.</w:t>
      </w:r>
    </w:p>
    <w:p w14:paraId="6B721CF2" w14:textId="77777777" w:rsidR="00037C64" w:rsidRDefault="00037C64" w:rsidP="00037C64"/>
    <w:p w14:paraId="547C279C" w14:textId="567BEE4E" w:rsidR="00740DA6" w:rsidRPr="00EC5EF1" w:rsidRDefault="00740DA6" w:rsidP="00037C64">
      <w:r w:rsidRPr="00EC5EF1">
        <w:t>Special patients are subject to a high degree of oversight and are not able to exit forensic services or travel overseas without permission. During 2015, the Ministry developed guidance on special patient safety (including public safety) and security. This work included a national incident process to be followed by health services and New Zealand Police, as well as updated guidance on actions that forensic services and the Ministry should take when a special patient becomes absent without leave. The Ministry also updated its guidance on preventing special patients from travelling overseas without permission. Part of this work involved putting border alerts in place for any special patient granted unescorted leave in the community.</w:t>
      </w:r>
    </w:p>
    <w:p w14:paraId="48A9BF5F" w14:textId="77777777" w:rsidR="00037C64" w:rsidRDefault="00037C64" w:rsidP="00037C64"/>
    <w:p w14:paraId="7FC90F67" w14:textId="13CD5E5D" w:rsidR="00740DA6" w:rsidRPr="00EC5EF1" w:rsidRDefault="00740DA6" w:rsidP="00A20F1B">
      <w:pPr>
        <w:keepLines/>
      </w:pPr>
      <w:r w:rsidRPr="00EC5EF1">
        <w:lastRenderedPageBreak/>
        <w:t>Special patients found not guilty by reason of insanity may be considered for a change of legal status if it is determined that their detention as a special patient is no longer necessary to safeguard the interests of the person or the public. This will usually occur after the person has been living successfully in the community on ministerial</w:t>
      </w:r>
      <w:r w:rsidR="005116F2">
        <w:t xml:space="preserve"> </w:t>
      </w:r>
      <w:r w:rsidRPr="00EC5EF1">
        <w:t>long leave for several years. Services send applications for changes of legal status to the Director of Mental Health. After careful consideration, the Director makes a recommendation to the Minister about a person’s legal status.</w:t>
      </w:r>
    </w:p>
    <w:p w14:paraId="58686FE9" w14:textId="77777777" w:rsidR="00037C64" w:rsidRDefault="00037C64" w:rsidP="00037C64"/>
    <w:p w14:paraId="5F60D236" w14:textId="331F7215" w:rsidR="00740DA6" w:rsidRPr="00EC5EF1" w:rsidRDefault="00740DA6" w:rsidP="00037C64">
      <w:r w:rsidRPr="00EC5EF1">
        <w:t>Following a change of legal status, former special patients continue to be supported in the community by mental health services. Many remain under compulsory mental health treatment orders for an extended period of time. For further information about the management of special patients, refer to Special Patients and Restricted Patients: Guidelines for Regional Forensic Mental Health Services (Ministry of Health 2017b).</w:t>
      </w:r>
    </w:p>
    <w:p w14:paraId="69DC86B0" w14:textId="77777777" w:rsidR="00037C64" w:rsidRDefault="00037C64" w:rsidP="00037C64"/>
    <w:p w14:paraId="206D3BC2" w14:textId="399A2725" w:rsidR="00740DA6" w:rsidRPr="00EC5EF1" w:rsidRDefault="00740DA6" w:rsidP="00037C64">
      <w:r w:rsidRPr="00EC5EF1">
        <w:t>Table 9 shows the numbers of section 50 long leave, revocation and reclassification applications processed by the Office during 2017.</w:t>
      </w:r>
    </w:p>
    <w:p w14:paraId="199A48A9" w14:textId="77777777" w:rsidR="00740DA6" w:rsidRPr="00EC5EF1" w:rsidRDefault="00740DA6" w:rsidP="005116F2"/>
    <w:p w14:paraId="59630DB2" w14:textId="7E50F3A2" w:rsidR="00740DA6" w:rsidRDefault="00740DA6" w:rsidP="00434E22">
      <w:pPr>
        <w:pStyle w:val="Table"/>
      </w:pPr>
      <w:bookmarkStart w:id="115" w:name="_Toc2845753"/>
      <w:r w:rsidRPr="00EC5EF1">
        <w:t>Table 9: Number of section 50 long leave, revocation and reclassification applications sent to the Minister of Health for special patients and restricted patients, 1 January to</w:t>
      </w:r>
      <w:r w:rsidR="00434E22">
        <w:t xml:space="preserve"> </w:t>
      </w:r>
      <w:r w:rsidRPr="00EC5EF1">
        <w:t>31</w:t>
      </w:r>
      <w:r w:rsidR="00037C64">
        <w:t> </w:t>
      </w:r>
      <w:r w:rsidRPr="00EC5EF1">
        <w:t>December 2017</w:t>
      </w:r>
      <w:bookmarkEnd w:id="115"/>
    </w:p>
    <w:tbl>
      <w:tblPr>
        <w:tblW w:w="0" w:type="auto"/>
        <w:tblInd w:w="57" w:type="dxa"/>
        <w:tblLayout w:type="fixed"/>
        <w:tblCellMar>
          <w:left w:w="57" w:type="dxa"/>
          <w:right w:w="57" w:type="dxa"/>
        </w:tblCellMar>
        <w:tblLook w:val="01E0" w:firstRow="1" w:lastRow="1" w:firstColumn="1" w:lastColumn="1" w:noHBand="0" w:noVBand="0"/>
      </w:tblPr>
      <w:tblGrid>
        <w:gridCol w:w="6578"/>
        <w:gridCol w:w="1502"/>
      </w:tblGrid>
      <w:tr w:rsidR="00125224" w:rsidRPr="00CB1918" w14:paraId="6F1472CB" w14:textId="77777777" w:rsidTr="00125224">
        <w:trPr>
          <w:cantSplit/>
        </w:trPr>
        <w:tc>
          <w:tcPr>
            <w:tcW w:w="6578" w:type="dxa"/>
            <w:shd w:val="clear" w:color="auto" w:fill="D9D9D9" w:themeFill="background1" w:themeFillShade="D9"/>
          </w:tcPr>
          <w:p w14:paraId="3D5A2F4F" w14:textId="0FD80531" w:rsidR="00125224" w:rsidRPr="00CB1918" w:rsidRDefault="00125224" w:rsidP="00125224">
            <w:pPr>
              <w:pStyle w:val="TableText"/>
              <w:rPr>
                <w:b/>
              </w:rPr>
            </w:pPr>
            <w:r>
              <w:rPr>
                <w:b/>
              </w:rPr>
              <w:t>Type of request</w:t>
            </w:r>
          </w:p>
        </w:tc>
        <w:tc>
          <w:tcPr>
            <w:tcW w:w="1502" w:type="dxa"/>
            <w:shd w:val="clear" w:color="auto" w:fill="D9D9D9" w:themeFill="background1" w:themeFillShade="D9"/>
          </w:tcPr>
          <w:p w14:paraId="47D5C5DC" w14:textId="2085E839" w:rsidR="00125224" w:rsidRPr="00CB1918" w:rsidRDefault="00125224" w:rsidP="00C66809">
            <w:pPr>
              <w:pStyle w:val="TableText"/>
              <w:jc w:val="center"/>
              <w:rPr>
                <w:b/>
              </w:rPr>
            </w:pPr>
            <w:r>
              <w:rPr>
                <w:b/>
              </w:rPr>
              <w:t>Number</w:t>
            </w:r>
          </w:p>
        </w:tc>
      </w:tr>
      <w:tr w:rsidR="00125224" w:rsidRPr="00EC5EF1" w14:paraId="430EEF67" w14:textId="77777777" w:rsidTr="00125224">
        <w:trPr>
          <w:cantSplit/>
        </w:trPr>
        <w:tc>
          <w:tcPr>
            <w:tcW w:w="6578" w:type="dxa"/>
            <w:tcBorders>
              <w:bottom w:val="single" w:sz="4" w:space="0" w:color="A6A6A6" w:themeColor="background1" w:themeShade="A6"/>
            </w:tcBorders>
          </w:tcPr>
          <w:p w14:paraId="3B3F8CE0" w14:textId="1770D9CB" w:rsidR="00125224" w:rsidRPr="00EC5EF1" w:rsidRDefault="00125224" w:rsidP="00125224">
            <w:pPr>
              <w:pStyle w:val="TableText"/>
            </w:pPr>
            <w:r>
              <w:rPr>
                <w:w w:val="105"/>
              </w:rPr>
              <w:t>Initial ministerial section 50 leave applications</w:t>
            </w:r>
          </w:p>
        </w:tc>
        <w:tc>
          <w:tcPr>
            <w:tcW w:w="1502" w:type="dxa"/>
            <w:tcBorders>
              <w:bottom w:val="single" w:sz="4" w:space="0" w:color="A6A6A6" w:themeColor="background1" w:themeShade="A6"/>
            </w:tcBorders>
          </w:tcPr>
          <w:p w14:paraId="100C4DBC" w14:textId="13D941F5" w:rsidR="00125224" w:rsidRPr="00EC5EF1" w:rsidRDefault="00125224" w:rsidP="00125224">
            <w:pPr>
              <w:pStyle w:val="TableText"/>
              <w:tabs>
                <w:tab w:val="decimal" w:pos="793"/>
              </w:tabs>
            </w:pPr>
            <w:r>
              <w:t>13</w:t>
            </w:r>
          </w:p>
        </w:tc>
      </w:tr>
      <w:tr w:rsidR="00125224" w:rsidRPr="00EC5EF1" w14:paraId="5E82FA0E" w14:textId="77777777" w:rsidTr="00125224">
        <w:trPr>
          <w:cantSplit/>
        </w:trPr>
        <w:tc>
          <w:tcPr>
            <w:tcW w:w="6578" w:type="dxa"/>
            <w:tcBorders>
              <w:top w:val="single" w:sz="4" w:space="0" w:color="A6A6A6" w:themeColor="background1" w:themeShade="A6"/>
              <w:bottom w:val="single" w:sz="4" w:space="0" w:color="A6A6A6" w:themeColor="background1" w:themeShade="A6"/>
            </w:tcBorders>
          </w:tcPr>
          <w:p w14:paraId="160AC4B5" w14:textId="7C5588FD" w:rsidR="00125224" w:rsidRPr="00EC5EF1" w:rsidRDefault="00125224" w:rsidP="00125224">
            <w:pPr>
              <w:pStyle w:val="TableText"/>
            </w:pPr>
            <w:r>
              <w:rPr>
                <w:w w:val="110"/>
              </w:rPr>
              <w:t>Initial ministerial section 50 leave applications not approved</w:t>
            </w:r>
          </w:p>
        </w:tc>
        <w:tc>
          <w:tcPr>
            <w:tcW w:w="1502" w:type="dxa"/>
            <w:tcBorders>
              <w:top w:val="single" w:sz="4" w:space="0" w:color="A6A6A6" w:themeColor="background1" w:themeShade="A6"/>
              <w:bottom w:val="single" w:sz="4" w:space="0" w:color="A6A6A6" w:themeColor="background1" w:themeShade="A6"/>
            </w:tcBorders>
          </w:tcPr>
          <w:p w14:paraId="362903C9" w14:textId="10C41D5D" w:rsidR="00125224" w:rsidRPr="00EC5EF1" w:rsidRDefault="00125224" w:rsidP="00125224">
            <w:pPr>
              <w:pStyle w:val="TableText"/>
              <w:tabs>
                <w:tab w:val="decimal" w:pos="793"/>
              </w:tabs>
            </w:pPr>
            <w:r>
              <w:t>0</w:t>
            </w:r>
          </w:p>
        </w:tc>
      </w:tr>
      <w:tr w:rsidR="00125224" w:rsidRPr="00EC5EF1" w14:paraId="73A125E6" w14:textId="77777777" w:rsidTr="00125224">
        <w:trPr>
          <w:cantSplit/>
        </w:trPr>
        <w:tc>
          <w:tcPr>
            <w:tcW w:w="6578" w:type="dxa"/>
            <w:tcBorders>
              <w:top w:val="single" w:sz="4" w:space="0" w:color="A6A6A6" w:themeColor="background1" w:themeShade="A6"/>
              <w:bottom w:val="single" w:sz="4" w:space="0" w:color="A6A6A6" w:themeColor="background1" w:themeShade="A6"/>
            </w:tcBorders>
          </w:tcPr>
          <w:p w14:paraId="35B53FE5" w14:textId="0B2015B0" w:rsidR="00125224" w:rsidRPr="00EC5EF1" w:rsidRDefault="00125224" w:rsidP="00125224">
            <w:pPr>
              <w:pStyle w:val="TableText"/>
            </w:pPr>
            <w:r>
              <w:rPr>
                <w:w w:val="105"/>
              </w:rPr>
              <w:t>Ministerial section 50 leave revocations</w:t>
            </w:r>
          </w:p>
        </w:tc>
        <w:tc>
          <w:tcPr>
            <w:tcW w:w="1502" w:type="dxa"/>
            <w:tcBorders>
              <w:top w:val="single" w:sz="4" w:space="0" w:color="A6A6A6" w:themeColor="background1" w:themeShade="A6"/>
              <w:bottom w:val="single" w:sz="4" w:space="0" w:color="A6A6A6" w:themeColor="background1" w:themeShade="A6"/>
            </w:tcBorders>
          </w:tcPr>
          <w:p w14:paraId="0560F4EF" w14:textId="4EA72597" w:rsidR="00125224" w:rsidRPr="00EC5EF1" w:rsidRDefault="00125224" w:rsidP="00125224">
            <w:pPr>
              <w:pStyle w:val="TableText"/>
              <w:tabs>
                <w:tab w:val="decimal" w:pos="793"/>
              </w:tabs>
            </w:pPr>
            <w:r>
              <w:t>2</w:t>
            </w:r>
          </w:p>
        </w:tc>
      </w:tr>
      <w:tr w:rsidR="00125224" w:rsidRPr="00EC5EF1" w14:paraId="27B47349" w14:textId="77777777" w:rsidTr="00125224">
        <w:trPr>
          <w:cantSplit/>
        </w:trPr>
        <w:tc>
          <w:tcPr>
            <w:tcW w:w="6578" w:type="dxa"/>
            <w:tcBorders>
              <w:top w:val="single" w:sz="4" w:space="0" w:color="A6A6A6" w:themeColor="background1" w:themeShade="A6"/>
              <w:bottom w:val="single" w:sz="4" w:space="0" w:color="A6A6A6" w:themeColor="background1" w:themeShade="A6"/>
            </w:tcBorders>
          </w:tcPr>
          <w:p w14:paraId="69BC269D" w14:textId="4395D905" w:rsidR="00125224" w:rsidRPr="00EC5EF1" w:rsidRDefault="00125224" w:rsidP="00125224">
            <w:pPr>
              <w:pStyle w:val="TableText"/>
            </w:pPr>
            <w:r>
              <w:rPr>
                <w:w w:val="105"/>
              </w:rPr>
              <w:t>Further ministerial section 50 leave</w:t>
            </w:r>
            <w:r>
              <w:rPr>
                <w:spacing w:val="53"/>
                <w:w w:val="105"/>
              </w:rPr>
              <w:t xml:space="preserve"> </w:t>
            </w:r>
            <w:r>
              <w:rPr>
                <w:w w:val="105"/>
              </w:rPr>
              <w:t>applications</w:t>
            </w:r>
          </w:p>
        </w:tc>
        <w:tc>
          <w:tcPr>
            <w:tcW w:w="1502" w:type="dxa"/>
            <w:tcBorders>
              <w:top w:val="single" w:sz="4" w:space="0" w:color="A6A6A6" w:themeColor="background1" w:themeShade="A6"/>
              <w:bottom w:val="single" w:sz="4" w:space="0" w:color="A6A6A6" w:themeColor="background1" w:themeShade="A6"/>
            </w:tcBorders>
          </w:tcPr>
          <w:p w14:paraId="722244C0" w14:textId="7D5A0385" w:rsidR="00125224" w:rsidRPr="00EC5EF1" w:rsidRDefault="00125224" w:rsidP="00125224">
            <w:pPr>
              <w:pStyle w:val="TableText"/>
              <w:tabs>
                <w:tab w:val="decimal" w:pos="793"/>
              </w:tabs>
            </w:pPr>
            <w:r>
              <w:t>13</w:t>
            </w:r>
          </w:p>
        </w:tc>
      </w:tr>
      <w:tr w:rsidR="00125224" w:rsidRPr="00EC5EF1" w14:paraId="554AC939" w14:textId="77777777" w:rsidTr="00125224">
        <w:trPr>
          <w:cantSplit/>
        </w:trPr>
        <w:tc>
          <w:tcPr>
            <w:tcW w:w="6578" w:type="dxa"/>
            <w:tcBorders>
              <w:top w:val="single" w:sz="4" w:space="0" w:color="A6A6A6" w:themeColor="background1" w:themeShade="A6"/>
              <w:bottom w:val="single" w:sz="4" w:space="0" w:color="A6A6A6" w:themeColor="background1" w:themeShade="A6"/>
            </w:tcBorders>
          </w:tcPr>
          <w:p w14:paraId="6A8E5B51" w14:textId="79C109D5" w:rsidR="00125224" w:rsidRPr="00EC5EF1" w:rsidRDefault="00125224" w:rsidP="00125224">
            <w:pPr>
              <w:pStyle w:val="TableText"/>
            </w:pPr>
            <w:r>
              <w:rPr>
                <w:w w:val="110"/>
              </w:rPr>
              <w:t>Further ministerial section 50 applications not approved</w:t>
            </w:r>
          </w:p>
        </w:tc>
        <w:tc>
          <w:tcPr>
            <w:tcW w:w="1502" w:type="dxa"/>
            <w:tcBorders>
              <w:top w:val="single" w:sz="4" w:space="0" w:color="A6A6A6" w:themeColor="background1" w:themeShade="A6"/>
              <w:bottom w:val="single" w:sz="4" w:space="0" w:color="A6A6A6" w:themeColor="background1" w:themeShade="A6"/>
            </w:tcBorders>
          </w:tcPr>
          <w:p w14:paraId="72522B0F" w14:textId="0145F437" w:rsidR="00125224" w:rsidRPr="00EC5EF1" w:rsidRDefault="00125224" w:rsidP="00125224">
            <w:pPr>
              <w:pStyle w:val="TableText"/>
              <w:tabs>
                <w:tab w:val="decimal" w:pos="793"/>
              </w:tabs>
            </w:pPr>
            <w:r>
              <w:t>0</w:t>
            </w:r>
          </w:p>
        </w:tc>
      </w:tr>
      <w:tr w:rsidR="00125224" w:rsidRPr="00EC5EF1" w14:paraId="7E464A8F" w14:textId="77777777" w:rsidTr="00125224">
        <w:trPr>
          <w:cantSplit/>
        </w:trPr>
        <w:tc>
          <w:tcPr>
            <w:tcW w:w="6578" w:type="dxa"/>
            <w:tcBorders>
              <w:top w:val="single" w:sz="4" w:space="0" w:color="A6A6A6" w:themeColor="background1" w:themeShade="A6"/>
              <w:bottom w:val="single" w:sz="4" w:space="0" w:color="A6A6A6" w:themeColor="background1" w:themeShade="A6"/>
            </w:tcBorders>
          </w:tcPr>
          <w:p w14:paraId="250F1059" w14:textId="125A0037" w:rsidR="00125224" w:rsidRPr="00EC5EF1" w:rsidRDefault="00125224" w:rsidP="00125224">
            <w:pPr>
              <w:pStyle w:val="TableText"/>
            </w:pPr>
            <w:r>
              <w:rPr>
                <w:w w:val="110"/>
              </w:rPr>
              <w:t>Change of legal status applications approved</w:t>
            </w:r>
          </w:p>
        </w:tc>
        <w:tc>
          <w:tcPr>
            <w:tcW w:w="1502" w:type="dxa"/>
            <w:tcBorders>
              <w:top w:val="single" w:sz="4" w:space="0" w:color="A6A6A6" w:themeColor="background1" w:themeShade="A6"/>
              <w:bottom w:val="single" w:sz="4" w:space="0" w:color="A6A6A6" w:themeColor="background1" w:themeShade="A6"/>
            </w:tcBorders>
          </w:tcPr>
          <w:p w14:paraId="4DF2FFA5" w14:textId="73B68EDC" w:rsidR="00125224" w:rsidRPr="00EC5EF1" w:rsidRDefault="00125224" w:rsidP="00125224">
            <w:pPr>
              <w:pStyle w:val="TableText"/>
              <w:tabs>
                <w:tab w:val="decimal" w:pos="793"/>
              </w:tabs>
            </w:pPr>
            <w:r>
              <w:t>9</w:t>
            </w:r>
          </w:p>
        </w:tc>
      </w:tr>
      <w:tr w:rsidR="00125224" w:rsidRPr="00EC5EF1" w14:paraId="01FC8B77" w14:textId="77777777" w:rsidTr="00125224">
        <w:trPr>
          <w:cantSplit/>
        </w:trPr>
        <w:tc>
          <w:tcPr>
            <w:tcW w:w="6578" w:type="dxa"/>
            <w:tcBorders>
              <w:top w:val="single" w:sz="4" w:space="0" w:color="A6A6A6" w:themeColor="background1" w:themeShade="A6"/>
              <w:bottom w:val="single" w:sz="4" w:space="0" w:color="A6A6A6" w:themeColor="background1" w:themeShade="A6"/>
            </w:tcBorders>
          </w:tcPr>
          <w:p w14:paraId="15E3430A" w14:textId="71768982" w:rsidR="00125224" w:rsidRPr="00EC5EF1" w:rsidRDefault="00125224" w:rsidP="00125224">
            <w:pPr>
              <w:pStyle w:val="TableText"/>
            </w:pPr>
            <w:r>
              <w:rPr>
                <w:w w:val="110"/>
              </w:rPr>
              <w:t>Change of legal status applications not approved</w:t>
            </w:r>
          </w:p>
        </w:tc>
        <w:tc>
          <w:tcPr>
            <w:tcW w:w="1502" w:type="dxa"/>
            <w:tcBorders>
              <w:top w:val="single" w:sz="4" w:space="0" w:color="A6A6A6" w:themeColor="background1" w:themeShade="A6"/>
              <w:bottom w:val="single" w:sz="4" w:space="0" w:color="A6A6A6" w:themeColor="background1" w:themeShade="A6"/>
            </w:tcBorders>
          </w:tcPr>
          <w:p w14:paraId="4A8F9965" w14:textId="3D93868F" w:rsidR="00125224" w:rsidRPr="00EC5EF1" w:rsidRDefault="00125224" w:rsidP="00125224">
            <w:pPr>
              <w:pStyle w:val="TableText"/>
              <w:tabs>
                <w:tab w:val="decimal" w:pos="793"/>
              </w:tabs>
            </w:pPr>
            <w:r>
              <w:t>0</w:t>
            </w:r>
          </w:p>
        </w:tc>
      </w:tr>
      <w:tr w:rsidR="00125224" w:rsidRPr="00125224" w14:paraId="3EA8E7AC" w14:textId="77777777" w:rsidTr="00125224">
        <w:trPr>
          <w:cantSplit/>
        </w:trPr>
        <w:tc>
          <w:tcPr>
            <w:tcW w:w="6578" w:type="dxa"/>
            <w:tcBorders>
              <w:top w:val="single" w:sz="4" w:space="0" w:color="A6A6A6" w:themeColor="background1" w:themeShade="A6"/>
              <w:bottom w:val="single" w:sz="4" w:space="0" w:color="A6A6A6" w:themeColor="background1" w:themeShade="A6"/>
            </w:tcBorders>
          </w:tcPr>
          <w:p w14:paraId="053C7275" w14:textId="6B862228" w:rsidR="00125224" w:rsidRPr="00125224" w:rsidRDefault="00125224" w:rsidP="00125224">
            <w:pPr>
              <w:pStyle w:val="TableText"/>
              <w:rPr>
                <w:b/>
              </w:rPr>
            </w:pPr>
            <w:r w:rsidRPr="00125224">
              <w:rPr>
                <w:b/>
              </w:rPr>
              <w:t>Total</w:t>
            </w:r>
          </w:p>
        </w:tc>
        <w:tc>
          <w:tcPr>
            <w:tcW w:w="1502" w:type="dxa"/>
            <w:tcBorders>
              <w:top w:val="single" w:sz="4" w:space="0" w:color="A6A6A6" w:themeColor="background1" w:themeShade="A6"/>
              <w:bottom w:val="single" w:sz="4" w:space="0" w:color="A6A6A6" w:themeColor="background1" w:themeShade="A6"/>
            </w:tcBorders>
          </w:tcPr>
          <w:p w14:paraId="7AFFB3FD" w14:textId="5F9DEBE5" w:rsidR="00125224" w:rsidRPr="00125224" w:rsidRDefault="00125224" w:rsidP="00125224">
            <w:pPr>
              <w:pStyle w:val="TableText"/>
              <w:tabs>
                <w:tab w:val="decimal" w:pos="793"/>
              </w:tabs>
              <w:rPr>
                <w:b/>
              </w:rPr>
            </w:pPr>
            <w:r w:rsidRPr="00125224">
              <w:rPr>
                <w:b/>
              </w:rPr>
              <w:t>37</w:t>
            </w:r>
          </w:p>
        </w:tc>
      </w:tr>
    </w:tbl>
    <w:p w14:paraId="5A44F7F2" w14:textId="7EB810E8" w:rsidR="00740DA6" w:rsidRPr="00EC5EF1" w:rsidRDefault="00740DA6" w:rsidP="00125224">
      <w:pPr>
        <w:pStyle w:val="Note"/>
      </w:pPr>
      <w:r w:rsidRPr="00EC5EF1">
        <w:t>Note: Numbers do not include the number of applications that were withdrawn before the Minister of Health received them.</w:t>
      </w:r>
    </w:p>
    <w:p w14:paraId="22E8E74B" w14:textId="77777777" w:rsidR="00740DA6" w:rsidRPr="00EC5EF1" w:rsidRDefault="00740DA6" w:rsidP="00125224">
      <w:pPr>
        <w:pStyle w:val="Source"/>
      </w:pPr>
      <w:r w:rsidRPr="00EC5EF1">
        <w:t>Source: Office of the Director of Mental Health and Addiction Services records</w:t>
      </w:r>
    </w:p>
    <w:p w14:paraId="5BFDDCB2" w14:textId="77777777" w:rsidR="00740DA6" w:rsidRPr="00EC5EF1" w:rsidRDefault="00740DA6" w:rsidP="00434E22"/>
    <w:p w14:paraId="35087833" w14:textId="77777777" w:rsidR="00740DA6" w:rsidRPr="00EC5EF1" w:rsidRDefault="00740DA6" w:rsidP="00434E22">
      <w:pPr>
        <w:pStyle w:val="Heading2"/>
      </w:pPr>
      <w:bookmarkStart w:id="116" w:name="_Toc2845679"/>
      <w:r w:rsidRPr="00EC5EF1">
        <w:lastRenderedPageBreak/>
        <w:t>Mental health and addiction adverse event reporting</w:t>
      </w:r>
      <w:bookmarkEnd w:id="116"/>
    </w:p>
    <w:p w14:paraId="20F806B5" w14:textId="2CA7976C" w:rsidR="00740DA6" w:rsidRPr="00EC5EF1" w:rsidRDefault="00740DA6" w:rsidP="00A20F1B">
      <w:pPr>
        <w:keepNext/>
      </w:pPr>
      <w:r w:rsidRPr="00EC5EF1">
        <w:t>There are two major national reporting mechanisms for adverse events relating to mental health and</w:t>
      </w:r>
      <w:r w:rsidR="00DE0BB2">
        <w:t xml:space="preserve"> </w:t>
      </w:r>
      <w:r w:rsidRPr="00EC5EF1">
        <w:t>addiction.</w:t>
      </w:r>
    </w:p>
    <w:p w14:paraId="662620D9" w14:textId="795E5DF5" w:rsidR="00740DA6" w:rsidRPr="00EC5EF1" w:rsidRDefault="00434E22" w:rsidP="00A20F1B">
      <w:pPr>
        <w:keepNext/>
        <w:spacing w:before="120"/>
        <w:ind w:left="567" w:hanging="567"/>
      </w:pPr>
      <w:r>
        <w:t>1.</w:t>
      </w:r>
      <w:r>
        <w:tab/>
      </w:r>
      <w:r w:rsidR="00740DA6" w:rsidRPr="00EC5EF1">
        <w:t>DHBs are required to notify the Director of Mental Health of the death of any person or special patient under the Mental Health Act.</w:t>
      </w:r>
    </w:p>
    <w:p w14:paraId="5FC70F87" w14:textId="12F12B90" w:rsidR="00740DA6" w:rsidRPr="00EC5EF1" w:rsidRDefault="00434E22" w:rsidP="00434E22">
      <w:pPr>
        <w:spacing w:before="120"/>
        <w:ind w:left="567" w:hanging="567"/>
      </w:pPr>
      <w:r>
        <w:t>2.</w:t>
      </w:r>
      <w:r>
        <w:tab/>
      </w:r>
      <w:r w:rsidR="00740DA6" w:rsidRPr="00EC5EF1">
        <w:t>DHBs are required to report all Severity Assessment Code (SAC)</w:t>
      </w:r>
      <w:r>
        <w:rPr>
          <w:rStyle w:val="FootnoteReference"/>
          <w:color w:val="231F20"/>
        </w:rPr>
        <w:footnoteReference w:id="39"/>
      </w:r>
      <w:r>
        <w:t xml:space="preserve"> </w:t>
      </w:r>
      <w:r w:rsidR="00740DA6" w:rsidRPr="00EC5EF1">
        <w:t>1 or 2 rated adverse events to the HQSC in line with the National Adverse Events Reporting Policy.</w:t>
      </w:r>
      <w:r>
        <w:rPr>
          <w:rStyle w:val="FootnoteReference"/>
          <w:color w:val="231F20"/>
        </w:rPr>
        <w:footnoteReference w:id="40"/>
      </w:r>
      <w:r>
        <w:t xml:space="preserve"> </w:t>
      </w:r>
      <w:r w:rsidR="00740DA6" w:rsidRPr="00EC5EF1">
        <w:t>Mental health and addiction services that are not funded by DHBs are encouraged but not required to report adverse events to the HQSC. (Due to small numbers, this data is not reported</w:t>
      </w:r>
      <w:r w:rsidR="00DE0BB2">
        <w:t xml:space="preserve"> </w:t>
      </w:r>
      <w:r w:rsidR="00740DA6" w:rsidRPr="00EC5EF1">
        <w:t>here.)</w:t>
      </w:r>
    </w:p>
    <w:p w14:paraId="3947D6EA" w14:textId="77777777" w:rsidR="00740DA6" w:rsidRPr="00EC5EF1" w:rsidRDefault="00740DA6" w:rsidP="00C66809"/>
    <w:p w14:paraId="140C98E4" w14:textId="77777777" w:rsidR="00740DA6" w:rsidRPr="00EC5EF1" w:rsidRDefault="00740DA6" w:rsidP="00C66809">
      <w:r w:rsidRPr="00EC5EF1">
        <w:t>Please note, deaths of people subject to the Mental Health Act may be reported to both agencies where the death meets the SAC1 criteria.</w:t>
      </w:r>
    </w:p>
    <w:p w14:paraId="42521A0D" w14:textId="77777777" w:rsidR="00740DA6" w:rsidRPr="00EC5EF1" w:rsidRDefault="00740DA6" w:rsidP="00C66809"/>
    <w:p w14:paraId="62BE398A" w14:textId="77777777" w:rsidR="00740DA6" w:rsidRPr="00EC5EF1" w:rsidRDefault="00740DA6" w:rsidP="00C66809">
      <w:pPr>
        <w:pStyle w:val="Heading3"/>
      </w:pPr>
      <w:bookmarkStart w:id="117" w:name="_Toc2845680"/>
      <w:r w:rsidRPr="00EC5EF1">
        <w:t>Deaths reported to the Office of the Director of Mental Health and Addiction Services</w:t>
      </w:r>
      <w:bookmarkEnd w:id="117"/>
    </w:p>
    <w:p w14:paraId="36B254A6" w14:textId="1073F798" w:rsidR="00740DA6" w:rsidRPr="00434E22" w:rsidRDefault="00740DA6" w:rsidP="00C66809">
      <w:r w:rsidRPr="00EC5EF1">
        <w:t>Section 132 of the Mental Health Act requires the Director of Mental Health to be notified within 14 days of the death of any person or special patient under the Mental Health Act. Such a notification must identify the apparent cause of death.</w:t>
      </w:r>
      <w:r w:rsidR="00434E22" w:rsidRPr="00C66809">
        <w:rPr>
          <w:rStyle w:val="FootnoteReference"/>
        </w:rPr>
        <w:footnoteReference w:id="41"/>
      </w:r>
    </w:p>
    <w:p w14:paraId="0AB7548D" w14:textId="77777777" w:rsidR="00434E22" w:rsidRDefault="00434E22" w:rsidP="00C66809"/>
    <w:p w14:paraId="72664542" w14:textId="36334990" w:rsidR="00740DA6" w:rsidRPr="00EC5EF1" w:rsidRDefault="00740DA6" w:rsidP="00C66809">
      <w:r w:rsidRPr="00EC5EF1">
        <w:t>If the circumstances surrounding a death cause concern, the relevant DHB may initiate an inquiry. The Director of Mental Health can also initiate an investigation under section 95 of the Mental Health Act and, in rare cases, the Minister or Director-General of Health can initiate an inquiry under section 72 of the New Zealand Public Health and Disability Act 2000. The Director of Mental Health works to ensure that DHBs follow up on recommendations.</w:t>
      </w:r>
    </w:p>
    <w:p w14:paraId="759ECA80" w14:textId="77777777" w:rsidR="00434E22" w:rsidRDefault="00434E22" w:rsidP="00C66809"/>
    <w:p w14:paraId="587BF6D3" w14:textId="01215969" w:rsidR="00740DA6" w:rsidRPr="00EC5EF1" w:rsidRDefault="00740DA6" w:rsidP="00C66809">
      <w:r w:rsidRPr="00EC5EF1">
        <w:t>In 2017, the Director of Mental Health received 59 death notifications related to people under the Mental Health Act (see Table 10). Of these, 16 related to people who were reported to have died by suspected suicide.</w:t>
      </w:r>
      <w:r w:rsidR="00434E22" w:rsidRPr="00C66809">
        <w:rPr>
          <w:rStyle w:val="FootnoteReference"/>
        </w:rPr>
        <w:footnoteReference w:id="42"/>
      </w:r>
      <w:r w:rsidR="00434E22">
        <w:t xml:space="preserve"> </w:t>
      </w:r>
      <w:r w:rsidRPr="00EC5EF1">
        <w:t>The remaining 43 reportedly died by other means, including natural causes and illnesses unrelated to mental health status.</w:t>
      </w:r>
    </w:p>
    <w:p w14:paraId="26B8F49D" w14:textId="77777777" w:rsidR="00740DA6" w:rsidRPr="00EC5EF1" w:rsidRDefault="00740DA6" w:rsidP="00C66809"/>
    <w:p w14:paraId="208CFD75" w14:textId="7336552C" w:rsidR="00740DA6" w:rsidRPr="00EC5EF1" w:rsidRDefault="00740DA6" w:rsidP="00C66809">
      <w:pPr>
        <w:pStyle w:val="Table"/>
      </w:pPr>
      <w:bookmarkStart w:id="118" w:name="_Toc2845754"/>
      <w:r w:rsidRPr="00EC5EF1">
        <w:rPr>
          <w:noProof/>
          <w:lang w:eastAsia="en-NZ"/>
        </w:rPr>
        <w:lastRenderedPageBreak/>
        <w:drawing>
          <wp:anchor distT="0" distB="0" distL="0" distR="0" simplePos="0" relativeHeight="251784192" behindDoc="0" locked="0" layoutInCell="1" allowOverlap="1" wp14:anchorId="353DDDB3" wp14:editId="066E7272">
            <wp:simplePos x="0" y="0"/>
            <wp:positionH relativeFrom="page">
              <wp:posOffset>8060163</wp:posOffset>
            </wp:positionH>
            <wp:positionV relativeFrom="paragraph">
              <wp:posOffset>78036</wp:posOffset>
            </wp:positionV>
            <wp:extent cx="155575" cy="155575"/>
            <wp:effectExtent l="0" t="0" r="0" b="0"/>
            <wp:wrapNone/>
            <wp:docPr id="32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Table 10: Outcomes of reportable death notifications under section 132 of the Mental Health Act, 1 January to 31 December 2017</w:t>
      </w:r>
      <w:bookmarkEnd w:id="118"/>
    </w:p>
    <w:tbl>
      <w:tblPr>
        <w:tblStyle w:val="TableGrid"/>
        <w:tblW w:w="4111" w:type="dxa"/>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977"/>
        <w:gridCol w:w="1134"/>
      </w:tblGrid>
      <w:tr w:rsidR="00C66809" w:rsidRPr="00C66809" w14:paraId="43BFDB25" w14:textId="77777777" w:rsidTr="00C66809">
        <w:trPr>
          <w:cantSplit/>
        </w:trPr>
        <w:tc>
          <w:tcPr>
            <w:tcW w:w="2977" w:type="dxa"/>
            <w:tcBorders>
              <w:top w:val="nil"/>
              <w:bottom w:val="nil"/>
            </w:tcBorders>
            <w:shd w:val="clear" w:color="auto" w:fill="D9D9D9" w:themeFill="background1" w:themeFillShade="D9"/>
          </w:tcPr>
          <w:p w14:paraId="1C6111C0" w14:textId="77777777" w:rsidR="00C66809" w:rsidRPr="00C66809" w:rsidRDefault="00C66809" w:rsidP="00C66809">
            <w:pPr>
              <w:pStyle w:val="TableText"/>
              <w:rPr>
                <w:b/>
                <w:u w:color="231F20"/>
              </w:rPr>
            </w:pPr>
            <w:r w:rsidRPr="00C66809">
              <w:rPr>
                <w:b/>
                <w:u w:color="231F20"/>
              </w:rPr>
              <w:t>Reportable death outcome</w:t>
            </w:r>
          </w:p>
        </w:tc>
        <w:tc>
          <w:tcPr>
            <w:tcW w:w="1134" w:type="dxa"/>
            <w:tcBorders>
              <w:top w:val="nil"/>
              <w:bottom w:val="nil"/>
            </w:tcBorders>
            <w:shd w:val="clear" w:color="auto" w:fill="D9D9D9" w:themeFill="background1" w:themeFillShade="D9"/>
          </w:tcPr>
          <w:p w14:paraId="52F2B2BD" w14:textId="77777777" w:rsidR="00C66809" w:rsidRPr="00C66809" w:rsidRDefault="00C66809" w:rsidP="00C66809">
            <w:pPr>
              <w:pStyle w:val="TableText"/>
              <w:jc w:val="center"/>
              <w:rPr>
                <w:b/>
              </w:rPr>
            </w:pPr>
            <w:r w:rsidRPr="00C66809">
              <w:rPr>
                <w:b/>
                <w:u w:color="231F20"/>
              </w:rPr>
              <w:t>Number</w:t>
            </w:r>
          </w:p>
        </w:tc>
      </w:tr>
      <w:tr w:rsidR="00C66809" w:rsidRPr="00C66809" w14:paraId="207BD8AD" w14:textId="77777777" w:rsidTr="00C66809">
        <w:trPr>
          <w:cantSplit/>
        </w:trPr>
        <w:tc>
          <w:tcPr>
            <w:tcW w:w="2977" w:type="dxa"/>
            <w:tcBorders>
              <w:top w:val="nil"/>
            </w:tcBorders>
          </w:tcPr>
          <w:p w14:paraId="3246F628" w14:textId="5754F0D5" w:rsidR="00C66809" w:rsidRPr="00C66809" w:rsidRDefault="00C66809" w:rsidP="00C66809">
            <w:pPr>
              <w:pStyle w:val="TableText"/>
              <w:rPr>
                <w:u w:color="808285"/>
              </w:rPr>
            </w:pPr>
            <w:r w:rsidRPr="00C66809">
              <w:rPr>
                <w:u w:color="808285"/>
              </w:rPr>
              <w:t>Suspected suicide</w:t>
            </w:r>
          </w:p>
        </w:tc>
        <w:tc>
          <w:tcPr>
            <w:tcW w:w="1134" w:type="dxa"/>
            <w:tcBorders>
              <w:top w:val="nil"/>
            </w:tcBorders>
          </w:tcPr>
          <w:p w14:paraId="675E1C98" w14:textId="77777777" w:rsidR="00C66809" w:rsidRPr="00C66809" w:rsidRDefault="00C66809" w:rsidP="00C66809">
            <w:pPr>
              <w:pStyle w:val="TableText"/>
              <w:jc w:val="center"/>
              <w:rPr>
                <w:u w:color="808285"/>
              </w:rPr>
            </w:pPr>
            <w:r w:rsidRPr="00C66809">
              <w:rPr>
                <w:u w:color="808285"/>
              </w:rPr>
              <w:t>16</w:t>
            </w:r>
          </w:p>
        </w:tc>
      </w:tr>
      <w:tr w:rsidR="00C66809" w:rsidRPr="00C66809" w14:paraId="675D8452" w14:textId="77777777" w:rsidTr="00C66809">
        <w:trPr>
          <w:cantSplit/>
        </w:trPr>
        <w:tc>
          <w:tcPr>
            <w:tcW w:w="2977" w:type="dxa"/>
          </w:tcPr>
          <w:p w14:paraId="4A341613" w14:textId="70A7EFE5" w:rsidR="00C66809" w:rsidRPr="00C66809" w:rsidRDefault="00C66809" w:rsidP="00C66809">
            <w:pPr>
              <w:pStyle w:val="TableText"/>
              <w:rPr>
                <w:u w:color="231F20"/>
              </w:rPr>
            </w:pPr>
            <w:r w:rsidRPr="00C66809">
              <w:rPr>
                <w:u w:color="231F20"/>
              </w:rPr>
              <w:t>Other deaths</w:t>
            </w:r>
          </w:p>
        </w:tc>
        <w:tc>
          <w:tcPr>
            <w:tcW w:w="1134" w:type="dxa"/>
          </w:tcPr>
          <w:p w14:paraId="4B3FBDB4" w14:textId="77777777" w:rsidR="00C66809" w:rsidRPr="00C66809" w:rsidRDefault="00C66809" w:rsidP="00C66809">
            <w:pPr>
              <w:pStyle w:val="TableText"/>
              <w:jc w:val="center"/>
              <w:rPr>
                <w:u w:color="231F20"/>
              </w:rPr>
            </w:pPr>
            <w:r w:rsidRPr="00C66809">
              <w:rPr>
                <w:u w:color="231F20"/>
              </w:rPr>
              <w:t>43</w:t>
            </w:r>
          </w:p>
        </w:tc>
      </w:tr>
      <w:tr w:rsidR="00C66809" w:rsidRPr="00C66809" w14:paraId="70E196A6" w14:textId="77777777" w:rsidTr="00C66809">
        <w:trPr>
          <w:cantSplit/>
        </w:trPr>
        <w:tc>
          <w:tcPr>
            <w:tcW w:w="2977" w:type="dxa"/>
          </w:tcPr>
          <w:p w14:paraId="09AA2724" w14:textId="75AB2032" w:rsidR="00C66809" w:rsidRPr="00C66809" w:rsidRDefault="00C66809" w:rsidP="00C66809">
            <w:pPr>
              <w:pStyle w:val="TableText"/>
              <w:rPr>
                <w:b/>
                <w:u w:color="231F20"/>
              </w:rPr>
            </w:pPr>
            <w:r w:rsidRPr="00C66809">
              <w:rPr>
                <w:b/>
                <w:u w:color="231F20"/>
              </w:rPr>
              <w:t>Total</w:t>
            </w:r>
          </w:p>
        </w:tc>
        <w:tc>
          <w:tcPr>
            <w:tcW w:w="1134" w:type="dxa"/>
          </w:tcPr>
          <w:p w14:paraId="5FAC5263" w14:textId="77777777" w:rsidR="00C66809" w:rsidRPr="00C66809" w:rsidRDefault="00C66809" w:rsidP="00C66809">
            <w:pPr>
              <w:pStyle w:val="TableText"/>
              <w:jc w:val="center"/>
              <w:rPr>
                <w:b/>
              </w:rPr>
            </w:pPr>
            <w:r w:rsidRPr="00C66809">
              <w:rPr>
                <w:b/>
                <w:u w:color="231F20"/>
              </w:rPr>
              <w:t>59</w:t>
            </w:r>
          </w:p>
        </w:tc>
      </w:tr>
    </w:tbl>
    <w:p w14:paraId="403218A4" w14:textId="77777777" w:rsidR="00740DA6" w:rsidRPr="00EC5EF1" w:rsidRDefault="00740DA6" w:rsidP="00C66809">
      <w:pPr>
        <w:pStyle w:val="Source"/>
      </w:pPr>
      <w:r w:rsidRPr="00EC5EF1">
        <w:t>Source: Office of the Director of Mental Health and Addiction Services records</w:t>
      </w:r>
    </w:p>
    <w:p w14:paraId="5CE832E7" w14:textId="77777777" w:rsidR="00740DA6" w:rsidRPr="00EC5EF1" w:rsidRDefault="00740DA6" w:rsidP="00C66809"/>
    <w:p w14:paraId="52F5B443" w14:textId="77777777" w:rsidR="00740DA6" w:rsidRPr="00EC5EF1" w:rsidRDefault="00740DA6" w:rsidP="00C66809">
      <w:pPr>
        <w:pStyle w:val="Heading3"/>
      </w:pPr>
      <w:bookmarkStart w:id="119" w:name="_Toc2845681"/>
      <w:r w:rsidRPr="00EC5EF1">
        <w:t>Adverse events reported to the Health Quality &amp; Safety Commission</w:t>
      </w:r>
      <w:bookmarkEnd w:id="119"/>
    </w:p>
    <w:p w14:paraId="37116135" w14:textId="77777777" w:rsidR="00740DA6" w:rsidRPr="00EC5EF1" w:rsidRDefault="00740DA6" w:rsidP="00C66809">
      <w:r w:rsidRPr="00EC5EF1">
        <w:t>Adverse event reporting encourages health and disability services to identify and review the events with the aim of preventing similar occurrences in the future and help ensure better and safer health care for New Zealanders.</w:t>
      </w:r>
    </w:p>
    <w:p w14:paraId="1C13BBA6" w14:textId="2E2428FD" w:rsidR="00740DA6" w:rsidRPr="00EC5EF1" w:rsidRDefault="00740DA6" w:rsidP="00C66809"/>
    <w:p w14:paraId="5937EC21" w14:textId="0B565132" w:rsidR="00740DA6" w:rsidRPr="00EC5EF1" w:rsidRDefault="00740DA6" w:rsidP="00C66809">
      <w:r w:rsidRPr="00EC5EF1">
        <w:t>In New Zealand, adverse events have been reported publically since 2006.</w:t>
      </w:r>
      <w:r w:rsidR="00C66809">
        <w:rPr>
          <w:rStyle w:val="FootnoteReference"/>
        </w:rPr>
        <w:footnoteReference w:id="43"/>
      </w:r>
      <w:r w:rsidR="00C66809">
        <w:t xml:space="preserve"> </w:t>
      </w:r>
      <w:r w:rsidRPr="00EC5EF1">
        <w:t>Since reporting began, the number of adverse events reported by DHBs has increased. This is not necessarily because the frequency of adverse events has increased; we consider that DHBs have improved their reporting systems and cultures, reflecting a stronger culture of transparency and commitment to learning.</w:t>
      </w:r>
    </w:p>
    <w:p w14:paraId="0975A0AB" w14:textId="77777777" w:rsidR="00C66809" w:rsidRDefault="00C66809" w:rsidP="00C66809"/>
    <w:p w14:paraId="787D82CA" w14:textId="44E40A5D" w:rsidR="00740DA6" w:rsidRPr="00EC5EF1" w:rsidRDefault="00740DA6" w:rsidP="00C66809">
      <w:r w:rsidRPr="00EC5EF1">
        <w:t>The reporting of adverse events is one part of</w:t>
      </w:r>
      <w:r w:rsidR="00434E22">
        <w:t xml:space="preserve"> </w:t>
      </w:r>
      <w:r w:rsidRPr="00EC5EF1">
        <w:t>a broader safety framework within New Zealand to ensure health care is as safe as possible.</w:t>
      </w:r>
    </w:p>
    <w:p w14:paraId="020F7D14" w14:textId="77777777" w:rsidR="00740DA6" w:rsidRPr="00EC5EF1" w:rsidRDefault="00740DA6" w:rsidP="00C66809"/>
    <w:p w14:paraId="273E2389" w14:textId="77777777" w:rsidR="00740DA6" w:rsidRPr="00EC5EF1" w:rsidRDefault="00740DA6" w:rsidP="00C66809">
      <w:pPr>
        <w:pStyle w:val="Heading3"/>
      </w:pPr>
      <w:bookmarkStart w:id="120" w:name="_Toc2845682"/>
      <w:r w:rsidRPr="00EC5EF1">
        <w:t>Adverse events reported by district health board-funded mental health and addiction services</w:t>
      </w:r>
      <w:bookmarkEnd w:id="120"/>
    </w:p>
    <w:p w14:paraId="15E60C40" w14:textId="77777777" w:rsidR="00740DA6" w:rsidRPr="00EC5EF1" w:rsidRDefault="00740DA6" w:rsidP="00C66809">
      <w:r w:rsidRPr="00EC5EF1">
        <w:t>Table 11 provides a breakdown of the types of adverse events relating to mental health behaviour reported by DHBs to the HQSC during 2017; Table 12 shows the number of events reported for each DHB.</w:t>
      </w:r>
    </w:p>
    <w:p w14:paraId="00A167C3" w14:textId="77777777" w:rsidR="00C66809" w:rsidRDefault="00C66809" w:rsidP="00C66809"/>
    <w:p w14:paraId="3DBAE1A0" w14:textId="562943D3" w:rsidR="00740DA6" w:rsidRPr="00EC5EF1" w:rsidRDefault="00740DA6" w:rsidP="00C66809">
      <w:r w:rsidRPr="00EC5EF1">
        <w:t>Our ability to compare reports year to year is limited because the definition of adverse events has changed, as have the parameters around service-user contact before</w:t>
      </w:r>
      <w:r w:rsidR="00434E22">
        <w:t xml:space="preserve"> </w:t>
      </w:r>
      <w:r w:rsidRPr="00EC5EF1">
        <w:rPr>
          <w:noProof/>
          <w:lang w:eastAsia="en-NZ"/>
        </w:rPr>
        <w:drawing>
          <wp:anchor distT="0" distB="0" distL="0" distR="0" simplePos="0" relativeHeight="251786240" behindDoc="0" locked="0" layoutInCell="1" allowOverlap="1" wp14:anchorId="63495863" wp14:editId="081BC947">
            <wp:simplePos x="0" y="0"/>
            <wp:positionH relativeFrom="page">
              <wp:posOffset>8060163</wp:posOffset>
            </wp:positionH>
            <wp:positionV relativeFrom="paragraph">
              <wp:posOffset>224826</wp:posOffset>
            </wp:positionV>
            <wp:extent cx="155575" cy="155575"/>
            <wp:effectExtent l="0" t="0" r="0" b="0"/>
            <wp:wrapNone/>
            <wp:docPr id="33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 xml:space="preserve">an adverse event. Initially, the adverse events reporting requirements were defined as events that had occurred within seven days of contact with a service. In the </w:t>
      </w:r>
      <w:r w:rsidRPr="00D83D0A">
        <w:rPr>
          <w:i/>
        </w:rPr>
        <w:t xml:space="preserve">New Zealand Health and Disability Services – National Reportable Events Policy 2012 </w:t>
      </w:r>
      <w:r w:rsidRPr="00EC5EF1">
        <w:t>(HQSC 2012), DHB mental health and addiction services voluntarily amended this criterion to include cases that had occurred within 28 days of contact with the service, allowing</w:t>
      </w:r>
      <w:r w:rsidR="00434E22">
        <w:t xml:space="preserve"> </w:t>
      </w:r>
      <w:r w:rsidRPr="00EC5EF1">
        <w:t>lessons to be learned from a wider set of events. Some providers have taken this even further and now report serious adverse events for any current community mental health service user, irrespective of time since their last contact with the service.</w:t>
      </w:r>
    </w:p>
    <w:p w14:paraId="456E886C" w14:textId="77777777" w:rsidR="00740DA6" w:rsidRPr="00EC5EF1" w:rsidRDefault="00740DA6" w:rsidP="00A20F1B">
      <w:pPr>
        <w:spacing w:before="240"/>
      </w:pPr>
      <w:r w:rsidRPr="00EC5EF1">
        <w:lastRenderedPageBreak/>
        <w:t>It is also important to note that comparisons between individual DHBs are not straightforward. As noted above, high numbers can indicate a good reporting culture rather than a higher number of adverse events than other DHBs. DHBs that provide larger and more complex or regional mental health services may also report a higher number of adverse events.</w:t>
      </w:r>
    </w:p>
    <w:p w14:paraId="3C747425" w14:textId="77777777" w:rsidR="00740DA6" w:rsidRPr="00EC5EF1" w:rsidRDefault="00740DA6" w:rsidP="00434E22"/>
    <w:p w14:paraId="5A989245" w14:textId="77777777" w:rsidR="00740DA6" w:rsidRPr="00EC5EF1" w:rsidRDefault="00740DA6" w:rsidP="00434E22">
      <w:pPr>
        <w:pStyle w:val="Table"/>
      </w:pPr>
      <w:bookmarkStart w:id="121" w:name="_Toc2845755"/>
      <w:r w:rsidRPr="00EC5EF1">
        <w:t>Table 11: Adverse events (relating to mental health behaviour) reported by DHBs to the Health Quality &amp; Safety Commission, 1 January to 31 December 2017</w:t>
      </w:r>
      <w:bookmarkEnd w:id="121"/>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410"/>
        <w:gridCol w:w="1276"/>
        <w:gridCol w:w="1276"/>
        <w:gridCol w:w="1984"/>
        <w:gridCol w:w="1134"/>
      </w:tblGrid>
      <w:tr w:rsidR="00C66809" w:rsidRPr="00C66809" w14:paraId="586502CF" w14:textId="77777777" w:rsidTr="00C66809">
        <w:trPr>
          <w:cantSplit/>
        </w:trPr>
        <w:tc>
          <w:tcPr>
            <w:tcW w:w="2410" w:type="dxa"/>
            <w:tcBorders>
              <w:top w:val="nil"/>
              <w:bottom w:val="nil"/>
            </w:tcBorders>
            <w:shd w:val="clear" w:color="auto" w:fill="D9D9D9" w:themeFill="background1" w:themeFillShade="D9"/>
          </w:tcPr>
          <w:p w14:paraId="2408ACF5" w14:textId="4FDBC232" w:rsidR="00C66809" w:rsidRPr="00C66809" w:rsidRDefault="00C66809" w:rsidP="00C66809">
            <w:pPr>
              <w:pStyle w:val="TableText"/>
              <w:rPr>
                <w:b/>
              </w:rPr>
            </w:pPr>
            <w:r w:rsidRPr="00C66809">
              <w:rPr>
                <w:b/>
              </w:rPr>
              <w:t>Type of event</w:t>
            </w:r>
          </w:p>
        </w:tc>
        <w:tc>
          <w:tcPr>
            <w:tcW w:w="1276" w:type="dxa"/>
            <w:tcBorders>
              <w:top w:val="nil"/>
              <w:bottom w:val="nil"/>
            </w:tcBorders>
            <w:shd w:val="clear" w:color="auto" w:fill="D9D9D9" w:themeFill="background1" w:themeFillShade="D9"/>
          </w:tcPr>
          <w:p w14:paraId="1AAC214A" w14:textId="3CB5D9F2" w:rsidR="00C66809" w:rsidRPr="00C66809" w:rsidRDefault="00C66809" w:rsidP="00C66809">
            <w:pPr>
              <w:pStyle w:val="TableText"/>
              <w:jc w:val="center"/>
              <w:rPr>
                <w:b/>
              </w:rPr>
            </w:pPr>
            <w:r w:rsidRPr="00C66809">
              <w:rPr>
                <w:b/>
              </w:rPr>
              <w:t>Outpatient</w:t>
            </w:r>
          </w:p>
        </w:tc>
        <w:tc>
          <w:tcPr>
            <w:tcW w:w="1276" w:type="dxa"/>
            <w:tcBorders>
              <w:top w:val="nil"/>
              <w:bottom w:val="nil"/>
            </w:tcBorders>
            <w:shd w:val="clear" w:color="auto" w:fill="D9D9D9" w:themeFill="background1" w:themeFillShade="D9"/>
          </w:tcPr>
          <w:p w14:paraId="5885C256" w14:textId="77777777" w:rsidR="00C66809" w:rsidRPr="00C66809" w:rsidRDefault="00C66809" w:rsidP="00C66809">
            <w:pPr>
              <w:pStyle w:val="TableText"/>
              <w:jc w:val="center"/>
              <w:rPr>
                <w:b/>
              </w:rPr>
            </w:pPr>
            <w:r w:rsidRPr="00C66809">
              <w:rPr>
                <w:b/>
              </w:rPr>
              <w:t>Inpatient</w:t>
            </w:r>
          </w:p>
        </w:tc>
        <w:tc>
          <w:tcPr>
            <w:tcW w:w="1984" w:type="dxa"/>
            <w:tcBorders>
              <w:top w:val="nil"/>
              <w:bottom w:val="nil"/>
            </w:tcBorders>
            <w:shd w:val="clear" w:color="auto" w:fill="D9D9D9" w:themeFill="background1" w:themeFillShade="D9"/>
          </w:tcPr>
          <w:p w14:paraId="1E7D4EC3" w14:textId="77777777" w:rsidR="00C66809" w:rsidRPr="00C66809" w:rsidRDefault="00C66809" w:rsidP="00C66809">
            <w:pPr>
              <w:pStyle w:val="TableText"/>
              <w:jc w:val="center"/>
              <w:rPr>
                <w:b/>
              </w:rPr>
            </w:pPr>
            <w:r w:rsidRPr="00C66809">
              <w:rPr>
                <w:b/>
              </w:rPr>
              <w:t>On approved leave</w:t>
            </w:r>
          </w:p>
        </w:tc>
        <w:tc>
          <w:tcPr>
            <w:tcW w:w="1134" w:type="dxa"/>
            <w:tcBorders>
              <w:top w:val="nil"/>
              <w:bottom w:val="nil"/>
            </w:tcBorders>
            <w:shd w:val="clear" w:color="auto" w:fill="D9D9D9" w:themeFill="background1" w:themeFillShade="D9"/>
          </w:tcPr>
          <w:p w14:paraId="4843496F" w14:textId="77777777" w:rsidR="00C66809" w:rsidRPr="00C66809" w:rsidRDefault="00C66809" w:rsidP="00C66809">
            <w:pPr>
              <w:pStyle w:val="TableText"/>
              <w:jc w:val="center"/>
              <w:rPr>
                <w:b/>
              </w:rPr>
            </w:pPr>
            <w:r w:rsidRPr="00C66809">
              <w:rPr>
                <w:b/>
              </w:rPr>
              <w:t>Total</w:t>
            </w:r>
          </w:p>
        </w:tc>
      </w:tr>
      <w:tr w:rsidR="00C66809" w:rsidRPr="00EC5EF1" w14:paraId="0D146093" w14:textId="77777777" w:rsidTr="00C66809">
        <w:trPr>
          <w:cantSplit/>
        </w:trPr>
        <w:tc>
          <w:tcPr>
            <w:tcW w:w="2410" w:type="dxa"/>
            <w:tcBorders>
              <w:top w:val="nil"/>
            </w:tcBorders>
          </w:tcPr>
          <w:p w14:paraId="025A4995" w14:textId="2EA65057" w:rsidR="00C66809" w:rsidRPr="00EC5EF1" w:rsidRDefault="00C66809" w:rsidP="00C66809">
            <w:pPr>
              <w:pStyle w:val="TableText"/>
              <w:rPr>
                <w:sz w:val="20"/>
              </w:rPr>
            </w:pPr>
            <w:r w:rsidRPr="00EC5EF1">
              <w:t>Suspected suicide</w:t>
            </w:r>
          </w:p>
        </w:tc>
        <w:tc>
          <w:tcPr>
            <w:tcW w:w="1276" w:type="dxa"/>
            <w:tcBorders>
              <w:top w:val="nil"/>
            </w:tcBorders>
          </w:tcPr>
          <w:p w14:paraId="3629B716" w14:textId="2776F454" w:rsidR="00C66809" w:rsidRPr="00EC5EF1" w:rsidRDefault="00C66809" w:rsidP="00C66809">
            <w:pPr>
              <w:pStyle w:val="TableText"/>
              <w:tabs>
                <w:tab w:val="decimal" w:pos="701"/>
              </w:tabs>
            </w:pPr>
            <w:r>
              <w:t>164</w:t>
            </w:r>
          </w:p>
        </w:tc>
        <w:tc>
          <w:tcPr>
            <w:tcW w:w="1276" w:type="dxa"/>
            <w:tcBorders>
              <w:top w:val="nil"/>
            </w:tcBorders>
          </w:tcPr>
          <w:p w14:paraId="79619271" w14:textId="77777777" w:rsidR="00C66809" w:rsidRPr="00EC5EF1" w:rsidRDefault="00C66809" w:rsidP="00C66809">
            <w:pPr>
              <w:pStyle w:val="TableText"/>
              <w:tabs>
                <w:tab w:val="decimal" w:pos="721"/>
              </w:tabs>
            </w:pPr>
            <w:r w:rsidRPr="00EC5EF1">
              <w:rPr>
                <w:color w:val="231F20"/>
              </w:rPr>
              <w:t>10</w:t>
            </w:r>
          </w:p>
        </w:tc>
        <w:tc>
          <w:tcPr>
            <w:tcW w:w="1984" w:type="dxa"/>
            <w:tcBorders>
              <w:top w:val="nil"/>
            </w:tcBorders>
          </w:tcPr>
          <w:p w14:paraId="2F3BF5E2" w14:textId="77777777" w:rsidR="00C66809" w:rsidRPr="00EC5EF1" w:rsidRDefault="00C66809" w:rsidP="00C66809">
            <w:pPr>
              <w:pStyle w:val="TableText"/>
              <w:jc w:val="center"/>
            </w:pPr>
            <w:r w:rsidRPr="00EC5EF1">
              <w:rPr>
                <w:color w:val="231F20"/>
              </w:rPr>
              <w:t>2</w:t>
            </w:r>
          </w:p>
        </w:tc>
        <w:tc>
          <w:tcPr>
            <w:tcW w:w="1134" w:type="dxa"/>
            <w:tcBorders>
              <w:top w:val="nil"/>
            </w:tcBorders>
          </w:tcPr>
          <w:p w14:paraId="2A54AA42" w14:textId="77777777" w:rsidR="00C66809" w:rsidRPr="00EC5EF1" w:rsidRDefault="00C66809" w:rsidP="00C66809">
            <w:pPr>
              <w:pStyle w:val="TableText"/>
              <w:tabs>
                <w:tab w:val="decimal" w:pos="668"/>
              </w:tabs>
            </w:pPr>
            <w:r w:rsidRPr="00EC5EF1">
              <w:rPr>
                <w:color w:val="231F20"/>
              </w:rPr>
              <w:t>176</w:t>
            </w:r>
          </w:p>
        </w:tc>
      </w:tr>
      <w:tr w:rsidR="00C66809" w:rsidRPr="00EC5EF1" w14:paraId="09AEC983" w14:textId="77777777" w:rsidTr="00C66809">
        <w:trPr>
          <w:cantSplit/>
        </w:trPr>
        <w:tc>
          <w:tcPr>
            <w:tcW w:w="2410" w:type="dxa"/>
          </w:tcPr>
          <w:p w14:paraId="75D75442" w14:textId="6064218E" w:rsidR="00C66809" w:rsidRPr="00EC5EF1" w:rsidRDefault="00C66809" w:rsidP="00C66809">
            <w:pPr>
              <w:pStyle w:val="TableText"/>
            </w:pPr>
            <w:r w:rsidRPr="00EC5EF1">
              <w:t>Serious self-harm</w:t>
            </w:r>
          </w:p>
        </w:tc>
        <w:tc>
          <w:tcPr>
            <w:tcW w:w="1276" w:type="dxa"/>
          </w:tcPr>
          <w:p w14:paraId="61C99C86" w14:textId="19880512" w:rsidR="00C66809" w:rsidRPr="00EC5EF1" w:rsidRDefault="00C66809" w:rsidP="00C66809">
            <w:pPr>
              <w:pStyle w:val="TableText"/>
              <w:tabs>
                <w:tab w:val="decimal" w:pos="701"/>
              </w:tabs>
            </w:pPr>
            <w:r>
              <w:t>7</w:t>
            </w:r>
          </w:p>
        </w:tc>
        <w:tc>
          <w:tcPr>
            <w:tcW w:w="1276" w:type="dxa"/>
          </w:tcPr>
          <w:p w14:paraId="0E86B891" w14:textId="77777777" w:rsidR="00C66809" w:rsidRPr="00EC5EF1" w:rsidRDefault="00C66809" w:rsidP="00C66809">
            <w:pPr>
              <w:pStyle w:val="TableText"/>
              <w:tabs>
                <w:tab w:val="decimal" w:pos="721"/>
              </w:tabs>
            </w:pPr>
            <w:r w:rsidRPr="00EC5EF1">
              <w:t>6</w:t>
            </w:r>
          </w:p>
        </w:tc>
        <w:tc>
          <w:tcPr>
            <w:tcW w:w="1984" w:type="dxa"/>
          </w:tcPr>
          <w:p w14:paraId="61635E20" w14:textId="77777777" w:rsidR="00C66809" w:rsidRPr="00EC5EF1" w:rsidRDefault="00C66809" w:rsidP="00C66809">
            <w:pPr>
              <w:pStyle w:val="TableText"/>
              <w:jc w:val="center"/>
            </w:pPr>
            <w:r w:rsidRPr="00EC5EF1">
              <w:t>0</w:t>
            </w:r>
          </w:p>
        </w:tc>
        <w:tc>
          <w:tcPr>
            <w:tcW w:w="1134" w:type="dxa"/>
          </w:tcPr>
          <w:p w14:paraId="3C1EEE75" w14:textId="77777777" w:rsidR="00C66809" w:rsidRPr="00EC5EF1" w:rsidRDefault="00C66809" w:rsidP="00C66809">
            <w:pPr>
              <w:pStyle w:val="TableText"/>
              <w:tabs>
                <w:tab w:val="decimal" w:pos="668"/>
              </w:tabs>
            </w:pPr>
            <w:r w:rsidRPr="00EC5EF1">
              <w:t>13</w:t>
            </w:r>
          </w:p>
        </w:tc>
      </w:tr>
      <w:tr w:rsidR="00C66809" w:rsidRPr="00EC5EF1" w14:paraId="1FD31F01" w14:textId="77777777" w:rsidTr="00C66809">
        <w:trPr>
          <w:cantSplit/>
        </w:trPr>
        <w:tc>
          <w:tcPr>
            <w:tcW w:w="2410" w:type="dxa"/>
          </w:tcPr>
          <w:p w14:paraId="4DB6B413" w14:textId="45A85C20" w:rsidR="00C66809" w:rsidRPr="00EC5EF1" w:rsidRDefault="00C66809" w:rsidP="00C66809">
            <w:pPr>
              <w:pStyle w:val="TableText"/>
            </w:pPr>
            <w:r w:rsidRPr="00EC5EF1">
              <w:t>Serious adverse behaviour</w:t>
            </w:r>
          </w:p>
        </w:tc>
        <w:tc>
          <w:tcPr>
            <w:tcW w:w="1276" w:type="dxa"/>
          </w:tcPr>
          <w:p w14:paraId="11755340" w14:textId="1237531E" w:rsidR="00C66809" w:rsidRPr="00EC5EF1" w:rsidRDefault="00C66809" w:rsidP="00C66809">
            <w:pPr>
              <w:pStyle w:val="TableText"/>
              <w:tabs>
                <w:tab w:val="decimal" w:pos="701"/>
              </w:tabs>
            </w:pPr>
            <w:r>
              <w:t>8</w:t>
            </w:r>
          </w:p>
        </w:tc>
        <w:tc>
          <w:tcPr>
            <w:tcW w:w="1276" w:type="dxa"/>
          </w:tcPr>
          <w:p w14:paraId="5D077B9D" w14:textId="77777777" w:rsidR="00C66809" w:rsidRPr="00EC5EF1" w:rsidRDefault="00C66809" w:rsidP="00C66809">
            <w:pPr>
              <w:pStyle w:val="TableText"/>
              <w:tabs>
                <w:tab w:val="decimal" w:pos="721"/>
              </w:tabs>
            </w:pPr>
            <w:r w:rsidRPr="00EC5EF1">
              <w:t>6</w:t>
            </w:r>
          </w:p>
        </w:tc>
        <w:tc>
          <w:tcPr>
            <w:tcW w:w="1984" w:type="dxa"/>
          </w:tcPr>
          <w:p w14:paraId="031E2D2D" w14:textId="77777777" w:rsidR="00C66809" w:rsidRPr="00EC5EF1" w:rsidRDefault="00C66809" w:rsidP="00C66809">
            <w:pPr>
              <w:pStyle w:val="TableText"/>
              <w:jc w:val="center"/>
            </w:pPr>
            <w:r w:rsidRPr="00EC5EF1">
              <w:t>0</w:t>
            </w:r>
          </w:p>
        </w:tc>
        <w:tc>
          <w:tcPr>
            <w:tcW w:w="1134" w:type="dxa"/>
          </w:tcPr>
          <w:p w14:paraId="37B7C37B" w14:textId="77777777" w:rsidR="00C66809" w:rsidRPr="00EC5EF1" w:rsidRDefault="00C66809" w:rsidP="00C66809">
            <w:pPr>
              <w:pStyle w:val="TableText"/>
              <w:tabs>
                <w:tab w:val="decimal" w:pos="668"/>
              </w:tabs>
            </w:pPr>
            <w:r w:rsidRPr="00EC5EF1">
              <w:t>14</w:t>
            </w:r>
          </w:p>
        </w:tc>
      </w:tr>
      <w:tr w:rsidR="00C66809" w:rsidRPr="00C66809" w14:paraId="4BD8CA35" w14:textId="77777777" w:rsidTr="00C66809">
        <w:trPr>
          <w:cantSplit/>
        </w:trPr>
        <w:tc>
          <w:tcPr>
            <w:tcW w:w="2410" w:type="dxa"/>
          </w:tcPr>
          <w:p w14:paraId="64A75541" w14:textId="311908C8" w:rsidR="00C66809" w:rsidRPr="00C66809" w:rsidRDefault="00C66809" w:rsidP="00C66809">
            <w:pPr>
              <w:pStyle w:val="TableText"/>
              <w:rPr>
                <w:b/>
              </w:rPr>
            </w:pPr>
            <w:r w:rsidRPr="00C66809">
              <w:rPr>
                <w:b/>
              </w:rPr>
              <w:t>Total</w:t>
            </w:r>
          </w:p>
        </w:tc>
        <w:tc>
          <w:tcPr>
            <w:tcW w:w="1276" w:type="dxa"/>
          </w:tcPr>
          <w:p w14:paraId="01592144" w14:textId="3151EAB8" w:rsidR="00C66809" w:rsidRPr="00C66809" w:rsidRDefault="00C66809" w:rsidP="00C66809">
            <w:pPr>
              <w:pStyle w:val="TableText"/>
              <w:tabs>
                <w:tab w:val="decimal" w:pos="701"/>
              </w:tabs>
              <w:rPr>
                <w:b/>
              </w:rPr>
            </w:pPr>
            <w:r w:rsidRPr="00C66809">
              <w:rPr>
                <w:b/>
              </w:rPr>
              <w:t>179</w:t>
            </w:r>
          </w:p>
        </w:tc>
        <w:tc>
          <w:tcPr>
            <w:tcW w:w="1276" w:type="dxa"/>
          </w:tcPr>
          <w:p w14:paraId="535DCE25" w14:textId="77777777" w:rsidR="00C66809" w:rsidRPr="00C66809" w:rsidRDefault="00C66809" w:rsidP="00C66809">
            <w:pPr>
              <w:pStyle w:val="TableText"/>
              <w:tabs>
                <w:tab w:val="decimal" w:pos="721"/>
              </w:tabs>
              <w:rPr>
                <w:b/>
              </w:rPr>
            </w:pPr>
            <w:r w:rsidRPr="00C66809">
              <w:rPr>
                <w:b/>
              </w:rPr>
              <w:t>22</w:t>
            </w:r>
          </w:p>
        </w:tc>
        <w:tc>
          <w:tcPr>
            <w:tcW w:w="1984" w:type="dxa"/>
          </w:tcPr>
          <w:p w14:paraId="50BA543B" w14:textId="77777777" w:rsidR="00C66809" w:rsidRPr="00C66809" w:rsidRDefault="00C66809" w:rsidP="00C66809">
            <w:pPr>
              <w:pStyle w:val="TableText"/>
              <w:jc w:val="center"/>
              <w:rPr>
                <w:b/>
              </w:rPr>
            </w:pPr>
            <w:r w:rsidRPr="00C66809">
              <w:rPr>
                <w:b/>
              </w:rPr>
              <w:t>2</w:t>
            </w:r>
          </w:p>
        </w:tc>
        <w:tc>
          <w:tcPr>
            <w:tcW w:w="1134" w:type="dxa"/>
          </w:tcPr>
          <w:p w14:paraId="173E4B3B" w14:textId="77777777" w:rsidR="00C66809" w:rsidRPr="00C66809" w:rsidRDefault="00C66809" w:rsidP="00C66809">
            <w:pPr>
              <w:pStyle w:val="TableText"/>
              <w:tabs>
                <w:tab w:val="decimal" w:pos="668"/>
              </w:tabs>
              <w:rPr>
                <w:b/>
              </w:rPr>
            </w:pPr>
            <w:r w:rsidRPr="00C66809">
              <w:rPr>
                <w:b/>
              </w:rPr>
              <w:t>203</w:t>
            </w:r>
          </w:p>
        </w:tc>
      </w:tr>
    </w:tbl>
    <w:p w14:paraId="366C109E" w14:textId="0C1B59DC" w:rsidR="00740DA6" w:rsidRPr="00C66809" w:rsidRDefault="00C66809" w:rsidP="00C66809">
      <w:pPr>
        <w:pStyle w:val="Source"/>
      </w:pPr>
      <w:r w:rsidRPr="00EC5EF1">
        <w:t>Source: HQSC adverse event data, 2018</w:t>
      </w:r>
    </w:p>
    <w:p w14:paraId="6AA6340D" w14:textId="77777777" w:rsidR="00740DA6" w:rsidRPr="00EC5EF1" w:rsidRDefault="00740DA6" w:rsidP="00C66809"/>
    <w:p w14:paraId="0527BA62" w14:textId="77777777" w:rsidR="00740DA6" w:rsidRPr="00EC5EF1" w:rsidRDefault="00740DA6" w:rsidP="00434E22">
      <w:pPr>
        <w:pStyle w:val="Table"/>
      </w:pPr>
      <w:bookmarkStart w:id="122" w:name="_Toc2845756"/>
      <w:r w:rsidRPr="00EC5EF1">
        <w:t>Table 12: Mental health adverse events reported to the Health Quality &amp; Safety Commission, by DHB, 1 January to 31 December 2017</w:t>
      </w:r>
      <w:bookmarkEnd w:id="122"/>
    </w:p>
    <w:p w14:paraId="28D0AD9D" w14:textId="0BAEF0DA" w:rsidR="00740DA6" w:rsidRPr="00EC5EF1" w:rsidRDefault="00740DA6" w:rsidP="00740DA6">
      <w:pPr>
        <w:tabs>
          <w:tab w:val="left" w:pos="6367"/>
        </w:tabs>
        <w:spacing w:line="20" w:lineRule="exact"/>
        <w:ind w:left="2285"/>
        <w:rPr>
          <w:rFonts w:ascii="Arial Black"/>
          <w:sz w:val="2"/>
        </w:rPr>
      </w:pPr>
      <w:r w:rsidRPr="00EC5EF1">
        <w:rPr>
          <w:rFonts w:ascii="Arial Black"/>
          <w:sz w:val="2"/>
        </w:rPr>
        <w:tab/>
      </w:r>
    </w:p>
    <w:tbl>
      <w:tblPr>
        <w:tblStyle w:val="TableGrid"/>
        <w:tblW w:w="8081" w:type="dxa"/>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835"/>
        <w:gridCol w:w="944"/>
        <w:gridCol w:w="474"/>
        <w:gridCol w:w="2836"/>
        <w:gridCol w:w="992"/>
      </w:tblGrid>
      <w:tr w:rsidR="00C66809" w:rsidRPr="00C66809" w14:paraId="35718267" w14:textId="77777777" w:rsidTr="007511FC">
        <w:trPr>
          <w:cantSplit/>
        </w:trPr>
        <w:tc>
          <w:tcPr>
            <w:tcW w:w="2835" w:type="dxa"/>
            <w:tcBorders>
              <w:top w:val="nil"/>
              <w:bottom w:val="nil"/>
            </w:tcBorders>
            <w:shd w:val="clear" w:color="auto" w:fill="D9D9D9" w:themeFill="background1" w:themeFillShade="D9"/>
          </w:tcPr>
          <w:p w14:paraId="5E76B3F5" w14:textId="515A8F58" w:rsidR="00C66809" w:rsidRPr="00C66809" w:rsidRDefault="00C66809" w:rsidP="00C66809">
            <w:pPr>
              <w:pStyle w:val="TableText"/>
              <w:rPr>
                <w:b/>
                <w:u w:color="808285"/>
              </w:rPr>
            </w:pPr>
            <w:r>
              <w:rPr>
                <w:b/>
                <w:u w:color="808285"/>
              </w:rPr>
              <w:t>DHB</w:t>
            </w:r>
          </w:p>
        </w:tc>
        <w:tc>
          <w:tcPr>
            <w:tcW w:w="944" w:type="dxa"/>
            <w:tcBorders>
              <w:top w:val="nil"/>
              <w:bottom w:val="nil"/>
            </w:tcBorders>
            <w:shd w:val="clear" w:color="auto" w:fill="D9D9D9" w:themeFill="background1" w:themeFillShade="D9"/>
          </w:tcPr>
          <w:p w14:paraId="6F8053DE" w14:textId="77777777" w:rsidR="00C66809" w:rsidRPr="00C66809" w:rsidRDefault="00C66809" w:rsidP="00C66809">
            <w:pPr>
              <w:pStyle w:val="TableText"/>
              <w:rPr>
                <w:b/>
                <w:u w:color="808285"/>
              </w:rPr>
            </w:pPr>
            <w:r w:rsidRPr="00C66809">
              <w:rPr>
                <w:b/>
                <w:u w:color="808285"/>
              </w:rPr>
              <w:t>Number of events</w:t>
            </w:r>
          </w:p>
        </w:tc>
        <w:tc>
          <w:tcPr>
            <w:tcW w:w="474" w:type="dxa"/>
            <w:tcBorders>
              <w:top w:val="nil"/>
              <w:bottom w:val="nil"/>
            </w:tcBorders>
            <w:shd w:val="clear" w:color="auto" w:fill="auto"/>
          </w:tcPr>
          <w:p w14:paraId="78EDD7D3" w14:textId="77777777" w:rsidR="00C66809" w:rsidRPr="00C66809" w:rsidRDefault="00C66809" w:rsidP="00C66809">
            <w:pPr>
              <w:pStyle w:val="TableText"/>
              <w:rPr>
                <w:b/>
                <w:u w:color="808285"/>
              </w:rPr>
            </w:pPr>
          </w:p>
        </w:tc>
        <w:tc>
          <w:tcPr>
            <w:tcW w:w="2836" w:type="dxa"/>
            <w:tcBorders>
              <w:top w:val="nil"/>
              <w:bottom w:val="nil"/>
            </w:tcBorders>
            <w:shd w:val="clear" w:color="auto" w:fill="D9D9D9" w:themeFill="background1" w:themeFillShade="D9"/>
          </w:tcPr>
          <w:p w14:paraId="291E54ED" w14:textId="304990BD" w:rsidR="00C66809" w:rsidRPr="00C66809" w:rsidRDefault="00C66809" w:rsidP="00C66809">
            <w:pPr>
              <w:pStyle w:val="TableText"/>
              <w:rPr>
                <w:b/>
                <w:u w:color="808285"/>
              </w:rPr>
            </w:pPr>
            <w:r>
              <w:rPr>
                <w:b/>
                <w:u w:color="808285"/>
              </w:rPr>
              <w:t>DHB</w:t>
            </w:r>
          </w:p>
        </w:tc>
        <w:tc>
          <w:tcPr>
            <w:tcW w:w="992" w:type="dxa"/>
            <w:tcBorders>
              <w:top w:val="nil"/>
              <w:bottom w:val="nil"/>
            </w:tcBorders>
            <w:shd w:val="clear" w:color="auto" w:fill="D9D9D9" w:themeFill="background1" w:themeFillShade="D9"/>
          </w:tcPr>
          <w:p w14:paraId="0AE2AF73" w14:textId="11426DAB" w:rsidR="00C66809" w:rsidRPr="00C66809" w:rsidRDefault="00C66809" w:rsidP="007511FC">
            <w:pPr>
              <w:pStyle w:val="TableText"/>
              <w:jc w:val="center"/>
              <w:rPr>
                <w:b/>
                <w:u w:color="808285"/>
              </w:rPr>
            </w:pPr>
            <w:r w:rsidRPr="00C66809">
              <w:rPr>
                <w:b/>
                <w:u w:color="808285"/>
              </w:rPr>
              <w:t>Number of events</w:t>
            </w:r>
          </w:p>
        </w:tc>
      </w:tr>
      <w:tr w:rsidR="007511FC" w:rsidRPr="00C66809" w14:paraId="3441502D" w14:textId="77777777" w:rsidTr="007511FC">
        <w:trPr>
          <w:cantSplit/>
        </w:trPr>
        <w:tc>
          <w:tcPr>
            <w:tcW w:w="2835" w:type="dxa"/>
            <w:tcBorders>
              <w:top w:val="nil"/>
            </w:tcBorders>
          </w:tcPr>
          <w:p w14:paraId="64295AE0" w14:textId="77777777" w:rsidR="007511FC" w:rsidRPr="00C66809" w:rsidRDefault="007511FC" w:rsidP="00C66809">
            <w:pPr>
              <w:pStyle w:val="TableText"/>
              <w:rPr>
                <w:u w:color="808285"/>
              </w:rPr>
            </w:pPr>
            <w:r w:rsidRPr="00C66809">
              <w:rPr>
                <w:u w:color="808285"/>
              </w:rPr>
              <w:t>Auckland</w:t>
            </w:r>
          </w:p>
        </w:tc>
        <w:tc>
          <w:tcPr>
            <w:tcW w:w="944" w:type="dxa"/>
            <w:tcBorders>
              <w:top w:val="nil"/>
            </w:tcBorders>
          </w:tcPr>
          <w:p w14:paraId="4FE11AE5" w14:textId="77777777" w:rsidR="007511FC" w:rsidRPr="00C66809" w:rsidRDefault="007511FC" w:rsidP="00C66809">
            <w:pPr>
              <w:pStyle w:val="TableText"/>
              <w:rPr>
                <w:u w:color="808285"/>
              </w:rPr>
            </w:pPr>
            <w:r w:rsidRPr="00C66809">
              <w:rPr>
                <w:u w:color="808285"/>
              </w:rPr>
              <w:t>16</w:t>
            </w:r>
          </w:p>
        </w:tc>
        <w:tc>
          <w:tcPr>
            <w:tcW w:w="474" w:type="dxa"/>
            <w:tcBorders>
              <w:top w:val="nil"/>
              <w:bottom w:val="nil"/>
            </w:tcBorders>
            <w:shd w:val="clear" w:color="auto" w:fill="auto"/>
          </w:tcPr>
          <w:p w14:paraId="4AB6588E" w14:textId="77777777" w:rsidR="007511FC" w:rsidRPr="00C66809" w:rsidRDefault="007511FC" w:rsidP="00C66809">
            <w:pPr>
              <w:pStyle w:val="TableText"/>
              <w:rPr>
                <w:u w:color="808285"/>
              </w:rPr>
            </w:pPr>
          </w:p>
        </w:tc>
        <w:tc>
          <w:tcPr>
            <w:tcW w:w="2836" w:type="dxa"/>
            <w:tcBorders>
              <w:top w:val="nil"/>
            </w:tcBorders>
          </w:tcPr>
          <w:p w14:paraId="09D1B1CA" w14:textId="53A78345" w:rsidR="007511FC" w:rsidRPr="00C66809" w:rsidRDefault="007511FC" w:rsidP="00C66809">
            <w:pPr>
              <w:pStyle w:val="TableText"/>
              <w:rPr>
                <w:u w:color="808285"/>
              </w:rPr>
            </w:pPr>
            <w:r w:rsidRPr="00C66809">
              <w:rPr>
                <w:u w:color="808285"/>
              </w:rPr>
              <w:t>Northland</w:t>
            </w:r>
          </w:p>
        </w:tc>
        <w:tc>
          <w:tcPr>
            <w:tcW w:w="992" w:type="dxa"/>
            <w:tcBorders>
              <w:top w:val="nil"/>
            </w:tcBorders>
          </w:tcPr>
          <w:p w14:paraId="219034AB" w14:textId="5C63DA69" w:rsidR="007511FC" w:rsidRPr="00C66809" w:rsidRDefault="007511FC" w:rsidP="00C66809">
            <w:pPr>
              <w:pStyle w:val="TableText"/>
              <w:rPr>
                <w:u w:color="808285"/>
              </w:rPr>
            </w:pPr>
            <w:r w:rsidRPr="00C66809">
              <w:rPr>
                <w:u w:color="808285"/>
              </w:rPr>
              <w:t>7</w:t>
            </w:r>
          </w:p>
        </w:tc>
      </w:tr>
      <w:tr w:rsidR="007511FC" w:rsidRPr="00C66809" w14:paraId="07C49C19" w14:textId="77777777" w:rsidTr="007511FC">
        <w:trPr>
          <w:cantSplit/>
        </w:trPr>
        <w:tc>
          <w:tcPr>
            <w:tcW w:w="2835" w:type="dxa"/>
          </w:tcPr>
          <w:p w14:paraId="48AD8FD6" w14:textId="1D98B43A" w:rsidR="007511FC" w:rsidRPr="00C66809" w:rsidRDefault="007511FC" w:rsidP="00C66809">
            <w:pPr>
              <w:pStyle w:val="TableText"/>
              <w:rPr>
                <w:u w:color="808285"/>
              </w:rPr>
            </w:pPr>
            <w:r w:rsidRPr="00C66809">
              <w:rPr>
                <w:u w:color="808285"/>
              </w:rPr>
              <w:t>Bay of Plenty</w:t>
            </w:r>
          </w:p>
        </w:tc>
        <w:tc>
          <w:tcPr>
            <w:tcW w:w="944" w:type="dxa"/>
          </w:tcPr>
          <w:p w14:paraId="0F93F64C" w14:textId="77777777" w:rsidR="007511FC" w:rsidRPr="00C66809" w:rsidRDefault="007511FC" w:rsidP="00C66809">
            <w:pPr>
              <w:pStyle w:val="TableText"/>
              <w:rPr>
                <w:u w:color="808285"/>
              </w:rPr>
            </w:pPr>
            <w:r w:rsidRPr="00C66809">
              <w:rPr>
                <w:u w:color="808285"/>
              </w:rPr>
              <w:t>11</w:t>
            </w:r>
          </w:p>
        </w:tc>
        <w:tc>
          <w:tcPr>
            <w:tcW w:w="474" w:type="dxa"/>
            <w:tcBorders>
              <w:top w:val="nil"/>
              <w:bottom w:val="nil"/>
            </w:tcBorders>
            <w:shd w:val="clear" w:color="auto" w:fill="auto"/>
          </w:tcPr>
          <w:p w14:paraId="54454BA3" w14:textId="77777777" w:rsidR="007511FC" w:rsidRPr="00C66809" w:rsidRDefault="007511FC" w:rsidP="00C66809">
            <w:pPr>
              <w:pStyle w:val="TableText"/>
              <w:rPr>
                <w:u w:color="808285"/>
              </w:rPr>
            </w:pPr>
          </w:p>
        </w:tc>
        <w:tc>
          <w:tcPr>
            <w:tcW w:w="2836" w:type="dxa"/>
          </w:tcPr>
          <w:p w14:paraId="3A5C73E3" w14:textId="7DBEE102" w:rsidR="007511FC" w:rsidRPr="00C66809" w:rsidRDefault="007511FC" w:rsidP="00C66809">
            <w:pPr>
              <w:pStyle w:val="TableText"/>
              <w:rPr>
                <w:u w:color="808285"/>
              </w:rPr>
            </w:pPr>
            <w:r w:rsidRPr="00C66809">
              <w:rPr>
                <w:u w:color="808285"/>
              </w:rPr>
              <w:t>South Canterbury</w:t>
            </w:r>
          </w:p>
        </w:tc>
        <w:tc>
          <w:tcPr>
            <w:tcW w:w="992" w:type="dxa"/>
          </w:tcPr>
          <w:p w14:paraId="4573D524" w14:textId="1ECAF507" w:rsidR="007511FC" w:rsidRPr="00C66809" w:rsidRDefault="007511FC" w:rsidP="00C66809">
            <w:pPr>
              <w:pStyle w:val="TableText"/>
              <w:rPr>
                <w:u w:color="808285"/>
              </w:rPr>
            </w:pPr>
            <w:r w:rsidRPr="00C66809">
              <w:rPr>
                <w:u w:color="808285"/>
              </w:rPr>
              <w:t>4</w:t>
            </w:r>
          </w:p>
        </w:tc>
      </w:tr>
      <w:tr w:rsidR="007511FC" w:rsidRPr="00C66809" w14:paraId="4470F8D9" w14:textId="77777777" w:rsidTr="007511FC">
        <w:trPr>
          <w:cantSplit/>
        </w:trPr>
        <w:tc>
          <w:tcPr>
            <w:tcW w:w="2835" w:type="dxa"/>
          </w:tcPr>
          <w:p w14:paraId="1CA532A4" w14:textId="0646CCD2" w:rsidR="007511FC" w:rsidRPr="00C66809" w:rsidRDefault="007511FC" w:rsidP="00C66809">
            <w:pPr>
              <w:pStyle w:val="TableText"/>
              <w:rPr>
                <w:u w:color="808285"/>
              </w:rPr>
            </w:pPr>
            <w:r w:rsidRPr="00C66809">
              <w:rPr>
                <w:u w:color="808285"/>
              </w:rPr>
              <w:t>Canterbury</w:t>
            </w:r>
          </w:p>
        </w:tc>
        <w:tc>
          <w:tcPr>
            <w:tcW w:w="944" w:type="dxa"/>
          </w:tcPr>
          <w:p w14:paraId="3D221BDA" w14:textId="77777777" w:rsidR="007511FC" w:rsidRPr="00C66809" w:rsidRDefault="007511FC" w:rsidP="00C66809">
            <w:pPr>
              <w:pStyle w:val="TableText"/>
              <w:rPr>
                <w:u w:color="808285"/>
              </w:rPr>
            </w:pPr>
            <w:r w:rsidRPr="00C66809">
              <w:rPr>
                <w:u w:color="808285"/>
              </w:rPr>
              <w:t>34</w:t>
            </w:r>
          </w:p>
        </w:tc>
        <w:tc>
          <w:tcPr>
            <w:tcW w:w="474" w:type="dxa"/>
            <w:tcBorders>
              <w:top w:val="nil"/>
              <w:bottom w:val="nil"/>
            </w:tcBorders>
            <w:shd w:val="clear" w:color="auto" w:fill="auto"/>
          </w:tcPr>
          <w:p w14:paraId="250F2CC3" w14:textId="77777777" w:rsidR="007511FC" w:rsidRPr="00C66809" w:rsidRDefault="007511FC" w:rsidP="00C66809">
            <w:pPr>
              <w:pStyle w:val="TableText"/>
              <w:rPr>
                <w:u w:color="808285"/>
              </w:rPr>
            </w:pPr>
          </w:p>
        </w:tc>
        <w:tc>
          <w:tcPr>
            <w:tcW w:w="2836" w:type="dxa"/>
          </w:tcPr>
          <w:p w14:paraId="609346C5" w14:textId="6B26C536" w:rsidR="007511FC" w:rsidRPr="00C66809" w:rsidRDefault="007511FC" w:rsidP="00C66809">
            <w:pPr>
              <w:pStyle w:val="TableText"/>
              <w:rPr>
                <w:u w:color="808285"/>
              </w:rPr>
            </w:pPr>
            <w:r w:rsidRPr="00C66809">
              <w:rPr>
                <w:u w:color="808285"/>
              </w:rPr>
              <w:t>Southern</w:t>
            </w:r>
          </w:p>
        </w:tc>
        <w:tc>
          <w:tcPr>
            <w:tcW w:w="992" w:type="dxa"/>
          </w:tcPr>
          <w:p w14:paraId="089482F7" w14:textId="4968A73F" w:rsidR="007511FC" w:rsidRPr="00C66809" w:rsidRDefault="007511FC" w:rsidP="00C66809">
            <w:pPr>
              <w:pStyle w:val="TableText"/>
              <w:rPr>
                <w:u w:color="808285"/>
              </w:rPr>
            </w:pPr>
            <w:r w:rsidRPr="00C66809">
              <w:rPr>
                <w:u w:color="808285"/>
              </w:rPr>
              <w:t>17</w:t>
            </w:r>
          </w:p>
        </w:tc>
      </w:tr>
      <w:tr w:rsidR="007511FC" w:rsidRPr="00C66809" w14:paraId="03EA4E52" w14:textId="77777777" w:rsidTr="007511FC">
        <w:trPr>
          <w:cantSplit/>
        </w:trPr>
        <w:tc>
          <w:tcPr>
            <w:tcW w:w="2835" w:type="dxa"/>
          </w:tcPr>
          <w:p w14:paraId="3D0782BC" w14:textId="652C4D28" w:rsidR="007511FC" w:rsidRPr="00C66809" w:rsidRDefault="007511FC" w:rsidP="00C66809">
            <w:pPr>
              <w:pStyle w:val="TableText"/>
              <w:rPr>
                <w:u w:color="808285"/>
              </w:rPr>
            </w:pPr>
            <w:r w:rsidRPr="00C66809">
              <w:rPr>
                <w:u w:color="808285"/>
              </w:rPr>
              <w:t>Capital &amp; Coast</w:t>
            </w:r>
          </w:p>
        </w:tc>
        <w:tc>
          <w:tcPr>
            <w:tcW w:w="944" w:type="dxa"/>
          </w:tcPr>
          <w:p w14:paraId="2EE06F84" w14:textId="77777777" w:rsidR="007511FC" w:rsidRPr="00C66809" w:rsidRDefault="007511FC" w:rsidP="00C66809">
            <w:pPr>
              <w:pStyle w:val="TableText"/>
              <w:rPr>
                <w:u w:color="808285"/>
              </w:rPr>
            </w:pPr>
            <w:r w:rsidRPr="00C66809">
              <w:rPr>
                <w:u w:color="808285"/>
              </w:rPr>
              <w:t>12</w:t>
            </w:r>
          </w:p>
        </w:tc>
        <w:tc>
          <w:tcPr>
            <w:tcW w:w="474" w:type="dxa"/>
            <w:tcBorders>
              <w:top w:val="nil"/>
              <w:bottom w:val="nil"/>
            </w:tcBorders>
            <w:shd w:val="clear" w:color="auto" w:fill="auto"/>
          </w:tcPr>
          <w:p w14:paraId="09D429C3" w14:textId="77777777" w:rsidR="007511FC" w:rsidRPr="00C66809" w:rsidRDefault="007511FC" w:rsidP="00C66809">
            <w:pPr>
              <w:pStyle w:val="TableText"/>
              <w:rPr>
                <w:u w:color="808285"/>
              </w:rPr>
            </w:pPr>
          </w:p>
        </w:tc>
        <w:tc>
          <w:tcPr>
            <w:tcW w:w="2836" w:type="dxa"/>
          </w:tcPr>
          <w:p w14:paraId="7322F311" w14:textId="4EE4F4AD" w:rsidR="007511FC" w:rsidRPr="00C66809" w:rsidRDefault="007511FC" w:rsidP="00C66809">
            <w:pPr>
              <w:pStyle w:val="TableText"/>
              <w:rPr>
                <w:u w:color="808285"/>
              </w:rPr>
            </w:pPr>
            <w:proofErr w:type="spellStart"/>
            <w:r w:rsidRPr="00C66809">
              <w:rPr>
                <w:u w:color="808285"/>
              </w:rPr>
              <w:t>Tairāwhiti</w:t>
            </w:r>
            <w:proofErr w:type="spellEnd"/>
          </w:p>
        </w:tc>
        <w:tc>
          <w:tcPr>
            <w:tcW w:w="992" w:type="dxa"/>
          </w:tcPr>
          <w:p w14:paraId="642F4155" w14:textId="408B740E" w:rsidR="007511FC" w:rsidRPr="00C66809" w:rsidRDefault="007511FC" w:rsidP="00C66809">
            <w:pPr>
              <w:pStyle w:val="TableText"/>
              <w:rPr>
                <w:u w:color="808285"/>
              </w:rPr>
            </w:pPr>
            <w:r w:rsidRPr="00C66809">
              <w:rPr>
                <w:u w:color="808285"/>
              </w:rPr>
              <w:t>2</w:t>
            </w:r>
          </w:p>
        </w:tc>
      </w:tr>
      <w:tr w:rsidR="007511FC" w:rsidRPr="00C66809" w14:paraId="35A3362D" w14:textId="77777777" w:rsidTr="007511FC">
        <w:trPr>
          <w:cantSplit/>
        </w:trPr>
        <w:tc>
          <w:tcPr>
            <w:tcW w:w="2835" w:type="dxa"/>
          </w:tcPr>
          <w:p w14:paraId="4ECB5D9B" w14:textId="6F98F290" w:rsidR="007511FC" w:rsidRPr="00C66809" w:rsidRDefault="007511FC" w:rsidP="00C66809">
            <w:pPr>
              <w:pStyle w:val="TableText"/>
              <w:rPr>
                <w:u w:color="808285"/>
              </w:rPr>
            </w:pPr>
            <w:r w:rsidRPr="00C66809">
              <w:rPr>
                <w:u w:color="808285"/>
              </w:rPr>
              <w:t xml:space="preserve">Counties </w:t>
            </w:r>
            <w:proofErr w:type="spellStart"/>
            <w:r w:rsidRPr="00C66809">
              <w:rPr>
                <w:u w:color="808285"/>
              </w:rPr>
              <w:t>Manukau</w:t>
            </w:r>
            <w:proofErr w:type="spellEnd"/>
          </w:p>
        </w:tc>
        <w:tc>
          <w:tcPr>
            <w:tcW w:w="944" w:type="dxa"/>
          </w:tcPr>
          <w:p w14:paraId="70976DE8" w14:textId="77777777" w:rsidR="007511FC" w:rsidRPr="00C66809" w:rsidRDefault="007511FC" w:rsidP="00C66809">
            <w:pPr>
              <w:pStyle w:val="TableText"/>
              <w:rPr>
                <w:u w:color="808285"/>
              </w:rPr>
            </w:pPr>
            <w:r w:rsidRPr="00C66809">
              <w:rPr>
                <w:u w:color="808285"/>
              </w:rPr>
              <w:t>10</w:t>
            </w:r>
          </w:p>
        </w:tc>
        <w:tc>
          <w:tcPr>
            <w:tcW w:w="474" w:type="dxa"/>
            <w:tcBorders>
              <w:top w:val="nil"/>
              <w:bottom w:val="nil"/>
            </w:tcBorders>
            <w:shd w:val="clear" w:color="auto" w:fill="auto"/>
          </w:tcPr>
          <w:p w14:paraId="51D6529D" w14:textId="77777777" w:rsidR="007511FC" w:rsidRPr="00C66809" w:rsidRDefault="007511FC" w:rsidP="00C66809">
            <w:pPr>
              <w:pStyle w:val="TableText"/>
              <w:rPr>
                <w:u w:color="808285"/>
              </w:rPr>
            </w:pPr>
          </w:p>
        </w:tc>
        <w:tc>
          <w:tcPr>
            <w:tcW w:w="2836" w:type="dxa"/>
          </w:tcPr>
          <w:p w14:paraId="7C604F8B" w14:textId="40F00372" w:rsidR="007511FC" w:rsidRPr="00C66809" w:rsidRDefault="007511FC" w:rsidP="00C66809">
            <w:pPr>
              <w:pStyle w:val="TableText"/>
              <w:rPr>
                <w:u w:color="808285"/>
              </w:rPr>
            </w:pPr>
            <w:r w:rsidRPr="00C66809">
              <w:rPr>
                <w:u w:color="808285"/>
              </w:rPr>
              <w:t>Taranaki</w:t>
            </w:r>
          </w:p>
        </w:tc>
        <w:tc>
          <w:tcPr>
            <w:tcW w:w="992" w:type="dxa"/>
          </w:tcPr>
          <w:p w14:paraId="6AD2D787" w14:textId="52C0F565" w:rsidR="007511FC" w:rsidRPr="00C66809" w:rsidRDefault="007511FC" w:rsidP="00C66809">
            <w:pPr>
              <w:pStyle w:val="TableText"/>
              <w:rPr>
                <w:u w:color="808285"/>
              </w:rPr>
            </w:pPr>
            <w:r w:rsidRPr="00C66809">
              <w:rPr>
                <w:u w:color="808285"/>
              </w:rPr>
              <w:t>2</w:t>
            </w:r>
          </w:p>
        </w:tc>
      </w:tr>
      <w:tr w:rsidR="007511FC" w:rsidRPr="00C66809" w14:paraId="725C75EF" w14:textId="77777777" w:rsidTr="007511FC">
        <w:trPr>
          <w:cantSplit/>
        </w:trPr>
        <w:tc>
          <w:tcPr>
            <w:tcW w:w="2835" w:type="dxa"/>
          </w:tcPr>
          <w:p w14:paraId="516237FC" w14:textId="599E61E4" w:rsidR="007511FC" w:rsidRPr="00C66809" w:rsidRDefault="007511FC" w:rsidP="00C66809">
            <w:pPr>
              <w:pStyle w:val="TableText"/>
              <w:rPr>
                <w:u w:color="808285"/>
              </w:rPr>
            </w:pPr>
            <w:r w:rsidRPr="00C66809">
              <w:rPr>
                <w:u w:color="808285"/>
              </w:rPr>
              <w:t>Hawke’s Bay</w:t>
            </w:r>
          </w:p>
        </w:tc>
        <w:tc>
          <w:tcPr>
            <w:tcW w:w="944" w:type="dxa"/>
          </w:tcPr>
          <w:p w14:paraId="78501618" w14:textId="77777777" w:rsidR="007511FC" w:rsidRPr="00C66809" w:rsidRDefault="007511FC" w:rsidP="00C66809">
            <w:pPr>
              <w:pStyle w:val="TableText"/>
              <w:rPr>
                <w:u w:color="808285"/>
              </w:rPr>
            </w:pPr>
            <w:r w:rsidRPr="00C66809">
              <w:rPr>
                <w:u w:color="808285"/>
              </w:rPr>
              <w:t>10</w:t>
            </w:r>
          </w:p>
        </w:tc>
        <w:tc>
          <w:tcPr>
            <w:tcW w:w="474" w:type="dxa"/>
            <w:tcBorders>
              <w:top w:val="nil"/>
              <w:bottom w:val="nil"/>
            </w:tcBorders>
            <w:shd w:val="clear" w:color="auto" w:fill="auto"/>
          </w:tcPr>
          <w:p w14:paraId="1DA6F160" w14:textId="77777777" w:rsidR="007511FC" w:rsidRPr="00C66809" w:rsidRDefault="007511FC" w:rsidP="00C66809">
            <w:pPr>
              <w:pStyle w:val="TableText"/>
              <w:rPr>
                <w:u w:color="808285"/>
              </w:rPr>
            </w:pPr>
          </w:p>
        </w:tc>
        <w:tc>
          <w:tcPr>
            <w:tcW w:w="2836" w:type="dxa"/>
          </w:tcPr>
          <w:p w14:paraId="336C87F0" w14:textId="4F92FA62" w:rsidR="007511FC" w:rsidRPr="00C66809" w:rsidRDefault="007511FC" w:rsidP="00C66809">
            <w:pPr>
              <w:pStyle w:val="TableText"/>
              <w:rPr>
                <w:u w:color="808285"/>
              </w:rPr>
            </w:pPr>
            <w:r w:rsidRPr="00C66809">
              <w:rPr>
                <w:u w:color="808285"/>
              </w:rPr>
              <w:t>Waikato</w:t>
            </w:r>
          </w:p>
        </w:tc>
        <w:tc>
          <w:tcPr>
            <w:tcW w:w="992" w:type="dxa"/>
          </w:tcPr>
          <w:p w14:paraId="400A9E01" w14:textId="549C6182" w:rsidR="007511FC" w:rsidRPr="00C66809" w:rsidRDefault="007511FC" w:rsidP="00C66809">
            <w:pPr>
              <w:pStyle w:val="TableText"/>
              <w:rPr>
                <w:u w:color="808285"/>
              </w:rPr>
            </w:pPr>
            <w:r w:rsidRPr="00C66809">
              <w:rPr>
                <w:u w:color="808285"/>
              </w:rPr>
              <w:t>8</w:t>
            </w:r>
          </w:p>
        </w:tc>
      </w:tr>
      <w:tr w:rsidR="007511FC" w:rsidRPr="00C66809" w14:paraId="2349A533" w14:textId="77777777" w:rsidTr="007511FC">
        <w:trPr>
          <w:cantSplit/>
        </w:trPr>
        <w:tc>
          <w:tcPr>
            <w:tcW w:w="2835" w:type="dxa"/>
          </w:tcPr>
          <w:p w14:paraId="60254F67" w14:textId="2C1E511B" w:rsidR="007511FC" w:rsidRPr="00C66809" w:rsidRDefault="007511FC" w:rsidP="00C66809">
            <w:pPr>
              <w:pStyle w:val="TableText"/>
              <w:rPr>
                <w:u w:color="808285"/>
              </w:rPr>
            </w:pPr>
            <w:r w:rsidRPr="00C66809">
              <w:rPr>
                <w:u w:color="808285"/>
              </w:rPr>
              <w:t>Hutt Valley</w:t>
            </w:r>
          </w:p>
        </w:tc>
        <w:tc>
          <w:tcPr>
            <w:tcW w:w="944" w:type="dxa"/>
          </w:tcPr>
          <w:p w14:paraId="3C47A916" w14:textId="77777777" w:rsidR="007511FC" w:rsidRPr="00C66809" w:rsidRDefault="007511FC" w:rsidP="00C66809">
            <w:pPr>
              <w:pStyle w:val="TableText"/>
              <w:rPr>
                <w:u w:color="808285"/>
              </w:rPr>
            </w:pPr>
            <w:r w:rsidRPr="00C66809">
              <w:rPr>
                <w:u w:color="808285"/>
              </w:rPr>
              <w:t>5</w:t>
            </w:r>
          </w:p>
        </w:tc>
        <w:tc>
          <w:tcPr>
            <w:tcW w:w="474" w:type="dxa"/>
            <w:tcBorders>
              <w:top w:val="nil"/>
              <w:bottom w:val="nil"/>
            </w:tcBorders>
            <w:shd w:val="clear" w:color="auto" w:fill="auto"/>
          </w:tcPr>
          <w:p w14:paraId="69A65A95" w14:textId="77777777" w:rsidR="007511FC" w:rsidRPr="00C66809" w:rsidRDefault="007511FC" w:rsidP="00C66809">
            <w:pPr>
              <w:pStyle w:val="TableText"/>
              <w:rPr>
                <w:u w:color="808285"/>
              </w:rPr>
            </w:pPr>
          </w:p>
        </w:tc>
        <w:tc>
          <w:tcPr>
            <w:tcW w:w="2836" w:type="dxa"/>
          </w:tcPr>
          <w:p w14:paraId="242E8A29" w14:textId="0E55A540" w:rsidR="007511FC" w:rsidRPr="00C66809" w:rsidRDefault="007511FC" w:rsidP="00C66809">
            <w:pPr>
              <w:pStyle w:val="TableText"/>
              <w:rPr>
                <w:u w:color="808285"/>
              </w:rPr>
            </w:pPr>
            <w:proofErr w:type="spellStart"/>
            <w:r w:rsidRPr="00C66809">
              <w:rPr>
                <w:u w:color="808285"/>
              </w:rPr>
              <w:t>Wairarapa</w:t>
            </w:r>
            <w:proofErr w:type="spellEnd"/>
          </w:p>
        </w:tc>
        <w:tc>
          <w:tcPr>
            <w:tcW w:w="992" w:type="dxa"/>
          </w:tcPr>
          <w:p w14:paraId="12640CBF" w14:textId="06B146BE" w:rsidR="007511FC" w:rsidRPr="00C66809" w:rsidRDefault="007511FC" w:rsidP="00C66809">
            <w:pPr>
              <w:pStyle w:val="TableText"/>
              <w:rPr>
                <w:u w:color="808285"/>
              </w:rPr>
            </w:pPr>
            <w:r w:rsidRPr="00C66809">
              <w:rPr>
                <w:u w:color="808285"/>
              </w:rPr>
              <w:t>3</w:t>
            </w:r>
          </w:p>
        </w:tc>
      </w:tr>
      <w:tr w:rsidR="007511FC" w:rsidRPr="00C66809" w14:paraId="69ECE3C2" w14:textId="77777777" w:rsidTr="007511FC">
        <w:trPr>
          <w:cantSplit/>
        </w:trPr>
        <w:tc>
          <w:tcPr>
            <w:tcW w:w="2835" w:type="dxa"/>
          </w:tcPr>
          <w:p w14:paraId="5B5356A4" w14:textId="221A3427" w:rsidR="007511FC" w:rsidRPr="00C66809" w:rsidRDefault="007511FC" w:rsidP="00C66809">
            <w:pPr>
              <w:pStyle w:val="TableText"/>
              <w:rPr>
                <w:u w:color="808285"/>
              </w:rPr>
            </w:pPr>
            <w:r w:rsidRPr="00C66809">
              <w:rPr>
                <w:u w:color="808285"/>
              </w:rPr>
              <w:t>Lakes</w:t>
            </w:r>
          </w:p>
        </w:tc>
        <w:tc>
          <w:tcPr>
            <w:tcW w:w="944" w:type="dxa"/>
          </w:tcPr>
          <w:p w14:paraId="68F99A99" w14:textId="77777777" w:rsidR="007511FC" w:rsidRPr="00C66809" w:rsidRDefault="007511FC" w:rsidP="00C66809">
            <w:pPr>
              <w:pStyle w:val="TableText"/>
              <w:rPr>
                <w:u w:color="808285"/>
              </w:rPr>
            </w:pPr>
            <w:r w:rsidRPr="00C66809">
              <w:rPr>
                <w:u w:color="808285"/>
              </w:rPr>
              <w:t>4</w:t>
            </w:r>
          </w:p>
        </w:tc>
        <w:tc>
          <w:tcPr>
            <w:tcW w:w="474" w:type="dxa"/>
            <w:tcBorders>
              <w:top w:val="nil"/>
              <w:bottom w:val="nil"/>
            </w:tcBorders>
            <w:shd w:val="clear" w:color="auto" w:fill="auto"/>
          </w:tcPr>
          <w:p w14:paraId="70CAC151" w14:textId="77777777" w:rsidR="007511FC" w:rsidRPr="00C66809" w:rsidRDefault="007511FC" w:rsidP="00C66809">
            <w:pPr>
              <w:pStyle w:val="TableText"/>
              <w:rPr>
                <w:u w:color="808285"/>
              </w:rPr>
            </w:pPr>
          </w:p>
        </w:tc>
        <w:tc>
          <w:tcPr>
            <w:tcW w:w="2836" w:type="dxa"/>
          </w:tcPr>
          <w:p w14:paraId="4AACCAF4" w14:textId="59F3AD3B" w:rsidR="007511FC" w:rsidRPr="00C66809" w:rsidRDefault="007511FC" w:rsidP="00C66809">
            <w:pPr>
              <w:pStyle w:val="TableText"/>
              <w:rPr>
                <w:u w:color="808285"/>
              </w:rPr>
            </w:pPr>
            <w:proofErr w:type="spellStart"/>
            <w:r w:rsidRPr="00C66809">
              <w:rPr>
                <w:u w:color="808285"/>
              </w:rPr>
              <w:t>Waitemata</w:t>
            </w:r>
            <w:proofErr w:type="spellEnd"/>
          </w:p>
        </w:tc>
        <w:tc>
          <w:tcPr>
            <w:tcW w:w="992" w:type="dxa"/>
          </w:tcPr>
          <w:p w14:paraId="272FA580" w14:textId="744991D6" w:rsidR="007511FC" w:rsidRPr="00C66809" w:rsidRDefault="007511FC" w:rsidP="00C66809">
            <w:pPr>
              <w:pStyle w:val="TableText"/>
              <w:rPr>
                <w:u w:color="808285"/>
              </w:rPr>
            </w:pPr>
            <w:r w:rsidRPr="00C66809">
              <w:rPr>
                <w:u w:color="808285"/>
              </w:rPr>
              <w:t>18</w:t>
            </w:r>
          </w:p>
        </w:tc>
      </w:tr>
      <w:tr w:rsidR="007511FC" w:rsidRPr="00C66809" w14:paraId="6B74D7E6" w14:textId="77777777" w:rsidTr="007511FC">
        <w:trPr>
          <w:cantSplit/>
        </w:trPr>
        <w:tc>
          <w:tcPr>
            <w:tcW w:w="2835" w:type="dxa"/>
          </w:tcPr>
          <w:p w14:paraId="3FEA7586" w14:textId="624F909C" w:rsidR="007511FC" w:rsidRPr="00C66809" w:rsidRDefault="007511FC" w:rsidP="00C66809">
            <w:pPr>
              <w:pStyle w:val="TableText"/>
              <w:rPr>
                <w:u w:color="808285"/>
              </w:rPr>
            </w:pPr>
            <w:proofErr w:type="spellStart"/>
            <w:r w:rsidRPr="00C66809">
              <w:rPr>
                <w:u w:color="808285"/>
              </w:rPr>
              <w:t>MidCentral</w:t>
            </w:r>
            <w:proofErr w:type="spellEnd"/>
          </w:p>
        </w:tc>
        <w:tc>
          <w:tcPr>
            <w:tcW w:w="944" w:type="dxa"/>
          </w:tcPr>
          <w:p w14:paraId="01042092" w14:textId="77777777" w:rsidR="007511FC" w:rsidRPr="00C66809" w:rsidRDefault="007511FC" w:rsidP="00C66809">
            <w:pPr>
              <w:pStyle w:val="TableText"/>
              <w:rPr>
                <w:u w:color="808285"/>
              </w:rPr>
            </w:pPr>
            <w:r w:rsidRPr="00C66809">
              <w:rPr>
                <w:u w:color="808285"/>
              </w:rPr>
              <w:t>24</w:t>
            </w:r>
          </w:p>
        </w:tc>
        <w:tc>
          <w:tcPr>
            <w:tcW w:w="474" w:type="dxa"/>
            <w:tcBorders>
              <w:top w:val="nil"/>
              <w:bottom w:val="nil"/>
            </w:tcBorders>
            <w:shd w:val="clear" w:color="auto" w:fill="auto"/>
          </w:tcPr>
          <w:p w14:paraId="333E205F" w14:textId="77777777" w:rsidR="007511FC" w:rsidRPr="00C66809" w:rsidRDefault="007511FC" w:rsidP="00C66809">
            <w:pPr>
              <w:pStyle w:val="TableText"/>
              <w:rPr>
                <w:u w:color="808285"/>
              </w:rPr>
            </w:pPr>
          </w:p>
        </w:tc>
        <w:tc>
          <w:tcPr>
            <w:tcW w:w="2836" w:type="dxa"/>
          </w:tcPr>
          <w:p w14:paraId="16623F15" w14:textId="456CC40A" w:rsidR="007511FC" w:rsidRPr="00C66809" w:rsidRDefault="007511FC" w:rsidP="00C66809">
            <w:pPr>
              <w:pStyle w:val="TableText"/>
              <w:rPr>
                <w:u w:color="808285"/>
              </w:rPr>
            </w:pPr>
            <w:r w:rsidRPr="00C66809">
              <w:rPr>
                <w:u w:color="808285"/>
              </w:rPr>
              <w:t>West Coast</w:t>
            </w:r>
          </w:p>
        </w:tc>
        <w:tc>
          <w:tcPr>
            <w:tcW w:w="992" w:type="dxa"/>
          </w:tcPr>
          <w:p w14:paraId="20AB6CAC" w14:textId="78A992DD" w:rsidR="007511FC" w:rsidRPr="00C66809" w:rsidRDefault="007511FC" w:rsidP="00C66809">
            <w:pPr>
              <w:pStyle w:val="TableText"/>
              <w:rPr>
                <w:u w:color="808285"/>
              </w:rPr>
            </w:pPr>
            <w:r w:rsidRPr="00C66809">
              <w:rPr>
                <w:u w:color="808285"/>
              </w:rPr>
              <w:t>3</w:t>
            </w:r>
          </w:p>
        </w:tc>
      </w:tr>
      <w:tr w:rsidR="007511FC" w:rsidRPr="00C66809" w14:paraId="756BC533" w14:textId="77777777" w:rsidTr="007511FC">
        <w:trPr>
          <w:cantSplit/>
        </w:trPr>
        <w:tc>
          <w:tcPr>
            <w:tcW w:w="2835" w:type="dxa"/>
            <w:tcBorders>
              <w:bottom w:val="single" w:sz="4" w:space="0" w:color="A6A6A6" w:themeColor="background1" w:themeShade="A6"/>
            </w:tcBorders>
          </w:tcPr>
          <w:p w14:paraId="7C8B9573" w14:textId="216BA5B6" w:rsidR="007511FC" w:rsidRPr="00C66809" w:rsidRDefault="007511FC" w:rsidP="00C66809">
            <w:pPr>
              <w:pStyle w:val="TableText"/>
              <w:rPr>
                <w:u w:color="808285"/>
              </w:rPr>
            </w:pPr>
            <w:r w:rsidRPr="00C66809">
              <w:rPr>
                <w:u w:color="808285"/>
              </w:rPr>
              <w:t>Nelson Marlborough</w:t>
            </w:r>
          </w:p>
        </w:tc>
        <w:tc>
          <w:tcPr>
            <w:tcW w:w="944" w:type="dxa"/>
            <w:tcBorders>
              <w:bottom w:val="single" w:sz="4" w:space="0" w:color="A6A6A6" w:themeColor="background1" w:themeShade="A6"/>
            </w:tcBorders>
          </w:tcPr>
          <w:p w14:paraId="1321B8C1" w14:textId="77777777" w:rsidR="007511FC" w:rsidRPr="00C66809" w:rsidRDefault="007511FC" w:rsidP="00C66809">
            <w:pPr>
              <w:pStyle w:val="TableText"/>
              <w:rPr>
                <w:u w:color="808285"/>
              </w:rPr>
            </w:pPr>
            <w:r w:rsidRPr="00C66809">
              <w:rPr>
                <w:u w:color="808285"/>
              </w:rPr>
              <w:t>5</w:t>
            </w:r>
          </w:p>
        </w:tc>
        <w:tc>
          <w:tcPr>
            <w:tcW w:w="474" w:type="dxa"/>
            <w:tcBorders>
              <w:top w:val="nil"/>
              <w:bottom w:val="nil"/>
            </w:tcBorders>
            <w:shd w:val="clear" w:color="auto" w:fill="auto"/>
          </w:tcPr>
          <w:p w14:paraId="040CECCC" w14:textId="77777777" w:rsidR="007511FC" w:rsidRPr="00C66809" w:rsidRDefault="007511FC" w:rsidP="00C66809">
            <w:pPr>
              <w:pStyle w:val="TableText"/>
              <w:rPr>
                <w:u w:color="808285"/>
              </w:rPr>
            </w:pPr>
          </w:p>
        </w:tc>
        <w:tc>
          <w:tcPr>
            <w:tcW w:w="2836" w:type="dxa"/>
          </w:tcPr>
          <w:p w14:paraId="0FB98B60" w14:textId="1C742352" w:rsidR="007511FC" w:rsidRPr="00C66809" w:rsidRDefault="007511FC" w:rsidP="00C66809">
            <w:pPr>
              <w:pStyle w:val="TableText"/>
              <w:rPr>
                <w:u w:color="808285"/>
              </w:rPr>
            </w:pPr>
            <w:r w:rsidRPr="00C66809">
              <w:rPr>
                <w:u w:color="808285"/>
              </w:rPr>
              <w:t>Whanganui</w:t>
            </w:r>
          </w:p>
        </w:tc>
        <w:tc>
          <w:tcPr>
            <w:tcW w:w="992" w:type="dxa"/>
          </w:tcPr>
          <w:p w14:paraId="11F16992" w14:textId="2E7BBE02" w:rsidR="007511FC" w:rsidRPr="00C66809" w:rsidRDefault="007511FC" w:rsidP="00C66809">
            <w:pPr>
              <w:pStyle w:val="TableText"/>
              <w:rPr>
                <w:u w:color="808285"/>
              </w:rPr>
            </w:pPr>
            <w:r w:rsidRPr="00C66809">
              <w:rPr>
                <w:u w:color="808285"/>
              </w:rPr>
              <w:t>8</w:t>
            </w:r>
          </w:p>
        </w:tc>
      </w:tr>
      <w:tr w:rsidR="007511FC" w:rsidRPr="00C66809" w14:paraId="6483DACF" w14:textId="77777777" w:rsidTr="007511FC">
        <w:trPr>
          <w:cantSplit/>
        </w:trPr>
        <w:tc>
          <w:tcPr>
            <w:tcW w:w="2835" w:type="dxa"/>
            <w:tcBorders>
              <w:bottom w:val="nil"/>
            </w:tcBorders>
          </w:tcPr>
          <w:p w14:paraId="42793A73" w14:textId="4397C866" w:rsidR="007511FC" w:rsidRPr="00C66809" w:rsidRDefault="007511FC" w:rsidP="00C66809">
            <w:pPr>
              <w:pStyle w:val="TableText"/>
              <w:rPr>
                <w:u w:color="808285"/>
              </w:rPr>
            </w:pPr>
          </w:p>
        </w:tc>
        <w:tc>
          <w:tcPr>
            <w:tcW w:w="944" w:type="dxa"/>
            <w:tcBorders>
              <w:bottom w:val="nil"/>
            </w:tcBorders>
          </w:tcPr>
          <w:p w14:paraId="46B15F2B" w14:textId="7EFCCED5" w:rsidR="007511FC" w:rsidRPr="00C66809" w:rsidRDefault="007511FC" w:rsidP="00C66809">
            <w:pPr>
              <w:pStyle w:val="TableText"/>
              <w:rPr>
                <w:u w:color="808285"/>
              </w:rPr>
            </w:pPr>
          </w:p>
        </w:tc>
        <w:tc>
          <w:tcPr>
            <w:tcW w:w="474" w:type="dxa"/>
            <w:tcBorders>
              <w:top w:val="nil"/>
              <w:bottom w:val="nil"/>
            </w:tcBorders>
            <w:shd w:val="clear" w:color="auto" w:fill="auto"/>
          </w:tcPr>
          <w:p w14:paraId="6244A69B" w14:textId="77777777" w:rsidR="007511FC" w:rsidRPr="00C66809" w:rsidRDefault="007511FC" w:rsidP="00C66809">
            <w:pPr>
              <w:pStyle w:val="TableText"/>
              <w:rPr>
                <w:u w:color="808285"/>
              </w:rPr>
            </w:pPr>
          </w:p>
        </w:tc>
        <w:tc>
          <w:tcPr>
            <w:tcW w:w="2836" w:type="dxa"/>
          </w:tcPr>
          <w:p w14:paraId="1D9CC565" w14:textId="308AE251" w:rsidR="007511FC" w:rsidRPr="00C66809" w:rsidRDefault="007511FC" w:rsidP="00C66809">
            <w:pPr>
              <w:pStyle w:val="TableText"/>
              <w:rPr>
                <w:u w:color="808285"/>
              </w:rPr>
            </w:pPr>
            <w:r w:rsidRPr="00C66809">
              <w:rPr>
                <w:b/>
                <w:u w:color="808285"/>
              </w:rPr>
              <w:t>New Zealand total</w:t>
            </w:r>
          </w:p>
        </w:tc>
        <w:tc>
          <w:tcPr>
            <w:tcW w:w="992" w:type="dxa"/>
          </w:tcPr>
          <w:p w14:paraId="3FC43075" w14:textId="5B19031C" w:rsidR="007511FC" w:rsidRPr="00C66809" w:rsidRDefault="007511FC" w:rsidP="00C66809">
            <w:pPr>
              <w:pStyle w:val="TableText"/>
              <w:rPr>
                <w:u w:color="808285"/>
              </w:rPr>
            </w:pPr>
            <w:r w:rsidRPr="00C66809">
              <w:rPr>
                <w:b/>
                <w:u w:color="808285"/>
              </w:rPr>
              <w:t>203</w:t>
            </w:r>
          </w:p>
        </w:tc>
      </w:tr>
    </w:tbl>
    <w:p w14:paraId="21F551B2" w14:textId="77777777" w:rsidR="00740DA6" w:rsidRPr="00EC5EF1" w:rsidRDefault="00740DA6" w:rsidP="007511FC">
      <w:pPr>
        <w:pStyle w:val="Source"/>
      </w:pPr>
      <w:r w:rsidRPr="00EC5EF1">
        <w:t>Source: HQSC adverse event data, 2018</w:t>
      </w:r>
    </w:p>
    <w:p w14:paraId="69992029" w14:textId="77777777" w:rsidR="007511FC" w:rsidRDefault="007511FC" w:rsidP="007511FC"/>
    <w:p w14:paraId="5B4BE437" w14:textId="2D05512E" w:rsidR="00740DA6" w:rsidRDefault="00740DA6" w:rsidP="007511FC">
      <w:r w:rsidRPr="00EC5EF1">
        <w:rPr>
          <w:noProof/>
          <w:lang w:eastAsia="en-NZ"/>
        </w:rPr>
        <w:drawing>
          <wp:anchor distT="0" distB="0" distL="0" distR="0" simplePos="0" relativeHeight="251788288" behindDoc="0" locked="0" layoutInCell="1" allowOverlap="1" wp14:anchorId="1B8C0C55" wp14:editId="400827E1">
            <wp:simplePos x="0" y="0"/>
            <wp:positionH relativeFrom="page">
              <wp:posOffset>8060163</wp:posOffset>
            </wp:positionH>
            <wp:positionV relativeFrom="paragraph">
              <wp:posOffset>291314</wp:posOffset>
            </wp:positionV>
            <wp:extent cx="155575" cy="155575"/>
            <wp:effectExtent l="0" t="0" r="0" b="0"/>
            <wp:wrapNone/>
            <wp:docPr id="33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Please see Appendix 4: Developments in mental health and addiction reporting and improvement for an update from the HQSC on recent initiatives.</w:t>
      </w:r>
    </w:p>
    <w:p w14:paraId="3273C0AD" w14:textId="77777777" w:rsidR="007511FC" w:rsidRPr="00EC5EF1" w:rsidRDefault="007511FC" w:rsidP="007511FC"/>
    <w:p w14:paraId="097F07EC" w14:textId="77777777" w:rsidR="00740DA6" w:rsidRPr="00EC5EF1" w:rsidRDefault="00740DA6" w:rsidP="007511FC">
      <w:pPr>
        <w:pStyle w:val="Heading3"/>
      </w:pPr>
      <w:bookmarkStart w:id="123" w:name="_Toc2845683"/>
      <w:r w:rsidRPr="00EC5EF1">
        <w:lastRenderedPageBreak/>
        <w:t>Death by suicide</w:t>
      </w:r>
      <w:bookmarkEnd w:id="123"/>
    </w:p>
    <w:p w14:paraId="38C362BD" w14:textId="645EF277" w:rsidR="00740DA6" w:rsidRPr="00EC5EF1" w:rsidRDefault="00740DA6" w:rsidP="00A20F1B">
      <w:pPr>
        <w:keepNext/>
      </w:pPr>
      <w:r w:rsidRPr="00EC5EF1">
        <w:t>Suicide is a serious concern for New Zealand. Around 500 New Zealanders die by suicide every year. Suicide affects the lives of many – whānau, families, friends,</w:t>
      </w:r>
      <w:r w:rsidR="00434E22">
        <w:t xml:space="preserve"> </w:t>
      </w:r>
      <w:r w:rsidRPr="00EC5EF1">
        <w:t>colleagues and communities.</w:t>
      </w:r>
    </w:p>
    <w:p w14:paraId="1DB38963" w14:textId="77777777" w:rsidR="007511FC" w:rsidRDefault="007511FC" w:rsidP="00A20F1B">
      <w:pPr>
        <w:keepNext/>
      </w:pPr>
    </w:p>
    <w:p w14:paraId="4B15A1CC" w14:textId="723393CC" w:rsidR="00740DA6" w:rsidRPr="00EC5EF1" w:rsidRDefault="00740DA6" w:rsidP="007511FC">
      <w:r w:rsidRPr="00EC5EF1">
        <w:t>This section provides a brief overview of suicide deaths and deaths of undetermined intent, with a particular focus on people who had contact with specialist mental health services (including services treating people with alcohol and other drugs (AOD) addiction) in the year before their death.</w:t>
      </w:r>
      <w:r w:rsidR="007511FC">
        <w:rPr>
          <w:rStyle w:val="FootnoteReference"/>
        </w:rPr>
        <w:footnoteReference w:id="44"/>
      </w:r>
      <w:r w:rsidR="007511FC">
        <w:t xml:space="preserve"> </w:t>
      </w:r>
      <w:r w:rsidRPr="00EC5EF1">
        <w:t>People with no history of mental health service</w:t>
      </w:r>
      <w:r w:rsidR="00434E22">
        <w:t xml:space="preserve"> </w:t>
      </w:r>
      <w:r w:rsidRPr="00EC5EF1">
        <w:t>use in the year before their death are referred to as ‘non-service users’ here, although we acknowledge that some non-service users may have used mental health or AOD services at some earlier time in their lives. This overview uses data from 2015 as it can take several years for a coroner’s investigation into a suicide to be completed.</w:t>
      </w:r>
    </w:p>
    <w:p w14:paraId="17ECE1AF" w14:textId="77777777" w:rsidR="00740DA6" w:rsidRPr="00EC5EF1" w:rsidRDefault="00740DA6" w:rsidP="007511FC"/>
    <w:p w14:paraId="356C10E9" w14:textId="311884A6" w:rsidR="00740DA6" w:rsidRPr="00EC5EF1" w:rsidRDefault="00740DA6" w:rsidP="007511FC">
      <w:r w:rsidRPr="00EC5EF1">
        <w:t>In summary, in 2015</w:t>
      </w:r>
      <w:r w:rsidR="007511FC">
        <w:t>:</w:t>
      </w:r>
      <w:r w:rsidR="007511FC">
        <w:rPr>
          <w:rStyle w:val="FootnoteReference"/>
        </w:rPr>
        <w:footnoteReference w:id="45"/>
      </w:r>
    </w:p>
    <w:p w14:paraId="0DD17BE9" w14:textId="2F5E0DA7" w:rsidR="00740DA6" w:rsidRPr="00EC5EF1" w:rsidRDefault="00740DA6" w:rsidP="007511FC">
      <w:pPr>
        <w:pStyle w:val="Bullet"/>
      </w:pPr>
      <w:r w:rsidRPr="00EC5EF1">
        <w:t>525 people died by suicide. A further 17 deaths of undetermined intent</w:t>
      </w:r>
      <w:r w:rsidR="007511FC">
        <w:rPr>
          <w:rStyle w:val="FootnoteReference"/>
        </w:rPr>
        <w:footnoteReference w:id="46"/>
      </w:r>
      <w:r w:rsidR="007511FC">
        <w:t xml:space="preserve"> </w:t>
      </w:r>
      <w:r w:rsidRPr="00EC5EF1">
        <w:t>were recorded in the mortality database</w:t>
      </w:r>
    </w:p>
    <w:p w14:paraId="388B5523" w14:textId="77777777" w:rsidR="00740DA6" w:rsidRPr="00EC5EF1" w:rsidRDefault="00740DA6" w:rsidP="007511FC">
      <w:pPr>
        <w:pStyle w:val="Bullet"/>
      </w:pPr>
      <w:r w:rsidRPr="00EC5EF1">
        <w:t>approximately 42 percent of those who died by suicide or undetermined intent (among those aged 10–64 years) were mental health service users</w:t>
      </w:r>
    </w:p>
    <w:p w14:paraId="544E0218" w14:textId="77777777" w:rsidR="00740DA6" w:rsidRPr="00EC5EF1" w:rsidRDefault="00740DA6" w:rsidP="007511FC">
      <w:pPr>
        <w:pStyle w:val="Bullet"/>
      </w:pPr>
      <w:r w:rsidRPr="00EC5EF1">
        <w:t>mental disorders are one of the factors that can increase the likelihood of suicidal behaviour</w:t>
      </w:r>
    </w:p>
    <w:p w14:paraId="4FB33F84" w14:textId="77777777" w:rsidR="00740DA6" w:rsidRDefault="00740DA6" w:rsidP="007511FC">
      <w:pPr>
        <w:pStyle w:val="Bullet"/>
      </w:pPr>
      <w:proofErr w:type="gramStart"/>
      <w:r w:rsidRPr="00EC5EF1">
        <w:t>males</w:t>
      </w:r>
      <w:proofErr w:type="gramEnd"/>
      <w:r w:rsidRPr="00EC5EF1">
        <w:t xml:space="preserve"> were more likely to die by suicide than females.</w:t>
      </w:r>
    </w:p>
    <w:p w14:paraId="14A5A47B" w14:textId="77777777" w:rsidR="007511FC" w:rsidRPr="00EC5EF1" w:rsidRDefault="007511FC" w:rsidP="007511FC"/>
    <w:p w14:paraId="2A987AE7" w14:textId="77777777" w:rsidR="00740DA6" w:rsidRPr="00EC5EF1" w:rsidRDefault="00740DA6" w:rsidP="007511FC">
      <w:pPr>
        <w:pStyle w:val="Heading4"/>
      </w:pPr>
      <w:r w:rsidRPr="00EC5EF1">
        <w:t>Prevalence of suicide in the population</w:t>
      </w:r>
    </w:p>
    <w:p w14:paraId="36AFC27D" w14:textId="7B9F9407" w:rsidR="00740DA6" w:rsidRPr="007511FC" w:rsidRDefault="00740DA6" w:rsidP="007511FC">
      <w:r w:rsidRPr="00EC5EF1">
        <w:t>At the time the data was extracted, there were 525 suicides recorded in the mortality database for 2015.</w:t>
      </w:r>
      <w:r w:rsidR="007511FC">
        <w:rPr>
          <w:rStyle w:val="FootnoteReference"/>
        </w:rPr>
        <w:footnoteReference w:id="47"/>
      </w:r>
      <w:r w:rsidR="007511FC">
        <w:t xml:space="preserve"> </w:t>
      </w:r>
      <w:r w:rsidRPr="00EC5EF1">
        <w:t>A further 17 deaths of undetermined intent were recorded and are included in this report. Of this initial total of 542 deaths, 66 involved people aged 65</w:t>
      </w:r>
      <w:r w:rsidR="007511FC">
        <w:t> </w:t>
      </w:r>
      <w:r w:rsidRPr="00EC5EF1">
        <w:t>years and over. The following discussion excludes these deaths.</w:t>
      </w:r>
      <w:r w:rsidR="007511FC">
        <w:rPr>
          <w:rStyle w:val="FootnoteReference"/>
        </w:rPr>
        <w:footnoteReference w:id="48"/>
      </w:r>
    </w:p>
    <w:p w14:paraId="33FEC3EF" w14:textId="77777777" w:rsidR="007511FC" w:rsidRDefault="007511FC" w:rsidP="007511FC"/>
    <w:p w14:paraId="0FC515B2" w14:textId="197BBA8A" w:rsidR="00740DA6" w:rsidRPr="00EC5EF1" w:rsidRDefault="00740DA6" w:rsidP="007511FC">
      <w:r w:rsidRPr="00EC5EF1">
        <w:t>Table 13 sets out statistics on the remaining 476 deaths. Of these 476 people, 201 (42</w:t>
      </w:r>
      <w:r w:rsidR="007511FC">
        <w:t> </w:t>
      </w:r>
      <w:r w:rsidRPr="00EC5EF1">
        <w:t>percent) had had contact with specialist mental health services in the year before death.</w:t>
      </w:r>
    </w:p>
    <w:p w14:paraId="3AAFF4A8" w14:textId="77777777" w:rsidR="007511FC" w:rsidRDefault="007511FC" w:rsidP="007511FC"/>
    <w:p w14:paraId="16DE10CD" w14:textId="13EEB83C" w:rsidR="00740DA6" w:rsidRPr="00EC5EF1" w:rsidRDefault="00740DA6" w:rsidP="007511FC">
      <w:r w:rsidRPr="00EC5EF1">
        <w:rPr>
          <w:noProof/>
          <w:lang w:eastAsia="en-NZ"/>
        </w:rPr>
        <w:lastRenderedPageBreak/>
        <w:drawing>
          <wp:anchor distT="0" distB="0" distL="0" distR="0" simplePos="0" relativeHeight="251790336" behindDoc="0" locked="0" layoutInCell="1" allowOverlap="1" wp14:anchorId="0DE063CD" wp14:editId="481E92F0">
            <wp:simplePos x="0" y="0"/>
            <wp:positionH relativeFrom="page">
              <wp:posOffset>8060163</wp:posOffset>
            </wp:positionH>
            <wp:positionV relativeFrom="paragraph">
              <wp:posOffset>787243</wp:posOffset>
            </wp:positionV>
            <wp:extent cx="155575" cy="155575"/>
            <wp:effectExtent l="0" t="0" r="0" b="0"/>
            <wp:wrapNone/>
            <wp:docPr id="33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Suicide has no single cause – it is usually the end result of interactions between many different factors that impact different people in different ways. Mental disorders (in particular, mood disorders, substance-use disorders and antisocial behaviours) are one set of factors that can increase the likelihood of suicidal behaviour (</w:t>
      </w:r>
      <w:proofErr w:type="spellStart"/>
      <w:r w:rsidRPr="00EC5EF1">
        <w:t>Beautrais</w:t>
      </w:r>
      <w:proofErr w:type="spellEnd"/>
      <w:r w:rsidRPr="00EC5EF1">
        <w:t xml:space="preserve"> et al 2005).</w:t>
      </w:r>
    </w:p>
    <w:p w14:paraId="603758B8" w14:textId="77777777" w:rsidR="00740DA6" w:rsidRPr="00EC5EF1" w:rsidRDefault="00740DA6" w:rsidP="00B158F8"/>
    <w:p w14:paraId="4653794A" w14:textId="77777777" w:rsidR="00740DA6" w:rsidRPr="00EC5EF1" w:rsidRDefault="00740DA6" w:rsidP="007511FC">
      <w:pPr>
        <w:pStyle w:val="Table"/>
      </w:pPr>
      <w:bookmarkStart w:id="124" w:name="_Toc2845757"/>
      <w:r w:rsidRPr="00EC5EF1">
        <w:t>Table 13: Number and age-standardised rate of suicide, by service use, people aged 10–64 years, 2015</w:t>
      </w:r>
      <w:bookmarkEnd w:id="124"/>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3969"/>
        <w:gridCol w:w="1843"/>
        <w:gridCol w:w="2268"/>
      </w:tblGrid>
      <w:tr w:rsidR="00740DA6" w:rsidRPr="00B158F8" w14:paraId="5A4C8E49" w14:textId="77777777" w:rsidTr="00B158F8">
        <w:trPr>
          <w:cantSplit/>
        </w:trPr>
        <w:tc>
          <w:tcPr>
            <w:tcW w:w="3969" w:type="dxa"/>
            <w:tcBorders>
              <w:top w:val="nil"/>
              <w:bottom w:val="nil"/>
            </w:tcBorders>
            <w:shd w:val="clear" w:color="auto" w:fill="D9D9D9" w:themeFill="background1" w:themeFillShade="D9"/>
          </w:tcPr>
          <w:p w14:paraId="1DD88D36" w14:textId="77777777" w:rsidR="00740DA6" w:rsidRPr="00B158F8" w:rsidRDefault="00740DA6" w:rsidP="00B158F8">
            <w:pPr>
              <w:pStyle w:val="TableText"/>
              <w:rPr>
                <w:b/>
              </w:rPr>
            </w:pPr>
          </w:p>
        </w:tc>
        <w:tc>
          <w:tcPr>
            <w:tcW w:w="1843" w:type="dxa"/>
            <w:tcBorders>
              <w:top w:val="nil"/>
              <w:bottom w:val="nil"/>
            </w:tcBorders>
            <w:shd w:val="clear" w:color="auto" w:fill="D9D9D9" w:themeFill="background1" w:themeFillShade="D9"/>
          </w:tcPr>
          <w:p w14:paraId="17AE12C8" w14:textId="77777777" w:rsidR="00740DA6" w:rsidRPr="00B158F8" w:rsidRDefault="00740DA6" w:rsidP="00B158F8">
            <w:pPr>
              <w:pStyle w:val="TableText"/>
              <w:jc w:val="center"/>
              <w:rPr>
                <w:b/>
              </w:rPr>
            </w:pPr>
            <w:r w:rsidRPr="00B158F8">
              <w:rPr>
                <w:b/>
              </w:rPr>
              <w:t>Number</w:t>
            </w:r>
          </w:p>
        </w:tc>
        <w:tc>
          <w:tcPr>
            <w:tcW w:w="2268" w:type="dxa"/>
            <w:tcBorders>
              <w:top w:val="nil"/>
              <w:bottom w:val="nil"/>
            </w:tcBorders>
            <w:shd w:val="clear" w:color="auto" w:fill="D9D9D9" w:themeFill="background1" w:themeFillShade="D9"/>
          </w:tcPr>
          <w:p w14:paraId="0C13450C" w14:textId="7BC29434" w:rsidR="00740DA6" w:rsidRPr="00B158F8" w:rsidRDefault="00740DA6" w:rsidP="00B158F8">
            <w:pPr>
              <w:pStyle w:val="TableText"/>
              <w:jc w:val="center"/>
              <w:rPr>
                <w:b/>
                <w:sz w:val="11"/>
              </w:rPr>
            </w:pPr>
            <w:r w:rsidRPr="00B158F8">
              <w:rPr>
                <w:b/>
              </w:rPr>
              <w:t xml:space="preserve">Age-standardised </w:t>
            </w:r>
            <w:proofErr w:type="spellStart"/>
            <w:r w:rsidRPr="00B158F8">
              <w:rPr>
                <w:b/>
              </w:rPr>
              <w:t>rate</w:t>
            </w:r>
            <w:r w:rsidR="00B158F8">
              <w:rPr>
                <w:b/>
                <w:vertAlign w:val="superscript"/>
              </w:rPr>
              <w:t>a</w:t>
            </w:r>
            <w:proofErr w:type="spellEnd"/>
          </w:p>
        </w:tc>
      </w:tr>
      <w:tr w:rsidR="00B158F8" w:rsidRPr="00EC5EF1" w14:paraId="4A1B0341" w14:textId="77777777" w:rsidTr="00B158F8">
        <w:trPr>
          <w:cantSplit/>
        </w:trPr>
        <w:tc>
          <w:tcPr>
            <w:tcW w:w="3969" w:type="dxa"/>
            <w:tcBorders>
              <w:top w:val="nil"/>
            </w:tcBorders>
          </w:tcPr>
          <w:p w14:paraId="011E3673" w14:textId="3999037E" w:rsidR="00B158F8" w:rsidRPr="00B158F8" w:rsidRDefault="00B158F8" w:rsidP="00B158F8">
            <w:pPr>
              <w:pStyle w:val="TableText"/>
              <w:rPr>
                <w:b/>
              </w:rPr>
            </w:pPr>
            <w:r w:rsidRPr="00B158F8">
              <w:rPr>
                <w:b/>
              </w:rPr>
              <w:t>Deaths due to intentional self-harm</w:t>
            </w:r>
          </w:p>
        </w:tc>
        <w:tc>
          <w:tcPr>
            <w:tcW w:w="1843" w:type="dxa"/>
            <w:tcBorders>
              <w:top w:val="nil"/>
            </w:tcBorders>
          </w:tcPr>
          <w:p w14:paraId="7F1B7A25" w14:textId="77777777" w:rsidR="00B158F8" w:rsidRPr="00EC5EF1" w:rsidRDefault="00B158F8" w:rsidP="00AD04DD">
            <w:pPr>
              <w:pStyle w:val="TableText"/>
              <w:tabs>
                <w:tab w:val="decimal" w:pos="1077"/>
              </w:tabs>
            </w:pPr>
          </w:p>
        </w:tc>
        <w:tc>
          <w:tcPr>
            <w:tcW w:w="2268" w:type="dxa"/>
            <w:tcBorders>
              <w:top w:val="nil"/>
            </w:tcBorders>
          </w:tcPr>
          <w:p w14:paraId="5C29C943" w14:textId="77777777" w:rsidR="00B158F8" w:rsidRPr="00EC5EF1" w:rsidRDefault="00B158F8" w:rsidP="00AD04DD">
            <w:pPr>
              <w:pStyle w:val="TableText"/>
              <w:tabs>
                <w:tab w:val="decimal" w:pos="1174"/>
              </w:tabs>
            </w:pPr>
          </w:p>
        </w:tc>
      </w:tr>
      <w:tr w:rsidR="00740DA6" w:rsidRPr="00EC5EF1" w14:paraId="1BD52194" w14:textId="77777777" w:rsidTr="00B158F8">
        <w:trPr>
          <w:cantSplit/>
        </w:trPr>
        <w:tc>
          <w:tcPr>
            <w:tcW w:w="3969" w:type="dxa"/>
          </w:tcPr>
          <w:p w14:paraId="5B30329D" w14:textId="47F82FD0" w:rsidR="00740DA6" w:rsidRPr="00B158F8" w:rsidRDefault="00740DA6" w:rsidP="00B158F8">
            <w:pPr>
              <w:pStyle w:val="TableText"/>
              <w:rPr>
                <w:sz w:val="11"/>
              </w:rPr>
            </w:pPr>
            <w:r w:rsidRPr="00EC5EF1">
              <w:t xml:space="preserve">Service </w:t>
            </w:r>
            <w:proofErr w:type="spellStart"/>
            <w:r w:rsidRPr="00EC5EF1">
              <w:t>users</w:t>
            </w:r>
            <w:r w:rsidR="00B158F8">
              <w:rPr>
                <w:vertAlign w:val="superscript"/>
              </w:rPr>
              <w:t>b</w:t>
            </w:r>
            <w:proofErr w:type="spellEnd"/>
          </w:p>
        </w:tc>
        <w:tc>
          <w:tcPr>
            <w:tcW w:w="1843" w:type="dxa"/>
          </w:tcPr>
          <w:p w14:paraId="5B800CDD" w14:textId="77777777" w:rsidR="00740DA6" w:rsidRPr="00EC5EF1" w:rsidRDefault="00740DA6" w:rsidP="00AD04DD">
            <w:pPr>
              <w:pStyle w:val="TableText"/>
              <w:tabs>
                <w:tab w:val="decimal" w:pos="1077"/>
              </w:tabs>
            </w:pPr>
            <w:r w:rsidRPr="00EC5EF1">
              <w:t>196</w:t>
            </w:r>
          </w:p>
        </w:tc>
        <w:tc>
          <w:tcPr>
            <w:tcW w:w="2268" w:type="dxa"/>
          </w:tcPr>
          <w:p w14:paraId="216787E5" w14:textId="77777777" w:rsidR="00740DA6" w:rsidRPr="00EC5EF1" w:rsidRDefault="00740DA6" w:rsidP="00AD04DD">
            <w:pPr>
              <w:pStyle w:val="TableText"/>
              <w:tabs>
                <w:tab w:val="decimal" w:pos="1174"/>
              </w:tabs>
            </w:pPr>
            <w:r w:rsidRPr="00EC5EF1">
              <w:t>125.1</w:t>
            </w:r>
          </w:p>
        </w:tc>
      </w:tr>
      <w:tr w:rsidR="00740DA6" w:rsidRPr="00EC5EF1" w14:paraId="159CF792" w14:textId="77777777" w:rsidTr="00B158F8">
        <w:trPr>
          <w:cantSplit/>
        </w:trPr>
        <w:tc>
          <w:tcPr>
            <w:tcW w:w="3969" w:type="dxa"/>
          </w:tcPr>
          <w:p w14:paraId="5A75E5E2" w14:textId="77777777" w:rsidR="00740DA6" w:rsidRPr="00EC5EF1" w:rsidRDefault="00740DA6" w:rsidP="00B158F8">
            <w:pPr>
              <w:pStyle w:val="TableText"/>
            </w:pPr>
            <w:r w:rsidRPr="00EC5EF1">
              <w:t>Non-service users</w:t>
            </w:r>
          </w:p>
        </w:tc>
        <w:tc>
          <w:tcPr>
            <w:tcW w:w="1843" w:type="dxa"/>
          </w:tcPr>
          <w:p w14:paraId="7800F500" w14:textId="77777777" w:rsidR="00740DA6" w:rsidRPr="00EC5EF1" w:rsidRDefault="00740DA6" w:rsidP="00AD04DD">
            <w:pPr>
              <w:pStyle w:val="TableText"/>
              <w:tabs>
                <w:tab w:val="decimal" w:pos="1077"/>
              </w:tabs>
            </w:pPr>
            <w:r w:rsidRPr="00EC5EF1">
              <w:t>265</w:t>
            </w:r>
          </w:p>
        </w:tc>
        <w:tc>
          <w:tcPr>
            <w:tcW w:w="2268" w:type="dxa"/>
          </w:tcPr>
          <w:p w14:paraId="57C40266" w14:textId="77777777" w:rsidR="00740DA6" w:rsidRPr="00EC5EF1" w:rsidRDefault="00740DA6" w:rsidP="00AD04DD">
            <w:pPr>
              <w:pStyle w:val="TableText"/>
              <w:tabs>
                <w:tab w:val="decimal" w:pos="1174"/>
              </w:tabs>
            </w:pPr>
            <w:r w:rsidRPr="00EC5EF1">
              <w:t>6.7</w:t>
            </w:r>
          </w:p>
        </w:tc>
      </w:tr>
      <w:tr w:rsidR="00740DA6" w:rsidRPr="00EC5EF1" w14:paraId="21104805" w14:textId="77777777" w:rsidTr="00B158F8">
        <w:trPr>
          <w:cantSplit/>
        </w:trPr>
        <w:tc>
          <w:tcPr>
            <w:tcW w:w="3969" w:type="dxa"/>
            <w:tcBorders>
              <w:bottom w:val="single" w:sz="4" w:space="0" w:color="7F7F7F" w:themeColor="text1" w:themeTint="80"/>
            </w:tcBorders>
          </w:tcPr>
          <w:p w14:paraId="41D260D3" w14:textId="77777777" w:rsidR="00740DA6" w:rsidRPr="00EC5EF1" w:rsidRDefault="00740DA6" w:rsidP="00B158F8">
            <w:pPr>
              <w:pStyle w:val="TableText"/>
            </w:pPr>
            <w:r w:rsidRPr="00EC5EF1">
              <w:t>Total</w:t>
            </w:r>
          </w:p>
        </w:tc>
        <w:tc>
          <w:tcPr>
            <w:tcW w:w="1843" w:type="dxa"/>
            <w:tcBorders>
              <w:bottom w:val="single" w:sz="4" w:space="0" w:color="7F7F7F" w:themeColor="text1" w:themeTint="80"/>
            </w:tcBorders>
          </w:tcPr>
          <w:p w14:paraId="3ED94EC0" w14:textId="77777777" w:rsidR="00740DA6" w:rsidRPr="00EC5EF1" w:rsidRDefault="00740DA6" w:rsidP="00AD04DD">
            <w:pPr>
              <w:pStyle w:val="TableText"/>
              <w:tabs>
                <w:tab w:val="decimal" w:pos="1077"/>
              </w:tabs>
            </w:pPr>
            <w:r w:rsidRPr="00EC5EF1">
              <w:t>461</w:t>
            </w:r>
          </w:p>
        </w:tc>
        <w:tc>
          <w:tcPr>
            <w:tcW w:w="2268" w:type="dxa"/>
            <w:tcBorders>
              <w:bottom w:val="single" w:sz="4" w:space="0" w:color="7F7F7F" w:themeColor="text1" w:themeTint="80"/>
            </w:tcBorders>
          </w:tcPr>
          <w:p w14:paraId="31AEFC42" w14:textId="77777777" w:rsidR="00740DA6" w:rsidRPr="00EC5EF1" w:rsidRDefault="00740DA6" w:rsidP="00AD04DD">
            <w:pPr>
              <w:pStyle w:val="TableText"/>
              <w:tabs>
                <w:tab w:val="decimal" w:pos="1174"/>
              </w:tabs>
            </w:pPr>
            <w:r w:rsidRPr="00EC5EF1">
              <w:t>11.7</w:t>
            </w:r>
          </w:p>
        </w:tc>
      </w:tr>
      <w:tr w:rsidR="00B158F8" w:rsidRPr="00EC5EF1" w14:paraId="3A69916B" w14:textId="77777777" w:rsidTr="00B158F8">
        <w:trPr>
          <w:cantSplit/>
        </w:trPr>
        <w:tc>
          <w:tcPr>
            <w:tcW w:w="3969" w:type="dxa"/>
            <w:tcBorders>
              <w:top w:val="single" w:sz="4" w:space="0" w:color="7F7F7F" w:themeColor="text1" w:themeTint="80"/>
            </w:tcBorders>
          </w:tcPr>
          <w:p w14:paraId="0382F3AB" w14:textId="2C003D09" w:rsidR="00B158F8" w:rsidRPr="00B158F8" w:rsidRDefault="00B158F8" w:rsidP="00B158F8">
            <w:pPr>
              <w:pStyle w:val="TableText"/>
              <w:rPr>
                <w:b/>
              </w:rPr>
            </w:pPr>
            <w:r w:rsidRPr="00B158F8">
              <w:rPr>
                <w:b/>
              </w:rPr>
              <w:t>Deaths of undetermined intent</w:t>
            </w:r>
          </w:p>
        </w:tc>
        <w:tc>
          <w:tcPr>
            <w:tcW w:w="1843" w:type="dxa"/>
            <w:tcBorders>
              <w:top w:val="single" w:sz="4" w:space="0" w:color="7F7F7F" w:themeColor="text1" w:themeTint="80"/>
            </w:tcBorders>
          </w:tcPr>
          <w:p w14:paraId="51CA9008" w14:textId="77777777" w:rsidR="00B158F8" w:rsidRPr="00EC5EF1" w:rsidRDefault="00B158F8" w:rsidP="00AD04DD">
            <w:pPr>
              <w:pStyle w:val="TableText"/>
              <w:tabs>
                <w:tab w:val="decimal" w:pos="1077"/>
              </w:tabs>
            </w:pPr>
          </w:p>
        </w:tc>
        <w:tc>
          <w:tcPr>
            <w:tcW w:w="2268" w:type="dxa"/>
            <w:tcBorders>
              <w:top w:val="single" w:sz="4" w:space="0" w:color="7F7F7F" w:themeColor="text1" w:themeTint="80"/>
            </w:tcBorders>
          </w:tcPr>
          <w:p w14:paraId="6304637D" w14:textId="77777777" w:rsidR="00B158F8" w:rsidRPr="00EC5EF1" w:rsidRDefault="00B158F8" w:rsidP="00AD04DD">
            <w:pPr>
              <w:pStyle w:val="TableText"/>
              <w:tabs>
                <w:tab w:val="decimal" w:pos="1174"/>
              </w:tabs>
            </w:pPr>
          </w:p>
        </w:tc>
      </w:tr>
      <w:tr w:rsidR="00740DA6" w:rsidRPr="00EC5EF1" w14:paraId="75100D92" w14:textId="77777777" w:rsidTr="00B158F8">
        <w:trPr>
          <w:cantSplit/>
        </w:trPr>
        <w:tc>
          <w:tcPr>
            <w:tcW w:w="3969" w:type="dxa"/>
          </w:tcPr>
          <w:p w14:paraId="0221A4FA" w14:textId="77777777" w:rsidR="00740DA6" w:rsidRPr="00EC5EF1" w:rsidRDefault="00740DA6" w:rsidP="00B158F8">
            <w:pPr>
              <w:pStyle w:val="TableText"/>
            </w:pPr>
            <w:r w:rsidRPr="00EC5EF1">
              <w:t>Service users</w:t>
            </w:r>
          </w:p>
        </w:tc>
        <w:tc>
          <w:tcPr>
            <w:tcW w:w="1843" w:type="dxa"/>
          </w:tcPr>
          <w:p w14:paraId="4A705949" w14:textId="77777777" w:rsidR="00740DA6" w:rsidRPr="00EC5EF1" w:rsidRDefault="00740DA6" w:rsidP="00AD04DD">
            <w:pPr>
              <w:pStyle w:val="TableText"/>
              <w:tabs>
                <w:tab w:val="decimal" w:pos="1077"/>
              </w:tabs>
            </w:pPr>
            <w:r w:rsidRPr="00EC5EF1">
              <w:t>5</w:t>
            </w:r>
          </w:p>
        </w:tc>
        <w:tc>
          <w:tcPr>
            <w:tcW w:w="2268" w:type="dxa"/>
          </w:tcPr>
          <w:p w14:paraId="48941C57" w14:textId="77777777" w:rsidR="00740DA6" w:rsidRPr="00EC5EF1" w:rsidRDefault="00740DA6" w:rsidP="00AD04DD">
            <w:pPr>
              <w:pStyle w:val="TableText"/>
              <w:tabs>
                <w:tab w:val="decimal" w:pos="1174"/>
              </w:tabs>
            </w:pPr>
            <w:r w:rsidRPr="00EC5EF1">
              <w:t>3.1</w:t>
            </w:r>
          </w:p>
        </w:tc>
      </w:tr>
      <w:tr w:rsidR="00740DA6" w:rsidRPr="00EC5EF1" w14:paraId="48792A6F" w14:textId="77777777" w:rsidTr="00B158F8">
        <w:trPr>
          <w:cantSplit/>
        </w:trPr>
        <w:tc>
          <w:tcPr>
            <w:tcW w:w="3969" w:type="dxa"/>
          </w:tcPr>
          <w:p w14:paraId="03E57D53" w14:textId="77777777" w:rsidR="00740DA6" w:rsidRPr="00EC5EF1" w:rsidRDefault="00740DA6" w:rsidP="00B158F8">
            <w:pPr>
              <w:pStyle w:val="TableText"/>
            </w:pPr>
            <w:r w:rsidRPr="00EC5EF1">
              <w:t>Non-service users</w:t>
            </w:r>
          </w:p>
        </w:tc>
        <w:tc>
          <w:tcPr>
            <w:tcW w:w="1843" w:type="dxa"/>
          </w:tcPr>
          <w:p w14:paraId="16058031" w14:textId="77777777" w:rsidR="00740DA6" w:rsidRPr="00EC5EF1" w:rsidRDefault="00740DA6" w:rsidP="00AD04DD">
            <w:pPr>
              <w:pStyle w:val="TableText"/>
              <w:tabs>
                <w:tab w:val="decimal" w:pos="1077"/>
              </w:tabs>
            </w:pPr>
            <w:r w:rsidRPr="00EC5EF1">
              <w:t>10</w:t>
            </w:r>
          </w:p>
        </w:tc>
        <w:tc>
          <w:tcPr>
            <w:tcW w:w="2268" w:type="dxa"/>
          </w:tcPr>
          <w:p w14:paraId="6C13A3A0" w14:textId="77777777" w:rsidR="00740DA6" w:rsidRPr="00EC5EF1" w:rsidRDefault="00740DA6" w:rsidP="00AD04DD">
            <w:pPr>
              <w:pStyle w:val="TableText"/>
              <w:tabs>
                <w:tab w:val="decimal" w:pos="1174"/>
              </w:tabs>
            </w:pPr>
            <w:r w:rsidRPr="00EC5EF1">
              <w:t>0.2</w:t>
            </w:r>
          </w:p>
        </w:tc>
      </w:tr>
      <w:tr w:rsidR="00740DA6" w:rsidRPr="00EC5EF1" w14:paraId="64230A45" w14:textId="77777777" w:rsidTr="00B158F8">
        <w:trPr>
          <w:cantSplit/>
        </w:trPr>
        <w:tc>
          <w:tcPr>
            <w:tcW w:w="3969" w:type="dxa"/>
            <w:tcBorders>
              <w:bottom w:val="single" w:sz="4" w:space="0" w:color="7F7F7F" w:themeColor="text1" w:themeTint="80"/>
            </w:tcBorders>
          </w:tcPr>
          <w:p w14:paraId="6B5DC128" w14:textId="77777777" w:rsidR="00740DA6" w:rsidRPr="00EC5EF1" w:rsidRDefault="00740DA6" w:rsidP="00B158F8">
            <w:pPr>
              <w:pStyle w:val="TableText"/>
            </w:pPr>
            <w:r w:rsidRPr="00EC5EF1">
              <w:t>Total</w:t>
            </w:r>
          </w:p>
        </w:tc>
        <w:tc>
          <w:tcPr>
            <w:tcW w:w="1843" w:type="dxa"/>
            <w:tcBorders>
              <w:bottom w:val="single" w:sz="4" w:space="0" w:color="7F7F7F" w:themeColor="text1" w:themeTint="80"/>
            </w:tcBorders>
          </w:tcPr>
          <w:p w14:paraId="06C81DC3" w14:textId="77777777" w:rsidR="00740DA6" w:rsidRPr="00EC5EF1" w:rsidRDefault="00740DA6" w:rsidP="00AD04DD">
            <w:pPr>
              <w:pStyle w:val="TableText"/>
              <w:tabs>
                <w:tab w:val="decimal" w:pos="1077"/>
              </w:tabs>
            </w:pPr>
            <w:r w:rsidRPr="00EC5EF1">
              <w:t>15</w:t>
            </w:r>
          </w:p>
        </w:tc>
        <w:tc>
          <w:tcPr>
            <w:tcW w:w="2268" w:type="dxa"/>
            <w:tcBorders>
              <w:bottom w:val="single" w:sz="4" w:space="0" w:color="7F7F7F" w:themeColor="text1" w:themeTint="80"/>
            </w:tcBorders>
          </w:tcPr>
          <w:p w14:paraId="462A69A0" w14:textId="77777777" w:rsidR="00740DA6" w:rsidRPr="00EC5EF1" w:rsidRDefault="00740DA6" w:rsidP="00AD04DD">
            <w:pPr>
              <w:pStyle w:val="TableText"/>
              <w:tabs>
                <w:tab w:val="decimal" w:pos="1174"/>
              </w:tabs>
            </w:pPr>
            <w:r w:rsidRPr="00EC5EF1">
              <w:t>0.4</w:t>
            </w:r>
          </w:p>
        </w:tc>
      </w:tr>
      <w:tr w:rsidR="00B158F8" w:rsidRPr="00EC5EF1" w14:paraId="521A0A59" w14:textId="77777777" w:rsidTr="00B158F8">
        <w:trPr>
          <w:cantSplit/>
        </w:trPr>
        <w:tc>
          <w:tcPr>
            <w:tcW w:w="3969" w:type="dxa"/>
            <w:tcBorders>
              <w:top w:val="single" w:sz="4" w:space="0" w:color="7F7F7F" w:themeColor="text1" w:themeTint="80"/>
            </w:tcBorders>
          </w:tcPr>
          <w:p w14:paraId="39479B69" w14:textId="73017F42" w:rsidR="00B158F8" w:rsidRPr="00B158F8" w:rsidRDefault="00B158F8" w:rsidP="00B158F8">
            <w:pPr>
              <w:pStyle w:val="TableText"/>
              <w:rPr>
                <w:b/>
              </w:rPr>
            </w:pPr>
            <w:r w:rsidRPr="00B158F8">
              <w:rPr>
                <w:b/>
              </w:rPr>
              <w:t>Total deaths</w:t>
            </w:r>
          </w:p>
        </w:tc>
        <w:tc>
          <w:tcPr>
            <w:tcW w:w="1843" w:type="dxa"/>
            <w:tcBorders>
              <w:top w:val="single" w:sz="4" w:space="0" w:color="7F7F7F" w:themeColor="text1" w:themeTint="80"/>
            </w:tcBorders>
          </w:tcPr>
          <w:p w14:paraId="0B21D4CD" w14:textId="77777777" w:rsidR="00B158F8" w:rsidRPr="00EC5EF1" w:rsidRDefault="00B158F8" w:rsidP="00AD04DD">
            <w:pPr>
              <w:pStyle w:val="TableText"/>
              <w:tabs>
                <w:tab w:val="decimal" w:pos="1077"/>
              </w:tabs>
            </w:pPr>
          </w:p>
        </w:tc>
        <w:tc>
          <w:tcPr>
            <w:tcW w:w="2268" w:type="dxa"/>
            <w:tcBorders>
              <w:top w:val="single" w:sz="4" w:space="0" w:color="7F7F7F" w:themeColor="text1" w:themeTint="80"/>
            </w:tcBorders>
          </w:tcPr>
          <w:p w14:paraId="2BED8528" w14:textId="77777777" w:rsidR="00B158F8" w:rsidRPr="00EC5EF1" w:rsidRDefault="00B158F8" w:rsidP="00AD04DD">
            <w:pPr>
              <w:pStyle w:val="TableText"/>
              <w:tabs>
                <w:tab w:val="decimal" w:pos="1174"/>
              </w:tabs>
            </w:pPr>
          </w:p>
        </w:tc>
      </w:tr>
      <w:tr w:rsidR="00740DA6" w:rsidRPr="00EC5EF1" w14:paraId="2147DBE8" w14:textId="77777777" w:rsidTr="00B158F8">
        <w:trPr>
          <w:cantSplit/>
        </w:trPr>
        <w:tc>
          <w:tcPr>
            <w:tcW w:w="3969" w:type="dxa"/>
          </w:tcPr>
          <w:p w14:paraId="5BEAEE8D" w14:textId="77777777" w:rsidR="00740DA6" w:rsidRPr="00EC5EF1" w:rsidRDefault="00740DA6" w:rsidP="00B158F8">
            <w:pPr>
              <w:pStyle w:val="TableText"/>
            </w:pPr>
            <w:r w:rsidRPr="00EC5EF1">
              <w:t>Service users</w:t>
            </w:r>
          </w:p>
        </w:tc>
        <w:tc>
          <w:tcPr>
            <w:tcW w:w="1843" w:type="dxa"/>
          </w:tcPr>
          <w:p w14:paraId="308F4797" w14:textId="77777777" w:rsidR="00740DA6" w:rsidRPr="00EC5EF1" w:rsidRDefault="00740DA6" w:rsidP="00AD04DD">
            <w:pPr>
              <w:pStyle w:val="TableText"/>
              <w:tabs>
                <w:tab w:val="decimal" w:pos="1077"/>
              </w:tabs>
            </w:pPr>
            <w:r w:rsidRPr="00EC5EF1">
              <w:t>201</w:t>
            </w:r>
          </w:p>
        </w:tc>
        <w:tc>
          <w:tcPr>
            <w:tcW w:w="2268" w:type="dxa"/>
          </w:tcPr>
          <w:p w14:paraId="19926C0D" w14:textId="77777777" w:rsidR="00740DA6" w:rsidRPr="00EC5EF1" w:rsidRDefault="00740DA6" w:rsidP="00AD04DD">
            <w:pPr>
              <w:pStyle w:val="TableText"/>
              <w:tabs>
                <w:tab w:val="decimal" w:pos="1174"/>
              </w:tabs>
            </w:pPr>
            <w:r w:rsidRPr="00EC5EF1">
              <w:t>128.3</w:t>
            </w:r>
          </w:p>
        </w:tc>
      </w:tr>
      <w:tr w:rsidR="00740DA6" w:rsidRPr="00EC5EF1" w14:paraId="331FD457" w14:textId="77777777" w:rsidTr="00B158F8">
        <w:trPr>
          <w:cantSplit/>
        </w:trPr>
        <w:tc>
          <w:tcPr>
            <w:tcW w:w="3969" w:type="dxa"/>
          </w:tcPr>
          <w:p w14:paraId="5CCC1B10" w14:textId="77777777" w:rsidR="00740DA6" w:rsidRPr="00EC5EF1" w:rsidRDefault="00740DA6" w:rsidP="00B158F8">
            <w:pPr>
              <w:pStyle w:val="TableText"/>
            </w:pPr>
            <w:r w:rsidRPr="00EC5EF1">
              <w:t>Non-service users</w:t>
            </w:r>
          </w:p>
        </w:tc>
        <w:tc>
          <w:tcPr>
            <w:tcW w:w="1843" w:type="dxa"/>
          </w:tcPr>
          <w:p w14:paraId="1D370F1B" w14:textId="77777777" w:rsidR="00740DA6" w:rsidRPr="00EC5EF1" w:rsidRDefault="00740DA6" w:rsidP="00AD04DD">
            <w:pPr>
              <w:pStyle w:val="TableText"/>
              <w:tabs>
                <w:tab w:val="decimal" w:pos="1077"/>
              </w:tabs>
            </w:pPr>
            <w:r w:rsidRPr="00EC5EF1">
              <w:t>275</w:t>
            </w:r>
          </w:p>
        </w:tc>
        <w:tc>
          <w:tcPr>
            <w:tcW w:w="2268" w:type="dxa"/>
          </w:tcPr>
          <w:p w14:paraId="644B2D90" w14:textId="77777777" w:rsidR="00740DA6" w:rsidRPr="00EC5EF1" w:rsidRDefault="00740DA6" w:rsidP="00AD04DD">
            <w:pPr>
              <w:pStyle w:val="TableText"/>
              <w:tabs>
                <w:tab w:val="decimal" w:pos="1174"/>
              </w:tabs>
            </w:pPr>
            <w:r w:rsidRPr="00EC5EF1">
              <w:t>6.9</w:t>
            </w:r>
          </w:p>
        </w:tc>
      </w:tr>
      <w:tr w:rsidR="00740DA6" w:rsidRPr="00EC5EF1" w14:paraId="555AA77B" w14:textId="77777777" w:rsidTr="00B158F8">
        <w:trPr>
          <w:cantSplit/>
        </w:trPr>
        <w:tc>
          <w:tcPr>
            <w:tcW w:w="3969" w:type="dxa"/>
          </w:tcPr>
          <w:p w14:paraId="6721DE14" w14:textId="77777777" w:rsidR="00740DA6" w:rsidRPr="00EC5EF1" w:rsidRDefault="00740DA6" w:rsidP="00B158F8">
            <w:pPr>
              <w:pStyle w:val="TableText"/>
            </w:pPr>
            <w:r w:rsidRPr="00EC5EF1">
              <w:t>Total</w:t>
            </w:r>
          </w:p>
        </w:tc>
        <w:tc>
          <w:tcPr>
            <w:tcW w:w="1843" w:type="dxa"/>
          </w:tcPr>
          <w:p w14:paraId="19518241" w14:textId="77777777" w:rsidR="00740DA6" w:rsidRPr="00EC5EF1" w:rsidRDefault="00740DA6" w:rsidP="00AD04DD">
            <w:pPr>
              <w:pStyle w:val="TableText"/>
              <w:tabs>
                <w:tab w:val="decimal" w:pos="1077"/>
              </w:tabs>
            </w:pPr>
            <w:r w:rsidRPr="00EC5EF1">
              <w:t>476</w:t>
            </w:r>
          </w:p>
        </w:tc>
        <w:tc>
          <w:tcPr>
            <w:tcW w:w="2268" w:type="dxa"/>
          </w:tcPr>
          <w:p w14:paraId="66FEBB0C" w14:textId="77777777" w:rsidR="00740DA6" w:rsidRPr="00EC5EF1" w:rsidRDefault="00740DA6" w:rsidP="00AD04DD">
            <w:pPr>
              <w:pStyle w:val="TableText"/>
              <w:tabs>
                <w:tab w:val="decimal" w:pos="1174"/>
              </w:tabs>
            </w:pPr>
            <w:r w:rsidRPr="00EC5EF1">
              <w:t>11.5</w:t>
            </w:r>
          </w:p>
        </w:tc>
      </w:tr>
    </w:tbl>
    <w:p w14:paraId="2544463E" w14:textId="77777777" w:rsidR="00740DA6" w:rsidRPr="00EC5EF1" w:rsidRDefault="00740DA6" w:rsidP="00B158F8">
      <w:pPr>
        <w:pStyle w:val="Note"/>
      </w:pPr>
      <w:r w:rsidRPr="00EC5EF1">
        <w:t>Notes:</w:t>
      </w:r>
    </w:p>
    <w:p w14:paraId="47476F12" w14:textId="15136869" w:rsidR="00740DA6" w:rsidRPr="00EC5EF1" w:rsidRDefault="00B158F8" w:rsidP="00B158F8">
      <w:pPr>
        <w:pStyle w:val="Note"/>
        <w:ind w:left="284" w:hanging="284"/>
      </w:pPr>
      <w:proofErr w:type="spellStart"/>
      <w:proofErr w:type="gramStart"/>
      <w:r>
        <w:t>a</w:t>
      </w:r>
      <w:proofErr w:type="spellEnd"/>
      <w:proofErr w:type="gramEnd"/>
      <w:r>
        <w:tab/>
      </w:r>
      <w:r w:rsidR="00740DA6" w:rsidRPr="00EC5EF1">
        <w:t>Age-standardised rate is per 100,000, standardised to the World Health Organization (WHO) standard population aged 0–64 years.</w:t>
      </w:r>
    </w:p>
    <w:p w14:paraId="1A7CE85F" w14:textId="4A370A2E" w:rsidR="00740DA6" w:rsidRPr="00EC5EF1" w:rsidRDefault="00B158F8" w:rsidP="00B158F8">
      <w:pPr>
        <w:pStyle w:val="Note"/>
        <w:ind w:left="284" w:hanging="284"/>
      </w:pPr>
      <w:proofErr w:type="gramStart"/>
      <w:r>
        <w:t>b</w:t>
      </w:r>
      <w:proofErr w:type="gramEnd"/>
      <w:r>
        <w:tab/>
      </w:r>
      <w:r w:rsidR="00740DA6" w:rsidRPr="00EC5EF1">
        <w:t>Service user denominator excludes service users of unknown age.</w:t>
      </w:r>
    </w:p>
    <w:p w14:paraId="44EB4E64" w14:textId="77777777" w:rsidR="00740DA6" w:rsidRDefault="00740DA6" w:rsidP="00B158F8">
      <w:pPr>
        <w:pStyle w:val="Source"/>
      </w:pPr>
      <w:r w:rsidRPr="00EC5EF1">
        <w:t>Source: Ministry of Health mortality database data, extracted on 28 June 2018</w:t>
      </w:r>
    </w:p>
    <w:p w14:paraId="34125675" w14:textId="77777777" w:rsidR="00B158F8" w:rsidRPr="00B158F8" w:rsidRDefault="00B158F8" w:rsidP="00B158F8"/>
    <w:p w14:paraId="122B2FEB" w14:textId="77777777" w:rsidR="00740DA6" w:rsidRPr="00EC5EF1" w:rsidRDefault="00740DA6" w:rsidP="00AD04DD">
      <w:pPr>
        <w:pStyle w:val="Heading4"/>
      </w:pPr>
      <w:r w:rsidRPr="00EC5EF1">
        <w:t>Changes in number of suicides over time</w:t>
      </w:r>
    </w:p>
    <w:p w14:paraId="1DD9F8D4" w14:textId="77777777" w:rsidR="00740DA6" w:rsidRPr="00EC5EF1" w:rsidRDefault="00740DA6" w:rsidP="00AD04DD">
      <w:r w:rsidRPr="00EC5EF1">
        <w:t>Figure 33 shows the changes in the rates of suicide by service users and non-service users between 2001 and 2015.</w:t>
      </w:r>
    </w:p>
    <w:p w14:paraId="4E2BA82B" w14:textId="77777777" w:rsidR="00740DA6" w:rsidRPr="00EC5EF1" w:rsidRDefault="00740DA6" w:rsidP="00AD04DD"/>
    <w:p w14:paraId="7BDF5A93" w14:textId="57F7E36B" w:rsidR="00740DA6" w:rsidRPr="00EC5EF1" w:rsidRDefault="00740DA6" w:rsidP="00434E22">
      <w:pPr>
        <w:pStyle w:val="Figure"/>
      </w:pPr>
      <w:bookmarkStart w:id="125" w:name="_Toc2845735"/>
      <w:r w:rsidRPr="00EC5EF1">
        <w:rPr>
          <w:noProof/>
          <w:lang w:eastAsia="en-NZ"/>
        </w:rPr>
        <w:lastRenderedPageBreak/>
        <w:drawing>
          <wp:anchor distT="0" distB="0" distL="0" distR="0" simplePos="0" relativeHeight="251792384" behindDoc="0" locked="0" layoutInCell="1" allowOverlap="1" wp14:anchorId="132D0B1B" wp14:editId="5BDC5EBB">
            <wp:simplePos x="0" y="0"/>
            <wp:positionH relativeFrom="page">
              <wp:posOffset>8060163</wp:posOffset>
            </wp:positionH>
            <wp:positionV relativeFrom="paragraph">
              <wp:posOffset>95285</wp:posOffset>
            </wp:positionV>
            <wp:extent cx="155575" cy="155575"/>
            <wp:effectExtent l="0" t="0" r="0" b="0"/>
            <wp:wrapNone/>
            <wp:docPr id="34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Figure 33: Age-standardised rate of suicide, by service use, people aged 10–64 years, 2001–2015</w:t>
      </w:r>
      <w:bookmarkEnd w:id="125"/>
    </w:p>
    <w:p w14:paraId="6B8A8400" w14:textId="394BA22E" w:rsidR="00740DA6" w:rsidRPr="00EC5EF1" w:rsidRDefault="00A20F1B" w:rsidP="00AD04DD">
      <w:r>
        <w:rPr>
          <w:noProof/>
          <w:lang w:eastAsia="en-NZ"/>
        </w:rPr>
        <w:drawing>
          <wp:inline distT="0" distB="0" distL="0" distR="0" wp14:anchorId="2599837F" wp14:editId="6BCC00F1">
            <wp:extent cx="5130165" cy="2339268"/>
            <wp:effectExtent l="0" t="0" r="0" b="4445"/>
            <wp:docPr id="46" name="Picture 46" title="Figure 33: Age-standardised rate of suicide, by service use, people aged 10–64 years, 2001–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130165" cy="2339268"/>
                    </a:xfrm>
                    <a:prstGeom prst="rect">
                      <a:avLst/>
                    </a:prstGeom>
                  </pic:spPr>
                </pic:pic>
              </a:graphicData>
            </a:graphic>
          </wp:inline>
        </w:drawing>
      </w:r>
    </w:p>
    <w:p w14:paraId="3BF6D8DB" w14:textId="751B5FC2" w:rsidR="00740DA6" w:rsidRPr="00EC5EF1" w:rsidRDefault="00740DA6" w:rsidP="00AD04DD">
      <w:pPr>
        <w:pStyle w:val="Note"/>
      </w:pPr>
      <w:r w:rsidRPr="00EC5EF1">
        <w:t>Notes: Age-standardised rate is per 100,000, standardised to the WHO standard population aged</w:t>
      </w:r>
      <w:r w:rsidR="00AD04DD">
        <w:br/>
      </w:r>
      <w:r w:rsidRPr="00EC5EF1">
        <w:t>0–64 years.</w:t>
      </w:r>
    </w:p>
    <w:p w14:paraId="07EA0FEC" w14:textId="77777777" w:rsidR="00740DA6" w:rsidRPr="00EC5EF1" w:rsidRDefault="00740DA6" w:rsidP="00AD04DD">
      <w:pPr>
        <w:pStyle w:val="Note"/>
      </w:pPr>
      <w:r w:rsidRPr="00EC5EF1">
        <w:t>The service user population is much smaller than the non-service user population and will therefore produce rates more prone to fluctuation from year to year.</w:t>
      </w:r>
    </w:p>
    <w:p w14:paraId="3971735A" w14:textId="77777777" w:rsidR="00740DA6" w:rsidRPr="00EC5EF1" w:rsidRDefault="00740DA6" w:rsidP="00AD04DD">
      <w:pPr>
        <w:pStyle w:val="Source"/>
      </w:pPr>
      <w:r w:rsidRPr="00EC5EF1">
        <w:t>Source: Ministry of Health mortality database data, extracted on 28 June 2018</w:t>
      </w:r>
    </w:p>
    <w:p w14:paraId="50631A63" w14:textId="77777777" w:rsidR="00740DA6" w:rsidRPr="00EC5EF1" w:rsidRDefault="00740DA6" w:rsidP="00AD04DD"/>
    <w:p w14:paraId="04F827E1" w14:textId="77777777" w:rsidR="00740DA6" w:rsidRPr="00EC5EF1" w:rsidRDefault="00740DA6" w:rsidP="00AD04DD">
      <w:pPr>
        <w:pStyle w:val="Heading4"/>
      </w:pPr>
      <w:r w:rsidRPr="00EC5EF1">
        <w:t>Sex and age in relation to suicide</w:t>
      </w:r>
    </w:p>
    <w:p w14:paraId="3F1E8308" w14:textId="3E9F9E45" w:rsidR="00740DA6" w:rsidRPr="00EC5EF1" w:rsidRDefault="00740DA6" w:rsidP="00AD04DD">
      <w:r w:rsidRPr="00EC5EF1">
        <w:t>As Table 14 and Figure 34 show, 2.6 times more males than females died by suicide in 2015. Of the service users who died by suicide in 2015, 28 percent were female and 72</w:t>
      </w:r>
      <w:r w:rsidR="00AD04DD">
        <w:t> </w:t>
      </w:r>
      <w:r w:rsidRPr="00EC5EF1">
        <w:t>percent were male.</w:t>
      </w:r>
    </w:p>
    <w:p w14:paraId="1095AEC3" w14:textId="77777777" w:rsidR="00740DA6" w:rsidRPr="00EC5EF1" w:rsidRDefault="00740DA6" w:rsidP="00AD04DD"/>
    <w:p w14:paraId="08A6D4EC" w14:textId="77777777" w:rsidR="00740DA6" w:rsidRPr="00EC5EF1" w:rsidRDefault="00740DA6" w:rsidP="00AD04DD">
      <w:r w:rsidRPr="00EC5EF1">
        <w:t>When considering these numbers, it is important to note that these age-specific rates are highly variable over time because they are derived from a small service-user population.</w:t>
      </w:r>
    </w:p>
    <w:p w14:paraId="034304A8" w14:textId="77777777" w:rsidR="00740DA6" w:rsidRPr="00EC5EF1" w:rsidRDefault="00740DA6" w:rsidP="00AD04DD"/>
    <w:p w14:paraId="3D1646DF" w14:textId="6265607D" w:rsidR="00740DA6" w:rsidRPr="00EC5EF1" w:rsidRDefault="00740DA6" w:rsidP="00434E22">
      <w:pPr>
        <w:pStyle w:val="Table"/>
      </w:pPr>
      <w:bookmarkStart w:id="126" w:name="_Toc2845758"/>
      <w:r w:rsidRPr="00EC5EF1">
        <w:t>Table 14: Number and age-standardised rate of suicide, by service use and sex, people aged 10–64 years, 2015</w:t>
      </w:r>
      <w:bookmarkEnd w:id="126"/>
    </w:p>
    <w:tbl>
      <w:tblPr>
        <w:tblW w:w="8080" w:type="dxa"/>
        <w:tblInd w:w="57" w:type="dxa"/>
        <w:tblLayout w:type="fixed"/>
        <w:tblCellMar>
          <w:left w:w="57" w:type="dxa"/>
          <w:right w:w="57" w:type="dxa"/>
        </w:tblCellMar>
        <w:tblLook w:val="01E0" w:firstRow="1" w:lastRow="1" w:firstColumn="1" w:lastColumn="1" w:noHBand="0" w:noVBand="0"/>
      </w:tblPr>
      <w:tblGrid>
        <w:gridCol w:w="1318"/>
        <w:gridCol w:w="1127"/>
        <w:gridCol w:w="1127"/>
        <w:gridCol w:w="1127"/>
        <w:gridCol w:w="1127"/>
        <w:gridCol w:w="1127"/>
        <w:gridCol w:w="1127"/>
      </w:tblGrid>
      <w:tr w:rsidR="00AD04DD" w:rsidRPr="00AD04DD" w14:paraId="35C999E5" w14:textId="77777777" w:rsidTr="00AD04DD">
        <w:trPr>
          <w:cantSplit/>
        </w:trPr>
        <w:tc>
          <w:tcPr>
            <w:tcW w:w="1318" w:type="dxa"/>
            <w:vMerge w:val="restart"/>
            <w:tcBorders>
              <w:right w:val="single" w:sz="4" w:space="0" w:color="A6A6A6" w:themeColor="background1" w:themeShade="A6"/>
            </w:tcBorders>
            <w:shd w:val="clear" w:color="auto" w:fill="D9D9D9" w:themeFill="background1" w:themeFillShade="D9"/>
          </w:tcPr>
          <w:p w14:paraId="19D963C5" w14:textId="3B767EE4" w:rsidR="00AD04DD" w:rsidRPr="00AD04DD" w:rsidRDefault="00AD04DD" w:rsidP="00AD04DD">
            <w:pPr>
              <w:pStyle w:val="TableText"/>
              <w:rPr>
                <w:b/>
              </w:rPr>
            </w:pPr>
            <w:r w:rsidRPr="00AD04DD">
              <w:rPr>
                <w:b/>
              </w:rPr>
              <w:t>Sex</w:t>
            </w:r>
          </w:p>
        </w:tc>
        <w:tc>
          <w:tcPr>
            <w:tcW w:w="2254" w:type="dxa"/>
            <w:gridSpan w:val="2"/>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64112E22" w14:textId="1632EB9B" w:rsidR="00AD04DD" w:rsidRPr="00AD04DD" w:rsidRDefault="00AD04DD" w:rsidP="00AD04DD">
            <w:pPr>
              <w:pStyle w:val="TableText"/>
              <w:jc w:val="center"/>
              <w:rPr>
                <w:b/>
              </w:rPr>
            </w:pPr>
            <w:r w:rsidRPr="00AD04DD">
              <w:rPr>
                <w:b/>
              </w:rPr>
              <w:t>Service users</w:t>
            </w:r>
          </w:p>
        </w:tc>
        <w:tc>
          <w:tcPr>
            <w:tcW w:w="2254" w:type="dxa"/>
            <w:gridSpan w:val="2"/>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2F0919AE" w14:textId="3A85613E" w:rsidR="00AD04DD" w:rsidRPr="00AD04DD" w:rsidRDefault="00AD04DD" w:rsidP="00AD04DD">
            <w:pPr>
              <w:pStyle w:val="TableText"/>
              <w:jc w:val="center"/>
              <w:rPr>
                <w:b/>
              </w:rPr>
            </w:pPr>
            <w:r w:rsidRPr="00AD04DD">
              <w:rPr>
                <w:b/>
              </w:rPr>
              <w:t>Non-service users</w:t>
            </w:r>
          </w:p>
        </w:tc>
        <w:tc>
          <w:tcPr>
            <w:tcW w:w="2254" w:type="dxa"/>
            <w:gridSpan w:val="2"/>
            <w:tcBorders>
              <w:left w:val="single" w:sz="4" w:space="0" w:color="A6A6A6" w:themeColor="background1" w:themeShade="A6"/>
            </w:tcBorders>
            <w:shd w:val="clear" w:color="auto" w:fill="D9D9D9" w:themeFill="background1" w:themeFillShade="D9"/>
          </w:tcPr>
          <w:p w14:paraId="078288DF" w14:textId="29F04963" w:rsidR="00AD04DD" w:rsidRPr="00AD04DD" w:rsidRDefault="00AD04DD" w:rsidP="00AD04DD">
            <w:pPr>
              <w:pStyle w:val="TableText"/>
              <w:jc w:val="center"/>
              <w:rPr>
                <w:b/>
              </w:rPr>
            </w:pPr>
            <w:r w:rsidRPr="00AD04DD">
              <w:rPr>
                <w:b/>
              </w:rPr>
              <w:t>Total</w:t>
            </w:r>
          </w:p>
        </w:tc>
      </w:tr>
      <w:tr w:rsidR="00AD04DD" w:rsidRPr="00AD04DD" w14:paraId="07380BEE" w14:textId="77777777" w:rsidTr="00AD04DD">
        <w:trPr>
          <w:cantSplit/>
        </w:trPr>
        <w:tc>
          <w:tcPr>
            <w:tcW w:w="1318" w:type="dxa"/>
            <w:vMerge/>
            <w:tcBorders>
              <w:right w:val="single" w:sz="4" w:space="0" w:color="A6A6A6" w:themeColor="background1" w:themeShade="A6"/>
            </w:tcBorders>
            <w:shd w:val="clear" w:color="auto" w:fill="D9D9D9" w:themeFill="background1" w:themeFillShade="D9"/>
          </w:tcPr>
          <w:p w14:paraId="79AFAFD8" w14:textId="2D1FE3E4" w:rsidR="00AD04DD" w:rsidRPr="00AD04DD" w:rsidRDefault="00AD04DD" w:rsidP="00AD04DD">
            <w:pPr>
              <w:pStyle w:val="TableText"/>
              <w:rPr>
                <w:b/>
              </w:rPr>
            </w:pPr>
          </w:p>
        </w:tc>
        <w:tc>
          <w:tcPr>
            <w:tcW w:w="1127" w:type="dxa"/>
            <w:tcBorders>
              <w:left w:val="single" w:sz="4" w:space="0" w:color="A6A6A6" w:themeColor="background1" w:themeShade="A6"/>
            </w:tcBorders>
            <w:shd w:val="clear" w:color="auto" w:fill="D9D9D9" w:themeFill="background1" w:themeFillShade="D9"/>
          </w:tcPr>
          <w:p w14:paraId="63F9E588" w14:textId="77777777" w:rsidR="00AD04DD" w:rsidRPr="00AD04DD" w:rsidRDefault="00AD04DD" w:rsidP="00AD04DD">
            <w:pPr>
              <w:pStyle w:val="TableText"/>
              <w:spacing w:before="0"/>
              <w:jc w:val="center"/>
              <w:rPr>
                <w:b/>
              </w:rPr>
            </w:pPr>
            <w:r w:rsidRPr="00AD04DD">
              <w:rPr>
                <w:b/>
              </w:rPr>
              <w:t>Number</w:t>
            </w:r>
          </w:p>
        </w:tc>
        <w:tc>
          <w:tcPr>
            <w:tcW w:w="1127" w:type="dxa"/>
            <w:tcBorders>
              <w:right w:val="single" w:sz="4" w:space="0" w:color="A6A6A6" w:themeColor="background1" w:themeShade="A6"/>
            </w:tcBorders>
            <w:shd w:val="clear" w:color="auto" w:fill="D9D9D9" w:themeFill="background1" w:themeFillShade="D9"/>
          </w:tcPr>
          <w:p w14:paraId="04E77A30" w14:textId="77777777" w:rsidR="00AD04DD" w:rsidRPr="00AD04DD" w:rsidRDefault="00AD04DD" w:rsidP="00AD04DD">
            <w:pPr>
              <w:pStyle w:val="TableText"/>
              <w:spacing w:before="0"/>
              <w:jc w:val="center"/>
              <w:rPr>
                <w:b/>
              </w:rPr>
            </w:pPr>
            <w:r w:rsidRPr="00AD04DD">
              <w:rPr>
                <w:b/>
              </w:rPr>
              <w:t>ASR</w:t>
            </w:r>
          </w:p>
        </w:tc>
        <w:tc>
          <w:tcPr>
            <w:tcW w:w="1127" w:type="dxa"/>
            <w:tcBorders>
              <w:left w:val="single" w:sz="4" w:space="0" w:color="A6A6A6" w:themeColor="background1" w:themeShade="A6"/>
            </w:tcBorders>
            <w:shd w:val="clear" w:color="auto" w:fill="D9D9D9" w:themeFill="background1" w:themeFillShade="D9"/>
          </w:tcPr>
          <w:p w14:paraId="3F472681" w14:textId="77777777" w:rsidR="00AD04DD" w:rsidRPr="00AD04DD" w:rsidRDefault="00AD04DD" w:rsidP="00AD04DD">
            <w:pPr>
              <w:pStyle w:val="TableText"/>
              <w:spacing w:before="0"/>
              <w:jc w:val="center"/>
              <w:rPr>
                <w:b/>
              </w:rPr>
            </w:pPr>
            <w:r w:rsidRPr="00AD04DD">
              <w:rPr>
                <w:b/>
              </w:rPr>
              <w:t>Number</w:t>
            </w:r>
          </w:p>
        </w:tc>
        <w:tc>
          <w:tcPr>
            <w:tcW w:w="1127" w:type="dxa"/>
            <w:tcBorders>
              <w:right w:val="single" w:sz="4" w:space="0" w:color="A6A6A6" w:themeColor="background1" w:themeShade="A6"/>
            </w:tcBorders>
            <w:shd w:val="clear" w:color="auto" w:fill="D9D9D9" w:themeFill="background1" w:themeFillShade="D9"/>
          </w:tcPr>
          <w:p w14:paraId="279CFD01" w14:textId="77777777" w:rsidR="00AD04DD" w:rsidRPr="00AD04DD" w:rsidRDefault="00AD04DD" w:rsidP="00AD04DD">
            <w:pPr>
              <w:pStyle w:val="TableText"/>
              <w:spacing w:before="0"/>
              <w:jc w:val="center"/>
              <w:rPr>
                <w:b/>
              </w:rPr>
            </w:pPr>
            <w:r w:rsidRPr="00AD04DD">
              <w:rPr>
                <w:b/>
              </w:rPr>
              <w:t>ASR</w:t>
            </w:r>
          </w:p>
        </w:tc>
        <w:tc>
          <w:tcPr>
            <w:tcW w:w="1127" w:type="dxa"/>
            <w:tcBorders>
              <w:left w:val="single" w:sz="4" w:space="0" w:color="A6A6A6" w:themeColor="background1" w:themeShade="A6"/>
            </w:tcBorders>
            <w:shd w:val="clear" w:color="auto" w:fill="D9D9D9" w:themeFill="background1" w:themeFillShade="D9"/>
          </w:tcPr>
          <w:p w14:paraId="4CA2D68B" w14:textId="77777777" w:rsidR="00AD04DD" w:rsidRPr="00AD04DD" w:rsidRDefault="00AD04DD" w:rsidP="00AD04DD">
            <w:pPr>
              <w:pStyle w:val="TableText"/>
              <w:spacing w:before="0"/>
              <w:jc w:val="center"/>
              <w:rPr>
                <w:b/>
              </w:rPr>
            </w:pPr>
            <w:r w:rsidRPr="00AD04DD">
              <w:rPr>
                <w:b/>
              </w:rPr>
              <w:t>Number</w:t>
            </w:r>
          </w:p>
        </w:tc>
        <w:tc>
          <w:tcPr>
            <w:tcW w:w="1127" w:type="dxa"/>
            <w:shd w:val="clear" w:color="auto" w:fill="D9D9D9" w:themeFill="background1" w:themeFillShade="D9"/>
          </w:tcPr>
          <w:p w14:paraId="1E0D81C4" w14:textId="77777777" w:rsidR="00AD04DD" w:rsidRPr="00AD04DD" w:rsidRDefault="00AD04DD" w:rsidP="00AD04DD">
            <w:pPr>
              <w:pStyle w:val="TableText"/>
              <w:spacing w:before="0"/>
              <w:jc w:val="center"/>
              <w:rPr>
                <w:b/>
              </w:rPr>
            </w:pPr>
            <w:r w:rsidRPr="00AD04DD">
              <w:rPr>
                <w:b/>
              </w:rPr>
              <w:t>ASR</w:t>
            </w:r>
          </w:p>
        </w:tc>
      </w:tr>
      <w:tr w:rsidR="00740DA6" w:rsidRPr="00EC5EF1" w14:paraId="77609200" w14:textId="77777777" w:rsidTr="00AD04DD">
        <w:trPr>
          <w:cantSplit/>
        </w:trPr>
        <w:tc>
          <w:tcPr>
            <w:tcW w:w="1318" w:type="dxa"/>
            <w:tcBorders>
              <w:bottom w:val="single" w:sz="4" w:space="0" w:color="A6A6A6" w:themeColor="background1" w:themeShade="A6"/>
              <w:right w:val="single" w:sz="4" w:space="0" w:color="A6A6A6" w:themeColor="background1" w:themeShade="A6"/>
            </w:tcBorders>
            <w:shd w:val="clear" w:color="auto" w:fill="auto"/>
          </w:tcPr>
          <w:p w14:paraId="0C2E6721" w14:textId="77777777" w:rsidR="00740DA6" w:rsidRPr="00EC5EF1" w:rsidRDefault="00740DA6" w:rsidP="00AD04DD">
            <w:pPr>
              <w:pStyle w:val="TableText"/>
            </w:pPr>
            <w:r w:rsidRPr="00EC5EF1">
              <w:t>Males</w:t>
            </w:r>
          </w:p>
        </w:tc>
        <w:tc>
          <w:tcPr>
            <w:tcW w:w="1127" w:type="dxa"/>
            <w:tcBorders>
              <w:left w:val="single" w:sz="4" w:space="0" w:color="A6A6A6" w:themeColor="background1" w:themeShade="A6"/>
              <w:bottom w:val="single" w:sz="4" w:space="0" w:color="A6A6A6" w:themeColor="background1" w:themeShade="A6"/>
            </w:tcBorders>
            <w:shd w:val="clear" w:color="auto" w:fill="auto"/>
          </w:tcPr>
          <w:p w14:paraId="6B372345" w14:textId="77777777" w:rsidR="00740DA6" w:rsidRPr="00EC5EF1" w:rsidRDefault="00740DA6" w:rsidP="00AD04DD">
            <w:pPr>
              <w:pStyle w:val="TableText"/>
              <w:tabs>
                <w:tab w:val="decimal" w:pos="610"/>
              </w:tabs>
            </w:pPr>
            <w:r w:rsidRPr="00EC5EF1">
              <w:t>137</w:t>
            </w:r>
          </w:p>
        </w:tc>
        <w:tc>
          <w:tcPr>
            <w:tcW w:w="1127" w:type="dxa"/>
            <w:tcBorders>
              <w:bottom w:val="single" w:sz="4" w:space="0" w:color="A6A6A6" w:themeColor="background1" w:themeShade="A6"/>
              <w:right w:val="single" w:sz="4" w:space="0" w:color="A6A6A6" w:themeColor="background1" w:themeShade="A6"/>
            </w:tcBorders>
            <w:shd w:val="clear" w:color="auto" w:fill="auto"/>
          </w:tcPr>
          <w:p w14:paraId="3D50F671" w14:textId="77777777" w:rsidR="00740DA6" w:rsidRPr="00EC5EF1" w:rsidRDefault="00740DA6" w:rsidP="00AD04DD">
            <w:pPr>
              <w:pStyle w:val="TableText"/>
              <w:tabs>
                <w:tab w:val="decimal" w:pos="539"/>
              </w:tabs>
            </w:pPr>
            <w:r w:rsidRPr="00EC5EF1">
              <w:t>164.4</w:t>
            </w:r>
          </w:p>
        </w:tc>
        <w:tc>
          <w:tcPr>
            <w:tcW w:w="1127" w:type="dxa"/>
            <w:tcBorders>
              <w:left w:val="single" w:sz="4" w:space="0" w:color="A6A6A6" w:themeColor="background1" w:themeShade="A6"/>
              <w:bottom w:val="single" w:sz="4" w:space="0" w:color="A6A6A6" w:themeColor="background1" w:themeShade="A6"/>
            </w:tcBorders>
            <w:shd w:val="clear" w:color="auto" w:fill="auto"/>
          </w:tcPr>
          <w:p w14:paraId="660B27F0" w14:textId="77777777" w:rsidR="00740DA6" w:rsidRPr="00EC5EF1" w:rsidRDefault="00740DA6" w:rsidP="00AD04DD">
            <w:pPr>
              <w:pStyle w:val="TableText"/>
              <w:tabs>
                <w:tab w:val="decimal" w:pos="624"/>
              </w:tabs>
            </w:pPr>
            <w:r w:rsidRPr="00EC5EF1">
              <w:t>207</w:t>
            </w:r>
          </w:p>
        </w:tc>
        <w:tc>
          <w:tcPr>
            <w:tcW w:w="1127" w:type="dxa"/>
            <w:tcBorders>
              <w:bottom w:val="single" w:sz="4" w:space="0" w:color="A6A6A6" w:themeColor="background1" w:themeShade="A6"/>
              <w:right w:val="single" w:sz="4" w:space="0" w:color="A6A6A6" w:themeColor="background1" w:themeShade="A6"/>
            </w:tcBorders>
            <w:shd w:val="clear" w:color="auto" w:fill="auto"/>
          </w:tcPr>
          <w:p w14:paraId="550808B0" w14:textId="77777777" w:rsidR="00740DA6" w:rsidRPr="00EC5EF1" w:rsidRDefault="00740DA6" w:rsidP="00AD04DD">
            <w:pPr>
              <w:pStyle w:val="TableText"/>
              <w:tabs>
                <w:tab w:val="decimal" w:pos="539"/>
              </w:tabs>
            </w:pPr>
            <w:r w:rsidRPr="00EC5EF1">
              <w:t>10.5</w:t>
            </w:r>
          </w:p>
        </w:tc>
        <w:tc>
          <w:tcPr>
            <w:tcW w:w="1127" w:type="dxa"/>
            <w:tcBorders>
              <w:left w:val="single" w:sz="4" w:space="0" w:color="A6A6A6" w:themeColor="background1" w:themeShade="A6"/>
              <w:bottom w:val="single" w:sz="4" w:space="0" w:color="A6A6A6" w:themeColor="background1" w:themeShade="A6"/>
            </w:tcBorders>
            <w:shd w:val="clear" w:color="auto" w:fill="auto"/>
          </w:tcPr>
          <w:p w14:paraId="3042345C" w14:textId="77777777" w:rsidR="00740DA6" w:rsidRPr="00EC5EF1" w:rsidRDefault="00740DA6" w:rsidP="00AD04DD">
            <w:pPr>
              <w:pStyle w:val="TableText"/>
              <w:tabs>
                <w:tab w:val="decimal" w:pos="638"/>
              </w:tabs>
            </w:pPr>
            <w:r w:rsidRPr="00EC5EF1">
              <w:t>344</w:t>
            </w:r>
          </w:p>
        </w:tc>
        <w:tc>
          <w:tcPr>
            <w:tcW w:w="1127" w:type="dxa"/>
            <w:tcBorders>
              <w:bottom w:val="single" w:sz="4" w:space="0" w:color="A6A6A6" w:themeColor="background1" w:themeShade="A6"/>
            </w:tcBorders>
          </w:tcPr>
          <w:p w14:paraId="76DF80E4" w14:textId="77777777" w:rsidR="00740DA6" w:rsidRPr="00EC5EF1" w:rsidRDefault="00740DA6" w:rsidP="00AD04DD">
            <w:pPr>
              <w:pStyle w:val="TableText"/>
              <w:tabs>
                <w:tab w:val="decimal" w:pos="539"/>
              </w:tabs>
            </w:pPr>
            <w:r w:rsidRPr="00EC5EF1">
              <w:t>16.8</w:t>
            </w:r>
          </w:p>
        </w:tc>
      </w:tr>
      <w:tr w:rsidR="00740DA6" w:rsidRPr="00EC5EF1" w14:paraId="596A84D7" w14:textId="77777777" w:rsidTr="00AD04DD">
        <w:trPr>
          <w:cantSplit/>
        </w:trPr>
        <w:tc>
          <w:tcPr>
            <w:tcW w:w="131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ECE0ED9" w14:textId="77777777" w:rsidR="00740DA6" w:rsidRPr="00EC5EF1" w:rsidRDefault="00740DA6" w:rsidP="00AD04DD">
            <w:pPr>
              <w:pStyle w:val="TableText"/>
            </w:pPr>
            <w:r w:rsidRPr="00EC5EF1">
              <w:t>Females</w:t>
            </w:r>
          </w:p>
        </w:tc>
        <w:tc>
          <w:tcPr>
            <w:tcW w:w="1127"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521C769E" w14:textId="77777777" w:rsidR="00740DA6" w:rsidRPr="00EC5EF1" w:rsidRDefault="00740DA6" w:rsidP="00AD04DD">
            <w:pPr>
              <w:pStyle w:val="TableText"/>
              <w:tabs>
                <w:tab w:val="decimal" w:pos="610"/>
              </w:tabs>
            </w:pPr>
            <w:r w:rsidRPr="00EC5EF1">
              <w:t>64</w:t>
            </w:r>
          </w:p>
        </w:tc>
        <w:tc>
          <w:tcPr>
            <w:tcW w:w="1127"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8FF78CC" w14:textId="77777777" w:rsidR="00740DA6" w:rsidRPr="00EC5EF1" w:rsidRDefault="00740DA6" w:rsidP="00AD04DD">
            <w:pPr>
              <w:pStyle w:val="TableText"/>
              <w:tabs>
                <w:tab w:val="decimal" w:pos="539"/>
              </w:tabs>
            </w:pPr>
            <w:r w:rsidRPr="00EC5EF1">
              <w:t>85.8</w:t>
            </w:r>
          </w:p>
        </w:tc>
        <w:tc>
          <w:tcPr>
            <w:tcW w:w="1127"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6BC9E513" w14:textId="77777777" w:rsidR="00740DA6" w:rsidRPr="00EC5EF1" w:rsidRDefault="00740DA6" w:rsidP="00AD04DD">
            <w:pPr>
              <w:pStyle w:val="TableText"/>
              <w:tabs>
                <w:tab w:val="decimal" w:pos="624"/>
              </w:tabs>
            </w:pPr>
            <w:r w:rsidRPr="00EC5EF1">
              <w:t>68</w:t>
            </w:r>
          </w:p>
        </w:tc>
        <w:tc>
          <w:tcPr>
            <w:tcW w:w="1127"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B66083B" w14:textId="77777777" w:rsidR="00740DA6" w:rsidRPr="00EC5EF1" w:rsidRDefault="00740DA6" w:rsidP="00AD04DD">
            <w:pPr>
              <w:pStyle w:val="TableText"/>
              <w:tabs>
                <w:tab w:val="decimal" w:pos="539"/>
              </w:tabs>
            </w:pPr>
            <w:r w:rsidRPr="00EC5EF1">
              <w:t>3.5</w:t>
            </w:r>
          </w:p>
        </w:tc>
        <w:tc>
          <w:tcPr>
            <w:tcW w:w="1127"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5456A2DD" w14:textId="77777777" w:rsidR="00740DA6" w:rsidRPr="00EC5EF1" w:rsidRDefault="00740DA6" w:rsidP="00AD04DD">
            <w:pPr>
              <w:pStyle w:val="TableText"/>
              <w:tabs>
                <w:tab w:val="decimal" w:pos="638"/>
              </w:tabs>
            </w:pPr>
            <w:r w:rsidRPr="00EC5EF1">
              <w:t>132</w:t>
            </w:r>
          </w:p>
        </w:tc>
        <w:tc>
          <w:tcPr>
            <w:tcW w:w="1127" w:type="dxa"/>
            <w:tcBorders>
              <w:top w:val="single" w:sz="4" w:space="0" w:color="A6A6A6" w:themeColor="background1" w:themeShade="A6"/>
              <w:bottom w:val="single" w:sz="4" w:space="0" w:color="A6A6A6" w:themeColor="background1" w:themeShade="A6"/>
            </w:tcBorders>
          </w:tcPr>
          <w:p w14:paraId="1AB2D38D" w14:textId="77777777" w:rsidR="00740DA6" w:rsidRPr="00EC5EF1" w:rsidRDefault="00740DA6" w:rsidP="00AD04DD">
            <w:pPr>
              <w:pStyle w:val="TableText"/>
              <w:tabs>
                <w:tab w:val="decimal" w:pos="539"/>
              </w:tabs>
            </w:pPr>
            <w:r w:rsidRPr="00EC5EF1">
              <w:t>6.4</w:t>
            </w:r>
          </w:p>
        </w:tc>
      </w:tr>
      <w:tr w:rsidR="00740DA6" w:rsidRPr="00AD04DD" w14:paraId="5A23CA12" w14:textId="77777777" w:rsidTr="00AD04DD">
        <w:trPr>
          <w:cantSplit/>
        </w:trPr>
        <w:tc>
          <w:tcPr>
            <w:tcW w:w="131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67703EB" w14:textId="77777777" w:rsidR="00740DA6" w:rsidRPr="00AD04DD" w:rsidRDefault="00740DA6" w:rsidP="00AD04DD">
            <w:pPr>
              <w:pStyle w:val="TableText"/>
              <w:rPr>
                <w:b/>
              </w:rPr>
            </w:pPr>
            <w:r w:rsidRPr="00AD04DD">
              <w:rPr>
                <w:b/>
              </w:rPr>
              <w:t>Total</w:t>
            </w:r>
          </w:p>
        </w:tc>
        <w:tc>
          <w:tcPr>
            <w:tcW w:w="1127"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7EDE4A13" w14:textId="77777777" w:rsidR="00740DA6" w:rsidRPr="00AD04DD" w:rsidRDefault="00740DA6" w:rsidP="00AD04DD">
            <w:pPr>
              <w:pStyle w:val="TableText"/>
              <w:tabs>
                <w:tab w:val="decimal" w:pos="610"/>
              </w:tabs>
              <w:rPr>
                <w:b/>
              </w:rPr>
            </w:pPr>
            <w:r w:rsidRPr="00AD04DD">
              <w:rPr>
                <w:b/>
              </w:rPr>
              <w:t>201</w:t>
            </w:r>
          </w:p>
        </w:tc>
        <w:tc>
          <w:tcPr>
            <w:tcW w:w="1127"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0CCB6D6" w14:textId="77777777" w:rsidR="00740DA6" w:rsidRPr="00AD04DD" w:rsidRDefault="00740DA6" w:rsidP="00AD04DD">
            <w:pPr>
              <w:pStyle w:val="TableText"/>
              <w:tabs>
                <w:tab w:val="decimal" w:pos="539"/>
              </w:tabs>
              <w:rPr>
                <w:b/>
              </w:rPr>
            </w:pPr>
            <w:r w:rsidRPr="00AD04DD">
              <w:rPr>
                <w:b/>
              </w:rPr>
              <w:t>128.3</w:t>
            </w:r>
          </w:p>
        </w:tc>
        <w:tc>
          <w:tcPr>
            <w:tcW w:w="1127"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388EF401" w14:textId="77777777" w:rsidR="00740DA6" w:rsidRPr="00AD04DD" w:rsidRDefault="00740DA6" w:rsidP="00AD04DD">
            <w:pPr>
              <w:pStyle w:val="TableText"/>
              <w:tabs>
                <w:tab w:val="decimal" w:pos="624"/>
              </w:tabs>
              <w:rPr>
                <w:b/>
              </w:rPr>
            </w:pPr>
            <w:r w:rsidRPr="00AD04DD">
              <w:rPr>
                <w:b/>
              </w:rPr>
              <w:t>275</w:t>
            </w:r>
          </w:p>
        </w:tc>
        <w:tc>
          <w:tcPr>
            <w:tcW w:w="1127"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F33900C" w14:textId="77777777" w:rsidR="00740DA6" w:rsidRPr="00AD04DD" w:rsidRDefault="00740DA6" w:rsidP="00AD04DD">
            <w:pPr>
              <w:pStyle w:val="TableText"/>
              <w:tabs>
                <w:tab w:val="decimal" w:pos="539"/>
              </w:tabs>
              <w:rPr>
                <w:b/>
              </w:rPr>
            </w:pPr>
            <w:r w:rsidRPr="00AD04DD">
              <w:rPr>
                <w:b/>
              </w:rPr>
              <w:t>6.9</w:t>
            </w:r>
          </w:p>
        </w:tc>
        <w:tc>
          <w:tcPr>
            <w:tcW w:w="1127"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5829F35A" w14:textId="77777777" w:rsidR="00740DA6" w:rsidRPr="00AD04DD" w:rsidRDefault="00740DA6" w:rsidP="00AD04DD">
            <w:pPr>
              <w:pStyle w:val="TableText"/>
              <w:tabs>
                <w:tab w:val="decimal" w:pos="638"/>
              </w:tabs>
              <w:rPr>
                <w:b/>
              </w:rPr>
            </w:pPr>
            <w:r w:rsidRPr="00AD04DD">
              <w:rPr>
                <w:b/>
              </w:rPr>
              <w:t>476</w:t>
            </w:r>
          </w:p>
        </w:tc>
        <w:tc>
          <w:tcPr>
            <w:tcW w:w="1127" w:type="dxa"/>
            <w:tcBorders>
              <w:top w:val="single" w:sz="4" w:space="0" w:color="A6A6A6" w:themeColor="background1" w:themeShade="A6"/>
              <w:bottom w:val="single" w:sz="4" w:space="0" w:color="A6A6A6" w:themeColor="background1" w:themeShade="A6"/>
            </w:tcBorders>
          </w:tcPr>
          <w:p w14:paraId="5C69991D" w14:textId="77777777" w:rsidR="00740DA6" w:rsidRPr="00AD04DD" w:rsidRDefault="00740DA6" w:rsidP="00AD04DD">
            <w:pPr>
              <w:pStyle w:val="TableText"/>
              <w:tabs>
                <w:tab w:val="decimal" w:pos="539"/>
              </w:tabs>
              <w:rPr>
                <w:b/>
              </w:rPr>
            </w:pPr>
            <w:r w:rsidRPr="00AD04DD">
              <w:rPr>
                <w:b/>
              </w:rPr>
              <w:t>11.5</w:t>
            </w:r>
          </w:p>
        </w:tc>
      </w:tr>
    </w:tbl>
    <w:p w14:paraId="2A0BFAE5" w14:textId="77777777" w:rsidR="00740DA6" w:rsidRPr="00EC5EF1" w:rsidRDefault="00740DA6" w:rsidP="00AD04DD">
      <w:pPr>
        <w:pStyle w:val="Note"/>
      </w:pPr>
      <w:r w:rsidRPr="00EC5EF1">
        <w:t>Notes: ASR = Age-standardised rate.</w:t>
      </w:r>
    </w:p>
    <w:p w14:paraId="28A4DB50" w14:textId="77777777" w:rsidR="00740DA6" w:rsidRPr="00EC5EF1" w:rsidRDefault="00740DA6" w:rsidP="00AD04DD">
      <w:pPr>
        <w:pStyle w:val="Note"/>
      </w:pPr>
      <w:r w:rsidRPr="00EC5EF1">
        <w:t>Includes deaths of undetermined intent. Age-standardised rate is per 100,000, standardised to the WHO standard population aged 0–64 years.</w:t>
      </w:r>
    </w:p>
    <w:p w14:paraId="577E67C6" w14:textId="77777777" w:rsidR="00740DA6" w:rsidRPr="00EC5EF1" w:rsidRDefault="00740DA6" w:rsidP="00AD04DD">
      <w:pPr>
        <w:pStyle w:val="Note"/>
      </w:pPr>
      <w:r w:rsidRPr="00EC5EF1">
        <w:t>Service user denominator excludes service users of unknown age.</w:t>
      </w:r>
    </w:p>
    <w:p w14:paraId="275FFD5C" w14:textId="77777777" w:rsidR="00740DA6" w:rsidRPr="00EC5EF1" w:rsidRDefault="00740DA6" w:rsidP="00AD04DD">
      <w:pPr>
        <w:pStyle w:val="Source"/>
      </w:pPr>
      <w:r w:rsidRPr="00EC5EF1">
        <w:t>Source: Ministry of Health mortality database data, extracted on 28 June 2018</w:t>
      </w:r>
    </w:p>
    <w:p w14:paraId="28877183" w14:textId="77777777" w:rsidR="00740DA6" w:rsidRPr="00EC5EF1" w:rsidRDefault="00740DA6" w:rsidP="00AD04DD"/>
    <w:p w14:paraId="6F1A862E" w14:textId="77777777" w:rsidR="00740DA6" w:rsidRDefault="00740DA6" w:rsidP="00434E22">
      <w:pPr>
        <w:pStyle w:val="Figure"/>
      </w:pPr>
      <w:bookmarkStart w:id="127" w:name="_Toc2845736"/>
      <w:r w:rsidRPr="00EC5EF1">
        <w:lastRenderedPageBreak/>
        <w:t>Figure 34: Age-specific rate of suicide, by age-group, sex and service use, people aged 10–64 years, 2015</w:t>
      </w:r>
      <w:bookmarkEnd w:id="127"/>
    </w:p>
    <w:p w14:paraId="5F61380A" w14:textId="4845561E" w:rsidR="00A72B5A" w:rsidRPr="00A72B5A" w:rsidRDefault="00A20F1B" w:rsidP="00A72B5A">
      <w:r>
        <w:rPr>
          <w:noProof/>
          <w:lang w:eastAsia="en-NZ"/>
        </w:rPr>
        <w:drawing>
          <wp:inline distT="0" distB="0" distL="0" distR="0" wp14:anchorId="27059564" wp14:editId="3C86CFF3">
            <wp:extent cx="5130165" cy="2219783"/>
            <wp:effectExtent l="0" t="0" r="0" b="9525"/>
            <wp:docPr id="48" name="Picture 48" title="Figure 34: Age-specific rate of suicide, by age-group, sex and service use, people aged 10–64 years,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130165" cy="2219783"/>
                    </a:xfrm>
                    <a:prstGeom prst="rect">
                      <a:avLst/>
                    </a:prstGeom>
                  </pic:spPr>
                </pic:pic>
              </a:graphicData>
            </a:graphic>
          </wp:inline>
        </w:drawing>
      </w:r>
    </w:p>
    <w:p w14:paraId="42BF9817" w14:textId="77777777" w:rsidR="00740DA6" w:rsidRDefault="00740DA6" w:rsidP="00A72B5A">
      <w:pPr>
        <w:pStyle w:val="Source"/>
      </w:pPr>
      <w:r w:rsidRPr="00EC5EF1">
        <w:t>Source: Ministry of Health mortality database data, extracted on 28 June 2018</w:t>
      </w:r>
    </w:p>
    <w:p w14:paraId="01C825AD" w14:textId="77777777" w:rsidR="00A72B5A" w:rsidRPr="00A72B5A" w:rsidRDefault="00A72B5A" w:rsidP="00A72B5A"/>
    <w:p w14:paraId="4B3A823F" w14:textId="77777777" w:rsidR="00740DA6" w:rsidRPr="00EC5EF1" w:rsidRDefault="00740DA6" w:rsidP="00A72B5A">
      <w:r w:rsidRPr="00EC5EF1">
        <w:t>As Table 15 shows, the rate of suicide among female service users was highest for those aged 50–54 years, at 227.9 per 100,000. The rate of suicide among male service users was also highest for those aged 50–54 years, at 369.3 per 100,000.</w:t>
      </w:r>
    </w:p>
    <w:p w14:paraId="765A1824" w14:textId="77777777" w:rsidR="00A72B5A" w:rsidRDefault="00A72B5A" w:rsidP="00A72B5A"/>
    <w:p w14:paraId="028680FA" w14:textId="635BD96C" w:rsidR="00740DA6" w:rsidRPr="00EC5EF1" w:rsidRDefault="00740DA6" w:rsidP="00A72B5A">
      <w:r w:rsidRPr="00EC5EF1">
        <w:t>For female non-service users, the rate of suicide was highest in those aged</w:t>
      </w:r>
      <w:r w:rsidR="00434E22">
        <w:t xml:space="preserve"> </w:t>
      </w:r>
      <w:r w:rsidRPr="00EC5EF1">
        <w:t>15–19 years, at 9.8 per 100,000 ASR. For male non-service users, the rate of suicide was highest in those aged 20–24 years, at 15.6 per 100,000 ASR.</w:t>
      </w:r>
    </w:p>
    <w:p w14:paraId="4142F6A7" w14:textId="77777777" w:rsidR="00740DA6" w:rsidRPr="00EC5EF1" w:rsidRDefault="00740DA6" w:rsidP="00A72B5A"/>
    <w:p w14:paraId="40FD2ED9" w14:textId="77777777" w:rsidR="00740DA6" w:rsidRPr="00EC5EF1" w:rsidRDefault="00740DA6" w:rsidP="00434E22">
      <w:pPr>
        <w:pStyle w:val="Table"/>
      </w:pPr>
      <w:bookmarkStart w:id="128" w:name="_Toc2845759"/>
      <w:r w:rsidRPr="00EC5EF1">
        <w:t>Table 15: Number and age-specific rate of suicide, by age-group, sex and service use, people aged 10–64 years, 2015</w:t>
      </w:r>
      <w:bookmarkEnd w:id="128"/>
    </w:p>
    <w:tbl>
      <w:tblPr>
        <w:tblW w:w="8080" w:type="dxa"/>
        <w:tblInd w:w="5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57" w:type="dxa"/>
          <w:right w:w="57" w:type="dxa"/>
        </w:tblCellMar>
        <w:tblLook w:val="01E0" w:firstRow="1" w:lastRow="1" w:firstColumn="1" w:lastColumn="1" w:noHBand="0" w:noVBand="0"/>
      </w:tblPr>
      <w:tblGrid>
        <w:gridCol w:w="1134"/>
        <w:gridCol w:w="868"/>
        <w:gridCol w:w="868"/>
        <w:gridCol w:w="868"/>
        <w:gridCol w:w="869"/>
        <w:gridCol w:w="868"/>
        <w:gridCol w:w="868"/>
        <w:gridCol w:w="868"/>
        <w:gridCol w:w="869"/>
      </w:tblGrid>
      <w:tr w:rsidR="00A72B5A" w:rsidRPr="00EC5EF1" w14:paraId="2582B346" w14:textId="77777777" w:rsidTr="00A72B5A">
        <w:trPr>
          <w:cantSplit/>
        </w:trPr>
        <w:tc>
          <w:tcPr>
            <w:tcW w:w="1134" w:type="dxa"/>
            <w:vMerge w:val="restart"/>
            <w:tcBorders>
              <w:top w:val="nil"/>
              <w:left w:val="nil"/>
              <w:bottom w:val="nil"/>
              <w:right w:val="single" w:sz="4" w:space="0" w:color="A6A6A6" w:themeColor="background1" w:themeShade="A6"/>
            </w:tcBorders>
            <w:shd w:val="clear" w:color="auto" w:fill="D9D9D9" w:themeFill="background1" w:themeFillShade="D9"/>
          </w:tcPr>
          <w:p w14:paraId="6B2AD0C8" w14:textId="39502396" w:rsidR="00A72B5A" w:rsidRPr="00A72B5A" w:rsidRDefault="00A72B5A" w:rsidP="00A72B5A">
            <w:pPr>
              <w:pStyle w:val="TableText"/>
              <w:rPr>
                <w:b/>
              </w:rPr>
            </w:pPr>
            <w:r w:rsidRPr="00A72B5A">
              <w:rPr>
                <w:b/>
              </w:rPr>
              <w:t>Age band (years)</w:t>
            </w:r>
          </w:p>
        </w:tc>
        <w:tc>
          <w:tcPr>
            <w:tcW w:w="3473" w:type="dxa"/>
            <w:gridSpan w:val="4"/>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797218C3" w14:textId="0C9E4E34" w:rsidR="00A72B5A" w:rsidRPr="00A72B5A" w:rsidRDefault="00A72B5A" w:rsidP="00A72B5A">
            <w:pPr>
              <w:pStyle w:val="TableText"/>
              <w:jc w:val="center"/>
              <w:rPr>
                <w:b/>
              </w:rPr>
            </w:pPr>
            <w:r w:rsidRPr="00A72B5A">
              <w:rPr>
                <w:b/>
              </w:rPr>
              <w:t>Service users</w:t>
            </w:r>
          </w:p>
        </w:tc>
        <w:tc>
          <w:tcPr>
            <w:tcW w:w="3473" w:type="dxa"/>
            <w:gridSpan w:val="4"/>
            <w:tcBorders>
              <w:top w:val="nil"/>
              <w:left w:val="single" w:sz="4" w:space="0" w:color="A6A6A6" w:themeColor="background1" w:themeShade="A6"/>
              <w:bottom w:val="nil"/>
              <w:right w:val="nil"/>
            </w:tcBorders>
            <w:shd w:val="clear" w:color="auto" w:fill="D9D9D9" w:themeFill="background1" w:themeFillShade="D9"/>
          </w:tcPr>
          <w:p w14:paraId="36DF09AB" w14:textId="4A9261C6" w:rsidR="00A72B5A" w:rsidRPr="00A72B5A" w:rsidRDefault="00A72B5A" w:rsidP="00A72B5A">
            <w:pPr>
              <w:pStyle w:val="TableText"/>
              <w:jc w:val="center"/>
              <w:rPr>
                <w:b/>
              </w:rPr>
            </w:pPr>
            <w:r w:rsidRPr="00A72B5A">
              <w:rPr>
                <w:b/>
              </w:rPr>
              <w:t>Non-service users</w:t>
            </w:r>
          </w:p>
        </w:tc>
      </w:tr>
      <w:tr w:rsidR="00A72B5A" w:rsidRPr="00EC5EF1" w14:paraId="03479FBB" w14:textId="77777777" w:rsidTr="00A72B5A">
        <w:trPr>
          <w:cantSplit/>
        </w:trPr>
        <w:tc>
          <w:tcPr>
            <w:tcW w:w="1134" w:type="dxa"/>
            <w:vMerge/>
            <w:tcBorders>
              <w:top w:val="nil"/>
              <w:left w:val="nil"/>
              <w:bottom w:val="nil"/>
              <w:right w:val="single" w:sz="4" w:space="0" w:color="A6A6A6" w:themeColor="background1" w:themeShade="A6"/>
            </w:tcBorders>
            <w:shd w:val="clear" w:color="auto" w:fill="D9D9D9" w:themeFill="background1" w:themeFillShade="D9"/>
          </w:tcPr>
          <w:p w14:paraId="1A7C6139" w14:textId="26522B34" w:rsidR="00A72B5A" w:rsidRPr="00A72B5A" w:rsidRDefault="00A72B5A" w:rsidP="00A72B5A">
            <w:pPr>
              <w:pStyle w:val="TableText"/>
              <w:rPr>
                <w:b/>
              </w:rPr>
            </w:pPr>
          </w:p>
        </w:tc>
        <w:tc>
          <w:tcPr>
            <w:tcW w:w="1736"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1A1EAAE6" w14:textId="5C58FD22" w:rsidR="00A72B5A" w:rsidRPr="00A72B5A" w:rsidRDefault="00A72B5A" w:rsidP="00A72B5A">
            <w:pPr>
              <w:pStyle w:val="TableText"/>
              <w:spacing w:before="0"/>
              <w:jc w:val="center"/>
              <w:rPr>
                <w:b/>
              </w:rPr>
            </w:pPr>
            <w:r w:rsidRPr="00A72B5A">
              <w:rPr>
                <w:b/>
              </w:rPr>
              <w:t>Female</w:t>
            </w:r>
          </w:p>
        </w:tc>
        <w:tc>
          <w:tcPr>
            <w:tcW w:w="1737"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7B32EF04" w14:textId="7EA8F631" w:rsidR="00A72B5A" w:rsidRPr="00A72B5A" w:rsidRDefault="00A72B5A" w:rsidP="00A72B5A">
            <w:pPr>
              <w:pStyle w:val="TableText"/>
              <w:spacing w:before="0"/>
              <w:jc w:val="center"/>
              <w:rPr>
                <w:b/>
              </w:rPr>
            </w:pPr>
            <w:r w:rsidRPr="00A72B5A">
              <w:rPr>
                <w:b/>
              </w:rPr>
              <w:t>Male</w:t>
            </w:r>
          </w:p>
        </w:tc>
        <w:tc>
          <w:tcPr>
            <w:tcW w:w="1736"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1C0EE5D4" w14:textId="3358DC8B" w:rsidR="00A72B5A" w:rsidRPr="00A72B5A" w:rsidRDefault="00A72B5A" w:rsidP="00A72B5A">
            <w:pPr>
              <w:pStyle w:val="TableText"/>
              <w:spacing w:before="0"/>
              <w:jc w:val="center"/>
              <w:rPr>
                <w:b/>
              </w:rPr>
            </w:pPr>
            <w:r w:rsidRPr="00A72B5A">
              <w:rPr>
                <w:b/>
              </w:rPr>
              <w:t>Female</w:t>
            </w:r>
          </w:p>
        </w:tc>
        <w:tc>
          <w:tcPr>
            <w:tcW w:w="1737" w:type="dxa"/>
            <w:gridSpan w:val="2"/>
            <w:tcBorders>
              <w:top w:val="nil"/>
              <w:left w:val="single" w:sz="4" w:space="0" w:color="A6A6A6" w:themeColor="background1" w:themeShade="A6"/>
              <w:bottom w:val="nil"/>
              <w:right w:val="nil"/>
            </w:tcBorders>
            <w:shd w:val="clear" w:color="auto" w:fill="D9D9D9" w:themeFill="background1" w:themeFillShade="D9"/>
          </w:tcPr>
          <w:p w14:paraId="7A46A57D" w14:textId="6541E06F" w:rsidR="00A72B5A" w:rsidRPr="00A72B5A" w:rsidRDefault="00A72B5A" w:rsidP="00A72B5A">
            <w:pPr>
              <w:pStyle w:val="TableText"/>
              <w:spacing w:before="0"/>
              <w:jc w:val="center"/>
              <w:rPr>
                <w:b/>
              </w:rPr>
            </w:pPr>
            <w:r w:rsidRPr="00A72B5A">
              <w:rPr>
                <w:b/>
              </w:rPr>
              <w:t>Male</w:t>
            </w:r>
          </w:p>
        </w:tc>
      </w:tr>
      <w:tr w:rsidR="00A72B5A" w:rsidRPr="00EC5EF1" w14:paraId="2A5A600B" w14:textId="77777777" w:rsidTr="00A72B5A">
        <w:trPr>
          <w:cantSplit/>
        </w:trPr>
        <w:tc>
          <w:tcPr>
            <w:tcW w:w="1134" w:type="dxa"/>
            <w:vMerge/>
            <w:tcBorders>
              <w:top w:val="nil"/>
              <w:left w:val="nil"/>
              <w:bottom w:val="nil"/>
              <w:right w:val="single" w:sz="4" w:space="0" w:color="A6A6A6" w:themeColor="background1" w:themeShade="A6"/>
            </w:tcBorders>
            <w:shd w:val="clear" w:color="auto" w:fill="D9D9D9" w:themeFill="background1" w:themeFillShade="D9"/>
          </w:tcPr>
          <w:p w14:paraId="16E2DE34" w14:textId="77777777" w:rsidR="00A72B5A" w:rsidRPr="00A72B5A" w:rsidRDefault="00A72B5A" w:rsidP="00A72B5A">
            <w:pPr>
              <w:pStyle w:val="TableText"/>
              <w:rPr>
                <w:b/>
              </w:rPr>
            </w:pPr>
          </w:p>
        </w:tc>
        <w:tc>
          <w:tcPr>
            <w:tcW w:w="868" w:type="dxa"/>
            <w:tcBorders>
              <w:top w:val="nil"/>
              <w:left w:val="single" w:sz="4" w:space="0" w:color="A6A6A6" w:themeColor="background1" w:themeShade="A6"/>
              <w:bottom w:val="nil"/>
              <w:right w:val="nil"/>
            </w:tcBorders>
            <w:shd w:val="clear" w:color="auto" w:fill="D9D9D9" w:themeFill="background1" w:themeFillShade="D9"/>
          </w:tcPr>
          <w:p w14:paraId="18732FFC" w14:textId="2CF5BEB3" w:rsidR="00A72B5A" w:rsidRPr="00A72B5A" w:rsidRDefault="00A72B5A" w:rsidP="00A72B5A">
            <w:pPr>
              <w:pStyle w:val="TableText"/>
              <w:spacing w:before="0"/>
              <w:jc w:val="center"/>
              <w:rPr>
                <w:b/>
              </w:rPr>
            </w:pPr>
            <w:r w:rsidRPr="00A72B5A">
              <w:rPr>
                <w:b/>
              </w:rPr>
              <w:t>Number</w:t>
            </w:r>
          </w:p>
        </w:tc>
        <w:tc>
          <w:tcPr>
            <w:tcW w:w="868" w:type="dxa"/>
            <w:tcBorders>
              <w:top w:val="nil"/>
              <w:left w:val="nil"/>
              <w:bottom w:val="nil"/>
              <w:right w:val="single" w:sz="4" w:space="0" w:color="A6A6A6" w:themeColor="background1" w:themeShade="A6"/>
            </w:tcBorders>
            <w:shd w:val="clear" w:color="auto" w:fill="D9D9D9" w:themeFill="background1" w:themeFillShade="D9"/>
          </w:tcPr>
          <w:p w14:paraId="160487C7" w14:textId="6AA1B6C3" w:rsidR="00A72B5A" w:rsidRPr="00A72B5A" w:rsidRDefault="00A72B5A" w:rsidP="00A72B5A">
            <w:pPr>
              <w:pStyle w:val="TableText"/>
              <w:spacing w:before="0"/>
              <w:jc w:val="center"/>
              <w:rPr>
                <w:b/>
              </w:rPr>
            </w:pPr>
            <w:r w:rsidRPr="00A72B5A">
              <w:rPr>
                <w:b/>
              </w:rPr>
              <w:t>ASR</w:t>
            </w:r>
          </w:p>
        </w:tc>
        <w:tc>
          <w:tcPr>
            <w:tcW w:w="868" w:type="dxa"/>
            <w:tcBorders>
              <w:top w:val="nil"/>
              <w:left w:val="single" w:sz="4" w:space="0" w:color="A6A6A6" w:themeColor="background1" w:themeShade="A6"/>
              <w:bottom w:val="nil"/>
              <w:right w:val="nil"/>
            </w:tcBorders>
            <w:shd w:val="clear" w:color="auto" w:fill="D9D9D9" w:themeFill="background1" w:themeFillShade="D9"/>
          </w:tcPr>
          <w:p w14:paraId="46D99DBB" w14:textId="58ED3998" w:rsidR="00A72B5A" w:rsidRPr="00A72B5A" w:rsidRDefault="00A72B5A" w:rsidP="00A72B5A">
            <w:pPr>
              <w:pStyle w:val="TableText"/>
              <w:spacing w:before="0"/>
              <w:jc w:val="center"/>
              <w:rPr>
                <w:b/>
              </w:rPr>
            </w:pPr>
            <w:r w:rsidRPr="00A72B5A">
              <w:rPr>
                <w:b/>
              </w:rPr>
              <w:t>Number</w:t>
            </w:r>
          </w:p>
        </w:tc>
        <w:tc>
          <w:tcPr>
            <w:tcW w:w="869" w:type="dxa"/>
            <w:tcBorders>
              <w:top w:val="nil"/>
              <w:left w:val="nil"/>
              <w:bottom w:val="nil"/>
              <w:right w:val="single" w:sz="4" w:space="0" w:color="A6A6A6" w:themeColor="background1" w:themeShade="A6"/>
            </w:tcBorders>
            <w:shd w:val="clear" w:color="auto" w:fill="D9D9D9" w:themeFill="background1" w:themeFillShade="D9"/>
          </w:tcPr>
          <w:p w14:paraId="2584F0DE" w14:textId="1FC7657F" w:rsidR="00A72B5A" w:rsidRPr="00A72B5A" w:rsidRDefault="00A72B5A" w:rsidP="00A72B5A">
            <w:pPr>
              <w:pStyle w:val="TableText"/>
              <w:spacing w:before="0"/>
              <w:jc w:val="center"/>
              <w:rPr>
                <w:b/>
              </w:rPr>
            </w:pPr>
            <w:r w:rsidRPr="00A72B5A">
              <w:rPr>
                <w:b/>
              </w:rPr>
              <w:t>ASR</w:t>
            </w:r>
          </w:p>
        </w:tc>
        <w:tc>
          <w:tcPr>
            <w:tcW w:w="868" w:type="dxa"/>
            <w:tcBorders>
              <w:top w:val="nil"/>
              <w:left w:val="single" w:sz="4" w:space="0" w:color="A6A6A6" w:themeColor="background1" w:themeShade="A6"/>
              <w:bottom w:val="nil"/>
              <w:right w:val="nil"/>
            </w:tcBorders>
            <w:shd w:val="clear" w:color="auto" w:fill="D9D9D9" w:themeFill="background1" w:themeFillShade="D9"/>
          </w:tcPr>
          <w:p w14:paraId="781937A2" w14:textId="3F8D747B" w:rsidR="00A72B5A" w:rsidRPr="00A72B5A" w:rsidRDefault="00A72B5A" w:rsidP="00A72B5A">
            <w:pPr>
              <w:pStyle w:val="TableText"/>
              <w:spacing w:before="0"/>
              <w:jc w:val="center"/>
              <w:rPr>
                <w:b/>
              </w:rPr>
            </w:pPr>
            <w:r w:rsidRPr="00A72B5A">
              <w:rPr>
                <w:b/>
              </w:rPr>
              <w:t>Number</w:t>
            </w:r>
          </w:p>
        </w:tc>
        <w:tc>
          <w:tcPr>
            <w:tcW w:w="868" w:type="dxa"/>
            <w:tcBorders>
              <w:top w:val="nil"/>
              <w:left w:val="nil"/>
              <w:bottom w:val="nil"/>
              <w:right w:val="single" w:sz="4" w:space="0" w:color="A6A6A6" w:themeColor="background1" w:themeShade="A6"/>
            </w:tcBorders>
            <w:shd w:val="clear" w:color="auto" w:fill="D9D9D9" w:themeFill="background1" w:themeFillShade="D9"/>
          </w:tcPr>
          <w:p w14:paraId="7A782A86" w14:textId="30BA6721" w:rsidR="00A72B5A" w:rsidRPr="00A72B5A" w:rsidRDefault="00A72B5A" w:rsidP="00A72B5A">
            <w:pPr>
              <w:pStyle w:val="TableText"/>
              <w:spacing w:before="0"/>
              <w:jc w:val="center"/>
              <w:rPr>
                <w:b/>
              </w:rPr>
            </w:pPr>
            <w:r w:rsidRPr="00A72B5A">
              <w:rPr>
                <w:b/>
              </w:rPr>
              <w:t>ASR</w:t>
            </w:r>
          </w:p>
        </w:tc>
        <w:tc>
          <w:tcPr>
            <w:tcW w:w="868" w:type="dxa"/>
            <w:tcBorders>
              <w:top w:val="nil"/>
              <w:left w:val="single" w:sz="4" w:space="0" w:color="A6A6A6" w:themeColor="background1" w:themeShade="A6"/>
              <w:bottom w:val="nil"/>
              <w:right w:val="nil"/>
            </w:tcBorders>
            <w:shd w:val="clear" w:color="auto" w:fill="D9D9D9" w:themeFill="background1" w:themeFillShade="D9"/>
          </w:tcPr>
          <w:p w14:paraId="6F044D70" w14:textId="7A132BA9" w:rsidR="00A72B5A" w:rsidRPr="00A72B5A" w:rsidRDefault="00A72B5A" w:rsidP="00A72B5A">
            <w:pPr>
              <w:pStyle w:val="TableText"/>
              <w:spacing w:before="0"/>
              <w:jc w:val="center"/>
              <w:rPr>
                <w:b/>
              </w:rPr>
            </w:pPr>
            <w:r w:rsidRPr="00A72B5A">
              <w:rPr>
                <w:b/>
              </w:rPr>
              <w:t>Number</w:t>
            </w:r>
          </w:p>
        </w:tc>
        <w:tc>
          <w:tcPr>
            <w:tcW w:w="869" w:type="dxa"/>
            <w:tcBorders>
              <w:top w:val="nil"/>
              <w:left w:val="nil"/>
              <w:bottom w:val="nil"/>
              <w:right w:val="nil"/>
            </w:tcBorders>
            <w:shd w:val="clear" w:color="auto" w:fill="D9D9D9" w:themeFill="background1" w:themeFillShade="D9"/>
          </w:tcPr>
          <w:p w14:paraId="131BBE25" w14:textId="4C7EE7F5" w:rsidR="00A72B5A" w:rsidRPr="00A72B5A" w:rsidRDefault="00A72B5A" w:rsidP="00A72B5A">
            <w:pPr>
              <w:pStyle w:val="TableText"/>
              <w:spacing w:before="0"/>
              <w:jc w:val="center"/>
              <w:rPr>
                <w:b/>
              </w:rPr>
            </w:pPr>
            <w:r w:rsidRPr="00A72B5A">
              <w:rPr>
                <w:b/>
              </w:rPr>
              <w:t>ASR</w:t>
            </w:r>
          </w:p>
        </w:tc>
      </w:tr>
      <w:tr w:rsidR="00740DA6" w:rsidRPr="00EC5EF1" w14:paraId="334CE2C7" w14:textId="77777777" w:rsidTr="00A72B5A">
        <w:trPr>
          <w:cantSplit/>
        </w:trPr>
        <w:tc>
          <w:tcPr>
            <w:tcW w:w="1134" w:type="dxa"/>
            <w:tcBorders>
              <w:top w:val="nil"/>
              <w:left w:val="nil"/>
              <w:bottom w:val="single" w:sz="4" w:space="0" w:color="A6A6A6" w:themeColor="background1" w:themeShade="A6"/>
              <w:right w:val="single" w:sz="4" w:space="0" w:color="A6A6A6" w:themeColor="background1" w:themeShade="A6"/>
            </w:tcBorders>
          </w:tcPr>
          <w:p w14:paraId="22244937" w14:textId="77777777" w:rsidR="00740DA6" w:rsidRPr="00EC5EF1" w:rsidRDefault="00740DA6" w:rsidP="00A72B5A">
            <w:pPr>
              <w:pStyle w:val="TableText"/>
            </w:pPr>
            <w:r w:rsidRPr="00EC5EF1">
              <w:t>10–14</w:t>
            </w:r>
          </w:p>
        </w:tc>
        <w:tc>
          <w:tcPr>
            <w:tcW w:w="868" w:type="dxa"/>
            <w:tcBorders>
              <w:top w:val="nil"/>
              <w:left w:val="single" w:sz="4" w:space="0" w:color="A6A6A6" w:themeColor="background1" w:themeShade="A6"/>
              <w:bottom w:val="single" w:sz="4" w:space="0" w:color="A6A6A6" w:themeColor="background1" w:themeShade="A6"/>
              <w:right w:val="nil"/>
            </w:tcBorders>
          </w:tcPr>
          <w:p w14:paraId="65199314" w14:textId="77777777" w:rsidR="00740DA6" w:rsidRPr="00EC5EF1" w:rsidRDefault="00740DA6" w:rsidP="00CA17C4">
            <w:pPr>
              <w:pStyle w:val="TableText"/>
              <w:tabs>
                <w:tab w:val="decimal" w:pos="445"/>
              </w:tabs>
            </w:pPr>
            <w:r w:rsidRPr="00EC5EF1">
              <w:t>1</w:t>
            </w:r>
          </w:p>
        </w:tc>
        <w:tc>
          <w:tcPr>
            <w:tcW w:w="868" w:type="dxa"/>
            <w:tcBorders>
              <w:top w:val="nil"/>
              <w:left w:val="nil"/>
              <w:bottom w:val="single" w:sz="4" w:space="0" w:color="A6A6A6" w:themeColor="background1" w:themeShade="A6"/>
              <w:right w:val="single" w:sz="4" w:space="0" w:color="A6A6A6" w:themeColor="background1" w:themeShade="A6"/>
            </w:tcBorders>
          </w:tcPr>
          <w:p w14:paraId="212C46C7" w14:textId="77777777" w:rsidR="00740DA6" w:rsidRPr="00EC5EF1" w:rsidRDefault="00740DA6" w:rsidP="00CA17C4">
            <w:pPr>
              <w:pStyle w:val="TableText"/>
              <w:tabs>
                <w:tab w:val="decimal" w:pos="441"/>
              </w:tabs>
            </w:pPr>
            <w:r w:rsidRPr="00EC5EF1">
              <w:t>22.7</w:t>
            </w:r>
          </w:p>
        </w:tc>
        <w:tc>
          <w:tcPr>
            <w:tcW w:w="868" w:type="dxa"/>
            <w:tcBorders>
              <w:top w:val="nil"/>
              <w:left w:val="single" w:sz="4" w:space="0" w:color="A6A6A6" w:themeColor="background1" w:themeShade="A6"/>
              <w:bottom w:val="single" w:sz="4" w:space="0" w:color="A6A6A6" w:themeColor="background1" w:themeShade="A6"/>
              <w:right w:val="nil"/>
            </w:tcBorders>
          </w:tcPr>
          <w:p w14:paraId="3AA3F1F9" w14:textId="77777777" w:rsidR="00740DA6" w:rsidRPr="00EC5EF1" w:rsidRDefault="00740DA6" w:rsidP="00CA17C4">
            <w:pPr>
              <w:pStyle w:val="TableText"/>
              <w:tabs>
                <w:tab w:val="decimal" w:pos="411"/>
              </w:tabs>
            </w:pPr>
            <w:r w:rsidRPr="00EC5EF1">
              <w:t>1</w:t>
            </w:r>
          </w:p>
        </w:tc>
        <w:tc>
          <w:tcPr>
            <w:tcW w:w="869" w:type="dxa"/>
            <w:tcBorders>
              <w:top w:val="nil"/>
              <w:left w:val="nil"/>
              <w:bottom w:val="single" w:sz="4" w:space="0" w:color="A6A6A6" w:themeColor="background1" w:themeShade="A6"/>
              <w:right w:val="single" w:sz="4" w:space="0" w:color="A6A6A6" w:themeColor="background1" w:themeShade="A6"/>
            </w:tcBorders>
          </w:tcPr>
          <w:p w14:paraId="3E86A158" w14:textId="77777777" w:rsidR="00740DA6" w:rsidRPr="00EC5EF1" w:rsidRDefault="00740DA6" w:rsidP="00CA17C4">
            <w:pPr>
              <w:pStyle w:val="TableText"/>
              <w:tabs>
                <w:tab w:val="decimal" w:pos="458"/>
              </w:tabs>
            </w:pPr>
            <w:r w:rsidRPr="00EC5EF1">
              <w:t>17.2</w:t>
            </w:r>
          </w:p>
        </w:tc>
        <w:tc>
          <w:tcPr>
            <w:tcW w:w="868" w:type="dxa"/>
            <w:tcBorders>
              <w:top w:val="nil"/>
              <w:left w:val="single" w:sz="4" w:space="0" w:color="A6A6A6" w:themeColor="background1" w:themeShade="A6"/>
              <w:bottom w:val="single" w:sz="4" w:space="0" w:color="A6A6A6" w:themeColor="background1" w:themeShade="A6"/>
              <w:right w:val="nil"/>
            </w:tcBorders>
          </w:tcPr>
          <w:p w14:paraId="4DE8762C" w14:textId="77777777" w:rsidR="00740DA6" w:rsidRPr="00EC5EF1" w:rsidRDefault="00740DA6" w:rsidP="00CA17C4">
            <w:pPr>
              <w:pStyle w:val="TableText"/>
              <w:tabs>
                <w:tab w:val="decimal" w:pos="454"/>
              </w:tabs>
            </w:pPr>
            <w:r w:rsidRPr="00EC5EF1">
              <w:t>3</w:t>
            </w:r>
          </w:p>
        </w:tc>
        <w:tc>
          <w:tcPr>
            <w:tcW w:w="868" w:type="dxa"/>
            <w:tcBorders>
              <w:top w:val="nil"/>
              <w:left w:val="nil"/>
              <w:bottom w:val="single" w:sz="4" w:space="0" w:color="A6A6A6" w:themeColor="background1" w:themeShade="A6"/>
              <w:right w:val="single" w:sz="4" w:space="0" w:color="A6A6A6" w:themeColor="background1" w:themeShade="A6"/>
            </w:tcBorders>
          </w:tcPr>
          <w:p w14:paraId="6A0A6194" w14:textId="77777777" w:rsidR="00740DA6" w:rsidRPr="00EC5EF1" w:rsidRDefault="00740DA6" w:rsidP="00CA17C4">
            <w:pPr>
              <w:pStyle w:val="TableText"/>
              <w:jc w:val="center"/>
            </w:pPr>
            <w:r w:rsidRPr="00EC5EF1">
              <w:t>2.2</w:t>
            </w:r>
          </w:p>
        </w:tc>
        <w:tc>
          <w:tcPr>
            <w:tcW w:w="868" w:type="dxa"/>
            <w:tcBorders>
              <w:top w:val="nil"/>
              <w:left w:val="single" w:sz="4" w:space="0" w:color="A6A6A6" w:themeColor="background1" w:themeShade="A6"/>
              <w:bottom w:val="single" w:sz="4" w:space="0" w:color="A6A6A6" w:themeColor="background1" w:themeShade="A6"/>
              <w:right w:val="nil"/>
            </w:tcBorders>
          </w:tcPr>
          <w:p w14:paraId="2B4E64AD" w14:textId="77777777" w:rsidR="00740DA6" w:rsidRPr="00EC5EF1" w:rsidRDefault="00740DA6" w:rsidP="00CA17C4">
            <w:pPr>
              <w:pStyle w:val="TableText"/>
              <w:tabs>
                <w:tab w:val="decimal" w:pos="459"/>
              </w:tabs>
            </w:pPr>
            <w:r w:rsidRPr="00EC5EF1">
              <w:t>4</w:t>
            </w:r>
          </w:p>
        </w:tc>
        <w:tc>
          <w:tcPr>
            <w:tcW w:w="869" w:type="dxa"/>
            <w:tcBorders>
              <w:top w:val="nil"/>
              <w:left w:val="nil"/>
              <w:bottom w:val="single" w:sz="4" w:space="0" w:color="A6A6A6" w:themeColor="background1" w:themeShade="A6"/>
              <w:right w:val="nil"/>
            </w:tcBorders>
          </w:tcPr>
          <w:p w14:paraId="797908A0" w14:textId="77777777" w:rsidR="00740DA6" w:rsidRPr="00EC5EF1" w:rsidRDefault="00740DA6" w:rsidP="00CA17C4">
            <w:pPr>
              <w:pStyle w:val="TableText"/>
              <w:tabs>
                <w:tab w:val="decimal" w:pos="390"/>
              </w:tabs>
            </w:pPr>
            <w:r w:rsidRPr="00EC5EF1">
              <w:t>2.8</w:t>
            </w:r>
          </w:p>
        </w:tc>
      </w:tr>
      <w:tr w:rsidR="00740DA6" w:rsidRPr="00EC5EF1" w14:paraId="67482CB1" w14:textId="77777777" w:rsidTr="00A72B5A">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27A4C17D" w14:textId="77777777" w:rsidR="00740DA6" w:rsidRPr="00EC5EF1" w:rsidRDefault="00740DA6" w:rsidP="00A72B5A">
            <w:pPr>
              <w:pStyle w:val="TableText"/>
            </w:pPr>
            <w:r w:rsidRPr="00EC5EF1">
              <w:t>15–19</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769FA00A" w14:textId="77777777" w:rsidR="00740DA6" w:rsidRPr="00EC5EF1" w:rsidRDefault="00740DA6" w:rsidP="00CA17C4">
            <w:pPr>
              <w:pStyle w:val="TableText"/>
              <w:tabs>
                <w:tab w:val="decimal" w:pos="445"/>
              </w:tabs>
            </w:pPr>
            <w:r w:rsidRPr="00EC5EF1">
              <w:t>11</w:t>
            </w:r>
          </w:p>
        </w:tc>
        <w:tc>
          <w:tcPr>
            <w:tcW w:w="86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64CB9259" w14:textId="77777777" w:rsidR="00740DA6" w:rsidRPr="00EC5EF1" w:rsidRDefault="00740DA6" w:rsidP="00CA17C4">
            <w:pPr>
              <w:pStyle w:val="TableText"/>
              <w:tabs>
                <w:tab w:val="decimal" w:pos="441"/>
              </w:tabs>
            </w:pPr>
            <w:r w:rsidRPr="00EC5EF1">
              <w:t>103.6</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70BA3DC4" w14:textId="77777777" w:rsidR="00740DA6" w:rsidRPr="00EC5EF1" w:rsidRDefault="00740DA6" w:rsidP="00CA17C4">
            <w:pPr>
              <w:pStyle w:val="TableText"/>
              <w:tabs>
                <w:tab w:val="decimal" w:pos="411"/>
              </w:tabs>
            </w:pPr>
            <w:r w:rsidRPr="00EC5EF1">
              <w:t>12</w:t>
            </w:r>
          </w:p>
        </w:tc>
        <w:tc>
          <w:tcPr>
            <w:tcW w:w="86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33E07573" w14:textId="77777777" w:rsidR="00740DA6" w:rsidRPr="00EC5EF1" w:rsidRDefault="00740DA6" w:rsidP="00CA17C4">
            <w:pPr>
              <w:pStyle w:val="TableText"/>
              <w:tabs>
                <w:tab w:val="decimal" w:pos="458"/>
              </w:tabs>
            </w:pPr>
            <w:r w:rsidRPr="00EC5EF1">
              <w:t>133.1</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45069053" w14:textId="77777777" w:rsidR="00740DA6" w:rsidRPr="00EC5EF1" w:rsidRDefault="00740DA6" w:rsidP="00CA17C4">
            <w:pPr>
              <w:pStyle w:val="TableText"/>
              <w:tabs>
                <w:tab w:val="decimal" w:pos="454"/>
              </w:tabs>
            </w:pPr>
            <w:r w:rsidRPr="00EC5EF1">
              <w:t>14</w:t>
            </w:r>
          </w:p>
        </w:tc>
        <w:tc>
          <w:tcPr>
            <w:tcW w:w="86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27DB87EF" w14:textId="77777777" w:rsidR="00740DA6" w:rsidRPr="00EC5EF1" w:rsidRDefault="00740DA6" w:rsidP="00CA17C4">
            <w:pPr>
              <w:pStyle w:val="TableText"/>
              <w:jc w:val="center"/>
            </w:pPr>
            <w:r w:rsidRPr="00EC5EF1">
              <w:t>9.8</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2BFAB61D" w14:textId="77777777" w:rsidR="00740DA6" w:rsidRPr="00EC5EF1" w:rsidRDefault="00740DA6" w:rsidP="00CA17C4">
            <w:pPr>
              <w:pStyle w:val="TableText"/>
              <w:tabs>
                <w:tab w:val="decimal" w:pos="459"/>
              </w:tabs>
            </w:pPr>
            <w:r w:rsidRPr="00EC5EF1">
              <w:t>20</w:t>
            </w:r>
          </w:p>
        </w:tc>
        <w:tc>
          <w:tcPr>
            <w:tcW w:w="869" w:type="dxa"/>
            <w:tcBorders>
              <w:top w:val="single" w:sz="4" w:space="0" w:color="A6A6A6" w:themeColor="background1" w:themeShade="A6"/>
              <w:left w:val="nil"/>
              <w:bottom w:val="single" w:sz="4" w:space="0" w:color="A6A6A6" w:themeColor="background1" w:themeShade="A6"/>
              <w:right w:val="nil"/>
            </w:tcBorders>
          </w:tcPr>
          <w:p w14:paraId="4C294BA7" w14:textId="77777777" w:rsidR="00740DA6" w:rsidRPr="00EC5EF1" w:rsidRDefault="00740DA6" w:rsidP="00CA17C4">
            <w:pPr>
              <w:pStyle w:val="TableText"/>
              <w:tabs>
                <w:tab w:val="decimal" w:pos="390"/>
              </w:tabs>
            </w:pPr>
            <w:r w:rsidRPr="00EC5EF1">
              <w:t>12.9</w:t>
            </w:r>
          </w:p>
        </w:tc>
      </w:tr>
      <w:tr w:rsidR="00740DA6" w:rsidRPr="00EC5EF1" w14:paraId="459DCE3D" w14:textId="77777777" w:rsidTr="00A72B5A">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56E77923" w14:textId="77777777" w:rsidR="00740DA6" w:rsidRPr="00EC5EF1" w:rsidRDefault="00740DA6" w:rsidP="00A72B5A">
            <w:pPr>
              <w:pStyle w:val="TableText"/>
            </w:pPr>
            <w:r w:rsidRPr="00EC5EF1">
              <w:t>20–24</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091F10B4" w14:textId="77777777" w:rsidR="00740DA6" w:rsidRPr="00EC5EF1" w:rsidRDefault="00740DA6" w:rsidP="00CA17C4">
            <w:pPr>
              <w:pStyle w:val="TableText"/>
              <w:tabs>
                <w:tab w:val="decimal" w:pos="445"/>
              </w:tabs>
            </w:pPr>
            <w:r w:rsidRPr="00EC5EF1">
              <w:t>8</w:t>
            </w:r>
          </w:p>
        </w:tc>
        <w:tc>
          <w:tcPr>
            <w:tcW w:w="86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07D08CD4" w14:textId="77777777" w:rsidR="00740DA6" w:rsidRPr="00EC5EF1" w:rsidRDefault="00740DA6" w:rsidP="00CA17C4">
            <w:pPr>
              <w:pStyle w:val="TableText"/>
              <w:tabs>
                <w:tab w:val="decimal" w:pos="441"/>
              </w:tabs>
            </w:pPr>
            <w:r w:rsidRPr="00EC5EF1">
              <w:t>120.4</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66B766C6" w14:textId="77777777" w:rsidR="00740DA6" w:rsidRPr="00EC5EF1" w:rsidRDefault="00740DA6" w:rsidP="00CA17C4">
            <w:pPr>
              <w:pStyle w:val="TableText"/>
              <w:tabs>
                <w:tab w:val="decimal" w:pos="411"/>
              </w:tabs>
            </w:pPr>
            <w:r w:rsidRPr="00EC5EF1">
              <w:t>12</w:t>
            </w:r>
          </w:p>
        </w:tc>
        <w:tc>
          <w:tcPr>
            <w:tcW w:w="86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24EE97E4" w14:textId="77777777" w:rsidR="00740DA6" w:rsidRPr="00EC5EF1" w:rsidRDefault="00740DA6" w:rsidP="00CA17C4">
            <w:pPr>
              <w:pStyle w:val="TableText"/>
              <w:tabs>
                <w:tab w:val="decimal" w:pos="458"/>
              </w:tabs>
            </w:pPr>
            <w:r w:rsidRPr="00EC5EF1">
              <w:t>138.6</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7045D71F" w14:textId="77777777" w:rsidR="00740DA6" w:rsidRPr="00EC5EF1" w:rsidRDefault="00740DA6" w:rsidP="00CA17C4">
            <w:pPr>
              <w:pStyle w:val="TableText"/>
              <w:tabs>
                <w:tab w:val="decimal" w:pos="454"/>
              </w:tabs>
            </w:pPr>
            <w:r w:rsidRPr="00EC5EF1">
              <w:t>10</w:t>
            </w:r>
          </w:p>
        </w:tc>
        <w:tc>
          <w:tcPr>
            <w:tcW w:w="86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425AC389" w14:textId="77777777" w:rsidR="00740DA6" w:rsidRPr="00EC5EF1" w:rsidRDefault="00740DA6" w:rsidP="00CA17C4">
            <w:pPr>
              <w:pStyle w:val="TableText"/>
              <w:jc w:val="center"/>
            </w:pPr>
            <w:r w:rsidRPr="00EC5EF1">
              <w:t>6.4</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2F0C419A" w14:textId="77777777" w:rsidR="00740DA6" w:rsidRPr="00EC5EF1" w:rsidRDefault="00740DA6" w:rsidP="00CA17C4">
            <w:pPr>
              <w:pStyle w:val="TableText"/>
              <w:tabs>
                <w:tab w:val="decimal" w:pos="459"/>
              </w:tabs>
            </w:pPr>
            <w:r w:rsidRPr="00EC5EF1">
              <w:t>26</w:t>
            </w:r>
          </w:p>
        </w:tc>
        <w:tc>
          <w:tcPr>
            <w:tcW w:w="869" w:type="dxa"/>
            <w:tcBorders>
              <w:top w:val="single" w:sz="4" w:space="0" w:color="A6A6A6" w:themeColor="background1" w:themeShade="A6"/>
              <w:left w:val="nil"/>
              <w:bottom w:val="single" w:sz="4" w:space="0" w:color="A6A6A6" w:themeColor="background1" w:themeShade="A6"/>
              <w:right w:val="nil"/>
            </w:tcBorders>
          </w:tcPr>
          <w:p w14:paraId="043D7AD4" w14:textId="77777777" w:rsidR="00740DA6" w:rsidRPr="00EC5EF1" w:rsidRDefault="00740DA6" w:rsidP="00CA17C4">
            <w:pPr>
              <w:pStyle w:val="TableText"/>
              <w:tabs>
                <w:tab w:val="decimal" w:pos="390"/>
              </w:tabs>
            </w:pPr>
            <w:r w:rsidRPr="00EC5EF1">
              <w:t>15.6</w:t>
            </w:r>
          </w:p>
        </w:tc>
      </w:tr>
      <w:tr w:rsidR="00740DA6" w:rsidRPr="00EC5EF1" w14:paraId="6ECE97BA" w14:textId="77777777" w:rsidTr="00A72B5A">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51FDCEFA" w14:textId="77777777" w:rsidR="00740DA6" w:rsidRPr="00EC5EF1" w:rsidRDefault="00740DA6" w:rsidP="00A72B5A">
            <w:pPr>
              <w:pStyle w:val="TableText"/>
            </w:pPr>
            <w:r w:rsidRPr="00EC5EF1">
              <w:t>25–29</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10FA3E57" w14:textId="77777777" w:rsidR="00740DA6" w:rsidRPr="00EC5EF1" w:rsidRDefault="00740DA6" w:rsidP="00CA17C4">
            <w:pPr>
              <w:pStyle w:val="TableText"/>
              <w:tabs>
                <w:tab w:val="decimal" w:pos="445"/>
              </w:tabs>
            </w:pPr>
            <w:r w:rsidRPr="00EC5EF1">
              <w:t>3</w:t>
            </w:r>
          </w:p>
        </w:tc>
        <w:tc>
          <w:tcPr>
            <w:tcW w:w="86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6B364A32" w14:textId="77777777" w:rsidR="00740DA6" w:rsidRPr="00EC5EF1" w:rsidRDefault="00740DA6" w:rsidP="00CA17C4">
            <w:pPr>
              <w:pStyle w:val="TableText"/>
              <w:tabs>
                <w:tab w:val="decimal" w:pos="441"/>
              </w:tabs>
            </w:pPr>
            <w:r w:rsidRPr="00EC5EF1">
              <w:t>48.8</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1CC96204" w14:textId="77777777" w:rsidR="00740DA6" w:rsidRPr="00EC5EF1" w:rsidRDefault="00740DA6" w:rsidP="00CA17C4">
            <w:pPr>
              <w:pStyle w:val="TableText"/>
              <w:tabs>
                <w:tab w:val="decimal" w:pos="411"/>
              </w:tabs>
            </w:pPr>
            <w:r w:rsidRPr="00EC5EF1">
              <w:t>20</w:t>
            </w:r>
          </w:p>
        </w:tc>
        <w:tc>
          <w:tcPr>
            <w:tcW w:w="86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74C2050C" w14:textId="77777777" w:rsidR="00740DA6" w:rsidRPr="00EC5EF1" w:rsidRDefault="00740DA6" w:rsidP="00CA17C4">
            <w:pPr>
              <w:pStyle w:val="TableText"/>
              <w:tabs>
                <w:tab w:val="decimal" w:pos="458"/>
              </w:tabs>
            </w:pPr>
            <w:r w:rsidRPr="00EC5EF1">
              <w:t>262.2</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52489625" w14:textId="77777777" w:rsidR="00740DA6" w:rsidRPr="00EC5EF1" w:rsidRDefault="00740DA6" w:rsidP="00CA17C4">
            <w:pPr>
              <w:pStyle w:val="TableText"/>
              <w:tabs>
                <w:tab w:val="decimal" w:pos="454"/>
              </w:tabs>
            </w:pPr>
            <w:r w:rsidRPr="00EC5EF1">
              <w:t>5</w:t>
            </w:r>
          </w:p>
        </w:tc>
        <w:tc>
          <w:tcPr>
            <w:tcW w:w="86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45B4DBCA" w14:textId="77777777" w:rsidR="00740DA6" w:rsidRPr="00EC5EF1" w:rsidRDefault="00740DA6" w:rsidP="00CA17C4">
            <w:pPr>
              <w:pStyle w:val="TableText"/>
              <w:jc w:val="center"/>
            </w:pPr>
            <w:r w:rsidRPr="00EC5EF1">
              <w:t>3.3</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46609FC3" w14:textId="77777777" w:rsidR="00740DA6" w:rsidRPr="00EC5EF1" w:rsidRDefault="00740DA6" w:rsidP="00CA17C4">
            <w:pPr>
              <w:pStyle w:val="TableText"/>
              <w:tabs>
                <w:tab w:val="decimal" w:pos="459"/>
              </w:tabs>
            </w:pPr>
            <w:r w:rsidRPr="00EC5EF1">
              <w:t>22</w:t>
            </w:r>
          </w:p>
        </w:tc>
        <w:tc>
          <w:tcPr>
            <w:tcW w:w="869" w:type="dxa"/>
            <w:tcBorders>
              <w:top w:val="single" w:sz="4" w:space="0" w:color="A6A6A6" w:themeColor="background1" w:themeShade="A6"/>
              <w:left w:val="nil"/>
              <w:bottom w:val="single" w:sz="4" w:space="0" w:color="A6A6A6" w:themeColor="background1" w:themeShade="A6"/>
              <w:right w:val="nil"/>
            </w:tcBorders>
          </w:tcPr>
          <w:p w14:paraId="03DDCB58" w14:textId="77777777" w:rsidR="00740DA6" w:rsidRPr="00EC5EF1" w:rsidRDefault="00740DA6" w:rsidP="00CA17C4">
            <w:pPr>
              <w:pStyle w:val="TableText"/>
              <w:tabs>
                <w:tab w:val="decimal" w:pos="390"/>
              </w:tabs>
            </w:pPr>
            <w:r w:rsidRPr="00EC5EF1">
              <w:t>14.8</w:t>
            </w:r>
          </w:p>
        </w:tc>
      </w:tr>
      <w:tr w:rsidR="00740DA6" w:rsidRPr="00EC5EF1" w14:paraId="17F44F84" w14:textId="77777777" w:rsidTr="00A72B5A">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069FB395" w14:textId="77777777" w:rsidR="00740DA6" w:rsidRPr="00EC5EF1" w:rsidRDefault="00740DA6" w:rsidP="00A72B5A">
            <w:pPr>
              <w:pStyle w:val="TableText"/>
            </w:pPr>
            <w:r w:rsidRPr="00EC5EF1">
              <w:t>30–34</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37B91C18" w14:textId="77777777" w:rsidR="00740DA6" w:rsidRPr="00EC5EF1" w:rsidRDefault="00740DA6" w:rsidP="00CA17C4">
            <w:pPr>
              <w:pStyle w:val="TableText"/>
              <w:tabs>
                <w:tab w:val="decimal" w:pos="445"/>
              </w:tabs>
            </w:pPr>
            <w:r w:rsidRPr="00EC5EF1">
              <w:t>4</w:t>
            </w:r>
          </w:p>
        </w:tc>
        <w:tc>
          <w:tcPr>
            <w:tcW w:w="86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53778AB3" w14:textId="77777777" w:rsidR="00740DA6" w:rsidRPr="00EC5EF1" w:rsidRDefault="00740DA6" w:rsidP="00CA17C4">
            <w:pPr>
              <w:pStyle w:val="TableText"/>
              <w:tabs>
                <w:tab w:val="decimal" w:pos="441"/>
              </w:tabs>
            </w:pPr>
            <w:r w:rsidRPr="00EC5EF1">
              <w:t>73.6</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2C10E7E5" w14:textId="77777777" w:rsidR="00740DA6" w:rsidRPr="00EC5EF1" w:rsidRDefault="00740DA6" w:rsidP="00CA17C4">
            <w:pPr>
              <w:pStyle w:val="TableText"/>
              <w:tabs>
                <w:tab w:val="decimal" w:pos="411"/>
              </w:tabs>
            </w:pPr>
            <w:r w:rsidRPr="00EC5EF1">
              <w:t>14</w:t>
            </w:r>
          </w:p>
        </w:tc>
        <w:tc>
          <w:tcPr>
            <w:tcW w:w="86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1F9D0121" w14:textId="77777777" w:rsidR="00740DA6" w:rsidRPr="00EC5EF1" w:rsidRDefault="00740DA6" w:rsidP="00CA17C4">
            <w:pPr>
              <w:pStyle w:val="TableText"/>
              <w:tabs>
                <w:tab w:val="decimal" w:pos="458"/>
              </w:tabs>
            </w:pPr>
            <w:r w:rsidRPr="00EC5EF1">
              <w:t>213.8</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654106A8" w14:textId="77777777" w:rsidR="00740DA6" w:rsidRPr="00EC5EF1" w:rsidRDefault="00740DA6" w:rsidP="00CA17C4">
            <w:pPr>
              <w:pStyle w:val="TableText"/>
              <w:tabs>
                <w:tab w:val="decimal" w:pos="454"/>
              </w:tabs>
            </w:pPr>
            <w:r w:rsidRPr="00EC5EF1">
              <w:t>5</w:t>
            </w:r>
          </w:p>
        </w:tc>
        <w:tc>
          <w:tcPr>
            <w:tcW w:w="86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0AA959AA" w14:textId="77777777" w:rsidR="00740DA6" w:rsidRPr="00EC5EF1" w:rsidRDefault="00740DA6" w:rsidP="00CA17C4">
            <w:pPr>
              <w:pStyle w:val="TableText"/>
              <w:jc w:val="center"/>
            </w:pPr>
            <w:r w:rsidRPr="00EC5EF1">
              <w:t>3.5</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1DE18130" w14:textId="77777777" w:rsidR="00740DA6" w:rsidRPr="00EC5EF1" w:rsidRDefault="00740DA6" w:rsidP="00CA17C4">
            <w:pPr>
              <w:pStyle w:val="TableText"/>
              <w:tabs>
                <w:tab w:val="decimal" w:pos="459"/>
              </w:tabs>
            </w:pPr>
            <w:r w:rsidRPr="00EC5EF1">
              <w:t>20</w:t>
            </w:r>
          </w:p>
        </w:tc>
        <w:tc>
          <w:tcPr>
            <w:tcW w:w="869" w:type="dxa"/>
            <w:tcBorders>
              <w:top w:val="single" w:sz="4" w:space="0" w:color="A6A6A6" w:themeColor="background1" w:themeShade="A6"/>
              <w:left w:val="nil"/>
              <w:bottom w:val="single" w:sz="4" w:space="0" w:color="A6A6A6" w:themeColor="background1" w:themeShade="A6"/>
              <w:right w:val="nil"/>
            </w:tcBorders>
          </w:tcPr>
          <w:p w14:paraId="6F25CB47" w14:textId="77777777" w:rsidR="00740DA6" w:rsidRPr="00EC5EF1" w:rsidRDefault="00740DA6" w:rsidP="00CA17C4">
            <w:pPr>
              <w:pStyle w:val="TableText"/>
              <w:tabs>
                <w:tab w:val="decimal" w:pos="390"/>
              </w:tabs>
            </w:pPr>
            <w:r w:rsidRPr="00EC5EF1">
              <w:t>15.1</w:t>
            </w:r>
          </w:p>
        </w:tc>
      </w:tr>
      <w:tr w:rsidR="00740DA6" w:rsidRPr="00EC5EF1" w14:paraId="7C3BC331" w14:textId="77777777" w:rsidTr="00A72B5A">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129B4403" w14:textId="77777777" w:rsidR="00740DA6" w:rsidRPr="00EC5EF1" w:rsidRDefault="00740DA6" w:rsidP="00A72B5A">
            <w:pPr>
              <w:pStyle w:val="TableText"/>
            </w:pPr>
            <w:r w:rsidRPr="00EC5EF1">
              <w:t>35–39</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698CDE62" w14:textId="77777777" w:rsidR="00740DA6" w:rsidRPr="00EC5EF1" w:rsidRDefault="00740DA6" w:rsidP="00CA17C4">
            <w:pPr>
              <w:pStyle w:val="TableText"/>
              <w:tabs>
                <w:tab w:val="decimal" w:pos="445"/>
              </w:tabs>
            </w:pPr>
            <w:r w:rsidRPr="00EC5EF1">
              <w:t>3</w:t>
            </w:r>
          </w:p>
        </w:tc>
        <w:tc>
          <w:tcPr>
            <w:tcW w:w="86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5C3C57C0" w14:textId="77777777" w:rsidR="00740DA6" w:rsidRPr="00EC5EF1" w:rsidRDefault="00740DA6" w:rsidP="00CA17C4">
            <w:pPr>
              <w:pStyle w:val="TableText"/>
              <w:tabs>
                <w:tab w:val="decimal" w:pos="441"/>
              </w:tabs>
            </w:pPr>
            <w:r w:rsidRPr="00EC5EF1">
              <w:t>59.2</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11FF4E26" w14:textId="77777777" w:rsidR="00740DA6" w:rsidRPr="00EC5EF1" w:rsidRDefault="00740DA6" w:rsidP="00CA17C4">
            <w:pPr>
              <w:pStyle w:val="TableText"/>
              <w:tabs>
                <w:tab w:val="decimal" w:pos="411"/>
              </w:tabs>
            </w:pPr>
            <w:r w:rsidRPr="00EC5EF1">
              <w:t>15</w:t>
            </w:r>
          </w:p>
        </w:tc>
        <w:tc>
          <w:tcPr>
            <w:tcW w:w="86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0A65C2C7" w14:textId="77777777" w:rsidR="00740DA6" w:rsidRPr="00EC5EF1" w:rsidRDefault="00740DA6" w:rsidP="00CA17C4">
            <w:pPr>
              <w:pStyle w:val="TableText"/>
              <w:tabs>
                <w:tab w:val="decimal" w:pos="458"/>
              </w:tabs>
            </w:pPr>
            <w:r w:rsidRPr="00EC5EF1">
              <w:t>248.3</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7CEDFDE4" w14:textId="77777777" w:rsidR="00740DA6" w:rsidRPr="00EC5EF1" w:rsidRDefault="00740DA6" w:rsidP="00CA17C4">
            <w:pPr>
              <w:pStyle w:val="TableText"/>
              <w:tabs>
                <w:tab w:val="decimal" w:pos="454"/>
              </w:tabs>
            </w:pPr>
            <w:r w:rsidRPr="00EC5EF1">
              <w:t>6</w:t>
            </w:r>
          </w:p>
        </w:tc>
        <w:tc>
          <w:tcPr>
            <w:tcW w:w="86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51321D78" w14:textId="77777777" w:rsidR="00740DA6" w:rsidRPr="00EC5EF1" w:rsidRDefault="00740DA6" w:rsidP="00CA17C4">
            <w:pPr>
              <w:pStyle w:val="TableText"/>
              <w:jc w:val="center"/>
            </w:pPr>
            <w:r w:rsidRPr="00EC5EF1">
              <w:t>4.3</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0AA1785D" w14:textId="77777777" w:rsidR="00740DA6" w:rsidRPr="00EC5EF1" w:rsidRDefault="00740DA6" w:rsidP="00CA17C4">
            <w:pPr>
              <w:pStyle w:val="TableText"/>
              <w:tabs>
                <w:tab w:val="decimal" w:pos="459"/>
              </w:tabs>
            </w:pPr>
            <w:r w:rsidRPr="00EC5EF1">
              <w:t>18</w:t>
            </w:r>
          </w:p>
        </w:tc>
        <w:tc>
          <w:tcPr>
            <w:tcW w:w="869" w:type="dxa"/>
            <w:tcBorders>
              <w:top w:val="single" w:sz="4" w:space="0" w:color="A6A6A6" w:themeColor="background1" w:themeShade="A6"/>
              <w:left w:val="nil"/>
              <w:bottom w:val="single" w:sz="4" w:space="0" w:color="A6A6A6" w:themeColor="background1" w:themeShade="A6"/>
              <w:right w:val="nil"/>
            </w:tcBorders>
          </w:tcPr>
          <w:p w14:paraId="6F932D3F" w14:textId="77777777" w:rsidR="00740DA6" w:rsidRPr="00EC5EF1" w:rsidRDefault="00740DA6" w:rsidP="00CA17C4">
            <w:pPr>
              <w:pStyle w:val="TableText"/>
              <w:tabs>
                <w:tab w:val="decimal" w:pos="390"/>
              </w:tabs>
            </w:pPr>
            <w:r w:rsidRPr="00EC5EF1">
              <w:t>14.4</w:t>
            </w:r>
          </w:p>
        </w:tc>
      </w:tr>
      <w:tr w:rsidR="00740DA6" w:rsidRPr="00EC5EF1" w14:paraId="0E7F1942" w14:textId="77777777" w:rsidTr="00A72B5A">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1BBC3201" w14:textId="77777777" w:rsidR="00740DA6" w:rsidRPr="00EC5EF1" w:rsidRDefault="00740DA6" w:rsidP="00A72B5A">
            <w:pPr>
              <w:pStyle w:val="TableText"/>
            </w:pPr>
            <w:r w:rsidRPr="00EC5EF1">
              <w:t>40–44</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1DD705F0" w14:textId="77777777" w:rsidR="00740DA6" w:rsidRPr="00EC5EF1" w:rsidRDefault="00740DA6" w:rsidP="00CA17C4">
            <w:pPr>
              <w:pStyle w:val="TableText"/>
              <w:tabs>
                <w:tab w:val="decimal" w:pos="445"/>
              </w:tabs>
            </w:pPr>
            <w:r w:rsidRPr="00EC5EF1">
              <w:t>5</w:t>
            </w:r>
          </w:p>
        </w:tc>
        <w:tc>
          <w:tcPr>
            <w:tcW w:w="86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5D0B9D28" w14:textId="77777777" w:rsidR="00740DA6" w:rsidRPr="00EC5EF1" w:rsidRDefault="00740DA6" w:rsidP="00CA17C4">
            <w:pPr>
              <w:pStyle w:val="TableText"/>
              <w:tabs>
                <w:tab w:val="decimal" w:pos="441"/>
              </w:tabs>
            </w:pPr>
            <w:r w:rsidRPr="00EC5EF1">
              <w:t>97.1</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2198E0A0" w14:textId="77777777" w:rsidR="00740DA6" w:rsidRPr="00EC5EF1" w:rsidRDefault="00740DA6" w:rsidP="00CA17C4">
            <w:pPr>
              <w:pStyle w:val="TableText"/>
              <w:tabs>
                <w:tab w:val="decimal" w:pos="411"/>
              </w:tabs>
            </w:pPr>
            <w:r w:rsidRPr="00EC5EF1">
              <w:t>11</w:t>
            </w:r>
          </w:p>
        </w:tc>
        <w:tc>
          <w:tcPr>
            <w:tcW w:w="86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00EE0C7B" w14:textId="77777777" w:rsidR="00740DA6" w:rsidRPr="00EC5EF1" w:rsidRDefault="00740DA6" w:rsidP="00CA17C4">
            <w:pPr>
              <w:pStyle w:val="TableText"/>
              <w:tabs>
                <w:tab w:val="decimal" w:pos="458"/>
              </w:tabs>
            </w:pPr>
            <w:r w:rsidRPr="00EC5EF1">
              <w:t>178.5</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4761808F" w14:textId="77777777" w:rsidR="00740DA6" w:rsidRPr="00EC5EF1" w:rsidRDefault="00740DA6" w:rsidP="00CA17C4">
            <w:pPr>
              <w:pStyle w:val="TableText"/>
              <w:tabs>
                <w:tab w:val="decimal" w:pos="454"/>
              </w:tabs>
            </w:pPr>
            <w:r w:rsidRPr="00EC5EF1">
              <w:t>6</w:t>
            </w:r>
          </w:p>
        </w:tc>
        <w:tc>
          <w:tcPr>
            <w:tcW w:w="86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028DB86F" w14:textId="77777777" w:rsidR="00740DA6" w:rsidRPr="00EC5EF1" w:rsidRDefault="00740DA6" w:rsidP="00CA17C4">
            <w:pPr>
              <w:pStyle w:val="TableText"/>
              <w:jc w:val="center"/>
            </w:pPr>
            <w:r w:rsidRPr="00EC5EF1">
              <w:t>3.8</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11E92809" w14:textId="77777777" w:rsidR="00740DA6" w:rsidRPr="00EC5EF1" w:rsidRDefault="00740DA6" w:rsidP="00CA17C4">
            <w:pPr>
              <w:pStyle w:val="TableText"/>
              <w:tabs>
                <w:tab w:val="decimal" w:pos="459"/>
              </w:tabs>
            </w:pPr>
            <w:r w:rsidRPr="00EC5EF1">
              <w:t>18</w:t>
            </w:r>
          </w:p>
        </w:tc>
        <w:tc>
          <w:tcPr>
            <w:tcW w:w="869" w:type="dxa"/>
            <w:tcBorders>
              <w:top w:val="single" w:sz="4" w:space="0" w:color="A6A6A6" w:themeColor="background1" w:themeShade="A6"/>
              <w:left w:val="nil"/>
              <w:bottom w:val="single" w:sz="4" w:space="0" w:color="A6A6A6" w:themeColor="background1" w:themeShade="A6"/>
              <w:right w:val="nil"/>
            </w:tcBorders>
          </w:tcPr>
          <w:p w14:paraId="38B18D1B" w14:textId="77777777" w:rsidR="00740DA6" w:rsidRPr="00EC5EF1" w:rsidRDefault="00740DA6" w:rsidP="00CA17C4">
            <w:pPr>
              <w:pStyle w:val="TableText"/>
              <w:tabs>
                <w:tab w:val="decimal" w:pos="390"/>
              </w:tabs>
            </w:pPr>
            <w:r w:rsidRPr="00EC5EF1">
              <w:t>12.8</w:t>
            </w:r>
          </w:p>
        </w:tc>
      </w:tr>
      <w:tr w:rsidR="00740DA6" w:rsidRPr="00EC5EF1" w14:paraId="38CBE900" w14:textId="77777777" w:rsidTr="00A72B5A">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3CF8A14A" w14:textId="77777777" w:rsidR="00740DA6" w:rsidRPr="00EC5EF1" w:rsidRDefault="00740DA6" w:rsidP="00A72B5A">
            <w:pPr>
              <w:pStyle w:val="TableText"/>
            </w:pPr>
            <w:r w:rsidRPr="00EC5EF1">
              <w:t>45–49</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29506315" w14:textId="77777777" w:rsidR="00740DA6" w:rsidRPr="00EC5EF1" w:rsidRDefault="00740DA6" w:rsidP="00CA17C4">
            <w:pPr>
              <w:pStyle w:val="TableText"/>
              <w:tabs>
                <w:tab w:val="decimal" w:pos="445"/>
              </w:tabs>
            </w:pPr>
            <w:r w:rsidRPr="00EC5EF1">
              <w:t>8</w:t>
            </w:r>
          </w:p>
        </w:tc>
        <w:tc>
          <w:tcPr>
            <w:tcW w:w="86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0BF5F63F" w14:textId="77777777" w:rsidR="00740DA6" w:rsidRPr="00EC5EF1" w:rsidRDefault="00740DA6" w:rsidP="00CA17C4">
            <w:pPr>
              <w:pStyle w:val="TableText"/>
              <w:tabs>
                <w:tab w:val="decimal" w:pos="441"/>
              </w:tabs>
            </w:pPr>
            <w:r w:rsidRPr="00EC5EF1">
              <w:t>164.2</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75F48BA7" w14:textId="77777777" w:rsidR="00740DA6" w:rsidRPr="00EC5EF1" w:rsidRDefault="00740DA6" w:rsidP="00CA17C4">
            <w:pPr>
              <w:pStyle w:val="TableText"/>
              <w:tabs>
                <w:tab w:val="decimal" w:pos="411"/>
              </w:tabs>
            </w:pPr>
            <w:r w:rsidRPr="00EC5EF1">
              <w:t>18</w:t>
            </w:r>
          </w:p>
        </w:tc>
        <w:tc>
          <w:tcPr>
            <w:tcW w:w="86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419E6B6C" w14:textId="77777777" w:rsidR="00740DA6" w:rsidRPr="00EC5EF1" w:rsidRDefault="00740DA6" w:rsidP="00CA17C4">
            <w:pPr>
              <w:pStyle w:val="TableText"/>
              <w:tabs>
                <w:tab w:val="decimal" w:pos="458"/>
              </w:tabs>
            </w:pPr>
            <w:r w:rsidRPr="00EC5EF1">
              <w:t>309.1</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758BDB7C" w14:textId="77777777" w:rsidR="00740DA6" w:rsidRPr="00EC5EF1" w:rsidRDefault="00740DA6" w:rsidP="00CA17C4">
            <w:pPr>
              <w:pStyle w:val="TableText"/>
              <w:tabs>
                <w:tab w:val="decimal" w:pos="454"/>
              </w:tabs>
            </w:pPr>
            <w:r w:rsidRPr="00EC5EF1">
              <w:t>5</w:t>
            </w:r>
          </w:p>
        </w:tc>
        <w:tc>
          <w:tcPr>
            <w:tcW w:w="86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1170084E" w14:textId="77777777" w:rsidR="00740DA6" w:rsidRPr="00EC5EF1" w:rsidRDefault="00740DA6" w:rsidP="00CA17C4">
            <w:pPr>
              <w:pStyle w:val="TableText"/>
              <w:jc w:val="center"/>
            </w:pPr>
            <w:r w:rsidRPr="00EC5EF1">
              <w:t>3.2</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11FB4D50" w14:textId="77777777" w:rsidR="00740DA6" w:rsidRPr="00EC5EF1" w:rsidRDefault="00740DA6" w:rsidP="00CA17C4">
            <w:pPr>
              <w:pStyle w:val="TableText"/>
              <w:tabs>
                <w:tab w:val="decimal" w:pos="459"/>
              </w:tabs>
            </w:pPr>
            <w:r w:rsidRPr="00EC5EF1">
              <w:t>22</w:t>
            </w:r>
          </w:p>
        </w:tc>
        <w:tc>
          <w:tcPr>
            <w:tcW w:w="869" w:type="dxa"/>
            <w:tcBorders>
              <w:top w:val="single" w:sz="4" w:space="0" w:color="A6A6A6" w:themeColor="background1" w:themeShade="A6"/>
              <w:left w:val="nil"/>
              <w:bottom w:val="single" w:sz="4" w:space="0" w:color="A6A6A6" w:themeColor="background1" w:themeShade="A6"/>
              <w:right w:val="nil"/>
            </w:tcBorders>
          </w:tcPr>
          <w:p w14:paraId="70D1B9A5" w14:textId="77777777" w:rsidR="00740DA6" w:rsidRPr="00EC5EF1" w:rsidRDefault="00740DA6" w:rsidP="00CA17C4">
            <w:pPr>
              <w:pStyle w:val="TableText"/>
              <w:tabs>
                <w:tab w:val="decimal" w:pos="390"/>
              </w:tabs>
            </w:pPr>
            <w:r w:rsidRPr="00EC5EF1">
              <w:t>15.2</w:t>
            </w:r>
          </w:p>
        </w:tc>
      </w:tr>
      <w:tr w:rsidR="00740DA6" w:rsidRPr="00EC5EF1" w14:paraId="24F27C50" w14:textId="77777777" w:rsidTr="00A72B5A">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01B67ACC" w14:textId="77777777" w:rsidR="00740DA6" w:rsidRPr="00EC5EF1" w:rsidRDefault="00740DA6" w:rsidP="00A72B5A">
            <w:pPr>
              <w:pStyle w:val="TableText"/>
            </w:pPr>
            <w:r w:rsidRPr="00EC5EF1">
              <w:t>50–54</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509196C3" w14:textId="77777777" w:rsidR="00740DA6" w:rsidRPr="00EC5EF1" w:rsidRDefault="00740DA6" w:rsidP="00CA17C4">
            <w:pPr>
              <w:pStyle w:val="TableText"/>
              <w:tabs>
                <w:tab w:val="decimal" w:pos="445"/>
              </w:tabs>
            </w:pPr>
            <w:r w:rsidRPr="00EC5EF1">
              <w:t>10</w:t>
            </w:r>
          </w:p>
        </w:tc>
        <w:tc>
          <w:tcPr>
            <w:tcW w:w="86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7C518896" w14:textId="77777777" w:rsidR="00740DA6" w:rsidRPr="00EC5EF1" w:rsidRDefault="00740DA6" w:rsidP="00CA17C4">
            <w:pPr>
              <w:pStyle w:val="TableText"/>
              <w:tabs>
                <w:tab w:val="decimal" w:pos="441"/>
              </w:tabs>
            </w:pPr>
            <w:r w:rsidRPr="00EC5EF1">
              <w:t>227.9</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5EF1D9DA" w14:textId="77777777" w:rsidR="00740DA6" w:rsidRPr="00EC5EF1" w:rsidRDefault="00740DA6" w:rsidP="00CA17C4">
            <w:pPr>
              <w:pStyle w:val="TableText"/>
              <w:tabs>
                <w:tab w:val="decimal" w:pos="411"/>
              </w:tabs>
            </w:pPr>
            <w:r w:rsidRPr="00EC5EF1">
              <w:t>18</w:t>
            </w:r>
          </w:p>
        </w:tc>
        <w:tc>
          <w:tcPr>
            <w:tcW w:w="86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7F3F67AB" w14:textId="77777777" w:rsidR="00740DA6" w:rsidRPr="00EC5EF1" w:rsidRDefault="00740DA6" w:rsidP="00CA17C4">
            <w:pPr>
              <w:pStyle w:val="TableText"/>
              <w:tabs>
                <w:tab w:val="decimal" w:pos="458"/>
              </w:tabs>
            </w:pPr>
            <w:r w:rsidRPr="00EC5EF1">
              <w:t>369.3</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3E790568" w14:textId="77777777" w:rsidR="00740DA6" w:rsidRPr="00EC5EF1" w:rsidRDefault="00740DA6" w:rsidP="00CA17C4">
            <w:pPr>
              <w:pStyle w:val="TableText"/>
              <w:tabs>
                <w:tab w:val="decimal" w:pos="454"/>
              </w:tabs>
            </w:pPr>
            <w:r w:rsidRPr="00EC5EF1">
              <w:t>6</w:t>
            </w:r>
          </w:p>
        </w:tc>
        <w:tc>
          <w:tcPr>
            <w:tcW w:w="86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43D12B0B" w14:textId="77777777" w:rsidR="00740DA6" w:rsidRPr="00EC5EF1" w:rsidRDefault="00740DA6" w:rsidP="00CA17C4">
            <w:pPr>
              <w:pStyle w:val="TableText"/>
              <w:jc w:val="center"/>
            </w:pPr>
            <w:r w:rsidRPr="00EC5EF1">
              <w:t>3.7</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4A6D0AAE" w14:textId="77777777" w:rsidR="00740DA6" w:rsidRPr="00EC5EF1" w:rsidRDefault="00740DA6" w:rsidP="00CA17C4">
            <w:pPr>
              <w:pStyle w:val="TableText"/>
              <w:tabs>
                <w:tab w:val="decimal" w:pos="459"/>
              </w:tabs>
            </w:pPr>
            <w:r w:rsidRPr="00EC5EF1">
              <w:t>21</w:t>
            </w:r>
          </w:p>
        </w:tc>
        <w:tc>
          <w:tcPr>
            <w:tcW w:w="869" w:type="dxa"/>
            <w:tcBorders>
              <w:top w:val="single" w:sz="4" w:space="0" w:color="A6A6A6" w:themeColor="background1" w:themeShade="A6"/>
              <w:left w:val="nil"/>
              <w:bottom w:val="single" w:sz="4" w:space="0" w:color="A6A6A6" w:themeColor="background1" w:themeShade="A6"/>
              <w:right w:val="nil"/>
            </w:tcBorders>
          </w:tcPr>
          <w:p w14:paraId="543F8C34" w14:textId="77777777" w:rsidR="00740DA6" w:rsidRPr="00EC5EF1" w:rsidRDefault="00740DA6" w:rsidP="00CA17C4">
            <w:pPr>
              <w:pStyle w:val="TableText"/>
              <w:tabs>
                <w:tab w:val="decimal" w:pos="390"/>
              </w:tabs>
            </w:pPr>
            <w:r w:rsidRPr="00EC5EF1">
              <w:t>14.1</w:t>
            </w:r>
          </w:p>
        </w:tc>
      </w:tr>
      <w:tr w:rsidR="00740DA6" w:rsidRPr="00EC5EF1" w14:paraId="4E16B594" w14:textId="77777777" w:rsidTr="00A72B5A">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0597BF3D" w14:textId="77777777" w:rsidR="00740DA6" w:rsidRPr="00EC5EF1" w:rsidRDefault="00740DA6" w:rsidP="00A72B5A">
            <w:pPr>
              <w:pStyle w:val="TableText"/>
            </w:pPr>
            <w:r w:rsidRPr="00EC5EF1">
              <w:t>55–59</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29904727" w14:textId="77777777" w:rsidR="00740DA6" w:rsidRPr="00EC5EF1" w:rsidRDefault="00740DA6" w:rsidP="00CA17C4">
            <w:pPr>
              <w:pStyle w:val="TableText"/>
              <w:tabs>
                <w:tab w:val="decimal" w:pos="445"/>
              </w:tabs>
            </w:pPr>
            <w:r w:rsidRPr="00EC5EF1">
              <w:t>6</w:t>
            </w:r>
          </w:p>
        </w:tc>
        <w:tc>
          <w:tcPr>
            <w:tcW w:w="86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1F065B4B" w14:textId="77777777" w:rsidR="00740DA6" w:rsidRPr="00EC5EF1" w:rsidRDefault="00740DA6" w:rsidP="00CA17C4">
            <w:pPr>
              <w:pStyle w:val="TableText"/>
              <w:tabs>
                <w:tab w:val="decimal" w:pos="441"/>
              </w:tabs>
            </w:pPr>
            <w:r w:rsidRPr="00EC5EF1">
              <w:t>176.3</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51E90198" w14:textId="77777777" w:rsidR="00740DA6" w:rsidRPr="00EC5EF1" w:rsidRDefault="00740DA6" w:rsidP="00CA17C4">
            <w:pPr>
              <w:pStyle w:val="TableText"/>
              <w:tabs>
                <w:tab w:val="decimal" w:pos="411"/>
              </w:tabs>
            </w:pPr>
            <w:r w:rsidRPr="00EC5EF1">
              <w:t>9</w:t>
            </w:r>
          </w:p>
        </w:tc>
        <w:tc>
          <w:tcPr>
            <w:tcW w:w="86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72EF0AA5" w14:textId="77777777" w:rsidR="00740DA6" w:rsidRPr="00EC5EF1" w:rsidRDefault="00740DA6" w:rsidP="00CA17C4">
            <w:pPr>
              <w:pStyle w:val="TableText"/>
              <w:tabs>
                <w:tab w:val="decimal" w:pos="458"/>
              </w:tabs>
            </w:pPr>
            <w:r w:rsidRPr="00EC5EF1">
              <w:t>245.4</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57784165" w14:textId="77777777" w:rsidR="00740DA6" w:rsidRPr="00EC5EF1" w:rsidRDefault="00740DA6" w:rsidP="00CA17C4">
            <w:pPr>
              <w:pStyle w:val="TableText"/>
              <w:tabs>
                <w:tab w:val="decimal" w:pos="454"/>
              </w:tabs>
            </w:pPr>
            <w:r w:rsidRPr="00EC5EF1">
              <w:t>1</w:t>
            </w:r>
          </w:p>
        </w:tc>
        <w:tc>
          <w:tcPr>
            <w:tcW w:w="86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3B71976F" w14:textId="77777777" w:rsidR="00740DA6" w:rsidRPr="00EC5EF1" w:rsidRDefault="00740DA6" w:rsidP="00CA17C4">
            <w:pPr>
              <w:pStyle w:val="TableText"/>
              <w:jc w:val="center"/>
            </w:pPr>
            <w:r w:rsidRPr="00EC5EF1">
              <w:t>0.7</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0FCB4BB4" w14:textId="77777777" w:rsidR="00740DA6" w:rsidRPr="00EC5EF1" w:rsidRDefault="00740DA6" w:rsidP="00CA17C4">
            <w:pPr>
              <w:pStyle w:val="TableText"/>
              <w:tabs>
                <w:tab w:val="decimal" w:pos="459"/>
              </w:tabs>
            </w:pPr>
            <w:r w:rsidRPr="00EC5EF1">
              <w:t>20</w:t>
            </w:r>
          </w:p>
        </w:tc>
        <w:tc>
          <w:tcPr>
            <w:tcW w:w="869" w:type="dxa"/>
            <w:tcBorders>
              <w:top w:val="single" w:sz="4" w:space="0" w:color="A6A6A6" w:themeColor="background1" w:themeShade="A6"/>
              <w:left w:val="nil"/>
              <w:bottom w:val="single" w:sz="4" w:space="0" w:color="A6A6A6" w:themeColor="background1" w:themeShade="A6"/>
              <w:right w:val="nil"/>
            </w:tcBorders>
          </w:tcPr>
          <w:p w14:paraId="0523EBB8" w14:textId="77777777" w:rsidR="00740DA6" w:rsidRPr="00EC5EF1" w:rsidRDefault="00740DA6" w:rsidP="00CA17C4">
            <w:pPr>
              <w:pStyle w:val="TableText"/>
              <w:tabs>
                <w:tab w:val="decimal" w:pos="390"/>
              </w:tabs>
            </w:pPr>
            <w:r w:rsidRPr="00EC5EF1">
              <w:t>14.7</w:t>
            </w:r>
          </w:p>
        </w:tc>
      </w:tr>
      <w:tr w:rsidR="00740DA6" w:rsidRPr="00EC5EF1" w14:paraId="641061CD" w14:textId="77777777" w:rsidTr="00A72B5A">
        <w:trPr>
          <w:cantSplit/>
        </w:trPr>
        <w:tc>
          <w:tcPr>
            <w:tcW w:w="113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5840D065" w14:textId="77777777" w:rsidR="00740DA6" w:rsidRPr="00EC5EF1" w:rsidRDefault="00740DA6" w:rsidP="00A72B5A">
            <w:pPr>
              <w:pStyle w:val="TableText"/>
            </w:pPr>
            <w:r w:rsidRPr="00EC5EF1">
              <w:t>60–64</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4987A688" w14:textId="77777777" w:rsidR="00740DA6" w:rsidRPr="00EC5EF1" w:rsidRDefault="00740DA6" w:rsidP="00CA17C4">
            <w:pPr>
              <w:pStyle w:val="TableText"/>
              <w:tabs>
                <w:tab w:val="decimal" w:pos="445"/>
              </w:tabs>
            </w:pPr>
            <w:r w:rsidRPr="00EC5EF1">
              <w:t>5</w:t>
            </w:r>
          </w:p>
        </w:tc>
        <w:tc>
          <w:tcPr>
            <w:tcW w:w="86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740C8233" w14:textId="77777777" w:rsidR="00740DA6" w:rsidRPr="00EC5EF1" w:rsidRDefault="00740DA6" w:rsidP="00CA17C4">
            <w:pPr>
              <w:pStyle w:val="TableText"/>
              <w:tabs>
                <w:tab w:val="decimal" w:pos="441"/>
              </w:tabs>
            </w:pPr>
            <w:r w:rsidRPr="00EC5EF1">
              <w:t>210.7</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1EEBD3B8" w14:textId="77777777" w:rsidR="00740DA6" w:rsidRPr="00EC5EF1" w:rsidRDefault="00740DA6" w:rsidP="00CA17C4">
            <w:pPr>
              <w:pStyle w:val="TableText"/>
              <w:tabs>
                <w:tab w:val="decimal" w:pos="411"/>
              </w:tabs>
            </w:pPr>
            <w:r w:rsidRPr="00EC5EF1">
              <w:t>7</w:t>
            </w:r>
          </w:p>
        </w:tc>
        <w:tc>
          <w:tcPr>
            <w:tcW w:w="86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5825F09D" w14:textId="77777777" w:rsidR="00740DA6" w:rsidRPr="00EC5EF1" w:rsidRDefault="00740DA6" w:rsidP="00CA17C4">
            <w:pPr>
              <w:pStyle w:val="TableText"/>
              <w:tabs>
                <w:tab w:val="decimal" w:pos="458"/>
              </w:tabs>
            </w:pPr>
            <w:r w:rsidRPr="00EC5EF1">
              <w:t>283.9</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428CAEC5" w14:textId="77777777" w:rsidR="00740DA6" w:rsidRPr="00EC5EF1" w:rsidRDefault="00740DA6" w:rsidP="00CA17C4">
            <w:pPr>
              <w:pStyle w:val="TableText"/>
              <w:tabs>
                <w:tab w:val="decimal" w:pos="454"/>
              </w:tabs>
            </w:pPr>
            <w:r w:rsidRPr="00EC5EF1">
              <w:t>7</w:t>
            </w:r>
          </w:p>
        </w:tc>
        <w:tc>
          <w:tcPr>
            <w:tcW w:w="86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2A199F73" w14:textId="77777777" w:rsidR="00740DA6" w:rsidRPr="00EC5EF1" w:rsidRDefault="00740DA6" w:rsidP="00CA17C4">
            <w:pPr>
              <w:pStyle w:val="TableText"/>
              <w:jc w:val="center"/>
            </w:pPr>
            <w:r w:rsidRPr="00EC5EF1">
              <w:t>5.5</w:t>
            </w:r>
          </w:p>
        </w:tc>
        <w:tc>
          <w:tcPr>
            <w:tcW w:w="868"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3406B720" w14:textId="77777777" w:rsidR="00740DA6" w:rsidRPr="00EC5EF1" w:rsidRDefault="00740DA6" w:rsidP="00CA17C4">
            <w:pPr>
              <w:pStyle w:val="TableText"/>
              <w:tabs>
                <w:tab w:val="decimal" w:pos="459"/>
              </w:tabs>
            </w:pPr>
            <w:r w:rsidRPr="00EC5EF1">
              <w:t>16</w:t>
            </w:r>
          </w:p>
        </w:tc>
        <w:tc>
          <w:tcPr>
            <w:tcW w:w="869" w:type="dxa"/>
            <w:tcBorders>
              <w:top w:val="single" w:sz="4" w:space="0" w:color="A6A6A6" w:themeColor="background1" w:themeShade="A6"/>
              <w:left w:val="nil"/>
              <w:bottom w:val="single" w:sz="4" w:space="0" w:color="A6A6A6" w:themeColor="background1" w:themeShade="A6"/>
              <w:right w:val="nil"/>
            </w:tcBorders>
          </w:tcPr>
          <w:p w14:paraId="00AC10E2" w14:textId="77777777" w:rsidR="00740DA6" w:rsidRPr="00EC5EF1" w:rsidRDefault="00740DA6" w:rsidP="00CA17C4">
            <w:pPr>
              <w:pStyle w:val="TableText"/>
              <w:tabs>
                <w:tab w:val="decimal" w:pos="390"/>
              </w:tabs>
            </w:pPr>
            <w:r w:rsidRPr="00EC5EF1">
              <w:t>13.4</w:t>
            </w:r>
          </w:p>
        </w:tc>
      </w:tr>
    </w:tbl>
    <w:p w14:paraId="6384DC0C" w14:textId="77777777" w:rsidR="00740DA6" w:rsidRPr="00EC5EF1" w:rsidRDefault="00740DA6" w:rsidP="00A72B5A">
      <w:pPr>
        <w:pStyle w:val="Note"/>
      </w:pPr>
      <w:r w:rsidRPr="00EC5EF1">
        <w:t>Notes: ASR = Age-specific rate.</w:t>
      </w:r>
    </w:p>
    <w:p w14:paraId="7AFAB736" w14:textId="302B0420" w:rsidR="00740DA6" w:rsidRPr="00EC5EF1" w:rsidRDefault="00740DA6" w:rsidP="00A72B5A">
      <w:pPr>
        <w:pStyle w:val="Note"/>
      </w:pPr>
      <w:r w:rsidRPr="00EC5EF1">
        <w:rPr>
          <w:noProof/>
          <w:lang w:eastAsia="en-NZ"/>
        </w:rPr>
        <w:drawing>
          <wp:anchor distT="0" distB="0" distL="0" distR="0" simplePos="0" relativeHeight="251795456" behindDoc="0" locked="0" layoutInCell="1" allowOverlap="1" wp14:anchorId="6D49CA17" wp14:editId="7D4A1171">
            <wp:simplePos x="0" y="0"/>
            <wp:positionH relativeFrom="page">
              <wp:posOffset>8060163</wp:posOffset>
            </wp:positionH>
            <wp:positionV relativeFrom="paragraph">
              <wp:posOffset>137173</wp:posOffset>
            </wp:positionV>
            <wp:extent cx="155575" cy="155575"/>
            <wp:effectExtent l="0" t="0" r="0" b="0"/>
            <wp:wrapNone/>
            <wp:docPr id="35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Includes deaths of undetermined intent.</w:t>
      </w:r>
    </w:p>
    <w:p w14:paraId="7F53804F" w14:textId="77777777" w:rsidR="00740DA6" w:rsidRDefault="00740DA6" w:rsidP="00A72B5A">
      <w:pPr>
        <w:pStyle w:val="Source"/>
      </w:pPr>
      <w:r w:rsidRPr="00EC5EF1">
        <w:t>Source: Ministry of Health mortality database data, extracted on 28 June 2018</w:t>
      </w:r>
    </w:p>
    <w:p w14:paraId="795D030E" w14:textId="77777777" w:rsidR="00A72B5A" w:rsidRPr="00A72B5A" w:rsidRDefault="00A72B5A" w:rsidP="00A72B5A"/>
    <w:p w14:paraId="416E53E8" w14:textId="77777777" w:rsidR="00740DA6" w:rsidRPr="00EC5EF1" w:rsidRDefault="00740DA6" w:rsidP="00A72B5A">
      <w:pPr>
        <w:pStyle w:val="Heading4"/>
      </w:pPr>
      <w:r w:rsidRPr="00EC5EF1">
        <w:lastRenderedPageBreak/>
        <w:t>Ethnicity and suicide</w:t>
      </w:r>
    </w:p>
    <w:p w14:paraId="49FAA77D" w14:textId="004B2919" w:rsidR="00740DA6" w:rsidRPr="00EC5EF1" w:rsidRDefault="00740DA6" w:rsidP="00A72B5A">
      <w:r w:rsidRPr="00EC5EF1">
        <w:t>As Table 16 indicates, among people using mental health services in 2015, the age-standardised rate of suicide was higher for Māori (111.9 per 100,000 service users) than for Pacific peoples (81 per 100,000 service users). The age-standardised rate of suicide for those in the ‘Other’ category was 138.4 per 100,000 service users. The</w:t>
      </w:r>
      <w:r w:rsidR="00434E22">
        <w:t xml:space="preserve"> </w:t>
      </w:r>
      <w:r w:rsidRPr="00EC5EF1">
        <w:t>suicide rate for Māori non-service users was higher than for all non-Māori non-service users. (Note: the suicide rate for Pacific peoples is highly variable over time.)</w:t>
      </w:r>
    </w:p>
    <w:p w14:paraId="2FF847E5" w14:textId="77777777" w:rsidR="00740DA6" w:rsidRPr="00EC5EF1" w:rsidRDefault="00740DA6" w:rsidP="009A1402"/>
    <w:p w14:paraId="62EADBBB" w14:textId="77777777" w:rsidR="00740DA6" w:rsidRPr="00EC5EF1" w:rsidRDefault="00740DA6" w:rsidP="00434E22">
      <w:pPr>
        <w:pStyle w:val="Table"/>
      </w:pPr>
      <w:bookmarkStart w:id="129" w:name="_Toc2845760"/>
      <w:r w:rsidRPr="00EC5EF1">
        <w:t>Table 16: Number and age-standardised rate of suicide and deaths of undetermined intent, by ethnicity and service use, people aged 10–64 years, 2015</w:t>
      </w:r>
      <w:bookmarkEnd w:id="129"/>
    </w:p>
    <w:tbl>
      <w:tblPr>
        <w:tblW w:w="8080" w:type="dxa"/>
        <w:tblInd w:w="5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57" w:type="dxa"/>
          <w:right w:w="57" w:type="dxa"/>
        </w:tblCellMar>
        <w:tblLook w:val="01E0" w:firstRow="1" w:lastRow="1" w:firstColumn="1" w:lastColumn="1" w:noHBand="0" w:noVBand="0"/>
      </w:tblPr>
      <w:tblGrid>
        <w:gridCol w:w="1691"/>
        <w:gridCol w:w="1064"/>
        <w:gridCol w:w="1065"/>
        <w:gridCol w:w="1065"/>
        <w:gridCol w:w="1065"/>
        <w:gridCol w:w="1065"/>
        <w:gridCol w:w="1065"/>
      </w:tblGrid>
      <w:tr w:rsidR="009A1402" w:rsidRPr="009A1402" w14:paraId="7234E6C4" w14:textId="77777777" w:rsidTr="009A1402">
        <w:trPr>
          <w:cantSplit/>
        </w:trPr>
        <w:tc>
          <w:tcPr>
            <w:tcW w:w="1691" w:type="dxa"/>
            <w:vMerge w:val="restart"/>
            <w:tcBorders>
              <w:top w:val="nil"/>
              <w:left w:val="nil"/>
              <w:bottom w:val="nil"/>
              <w:right w:val="single" w:sz="4" w:space="0" w:color="A6A6A6" w:themeColor="background1" w:themeShade="A6"/>
            </w:tcBorders>
            <w:shd w:val="clear" w:color="auto" w:fill="D9D9D9" w:themeFill="background1" w:themeFillShade="D9"/>
          </w:tcPr>
          <w:p w14:paraId="77F05295" w14:textId="77777777" w:rsidR="009A1402" w:rsidRPr="009A1402" w:rsidRDefault="009A1402" w:rsidP="009A1402">
            <w:pPr>
              <w:pStyle w:val="TableText"/>
              <w:keepNext/>
              <w:rPr>
                <w:b/>
              </w:rPr>
            </w:pPr>
            <w:r w:rsidRPr="009A1402">
              <w:rPr>
                <w:b/>
              </w:rPr>
              <w:t>Ethnicity</w:t>
            </w:r>
          </w:p>
        </w:tc>
        <w:tc>
          <w:tcPr>
            <w:tcW w:w="2129"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7ACCBE31" w14:textId="3F5C64C2" w:rsidR="009A1402" w:rsidRPr="009A1402" w:rsidRDefault="009A1402" w:rsidP="009A1402">
            <w:pPr>
              <w:pStyle w:val="TableText"/>
              <w:keepNext/>
              <w:jc w:val="center"/>
              <w:rPr>
                <w:b/>
              </w:rPr>
            </w:pPr>
            <w:r w:rsidRPr="009A1402">
              <w:rPr>
                <w:b/>
              </w:rPr>
              <w:t>Service users</w:t>
            </w:r>
          </w:p>
        </w:tc>
        <w:tc>
          <w:tcPr>
            <w:tcW w:w="2130"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4C377625" w14:textId="56923FDD" w:rsidR="009A1402" w:rsidRPr="009A1402" w:rsidRDefault="009A1402" w:rsidP="009A1402">
            <w:pPr>
              <w:pStyle w:val="TableText"/>
              <w:keepNext/>
              <w:jc w:val="center"/>
              <w:rPr>
                <w:b/>
              </w:rPr>
            </w:pPr>
            <w:r w:rsidRPr="009A1402">
              <w:rPr>
                <w:b/>
              </w:rPr>
              <w:t>Non-service users</w:t>
            </w:r>
          </w:p>
        </w:tc>
        <w:tc>
          <w:tcPr>
            <w:tcW w:w="2130" w:type="dxa"/>
            <w:gridSpan w:val="2"/>
            <w:tcBorders>
              <w:top w:val="nil"/>
              <w:left w:val="single" w:sz="4" w:space="0" w:color="A6A6A6" w:themeColor="background1" w:themeShade="A6"/>
              <w:bottom w:val="nil"/>
              <w:right w:val="nil"/>
            </w:tcBorders>
            <w:shd w:val="clear" w:color="auto" w:fill="D9D9D9" w:themeFill="background1" w:themeFillShade="D9"/>
          </w:tcPr>
          <w:p w14:paraId="403CA93A" w14:textId="11208187" w:rsidR="009A1402" w:rsidRPr="009A1402" w:rsidRDefault="009A1402" w:rsidP="009A1402">
            <w:pPr>
              <w:pStyle w:val="TableText"/>
              <w:keepNext/>
              <w:jc w:val="center"/>
              <w:rPr>
                <w:b/>
              </w:rPr>
            </w:pPr>
            <w:r w:rsidRPr="009A1402">
              <w:rPr>
                <w:b/>
              </w:rPr>
              <w:t>Total</w:t>
            </w:r>
          </w:p>
        </w:tc>
      </w:tr>
      <w:tr w:rsidR="009A1402" w:rsidRPr="009A1402" w14:paraId="4A467FC0" w14:textId="77777777" w:rsidTr="009A1402">
        <w:trPr>
          <w:cantSplit/>
        </w:trPr>
        <w:tc>
          <w:tcPr>
            <w:tcW w:w="1691" w:type="dxa"/>
            <w:vMerge/>
            <w:tcBorders>
              <w:top w:val="nil"/>
              <w:left w:val="nil"/>
              <w:bottom w:val="nil"/>
              <w:right w:val="single" w:sz="4" w:space="0" w:color="A6A6A6" w:themeColor="background1" w:themeShade="A6"/>
            </w:tcBorders>
            <w:shd w:val="clear" w:color="auto" w:fill="D9D9D9" w:themeFill="background1" w:themeFillShade="D9"/>
          </w:tcPr>
          <w:p w14:paraId="1CAE2003" w14:textId="77777777" w:rsidR="009A1402" w:rsidRPr="009A1402" w:rsidRDefault="009A1402" w:rsidP="009A1402">
            <w:pPr>
              <w:pStyle w:val="TableText"/>
              <w:keepNext/>
              <w:rPr>
                <w:b/>
              </w:rPr>
            </w:pPr>
          </w:p>
        </w:tc>
        <w:tc>
          <w:tcPr>
            <w:tcW w:w="1064" w:type="dxa"/>
            <w:tcBorders>
              <w:top w:val="nil"/>
              <w:left w:val="single" w:sz="4" w:space="0" w:color="A6A6A6" w:themeColor="background1" w:themeShade="A6"/>
              <w:bottom w:val="nil"/>
              <w:right w:val="nil"/>
            </w:tcBorders>
            <w:shd w:val="clear" w:color="auto" w:fill="D9D9D9" w:themeFill="background1" w:themeFillShade="D9"/>
          </w:tcPr>
          <w:p w14:paraId="5F0EE73C" w14:textId="666DBB39" w:rsidR="009A1402" w:rsidRPr="009A1402" w:rsidRDefault="009A1402" w:rsidP="009A1402">
            <w:pPr>
              <w:pStyle w:val="TableText"/>
              <w:keepNext/>
              <w:spacing w:before="0"/>
              <w:jc w:val="center"/>
              <w:rPr>
                <w:b/>
              </w:rPr>
            </w:pPr>
            <w:r w:rsidRPr="009A1402">
              <w:rPr>
                <w:b/>
              </w:rPr>
              <w:t>Number of</w:t>
            </w:r>
            <w:r>
              <w:rPr>
                <w:b/>
              </w:rPr>
              <w:t> </w:t>
            </w:r>
            <w:r w:rsidRPr="009A1402">
              <w:rPr>
                <w:b/>
              </w:rPr>
              <w:t>deaths</w:t>
            </w:r>
          </w:p>
        </w:tc>
        <w:tc>
          <w:tcPr>
            <w:tcW w:w="1065" w:type="dxa"/>
            <w:tcBorders>
              <w:top w:val="nil"/>
              <w:left w:val="nil"/>
              <w:bottom w:val="nil"/>
              <w:right w:val="single" w:sz="4" w:space="0" w:color="A6A6A6" w:themeColor="background1" w:themeShade="A6"/>
            </w:tcBorders>
            <w:shd w:val="clear" w:color="auto" w:fill="D9D9D9" w:themeFill="background1" w:themeFillShade="D9"/>
          </w:tcPr>
          <w:p w14:paraId="59C9C1F6" w14:textId="43805D78" w:rsidR="009A1402" w:rsidRPr="009A1402" w:rsidRDefault="009A1402" w:rsidP="009A1402">
            <w:pPr>
              <w:pStyle w:val="TableText"/>
              <w:keepNext/>
              <w:spacing w:before="0"/>
              <w:jc w:val="center"/>
              <w:rPr>
                <w:b/>
              </w:rPr>
            </w:pPr>
            <w:r w:rsidRPr="009A1402">
              <w:rPr>
                <w:b/>
              </w:rPr>
              <w:t>ASR</w:t>
            </w:r>
          </w:p>
        </w:tc>
        <w:tc>
          <w:tcPr>
            <w:tcW w:w="1065" w:type="dxa"/>
            <w:tcBorders>
              <w:top w:val="nil"/>
              <w:left w:val="single" w:sz="4" w:space="0" w:color="A6A6A6" w:themeColor="background1" w:themeShade="A6"/>
              <w:bottom w:val="nil"/>
              <w:right w:val="nil"/>
            </w:tcBorders>
            <w:shd w:val="clear" w:color="auto" w:fill="D9D9D9" w:themeFill="background1" w:themeFillShade="D9"/>
          </w:tcPr>
          <w:p w14:paraId="2C22DA0D" w14:textId="148E212B" w:rsidR="009A1402" w:rsidRPr="009A1402" w:rsidRDefault="009A1402" w:rsidP="009A1402">
            <w:pPr>
              <w:pStyle w:val="TableText"/>
              <w:keepNext/>
              <w:spacing w:before="0"/>
              <w:jc w:val="center"/>
              <w:rPr>
                <w:b/>
              </w:rPr>
            </w:pPr>
            <w:r w:rsidRPr="009A1402">
              <w:rPr>
                <w:b/>
              </w:rPr>
              <w:t>Number of</w:t>
            </w:r>
            <w:r>
              <w:rPr>
                <w:b/>
              </w:rPr>
              <w:t> </w:t>
            </w:r>
            <w:r w:rsidRPr="009A1402">
              <w:rPr>
                <w:b/>
              </w:rPr>
              <w:t>deaths</w:t>
            </w:r>
          </w:p>
        </w:tc>
        <w:tc>
          <w:tcPr>
            <w:tcW w:w="1065" w:type="dxa"/>
            <w:tcBorders>
              <w:top w:val="nil"/>
              <w:left w:val="nil"/>
              <w:bottom w:val="nil"/>
              <w:right w:val="single" w:sz="4" w:space="0" w:color="A6A6A6" w:themeColor="background1" w:themeShade="A6"/>
            </w:tcBorders>
            <w:shd w:val="clear" w:color="auto" w:fill="D9D9D9" w:themeFill="background1" w:themeFillShade="D9"/>
          </w:tcPr>
          <w:p w14:paraId="5013FCD6" w14:textId="30B9F5FD" w:rsidR="009A1402" w:rsidRPr="009A1402" w:rsidRDefault="009A1402" w:rsidP="009A1402">
            <w:pPr>
              <w:pStyle w:val="TableText"/>
              <w:keepNext/>
              <w:spacing w:before="0"/>
              <w:jc w:val="center"/>
              <w:rPr>
                <w:b/>
              </w:rPr>
            </w:pPr>
            <w:r w:rsidRPr="009A1402">
              <w:rPr>
                <w:b/>
              </w:rPr>
              <w:t>ASR</w:t>
            </w:r>
          </w:p>
        </w:tc>
        <w:tc>
          <w:tcPr>
            <w:tcW w:w="1065" w:type="dxa"/>
            <w:tcBorders>
              <w:top w:val="nil"/>
              <w:left w:val="single" w:sz="4" w:space="0" w:color="A6A6A6" w:themeColor="background1" w:themeShade="A6"/>
              <w:bottom w:val="nil"/>
              <w:right w:val="nil"/>
            </w:tcBorders>
            <w:shd w:val="clear" w:color="auto" w:fill="D9D9D9" w:themeFill="background1" w:themeFillShade="D9"/>
          </w:tcPr>
          <w:p w14:paraId="29D78EF6" w14:textId="7DB0BA20" w:rsidR="009A1402" w:rsidRPr="009A1402" w:rsidRDefault="009A1402" w:rsidP="009A1402">
            <w:pPr>
              <w:pStyle w:val="TableText"/>
              <w:keepNext/>
              <w:spacing w:before="0"/>
              <w:jc w:val="center"/>
              <w:rPr>
                <w:b/>
              </w:rPr>
            </w:pPr>
            <w:r w:rsidRPr="009A1402">
              <w:rPr>
                <w:b/>
              </w:rPr>
              <w:t>Number of</w:t>
            </w:r>
            <w:r>
              <w:rPr>
                <w:b/>
              </w:rPr>
              <w:t> </w:t>
            </w:r>
            <w:r w:rsidRPr="009A1402">
              <w:rPr>
                <w:b/>
              </w:rPr>
              <w:t>deaths</w:t>
            </w:r>
          </w:p>
        </w:tc>
        <w:tc>
          <w:tcPr>
            <w:tcW w:w="1065" w:type="dxa"/>
            <w:tcBorders>
              <w:top w:val="nil"/>
              <w:left w:val="nil"/>
              <w:bottom w:val="nil"/>
              <w:right w:val="nil"/>
            </w:tcBorders>
            <w:shd w:val="clear" w:color="auto" w:fill="D9D9D9" w:themeFill="background1" w:themeFillShade="D9"/>
          </w:tcPr>
          <w:p w14:paraId="4D943873" w14:textId="5A77C20D" w:rsidR="009A1402" w:rsidRPr="009A1402" w:rsidRDefault="009A1402" w:rsidP="009A1402">
            <w:pPr>
              <w:pStyle w:val="TableText"/>
              <w:keepNext/>
              <w:spacing w:before="0"/>
              <w:jc w:val="center"/>
              <w:rPr>
                <w:b/>
              </w:rPr>
            </w:pPr>
            <w:r w:rsidRPr="009A1402">
              <w:rPr>
                <w:b/>
              </w:rPr>
              <w:t>ASR</w:t>
            </w:r>
          </w:p>
        </w:tc>
      </w:tr>
      <w:tr w:rsidR="00740DA6" w:rsidRPr="00EC5EF1" w14:paraId="7554F9F6" w14:textId="77777777" w:rsidTr="009A1402">
        <w:trPr>
          <w:cantSplit/>
        </w:trPr>
        <w:tc>
          <w:tcPr>
            <w:tcW w:w="1691" w:type="dxa"/>
            <w:tcBorders>
              <w:top w:val="nil"/>
              <w:left w:val="nil"/>
              <w:bottom w:val="single" w:sz="4" w:space="0" w:color="A6A6A6" w:themeColor="background1" w:themeShade="A6"/>
              <w:right w:val="single" w:sz="4" w:space="0" w:color="A6A6A6" w:themeColor="background1" w:themeShade="A6"/>
            </w:tcBorders>
          </w:tcPr>
          <w:p w14:paraId="7285DF17" w14:textId="77777777" w:rsidR="00740DA6" w:rsidRPr="00EC5EF1" w:rsidRDefault="00740DA6" w:rsidP="009A1402">
            <w:pPr>
              <w:pStyle w:val="TableText"/>
              <w:keepNext/>
            </w:pPr>
            <w:r w:rsidRPr="00EC5EF1">
              <w:t>Māori</w:t>
            </w:r>
          </w:p>
        </w:tc>
        <w:tc>
          <w:tcPr>
            <w:tcW w:w="1064" w:type="dxa"/>
            <w:tcBorders>
              <w:top w:val="nil"/>
              <w:left w:val="single" w:sz="4" w:space="0" w:color="A6A6A6" w:themeColor="background1" w:themeShade="A6"/>
              <w:bottom w:val="single" w:sz="4" w:space="0" w:color="A6A6A6" w:themeColor="background1" w:themeShade="A6"/>
              <w:right w:val="nil"/>
            </w:tcBorders>
          </w:tcPr>
          <w:p w14:paraId="14CC7928" w14:textId="77777777" w:rsidR="00740DA6" w:rsidRPr="00EC5EF1" w:rsidRDefault="00740DA6" w:rsidP="009A1402">
            <w:pPr>
              <w:pStyle w:val="TableText"/>
              <w:keepNext/>
              <w:tabs>
                <w:tab w:val="decimal" w:pos="582"/>
              </w:tabs>
            </w:pPr>
            <w:r w:rsidRPr="00EC5EF1">
              <w:t>50</w:t>
            </w:r>
          </w:p>
        </w:tc>
        <w:tc>
          <w:tcPr>
            <w:tcW w:w="1065" w:type="dxa"/>
            <w:tcBorders>
              <w:top w:val="nil"/>
              <w:left w:val="nil"/>
              <w:bottom w:val="single" w:sz="4" w:space="0" w:color="A6A6A6" w:themeColor="background1" w:themeShade="A6"/>
              <w:right w:val="single" w:sz="4" w:space="0" w:color="A6A6A6" w:themeColor="background1" w:themeShade="A6"/>
            </w:tcBorders>
          </w:tcPr>
          <w:p w14:paraId="0350BA7E" w14:textId="77777777" w:rsidR="00740DA6" w:rsidRPr="00EC5EF1" w:rsidRDefault="00740DA6" w:rsidP="009A1402">
            <w:pPr>
              <w:pStyle w:val="TableText"/>
              <w:keepNext/>
              <w:tabs>
                <w:tab w:val="decimal" w:pos="591"/>
              </w:tabs>
            </w:pPr>
            <w:r w:rsidRPr="00EC5EF1">
              <w:t>111.9</w:t>
            </w:r>
          </w:p>
        </w:tc>
        <w:tc>
          <w:tcPr>
            <w:tcW w:w="1065" w:type="dxa"/>
            <w:tcBorders>
              <w:top w:val="nil"/>
              <w:left w:val="single" w:sz="4" w:space="0" w:color="A6A6A6" w:themeColor="background1" w:themeShade="A6"/>
              <w:bottom w:val="single" w:sz="4" w:space="0" w:color="A6A6A6" w:themeColor="background1" w:themeShade="A6"/>
              <w:right w:val="nil"/>
            </w:tcBorders>
          </w:tcPr>
          <w:p w14:paraId="4B0F27C6" w14:textId="77777777" w:rsidR="00740DA6" w:rsidRPr="00EC5EF1" w:rsidRDefault="00740DA6" w:rsidP="009A1402">
            <w:pPr>
              <w:pStyle w:val="TableText"/>
              <w:keepNext/>
              <w:tabs>
                <w:tab w:val="decimal" w:pos="561"/>
              </w:tabs>
            </w:pPr>
            <w:r w:rsidRPr="00EC5EF1">
              <w:t>72</w:t>
            </w:r>
          </w:p>
        </w:tc>
        <w:tc>
          <w:tcPr>
            <w:tcW w:w="1065" w:type="dxa"/>
            <w:tcBorders>
              <w:top w:val="nil"/>
              <w:left w:val="nil"/>
              <w:bottom w:val="single" w:sz="4" w:space="0" w:color="A6A6A6" w:themeColor="background1" w:themeShade="A6"/>
              <w:right w:val="single" w:sz="4" w:space="0" w:color="A6A6A6" w:themeColor="background1" w:themeShade="A6"/>
            </w:tcBorders>
          </w:tcPr>
          <w:p w14:paraId="1F75B305" w14:textId="77777777" w:rsidR="00740DA6" w:rsidRPr="00EC5EF1" w:rsidRDefault="00740DA6" w:rsidP="009A1402">
            <w:pPr>
              <w:pStyle w:val="TableText"/>
              <w:keepNext/>
              <w:tabs>
                <w:tab w:val="decimal" w:pos="517"/>
              </w:tabs>
            </w:pPr>
            <w:r w:rsidRPr="00EC5EF1">
              <w:t>12.8</w:t>
            </w:r>
          </w:p>
        </w:tc>
        <w:tc>
          <w:tcPr>
            <w:tcW w:w="1065" w:type="dxa"/>
            <w:tcBorders>
              <w:top w:val="nil"/>
              <w:left w:val="single" w:sz="4" w:space="0" w:color="A6A6A6" w:themeColor="background1" w:themeShade="A6"/>
              <w:bottom w:val="single" w:sz="4" w:space="0" w:color="A6A6A6" w:themeColor="background1" w:themeShade="A6"/>
              <w:right w:val="nil"/>
            </w:tcBorders>
          </w:tcPr>
          <w:p w14:paraId="01619A5E" w14:textId="77777777" w:rsidR="00740DA6" w:rsidRPr="00EC5EF1" w:rsidRDefault="00740DA6" w:rsidP="009A1402">
            <w:pPr>
              <w:pStyle w:val="TableText"/>
              <w:keepNext/>
              <w:tabs>
                <w:tab w:val="decimal" w:pos="604"/>
              </w:tabs>
            </w:pPr>
            <w:r w:rsidRPr="00EC5EF1">
              <w:t>122</w:t>
            </w:r>
          </w:p>
        </w:tc>
        <w:tc>
          <w:tcPr>
            <w:tcW w:w="1065" w:type="dxa"/>
            <w:tcBorders>
              <w:top w:val="nil"/>
              <w:left w:val="nil"/>
              <w:bottom w:val="single" w:sz="4" w:space="0" w:color="A6A6A6" w:themeColor="background1" w:themeShade="A6"/>
              <w:right w:val="nil"/>
            </w:tcBorders>
          </w:tcPr>
          <w:p w14:paraId="186BA992" w14:textId="77777777" w:rsidR="00740DA6" w:rsidRPr="00EC5EF1" w:rsidRDefault="00740DA6" w:rsidP="009A1402">
            <w:pPr>
              <w:pStyle w:val="TableText"/>
              <w:keepNext/>
              <w:tabs>
                <w:tab w:val="decimal" w:pos="468"/>
              </w:tabs>
            </w:pPr>
            <w:r w:rsidRPr="00EC5EF1">
              <w:t>23.2</w:t>
            </w:r>
          </w:p>
        </w:tc>
      </w:tr>
      <w:tr w:rsidR="00740DA6" w:rsidRPr="00EC5EF1" w14:paraId="3787E2DF" w14:textId="77777777" w:rsidTr="009A1402">
        <w:trPr>
          <w:cantSplit/>
        </w:trPr>
        <w:tc>
          <w:tcPr>
            <w:tcW w:w="169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58065959" w14:textId="77777777" w:rsidR="00740DA6" w:rsidRPr="00EC5EF1" w:rsidRDefault="00740DA6" w:rsidP="009A1402">
            <w:pPr>
              <w:pStyle w:val="TableText"/>
            </w:pPr>
            <w:r w:rsidRPr="00EC5EF1">
              <w:t>Pacific</w:t>
            </w:r>
          </w:p>
        </w:tc>
        <w:tc>
          <w:tcPr>
            <w:tcW w:w="106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069EA10C" w14:textId="77777777" w:rsidR="00740DA6" w:rsidRPr="00EC5EF1" w:rsidRDefault="00740DA6" w:rsidP="009A1402">
            <w:pPr>
              <w:pStyle w:val="TableText"/>
              <w:tabs>
                <w:tab w:val="decimal" w:pos="582"/>
              </w:tabs>
            </w:pPr>
            <w:r w:rsidRPr="00EC5EF1">
              <w:t>7</w:t>
            </w:r>
          </w:p>
        </w:tc>
        <w:tc>
          <w:tcPr>
            <w:tcW w:w="106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0E950A8D" w14:textId="77777777" w:rsidR="00740DA6" w:rsidRPr="00EC5EF1" w:rsidRDefault="00740DA6" w:rsidP="009A1402">
            <w:pPr>
              <w:pStyle w:val="TableText"/>
              <w:tabs>
                <w:tab w:val="decimal" w:pos="591"/>
              </w:tabs>
            </w:pPr>
            <w:r w:rsidRPr="00EC5EF1">
              <w:t>81</w:t>
            </w:r>
          </w:p>
        </w:tc>
        <w:tc>
          <w:tcPr>
            <w:tcW w:w="1065"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06C277C0" w14:textId="77777777" w:rsidR="00740DA6" w:rsidRPr="00EC5EF1" w:rsidRDefault="00740DA6" w:rsidP="009A1402">
            <w:pPr>
              <w:pStyle w:val="TableText"/>
              <w:tabs>
                <w:tab w:val="decimal" w:pos="561"/>
              </w:tabs>
            </w:pPr>
            <w:r w:rsidRPr="00EC5EF1">
              <w:t>17</w:t>
            </w:r>
          </w:p>
        </w:tc>
        <w:tc>
          <w:tcPr>
            <w:tcW w:w="106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6D78C0E3" w14:textId="77777777" w:rsidR="00740DA6" w:rsidRPr="00EC5EF1" w:rsidRDefault="00740DA6" w:rsidP="009A1402">
            <w:pPr>
              <w:pStyle w:val="TableText"/>
              <w:tabs>
                <w:tab w:val="decimal" w:pos="517"/>
              </w:tabs>
            </w:pPr>
            <w:r w:rsidRPr="00EC5EF1">
              <w:t>6.4</w:t>
            </w:r>
          </w:p>
        </w:tc>
        <w:tc>
          <w:tcPr>
            <w:tcW w:w="1065"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4C8CB0E3" w14:textId="77777777" w:rsidR="00740DA6" w:rsidRPr="00EC5EF1" w:rsidRDefault="00740DA6" w:rsidP="009A1402">
            <w:pPr>
              <w:pStyle w:val="TableText"/>
              <w:tabs>
                <w:tab w:val="decimal" w:pos="604"/>
              </w:tabs>
            </w:pPr>
            <w:r w:rsidRPr="00EC5EF1">
              <w:t>24</w:t>
            </w:r>
          </w:p>
        </w:tc>
        <w:tc>
          <w:tcPr>
            <w:tcW w:w="1065" w:type="dxa"/>
            <w:tcBorders>
              <w:top w:val="single" w:sz="4" w:space="0" w:color="A6A6A6" w:themeColor="background1" w:themeShade="A6"/>
              <w:left w:val="nil"/>
              <w:bottom w:val="single" w:sz="4" w:space="0" w:color="A6A6A6" w:themeColor="background1" w:themeShade="A6"/>
              <w:right w:val="nil"/>
            </w:tcBorders>
          </w:tcPr>
          <w:p w14:paraId="4C6AC802" w14:textId="77777777" w:rsidR="00740DA6" w:rsidRPr="00EC5EF1" w:rsidRDefault="00740DA6" w:rsidP="009A1402">
            <w:pPr>
              <w:pStyle w:val="TableText"/>
              <w:tabs>
                <w:tab w:val="decimal" w:pos="468"/>
              </w:tabs>
            </w:pPr>
            <w:r w:rsidRPr="00EC5EF1">
              <w:t>9.9</w:t>
            </w:r>
          </w:p>
        </w:tc>
      </w:tr>
      <w:tr w:rsidR="00740DA6" w:rsidRPr="00EC5EF1" w14:paraId="1A7E48D4" w14:textId="77777777" w:rsidTr="009A1402">
        <w:trPr>
          <w:cantSplit/>
        </w:trPr>
        <w:tc>
          <w:tcPr>
            <w:tcW w:w="169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73175F4C" w14:textId="77777777" w:rsidR="00740DA6" w:rsidRPr="00EC5EF1" w:rsidRDefault="00740DA6" w:rsidP="009A1402">
            <w:pPr>
              <w:pStyle w:val="TableText"/>
            </w:pPr>
            <w:r w:rsidRPr="00EC5EF1">
              <w:t>Other</w:t>
            </w:r>
          </w:p>
        </w:tc>
        <w:tc>
          <w:tcPr>
            <w:tcW w:w="106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62AFE217" w14:textId="77777777" w:rsidR="00740DA6" w:rsidRPr="00EC5EF1" w:rsidRDefault="00740DA6" w:rsidP="009A1402">
            <w:pPr>
              <w:pStyle w:val="TableText"/>
              <w:tabs>
                <w:tab w:val="decimal" w:pos="582"/>
              </w:tabs>
            </w:pPr>
            <w:r w:rsidRPr="00EC5EF1">
              <w:t>144</w:t>
            </w:r>
          </w:p>
        </w:tc>
        <w:tc>
          <w:tcPr>
            <w:tcW w:w="106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10817363" w14:textId="77777777" w:rsidR="00740DA6" w:rsidRPr="00EC5EF1" w:rsidRDefault="00740DA6" w:rsidP="009A1402">
            <w:pPr>
              <w:pStyle w:val="TableText"/>
              <w:tabs>
                <w:tab w:val="decimal" w:pos="591"/>
              </w:tabs>
            </w:pPr>
            <w:r w:rsidRPr="00EC5EF1">
              <w:t>138.4</w:t>
            </w:r>
          </w:p>
        </w:tc>
        <w:tc>
          <w:tcPr>
            <w:tcW w:w="1065"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51344713" w14:textId="77777777" w:rsidR="00740DA6" w:rsidRPr="00EC5EF1" w:rsidRDefault="00740DA6" w:rsidP="009A1402">
            <w:pPr>
              <w:pStyle w:val="TableText"/>
              <w:tabs>
                <w:tab w:val="decimal" w:pos="561"/>
              </w:tabs>
            </w:pPr>
            <w:r w:rsidRPr="00EC5EF1">
              <w:t>186</w:t>
            </w:r>
          </w:p>
        </w:tc>
        <w:tc>
          <w:tcPr>
            <w:tcW w:w="106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5D9780E3" w14:textId="77777777" w:rsidR="00740DA6" w:rsidRPr="00EC5EF1" w:rsidRDefault="00740DA6" w:rsidP="009A1402">
            <w:pPr>
              <w:pStyle w:val="TableText"/>
              <w:tabs>
                <w:tab w:val="decimal" w:pos="517"/>
              </w:tabs>
            </w:pPr>
            <w:r w:rsidRPr="00EC5EF1">
              <w:t>5.6</w:t>
            </w:r>
          </w:p>
        </w:tc>
        <w:tc>
          <w:tcPr>
            <w:tcW w:w="1065"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18386E44" w14:textId="77777777" w:rsidR="00740DA6" w:rsidRPr="00EC5EF1" w:rsidRDefault="00740DA6" w:rsidP="009A1402">
            <w:pPr>
              <w:pStyle w:val="TableText"/>
              <w:tabs>
                <w:tab w:val="decimal" w:pos="604"/>
              </w:tabs>
            </w:pPr>
            <w:r w:rsidRPr="00EC5EF1">
              <w:t>330</w:t>
            </w:r>
          </w:p>
        </w:tc>
        <w:tc>
          <w:tcPr>
            <w:tcW w:w="1065" w:type="dxa"/>
            <w:tcBorders>
              <w:top w:val="single" w:sz="4" w:space="0" w:color="A6A6A6" w:themeColor="background1" w:themeShade="A6"/>
              <w:left w:val="nil"/>
              <w:bottom w:val="single" w:sz="4" w:space="0" w:color="A6A6A6" w:themeColor="background1" w:themeShade="A6"/>
              <w:right w:val="nil"/>
            </w:tcBorders>
          </w:tcPr>
          <w:p w14:paraId="47EAEC76" w14:textId="77777777" w:rsidR="00740DA6" w:rsidRPr="00EC5EF1" w:rsidRDefault="00740DA6" w:rsidP="009A1402">
            <w:pPr>
              <w:pStyle w:val="TableText"/>
              <w:tabs>
                <w:tab w:val="decimal" w:pos="468"/>
              </w:tabs>
            </w:pPr>
            <w:r w:rsidRPr="00EC5EF1">
              <w:t>9.9</w:t>
            </w:r>
          </w:p>
        </w:tc>
      </w:tr>
      <w:tr w:rsidR="00740DA6" w:rsidRPr="009A1402" w14:paraId="2B4F1123" w14:textId="77777777" w:rsidTr="009A1402">
        <w:trPr>
          <w:cantSplit/>
        </w:trPr>
        <w:tc>
          <w:tcPr>
            <w:tcW w:w="169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79BCBE4F" w14:textId="77777777" w:rsidR="00740DA6" w:rsidRPr="009A1402" w:rsidRDefault="00740DA6" w:rsidP="009A1402">
            <w:pPr>
              <w:pStyle w:val="TableText"/>
              <w:rPr>
                <w:b/>
              </w:rPr>
            </w:pPr>
            <w:r w:rsidRPr="009A1402">
              <w:rPr>
                <w:b/>
              </w:rPr>
              <w:t>Total</w:t>
            </w:r>
          </w:p>
        </w:tc>
        <w:tc>
          <w:tcPr>
            <w:tcW w:w="106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58DDDFF9" w14:textId="77777777" w:rsidR="00740DA6" w:rsidRPr="009A1402" w:rsidRDefault="00740DA6" w:rsidP="009A1402">
            <w:pPr>
              <w:pStyle w:val="TableText"/>
              <w:tabs>
                <w:tab w:val="decimal" w:pos="582"/>
              </w:tabs>
              <w:rPr>
                <w:b/>
              </w:rPr>
            </w:pPr>
            <w:r w:rsidRPr="009A1402">
              <w:rPr>
                <w:b/>
              </w:rPr>
              <w:t>201</w:t>
            </w:r>
          </w:p>
        </w:tc>
        <w:tc>
          <w:tcPr>
            <w:tcW w:w="106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52E63649" w14:textId="77777777" w:rsidR="00740DA6" w:rsidRPr="009A1402" w:rsidRDefault="00740DA6" w:rsidP="009A1402">
            <w:pPr>
              <w:pStyle w:val="TableText"/>
              <w:tabs>
                <w:tab w:val="decimal" w:pos="591"/>
              </w:tabs>
              <w:rPr>
                <w:b/>
              </w:rPr>
            </w:pPr>
            <w:r w:rsidRPr="009A1402">
              <w:rPr>
                <w:b/>
              </w:rPr>
              <w:t>128.3</w:t>
            </w:r>
          </w:p>
        </w:tc>
        <w:tc>
          <w:tcPr>
            <w:tcW w:w="1065"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64BD7EC3" w14:textId="77777777" w:rsidR="00740DA6" w:rsidRPr="009A1402" w:rsidRDefault="00740DA6" w:rsidP="009A1402">
            <w:pPr>
              <w:pStyle w:val="TableText"/>
              <w:tabs>
                <w:tab w:val="decimal" w:pos="561"/>
              </w:tabs>
              <w:rPr>
                <w:b/>
              </w:rPr>
            </w:pPr>
            <w:r w:rsidRPr="009A1402">
              <w:rPr>
                <w:b/>
              </w:rPr>
              <w:t>275</w:t>
            </w:r>
          </w:p>
        </w:tc>
        <w:tc>
          <w:tcPr>
            <w:tcW w:w="106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54B4DC6D" w14:textId="77777777" w:rsidR="00740DA6" w:rsidRPr="009A1402" w:rsidRDefault="00740DA6" w:rsidP="009A1402">
            <w:pPr>
              <w:pStyle w:val="TableText"/>
              <w:tabs>
                <w:tab w:val="decimal" w:pos="517"/>
              </w:tabs>
              <w:rPr>
                <w:b/>
              </w:rPr>
            </w:pPr>
            <w:r w:rsidRPr="009A1402">
              <w:rPr>
                <w:b/>
              </w:rPr>
              <w:t>6.9</w:t>
            </w:r>
          </w:p>
        </w:tc>
        <w:tc>
          <w:tcPr>
            <w:tcW w:w="1065"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3979166B" w14:textId="77777777" w:rsidR="00740DA6" w:rsidRPr="009A1402" w:rsidRDefault="00740DA6" w:rsidP="009A1402">
            <w:pPr>
              <w:pStyle w:val="TableText"/>
              <w:tabs>
                <w:tab w:val="decimal" w:pos="604"/>
              </w:tabs>
              <w:rPr>
                <w:b/>
              </w:rPr>
            </w:pPr>
            <w:r w:rsidRPr="009A1402">
              <w:rPr>
                <w:b/>
              </w:rPr>
              <w:t>476</w:t>
            </w:r>
          </w:p>
        </w:tc>
        <w:tc>
          <w:tcPr>
            <w:tcW w:w="1065" w:type="dxa"/>
            <w:tcBorders>
              <w:top w:val="single" w:sz="4" w:space="0" w:color="A6A6A6" w:themeColor="background1" w:themeShade="A6"/>
              <w:left w:val="nil"/>
              <w:bottom w:val="single" w:sz="4" w:space="0" w:color="A6A6A6" w:themeColor="background1" w:themeShade="A6"/>
              <w:right w:val="nil"/>
            </w:tcBorders>
          </w:tcPr>
          <w:p w14:paraId="755DD205" w14:textId="77777777" w:rsidR="00740DA6" w:rsidRPr="009A1402" w:rsidRDefault="00740DA6" w:rsidP="009A1402">
            <w:pPr>
              <w:pStyle w:val="TableText"/>
              <w:tabs>
                <w:tab w:val="decimal" w:pos="468"/>
              </w:tabs>
              <w:rPr>
                <w:b/>
              </w:rPr>
            </w:pPr>
            <w:r w:rsidRPr="009A1402">
              <w:rPr>
                <w:b/>
              </w:rPr>
              <w:t>11.5</w:t>
            </w:r>
          </w:p>
        </w:tc>
      </w:tr>
    </w:tbl>
    <w:p w14:paraId="1351475B" w14:textId="77777777" w:rsidR="00740DA6" w:rsidRPr="00EC5EF1" w:rsidRDefault="00740DA6" w:rsidP="009A1402">
      <w:pPr>
        <w:pStyle w:val="Note"/>
      </w:pPr>
      <w:r w:rsidRPr="00EC5EF1">
        <w:t>Note: ASR = Age-standardised rate.</w:t>
      </w:r>
    </w:p>
    <w:p w14:paraId="302B2728" w14:textId="77777777" w:rsidR="00740DA6" w:rsidRPr="00EC5EF1" w:rsidRDefault="00740DA6" w:rsidP="009A1402">
      <w:pPr>
        <w:pStyle w:val="Source"/>
      </w:pPr>
      <w:r w:rsidRPr="00EC5EF1">
        <w:t>Source: Ministry of Health mortality database data, extracted on 28 June 2018</w:t>
      </w:r>
    </w:p>
    <w:p w14:paraId="0289ECBF" w14:textId="77777777" w:rsidR="00740DA6" w:rsidRPr="00EC5EF1" w:rsidRDefault="00740DA6" w:rsidP="009A1402"/>
    <w:p w14:paraId="2189D363" w14:textId="77777777" w:rsidR="00740DA6" w:rsidRPr="00EC5EF1" w:rsidRDefault="00740DA6" w:rsidP="00BB2F7A">
      <w:pPr>
        <w:pStyle w:val="Heading4"/>
      </w:pPr>
      <w:r w:rsidRPr="00EC5EF1">
        <w:t>Service users who died by suicide during 2015</w:t>
      </w:r>
    </w:p>
    <w:p w14:paraId="3F7F3D54" w14:textId="16A59800" w:rsidR="00740DA6" w:rsidRDefault="00740DA6" w:rsidP="00BB2F7A">
      <w:r w:rsidRPr="00EC5EF1">
        <w:t>Of the 201 service users who died by suicide in 2015, one died while an inpatient,</w:t>
      </w:r>
      <w:r w:rsidR="00BB2F7A">
        <w:rPr>
          <w:rStyle w:val="FootnoteReference"/>
        </w:rPr>
        <w:footnoteReference w:id="49"/>
      </w:r>
      <w:r w:rsidR="00BB2F7A">
        <w:t xml:space="preserve"> </w:t>
      </w:r>
      <w:r w:rsidRPr="00EC5EF1">
        <w:t>six died within a week of being discharged</w:t>
      </w:r>
      <w:r w:rsidR="00BB2F7A">
        <w:rPr>
          <w:rStyle w:val="FootnoteReference"/>
        </w:rPr>
        <w:footnoteReference w:id="50"/>
      </w:r>
      <w:r w:rsidR="00BB2F7A">
        <w:t xml:space="preserve"> </w:t>
      </w:r>
      <w:r w:rsidRPr="00EC5EF1">
        <w:t>and 53 died within 12 months of discharge.</w:t>
      </w:r>
      <w:r w:rsidR="00BB2F7A">
        <w:rPr>
          <w:rStyle w:val="FootnoteReference"/>
        </w:rPr>
        <w:footnoteReference w:id="51"/>
      </w:r>
    </w:p>
    <w:p w14:paraId="69C4F7E9" w14:textId="77777777" w:rsidR="00BB2F7A" w:rsidRPr="00BB2F7A" w:rsidRDefault="00BB2F7A" w:rsidP="00BB2F7A"/>
    <w:p w14:paraId="0F609A7B" w14:textId="77777777" w:rsidR="00740DA6" w:rsidRPr="00EC5EF1" w:rsidRDefault="00740DA6" w:rsidP="00BB2F7A">
      <w:pPr>
        <w:pStyle w:val="Heading4"/>
      </w:pPr>
      <w:r w:rsidRPr="00EC5EF1">
        <w:t>An overview of service users dying by suicide, 2001–2015</w:t>
      </w:r>
    </w:p>
    <w:p w14:paraId="081327CB" w14:textId="0938CE98" w:rsidR="00740DA6" w:rsidRPr="00EC5EF1" w:rsidRDefault="00740DA6" w:rsidP="00BB2F7A">
      <w:r w:rsidRPr="00EC5EF1">
        <w:t>From 2001 to 2015, 2,615 service users died by suicide.</w:t>
      </w:r>
      <w:r w:rsidR="00BB2F7A">
        <w:rPr>
          <w:rStyle w:val="FootnoteReference"/>
        </w:rPr>
        <w:footnoteReference w:id="52"/>
      </w:r>
      <w:r w:rsidR="00BB2F7A">
        <w:t xml:space="preserve"> </w:t>
      </w:r>
      <w:r w:rsidRPr="00EC5EF1">
        <w:t>Of this total, 50 service users (nearly 2 percent) died while inpatients, 171 (nearly 7 percent) died within a week of being discharged and 768 (nearly 29 percent) died within 12 months of</w:t>
      </w:r>
      <w:r w:rsidR="00DE0BB2">
        <w:t xml:space="preserve"> </w:t>
      </w:r>
      <w:r w:rsidRPr="00EC5EF1">
        <w:t>discharge.</w:t>
      </w:r>
    </w:p>
    <w:p w14:paraId="263384A7" w14:textId="77777777" w:rsidR="00BB2F7A" w:rsidRDefault="00BB2F7A" w:rsidP="00BB2F7A"/>
    <w:p w14:paraId="61EA58AE" w14:textId="77777777" w:rsidR="00740DA6" w:rsidRDefault="00740DA6" w:rsidP="00BB2F7A">
      <w:r w:rsidRPr="00EC5EF1">
        <w:lastRenderedPageBreak/>
        <w:t>Of the 2,615 service user suicides, 2,577 people had received treatment from a specialist service community team in the 12 months before their death, and 614 had received treatment from a specialist AOD team in the 12 months before their death.</w:t>
      </w:r>
    </w:p>
    <w:p w14:paraId="2174BDE1" w14:textId="77777777" w:rsidR="00BB2F7A" w:rsidRPr="00EC5EF1" w:rsidRDefault="00BB2F7A" w:rsidP="00BB2F7A"/>
    <w:p w14:paraId="7659056A" w14:textId="415D47E4" w:rsidR="00740DA6" w:rsidRPr="00EC5EF1" w:rsidRDefault="00740DA6" w:rsidP="00BB2F7A">
      <w:pPr>
        <w:pStyle w:val="Heading2"/>
      </w:pPr>
      <w:bookmarkStart w:id="130" w:name="_Toc2845684"/>
      <w:r w:rsidRPr="00EC5EF1">
        <w:t>Specialist</w:t>
      </w:r>
      <w:r w:rsidR="00DE0BB2">
        <w:t xml:space="preserve"> </w:t>
      </w:r>
      <w:r w:rsidRPr="00EC5EF1">
        <w:t>treatment regimes</w:t>
      </w:r>
      <w:bookmarkEnd w:id="130"/>
    </w:p>
    <w:p w14:paraId="5031BD86" w14:textId="77777777" w:rsidR="00740DA6" w:rsidRPr="00EC5EF1" w:rsidRDefault="00740DA6" w:rsidP="00BB2F7A">
      <w:pPr>
        <w:pStyle w:val="Heading3"/>
      </w:pPr>
      <w:bookmarkStart w:id="131" w:name="_Toc2845685"/>
      <w:r w:rsidRPr="00EC5EF1">
        <w:t>Opioid substitution treatment</w:t>
      </w:r>
      <w:bookmarkEnd w:id="131"/>
    </w:p>
    <w:p w14:paraId="1F40AE00" w14:textId="1D8C29BE" w:rsidR="00740DA6" w:rsidRPr="00EC5EF1" w:rsidRDefault="00740DA6" w:rsidP="00BB2F7A">
      <w:r w:rsidRPr="00EC5EF1">
        <w:rPr>
          <w:noProof/>
          <w:lang w:eastAsia="en-NZ"/>
        </w:rPr>
        <w:drawing>
          <wp:anchor distT="0" distB="0" distL="0" distR="0" simplePos="0" relativeHeight="251797504" behindDoc="0" locked="0" layoutInCell="1" allowOverlap="1" wp14:anchorId="585BC36F" wp14:editId="252A2415">
            <wp:simplePos x="0" y="0"/>
            <wp:positionH relativeFrom="page">
              <wp:posOffset>8060163</wp:posOffset>
            </wp:positionH>
            <wp:positionV relativeFrom="paragraph">
              <wp:posOffset>818496</wp:posOffset>
            </wp:positionV>
            <wp:extent cx="155575" cy="155575"/>
            <wp:effectExtent l="0" t="0" r="0" b="0"/>
            <wp:wrapNone/>
            <wp:docPr id="35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Opioid substitution treatment (OST) is a service that prescribes opioids, such as methadone and buprenorphine with naloxone (</w:t>
      </w:r>
      <w:proofErr w:type="spellStart"/>
      <w:r w:rsidRPr="00EC5EF1">
        <w:t>Suboxone</w:t>
      </w:r>
      <w:proofErr w:type="spellEnd"/>
      <w:r w:rsidRPr="00EC5EF1">
        <w:t>), as a substitute for illicit opioids. It is a well-established treatment that ensures that people with opioid dependence have access to comprehensive services to support them in their recovery. One of the key priorities of OST is to improve the physical and psychological health and wellbeing of the people who use</w:t>
      </w:r>
      <w:r w:rsidR="00DE0BB2">
        <w:t xml:space="preserve"> </w:t>
      </w:r>
      <w:r w:rsidRPr="00EC5EF1">
        <w:t>opioids.</w:t>
      </w:r>
    </w:p>
    <w:p w14:paraId="16A537F5" w14:textId="77777777" w:rsidR="00BB2F7A" w:rsidRDefault="00BB2F7A" w:rsidP="00BB2F7A"/>
    <w:p w14:paraId="0F5FF432" w14:textId="77777777" w:rsidR="00740DA6" w:rsidRPr="00EC5EF1" w:rsidRDefault="00740DA6" w:rsidP="00BB2F7A">
      <w:r w:rsidRPr="00EC5EF1">
        <w:t>In 2017:</w:t>
      </w:r>
    </w:p>
    <w:p w14:paraId="6F27CC7F" w14:textId="77777777" w:rsidR="00740DA6" w:rsidRPr="00EC5EF1" w:rsidRDefault="00740DA6" w:rsidP="00BB2F7A">
      <w:pPr>
        <w:pStyle w:val="Bullet"/>
      </w:pPr>
      <w:r w:rsidRPr="00EC5EF1">
        <w:t>5,538 people received OST</w:t>
      </w:r>
    </w:p>
    <w:p w14:paraId="64DD1607" w14:textId="1E9A54E8" w:rsidR="00740DA6" w:rsidRPr="00EC5EF1" w:rsidRDefault="00740DA6" w:rsidP="00BB2F7A">
      <w:pPr>
        <w:pStyle w:val="Bullet"/>
      </w:pPr>
      <w:r w:rsidRPr="00EC5EF1">
        <w:t>80 percent of these people were New Zealand European, 14 percent were Māori, 1</w:t>
      </w:r>
      <w:r w:rsidR="00BB2F7A">
        <w:t> </w:t>
      </w:r>
      <w:r w:rsidRPr="00EC5EF1">
        <w:t>percent were Pacific peoples and 5 percent were of another ethnicity</w:t>
      </w:r>
    </w:p>
    <w:p w14:paraId="10A2E7FB" w14:textId="34DDA253" w:rsidR="00740DA6" w:rsidRPr="00BB2F7A" w:rsidRDefault="00740DA6" w:rsidP="00BB2F7A">
      <w:pPr>
        <w:pStyle w:val="Bullet"/>
      </w:pPr>
      <w:proofErr w:type="gramStart"/>
      <w:r w:rsidRPr="00EC5EF1">
        <w:t>approximately</w:t>
      </w:r>
      <w:proofErr w:type="gramEnd"/>
      <w:r w:rsidRPr="00EC5EF1">
        <w:t xml:space="preserve"> 28 percent of people receiving OST were being treated by a GP in a shared-care arrangement.</w:t>
      </w:r>
      <w:r w:rsidR="00BB2F7A">
        <w:rPr>
          <w:rStyle w:val="FootnoteReference"/>
        </w:rPr>
        <w:footnoteReference w:id="53"/>
      </w:r>
    </w:p>
    <w:p w14:paraId="54AA4F11" w14:textId="77777777" w:rsidR="00740DA6" w:rsidRPr="00EC5EF1" w:rsidRDefault="00740DA6" w:rsidP="00BB2F7A"/>
    <w:p w14:paraId="07E4D618" w14:textId="77777777" w:rsidR="00740DA6" w:rsidRPr="00EC5EF1" w:rsidRDefault="00740DA6" w:rsidP="00BB2F7A">
      <w:r w:rsidRPr="00EC5EF1">
        <w:t>The Director of Mental Health is responsible for approving qualified practitioners to prescribe controlled drugs for the treatment of drug dependence under section 24 of the Misuse of Drugs Act 1975. For this purpose, the Director undertakes regular site visits, focusing on building relationships and improving service quality.</w:t>
      </w:r>
    </w:p>
    <w:p w14:paraId="31E5A8FB" w14:textId="77777777" w:rsidR="00740DA6" w:rsidRPr="00EC5EF1" w:rsidRDefault="00740DA6" w:rsidP="00BB2F7A"/>
    <w:p w14:paraId="0AA28F29" w14:textId="7B363E6D" w:rsidR="00740DA6" w:rsidRDefault="00740DA6" w:rsidP="00BB2F7A">
      <w:r w:rsidRPr="00EC5EF1">
        <w:t>In 2016, the Office authorised medical practitioners to prescribe controlled drugs for addiction treatment to include nurse practitioners, registered nurse prescribers working in mental health and pharmacist prescribers. The benefits include greater</w:t>
      </w:r>
      <w:r w:rsidR="00BB2F7A">
        <w:t xml:space="preserve"> </w:t>
      </w:r>
      <w:r w:rsidRPr="00EC5EF1">
        <w:t>availability and flexibility of prescribers for treating addiction and more timely access.</w:t>
      </w:r>
    </w:p>
    <w:p w14:paraId="6B05C5FE" w14:textId="77777777" w:rsidR="00BB2F7A" w:rsidRPr="00EC5EF1" w:rsidRDefault="00BB2F7A" w:rsidP="00BB2F7A"/>
    <w:p w14:paraId="195AC5C1" w14:textId="77777777" w:rsidR="00740DA6" w:rsidRPr="00EC5EF1" w:rsidRDefault="00740DA6" w:rsidP="00BB2F7A">
      <w:pPr>
        <w:pStyle w:val="Heading4"/>
      </w:pPr>
      <w:r w:rsidRPr="00EC5EF1">
        <w:t>Service improvements</w:t>
      </w:r>
    </w:p>
    <w:p w14:paraId="4A6136E2" w14:textId="77777777" w:rsidR="00740DA6" w:rsidRPr="00EC5EF1" w:rsidRDefault="00740DA6" w:rsidP="00BB2F7A">
      <w:r w:rsidRPr="00EC5EF1">
        <w:t>The Specialist Opioid Substitution Treatment (OST) Service Audit and Review Tool sets out clinical audit requirements to ensure best treatment and services for clients and their family/whānau (see Ministry of Health 2014b). The Ministry audits services based on indicators from two key documents:</w:t>
      </w:r>
    </w:p>
    <w:p w14:paraId="0E8357AB" w14:textId="77777777" w:rsidR="00740DA6" w:rsidRPr="00EC5EF1" w:rsidRDefault="00740DA6" w:rsidP="00BB2F7A">
      <w:pPr>
        <w:pStyle w:val="Bullet"/>
      </w:pPr>
      <w:r w:rsidRPr="00D83D0A">
        <w:rPr>
          <w:i/>
        </w:rPr>
        <w:t>New Zealand Practice Guidelines for Opioid Substitution Treatment</w:t>
      </w:r>
      <w:r w:rsidRPr="00EC5EF1">
        <w:t xml:space="preserve"> (Ministry of Health 2014a)</w:t>
      </w:r>
    </w:p>
    <w:p w14:paraId="5FC6ED3F" w14:textId="77777777" w:rsidR="00740DA6" w:rsidRPr="00EC5EF1" w:rsidRDefault="00740DA6" w:rsidP="00BB2F7A">
      <w:pPr>
        <w:pStyle w:val="Bullet"/>
      </w:pPr>
      <w:r w:rsidRPr="00D83D0A">
        <w:rPr>
          <w:i/>
        </w:rPr>
        <w:t>National Guidelines: Interim methadone prescribing</w:t>
      </w:r>
      <w:r w:rsidRPr="00EC5EF1">
        <w:t xml:space="preserve"> (Ministry of Health 2007).</w:t>
      </w:r>
    </w:p>
    <w:p w14:paraId="57899EC7" w14:textId="77777777" w:rsidR="00BB2F7A" w:rsidRDefault="00BB2F7A" w:rsidP="00BB2F7A"/>
    <w:p w14:paraId="6D887794" w14:textId="5CB70D19" w:rsidR="00740DA6" w:rsidRPr="00EC5EF1" w:rsidRDefault="00740DA6" w:rsidP="00BB2F7A">
      <w:r w:rsidRPr="00EC5EF1">
        <w:rPr>
          <w:noProof/>
          <w:lang w:eastAsia="en-NZ"/>
        </w:rPr>
        <w:lastRenderedPageBreak/>
        <w:drawing>
          <wp:anchor distT="0" distB="0" distL="0" distR="0" simplePos="0" relativeHeight="251799552" behindDoc="0" locked="0" layoutInCell="1" allowOverlap="1" wp14:anchorId="43843414" wp14:editId="757E5F41">
            <wp:simplePos x="0" y="0"/>
            <wp:positionH relativeFrom="page">
              <wp:posOffset>8060163</wp:posOffset>
            </wp:positionH>
            <wp:positionV relativeFrom="paragraph">
              <wp:posOffset>290456</wp:posOffset>
            </wp:positionV>
            <wp:extent cx="155575" cy="155575"/>
            <wp:effectExtent l="0" t="0" r="0" b="0"/>
            <wp:wrapNone/>
            <wp:docPr id="36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The Ministry has initiated a rolling programme of OST service audits to support ongoing quality improvement. All services were expected have completed an audit by July 2018.</w:t>
      </w:r>
    </w:p>
    <w:p w14:paraId="559D1BB9" w14:textId="77777777" w:rsidR="00BB2F7A" w:rsidRDefault="00BB2F7A" w:rsidP="00BB2F7A"/>
    <w:p w14:paraId="276065F9" w14:textId="77777777" w:rsidR="00740DA6" w:rsidRDefault="00740DA6" w:rsidP="00BB2F7A">
      <w:r w:rsidRPr="00EC5EF1">
        <w:t>To ensure the best possible health outcomes for service users, the health sector must place greater emphasis on managing coexisting medical and mental health problems and focus on integrating primary and specialist health services (Ministry of Health 2012e).</w:t>
      </w:r>
    </w:p>
    <w:p w14:paraId="073D6379" w14:textId="77777777" w:rsidR="00BB2F7A" w:rsidRPr="00EC5EF1" w:rsidRDefault="00BB2F7A" w:rsidP="00BB2F7A"/>
    <w:p w14:paraId="3834C904" w14:textId="77777777" w:rsidR="00740DA6" w:rsidRPr="00EC5EF1" w:rsidRDefault="00740DA6" w:rsidP="007753C8">
      <w:pPr>
        <w:pStyle w:val="Heading4"/>
      </w:pPr>
      <w:r w:rsidRPr="00EC5EF1">
        <w:t>The ageing population of opioid substitution treatment clients</w:t>
      </w:r>
    </w:p>
    <w:p w14:paraId="5C1063D6" w14:textId="32D2B100" w:rsidR="00740DA6" w:rsidRPr="00EC5EF1" w:rsidRDefault="00740DA6" w:rsidP="007753C8">
      <w:r w:rsidRPr="00EC5EF1">
        <w:t>OST clients are an ageing population; those over 45 years of age are the most likely to be receiving treatment. In 2017, 61.1 percent of clients were over 45 years old, with only two services nationally having less than 50 percent of their clients over that age (see Figure</w:t>
      </w:r>
      <w:r w:rsidR="007753C8">
        <w:t> </w:t>
      </w:r>
      <w:r w:rsidRPr="00EC5EF1">
        <w:t>35).</w:t>
      </w:r>
    </w:p>
    <w:p w14:paraId="7BD2EA38" w14:textId="77777777" w:rsidR="00740DA6" w:rsidRPr="00EC5EF1" w:rsidRDefault="00740DA6" w:rsidP="00740DA6">
      <w:pPr>
        <w:rPr>
          <w:sz w:val="20"/>
        </w:rPr>
      </w:pPr>
    </w:p>
    <w:p w14:paraId="243FA3F9" w14:textId="77777777" w:rsidR="00740DA6" w:rsidRDefault="00740DA6" w:rsidP="007753C8">
      <w:pPr>
        <w:pStyle w:val="Figure"/>
      </w:pPr>
      <w:bookmarkStart w:id="132" w:name="_Toc2845737"/>
      <w:r w:rsidRPr="00EC5EF1">
        <w:t>Figure 35: Number of opioid substitution treatment clients, by age-group, 2008–2017</w:t>
      </w:r>
      <w:bookmarkEnd w:id="132"/>
    </w:p>
    <w:p w14:paraId="57DD111C" w14:textId="4FF2FFF2" w:rsidR="007753C8" w:rsidRPr="007753C8" w:rsidRDefault="00A20F1B" w:rsidP="007753C8">
      <w:r>
        <w:rPr>
          <w:noProof/>
          <w:lang w:eastAsia="en-NZ"/>
        </w:rPr>
        <w:drawing>
          <wp:inline distT="0" distB="0" distL="0" distR="0" wp14:anchorId="3851C819" wp14:editId="26E72898">
            <wp:extent cx="5130165" cy="2282266"/>
            <wp:effectExtent l="0" t="0" r="0" b="3810"/>
            <wp:docPr id="49" name="Picture 49" title="Figure 35: Number of opioid substitution treatment clients, by age-group, 2008–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130165" cy="2282266"/>
                    </a:xfrm>
                    <a:prstGeom prst="rect">
                      <a:avLst/>
                    </a:prstGeom>
                  </pic:spPr>
                </pic:pic>
              </a:graphicData>
            </a:graphic>
          </wp:inline>
        </w:drawing>
      </w:r>
    </w:p>
    <w:p w14:paraId="4B5AEC00" w14:textId="77777777" w:rsidR="00740DA6" w:rsidRDefault="00740DA6" w:rsidP="007753C8">
      <w:pPr>
        <w:pStyle w:val="Source"/>
      </w:pPr>
      <w:r w:rsidRPr="00EC5EF1">
        <w:t>Source: Data provided by OST services in six-monthly reports</w:t>
      </w:r>
    </w:p>
    <w:p w14:paraId="59C9D264" w14:textId="77777777" w:rsidR="007753C8" w:rsidRPr="007753C8" w:rsidRDefault="007753C8" w:rsidP="007753C8"/>
    <w:p w14:paraId="7A1CA379" w14:textId="77777777" w:rsidR="00740DA6" w:rsidRPr="00EC5EF1" w:rsidRDefault="00740DA6" w:rsidP="007753C8">
      <w:pPr>
        <w:pStyle w:val="Heading4"/>
      </w:pPr>
      <w:r w:rsidRPr="00EC5EF1">
        <w:t>Shared care with general practice</w:t>
      </w:r>
    </w:p>
    <w:p w14:paraId="37B8533E" w14:textId="77777777" w:rsidR="00740DA6" w:rsidRDefault="00740DA6" w:rsidP="007753C8">
      <w:r w:rsidRPr="00EC5EF1">
        <w:t>Specialist addiction services and primary health care teams provide OST services in New Zealand. Transferring care to a shared-care arrangement with primary health care offers a lot of benefits, including allowing specialist services to focus on those with the highest need and normalising the treatment process. Ensuring that services are delivered seamlessly across providers will be an important focus in the future.</w:t>
      </w:r>
    </w:p>
    <w:p w14:paraId="2E991B00" w14:textId="77777777" w:rsidR="007753C8" w:rsidRPr="00EC5EF1" w:rsidRDefault="007753C8" w:rsidP="007753C8"/>
    <w:p w14:paraId="355E35C9" w14:textId="0C194564" w:rsidR="00740DA6" w:rsidRPr="00EC5EF1" w:rsidRDefault="00740DA6" w:rsidP="007753C8">
      <w:pPr>
        <w:pStyle w:val="Heading4"/>
      </w:pPr>
      <w:r w:rsidRPr="00EC5EF1">
        <w:rPr>
          <w:noProof/>
          <w:lang w:eastAsia="en-NZ"/>
        </w:rPr>
        <w:drawing>
          <wp:anchor distT="0" distB="0" distL="0" distR="0" simplePos="0" relativeHeight="251801600" behindDoc="0" locked="0" layoutInCell="1" allowOverlap="1" wp14:anchorId="08631151" wp14:editId="4087BBB6">
            <wp:simplePos x="0" y="0"/>
            <wp:positionH relativeFrom="page">
              <wp:posOffset>8060163</wp:posOffset>
            </wp:positionH>
            <wp:positionV relativeFrom="paragraph">
              <wp:posOffset>206085</wp:posOffset>
            </wp:positionV>
            <wp:extent cx="155575" cy="155575"/>
            <wp:effectExtent l="0" t="0" r="0" b="0"/>
            <wp:wrapNone/>
            <wp:docPr id="36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Corrections opioid substitution treatment shared care model</w:t>
      </w:r>
    </w:p>
    <w:p w14:paraId="56AD4162" w14:textId="60651AB7" w:rsidR="00740DA6" w:rsidRDefault="00740DA6" w:rsidP="00CF0327">
      <w:pPr>
        <w:keepNext/>
      </w:pPr>
      <w:r w:rsidRPr="00EC5EF1">
        <w:t>When a person receiving OST goes to prison, the Department of Corrections ensures that the person continues to receive OST services, including psychosocial support and treatment from specialist services. Figure 36 presents a comparison of the number</w:t>
      </w:r>
      <w:r w:rsidR="00434E22">
        <w:t xml:space="preserve"> </w:t>
      </w:r>
      <w:r w:rsidRPr="00EC5EF1">
        <w:t xml:space="preserve">of </w:t>
      </w:r>
      <w:r w:rsidRPr="00EC5EF1">
        <w:lastRenderedPageBreak/>
        <w:t>people receiving OST from a specialist service, general practice or prison service between 2008 and 2017.</w:t>
      </w:r>
    </w:p>
    <w:p w14:paraId="42AD8C37" w14:textId="77777777" w:rsidR="007753C8" w:rsidRPr="00EC5EF1" w:rsidRDefault="007753C8" w:rsidP="00CF0327">
      <w:pPr>
        <w:keepNext/>
      </w:pPr>
    </w:p>
    <w:p w14:paraId="4FB22218" w14:textId="77777777" w:rsidR="00740DA6" w:rsidRPr="00EC5EF1" w:rsidRDefault="00740DA6" w:rsidP="007753C8">
      <w:pPr>
        <w:pStyle w:val="Figure"/>
      </w:pPr>
      <w:bookmarkStart w:id="133" w:name="_Toc2845738"/>
      <w:r w:rsidRPr="00EC5EF1">
        <w:t>Figure 36: Number of people receiving opioid substitution treatment from a specialist service, general practice or prison service, 2008–2017</w:t>
      </w:r>
      <w:bookmarkEnd w:id="133"/>
    </w:p>
    <w:p w14:paraId="253E8172" w14:textId="134DF5CF" w:rsidR="007F22A0" w:rsidRDefault="00CF0327" w:rsidP="007753C8">
      <w:r>
        <w:rPr>
          <w:noProof/>
          <w:lang w:eastAsia="en-NZ"/>
        </w:rPr>
        <w:drawing>
          <wp:inline distT="0" distB="0" distL="0" distR="0" wp14:anchorId="30DBCA3C" wp14:editId="153BE38C">
            <wp:extent cx="5130165" cy="2841870"/>
            <wp:effectExtent l="0" t="0" r="0" b="0"/>
            <wp:docPr id="50" name="Picture 50" title="Figure 36: Number of people receiving opioid substitution treatment from a specialist service, general practice or prison service, 2008–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130165" cy="2841870"/>
                    </a:xfrm>
                    <a:prstGeom prst="rect">
                      <a:avLst/>
                    </a:prstGeom>
                  </pic:spPr>
                </pic:pic>
              </a:graphicData>
            </a:graphic>
          </wp:inline>
        </w:drawing>
      </w:r>
    </w:p>
    <w:p w14:paraId="7C788C30" w14:textId="77777777" w:rsidR="00740DA6" w:rsidRPr="00EC5EF1" w:rsidRDefault="00740DA6" w:rsidP="007753C8">
      <w:pPr>
        <w:pStyle w:val="Source"/>
      </w:pPr>
      <w:r w:rsidRPr="00EC5EF1">
        <w:t>Source: Data provided by OST services in six-monthly reports</w:t>
      </w:r>
    </w:p>
    <w:p w14:paraId="37A706AC" w14:textId="77777777" w:rsidR="00740DA6" w:rsidRPr="00EC5EF1" w:rsidRDefault="00740DA6" w:rsidP="007753C8"/>
    <w:p w14:paraId="09B8C103" w14:textId="77777777" w:rsidR="00740DA6" w:rsidRPr="00EC5EF1" w:rsidRDefault="00740DA6" w:rsidP="007753C8">
      <w:r w:rsidRPr="00EC5EF1">
        <w:t>Since 2008, the number of clients accessing OST services typically increased by 70–150 clients per year. Between 2016 and 2017, the number of clients accessing OST services increased by 224.</w:t>
      </w:r>
    </w:p>
    <w:p w14:paraId="042BD674" w14:textId="77777777" w:rsidR="007753C8" w:rsidRDefault="007753C8" w:rsidP="007753C8"/>
    <w:p w14:paraId="0FD13C60" w14:textId="39684845" w:rsidR="00740DA6" w:rsidRPr="00EC5EF1" w:rsidRDefault="00740DA6" w:rsidP="007753C8">
      <w:r w:rsidRPr="00EC5EF1">
        <w:t>In 2017, 17 DHBs and one primary health organisation delivered OST services, thereby providing national coverage. The Ministry’s target for service provision is 50:50 between primary and specialist health care services. Nationwide, general practice currently delivers approximately 28 percent of OST, while specialist services deliver approximately 71</w:t>
      </w:r>
      <w:r w:rsidR="007753C8">
        <w:t> </w:t>
      </w:r>
      <w:r w:rsidRPr="00EC5EF1">
        <w:t>percent. Figure 37 presents the percentage of people receiving OST from specialist services and general practice by DHB in 2017.</w:t>
      </w:r>
    </w:p>
    <w:p w14:paraId="6905EFC3" w14:textId="77777777" w:rsidR="00740DA6" w:rsidRPr="00EC5EF1" w:rsidRDefault="00740DA6" w:rsidP="007753C8"/>
    <w:p w14:paraId="23CBF138" w14:textId="21BECA28" w:rsidR="00740DA6" w:rsidRPr="00EC5EF1" w:rsidRDefault="00740DA6" w:rsidP="007753C8">
      <w:pPr>
        <w:pStyle w:val="Figure"/>
      </w:pPr>
      <w:bookmarkStart w:id="134" w:name="_Toc2845739"/>
      <w:r w:rsidRPr="00EC5EF1">
        <w:lastRenderedPageBreak/>
        <w:t>Figure 37: Percentage of people receiving opioid substitution treatment from specialist services and general practice, by DHB, 1 January to 31 December 2017</w:t>
      </w:r>
      <w:bookmarkEnd w:id="134"/>
    </w:p>
    <w:p w14:paraId="609104D8" w14:textId="6E75746C" w:rsidR="007F22A0" w:rsidRDefault="00CF0327" w:rsidP="007753C8">
      <w:r>
        <w:rPr>
          <w:noProof/>
          <w:lang w:eastAsia="en-NZ"/>
        </w:rPr>
        <w:drawing>
          <wp:inline distT="0" distB="0" distL="0" distR="0" wp14:anchorId="2B004BDF" wp14:editId="34EF1448">
            <wp:extent cx="5130165" cy="3135101"/>
            <wp:effectExtent l="0" t="0" r="0" b="8255"/>
            <wp:docPr id="51" name="Picture 51" title="Figure 37: Percentage of people receiving opioid substitution treatment from specialist services and general practice, by DHB, 1 January to 31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130165" cy="3135101"/>
                    </a:xfrm>
                    <a:prstGeom prst="rect">
                      <a:avLst/>
                    </a:prstGeom>
                  </pic:spPr>
                </pic:pic>
              </a:graphicData>
            </a:graphic>
          </wp:inline>
        </w:drawing>
      </w:r>
    </w:p>
    <w:p w14:paraId="1C16373A" w14:textId="77777777" w:rsidR="00740DA6" w:rsidRDefault="00740DA6" w:rsidP="007753C8">
      <w:pPr>
        <w:pStyle w:val="Source"/>
      </w:pPr>
      <w:r w:rsidRPr="00EC5EF1">
        <w:t>Source: Data provided by OST services in six-monthly reports</w:t>
      </w:r>
    </w:p>
    <w:p w14:paraId="70A951C9" w14:textId="77777777" w:rsidR="007753C8" w:rsidRPr="007753C8" w:rsidRDefault="007753C8" w:rsidP="007753C8"/>
    <w:p w14:paraId="1B5164CC" w14:textId="77777777" w:rsidR="00740DA6" w:rsidRPr="00EC5EF1" w:rsidRDefault="00740DA6" w:rsidP="007753C8">
      <w:pPr>
        <w:pStyle w:val="Heading4"/>
      </w:pPr>
      <w:r w:rsidRPr="00EC5EF1">
        <w:t>Entry to and exit from opioid substitution treatment</w:t>
      </w:r>
    </w:p>
    <w:p w14:paraId="1C949D7C" w14:textId="77777777" w:rsidR="00740DA6" w:rsidRPr="00EC5EF1" w:rsidRDefault="00740DA6" w:rsidP="007753C8">
      <w:r w:rsidRPr="00EC5EF1">
        <w:t>OST is built on a model of recovery. It aims to assist people to stay well by building support structures that help them define and achieve their goals. We can track an individual’s entry into, involvement in and exit from OST to monitor their recovery.</w:t>
      </w:r>
    </w:p>
    <w:p w14:paraId="2AB37A3E" w14:textId="77777777" w:rsidR="007753C8" w:rsidRDefault="007753C8" w:rsidP="007753C8"/>
    <w:p w14:paraId="1DB530B7" w14:textId="5BF956DB" w:rsidR="00740DA6" w:rsidRPr="00EC5EF1" w:rsidRDefault="00740DA6" w:rsidP="007753C8">
      <w:r w:rsidRPr="00EC5EF1">
        <w:t>At the end of 2017, there were 310 voluntary withdrawals from OST (81 percent of all</w:t>
      </w:r>
      <w:r w:rsidR="00434E22">
        <w:t xml:space="preserve"> w</w:t>
      </w:r>
      <w:r w:rsidRPr="00EC5EF1">
        <w:t>ithdrawals during 2017). This is less than the previous year’s figure. During 2017, there were 27 involuntary withdrawals (7 percent of all withdrawals). Involuntary withdrawals are generally a result of behaviour that may have jeopardised the safety of the individual or others. The number of involuntary withdrawals has increased over the last two years (in 2016, there were 18; in 2015, there were 10), although</w:t>
      </w:r>
      <w:r w:rsidR="00434E22">
        <w:t xml:space="preserve"> </w:t>
      </w:r>
      <w:r w:rsidRPr="00EC5EF1">
        <w:t>this remains low compared with numbers before 2014 (see Figure 38).</w:t>
      </w:r>
    </w:p>
    <w:p w14:paraId="4B1A993F" w14:textId="77777777" w:rsidR="00740DA6" w:rsidRPr="00EC5EF1" w:rsidRDefault="00740DA6" w:rsidP="007753C8"/>
    <w:p w14:paraId="7A850215" w14:textId="02771FE2" w:rsidR="00740DA6" w:rsidRDefault="00740DA6" w:rsidP="007753C8">
      <w:r w:rsidRPr="00EC5EF1">
        <w:t xml:space="preserve">The remaining withdrawals during 2017 were due to service user deaths (48 people receiving OST from specialist treatment services died from a range of causes). This figure is lower than the previous year’s. Of the 48 deaths, only </w:t>
      </w:r>
      <w:r w:rsidR="007753C8">
        <w:t>three</w:t>
      </w:r>
      <w:r w:rsidRPr="00EC5EF1">
        <w:t xml:space="preserve"> were likely a result of overdose. When a client dies of a suspected overdose, the Ministry requires services to conduct an incident review and report on it to the Director of Mental Health.</w:t>
      </w:r>
    </w:p>
    <w:p w14:paraId="4265577E" w14:textId="77777777" w:rsidR="007753C8" w:rsidRPr="00EC5EF1" w:rsidRDefault="007753C8" w:rsidP="007753C8"/>
    <w:p w14:paraId="5BADE41A" w14:textId="07860234" w:rsidR="00740DA6" w:rsidRPr="00EC5EF1" w:rsidRDefault="00740DA6" w:rsidP="00434E22">
      <w:pPr>
        <w:pStyle w:val="Figure"/>
      </w:pPr>
      <w:bookmarkStart w:id="135" w:name="_Toc2845740"/>
      <w:r w:rsidRPr="00EC5EF1">
        <w:lastRenderedPageBreak/>
        <w:t>Figure 38: Percentage of withdrawals from opioid substitution treatment programmes, by reason (voluntary, involuntary or death), 2008–2017</w:t>
      </w:r>
      <w:bookmarkEnd w:id="135"/>
    </w:p>
    <w:p w14:paraId="4DACAC81" w14:textId="491EF01B" w:rsidR="007F22A0" w:rsidRDefault="00CF0327" w:rsidP="00434E22">
      <w:r>
        <w:rPr>
          <w:noProof/>
          <w:lang w:eastAsia="en-NZ"/>
        </w:rPr>
        <w:drawing>
          <wp:inline distT="0" distB="0" distL="0" distR="0" wp14:anchorId="42EE113A" wp14:editId="29C87830">
            <wp:extent cx="5130165" cy="2664288"/>
            <wp:effectExtent l="0" t="0" r="0" b="3175"/>
            <wp:docPr id="52" name="Picture 52" title="Figure 38: Percentage of withdrawals from opioid substitution treatment programmes, by reason (voluntary, involuntary or death), 2008–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130165" cy="2664288"/>
                    </a:xfrm>
                    <a:prstGeom prst="rect">
                      <a:avLst/>
                    </a:prstGeom>
                  </pic:spPr>
                </pic:pic>
              </a:graphicData>
            </a:graphic>
          </wp:inline>
        </w:drawing>
      </w:r>
    </w:p>
    <w:p w14:paraId="5EB3B9DE" w14:textId="77777777" w:rsidR="00740DA6" w:rsidRDefault="00740DA6" w:rsidP="007753C8">
      <w:pPr>
        <w:pStyle w:val="Source"/>
      </w:pPr>
      <w:r w:rsidRPr="00EC5EF1">
        <w:t>Source: Data provided by OST services in six-monthly reports</w:t>
      </w:r>
    </w:p>
    <w:p w14:paraId="44DA54BD" w14:textId="77777777" w:rsidR="007753C8" w:rsidRPr="007753C8" w:rsidRDefault="007753C8" w:rsidP="007753C8"/>
    <w:p w14:paraId="2FEE5237" w14:textId="3238F94E" w:rsidR="00740DA6" w:rsidRPr="00EC5EF1" w:rsidRDefault="00740DA6" w:rsidP="007753C8">
      <w:pPr>
        <w:pStyle w:val="Heading4"/>
      </w:pPr>
      <w:r w:rsidRPr="00EC5EF1">
        <w:rPr>
          <w:noProof/>
          <w:lang w:eastAsia="en-NZ"/>
        </w:rPr>
        <w:drawing>
          <wp:anchor distT="0" distB="0" distL="0" distR="0" simplePos="0" relativeHeight="251806720" behindDoc="0" locked="0" layoutInCell="1" allowOverlap="1" wp14:anchorId="4668604F" wp14:editId="4EC0E40D">
            <wp:simplePos x="0" y="0"/>
            <wp:positionH relativeFrom="page">
              <wp:posOffset>8060163</wp:posOffset>
            </wp:positionH>
            <wp:positionV relativeFrom="paragraph">
              <wp:posOffset>45924</wp:posOffset>
            </wp:positionV>
            <wp:extent cx="155575" cy="155575"/>
            <wp:effectExtent l="0" t="0" r="0" b="0"/>
            <wp:wrapNone/>
            <wp:docPr id="37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 xml:space="preserve">Methadone and </w:t>
      </w:r>
      <w:proofErr w:type="spellStart"/>
      <w:r w:rsidRPr="00EC5EF1">
        <w:t>Suboxone</w:t>
      </w:r>
      <w:proofErr w:type="spellEnd"/>
      <w:r w:rsidRPr="00EC5EF1">
        <w:t xml:space="preserve"> prescribing</w:t>
      </w:r>
    </w:p>
    <w:p w14:paraId="64D4D647" w14:textId="7C44EFB7" w:rsidR="00740DA6" w:rsidRDefault="00740DA6" w:rsidP="007753C8">
      <w:r w:rsidRPr="00EC5EF1">
        <w:t>Since July 2012, PHARMAC</w:t>
      </w:r>
      <w:r w:rsidR="007753C8">
        <w:rPr>
          <w:rStyle w:val="FootnoteReference"/>
        </w:rPr>
        <w:footnoteReference w:id="54"/>
      </w:r>
      <w:r w:rsidR="007753C8">
        <w:t xml:space="preserve"> </w:t>
      </w:r>
      <w:r w:rsidRPr="00EC5EF1">
        <w:t xml:space="preserve">has funded </w:t>
      </w:r>
      <w:proofErr w:type="spellStart"/>
      <w:r w:rsidRPr="00EC5EF1">
        <w:t>Suboxone</w:t>
      </w:r>
      <w:proofErr w:type="spellEnd"/>
      <w:r w:rsidRPr="00EC5EF1">
        <w:t xml:space="preserve"> for OST. Since then, there has been a steady increase in the number of people prescribed this opioid medicine. </w:t>
      </w:r>
      <w:proofErr w:type="spellStart"/>
      <w:r w:rsidRPr="00EC5EF1">
        <w:t>Suboxone</w:t>
      </w:r>
      <w:proofErr w:type="spellEnd"/>
      <w:r w:rsidRPr="00EC5EF1">
        <w:t xml:space="preserve"> lowers the risk of drug diversion, and its misuse is lower than that associated with methadone. In addition, </w:t>
      </w:r>
      <w:proofErr w:type="spellStart"/>
      <w:r w:rsidRPr="00EC5EF1">
        <w:t>Suboxone</w:t>
      </w:r>
      <w:proofErr w:type="spellEnd"/>
      <w:r w:rsidRPr="00EC5EF1">
        <w:t xml:space="preserve"> can be given in cumulative doses that last several days, which allows for a greater level of normality for clients, rather than the daily dosing regimen that is required with methadone.</w:t>
      </w:r>
    </w:p>
    <w:p w14:paraId="2F0EBF99" w14:textId="77777777" w:rsidR="007753C8" w:rsidRPr="00EC5EF1" w:rsidRDefault="007753C8" w:rsidP="007753C8"/>
    <w:p w14:paraId="542D5AE0" w14:textId="77777777" w:rsidR="00740DA6" w:rsidRDefault="00740DA6" w:rsidP="007753C8">
      <w:pPr>
        <w:pStyle w:val="Figure"/>
      </w:pPr>
      <w:bookmarkStart w:id="136" w:name="_Toc2845741"/>
      <w:r w:rsidRPr="00EC5EF1">
        <w:t xml:space="preserve">Figure 39: Number of people prescribed </w:t>
      </w:r>
      <w:proofErr w:type="spellStart"/>
      <w:r w:rsidRPr="00EC5EF1">
        <w:t>Suboxone</w:t>
      </w:r>
      <w:proofErr w:type="spellEnd"/>
      <w:r w:rsidRPr="00EC5EF1">
        <w:t>, 2008–2017</w:t>
      </w:r>
      <w:bookmarkEnd w:id="136"/>
    </w:p>
    <w:p w14:paraId="63D927A6" w14:textId="194737FF" w:rsidR="007753C8" w:rsidRPr="007753C8" w:rsidRDefault="00CF0327" w:rsidP="007753C8">
      <w:r>
        <w:rPr>
          <w:noProof/>
          <w:lang w:eastAsia="en-NZ"/>
        </w:rPr>
        <w:drawing>
          <wp:inline distT="0" distB="0" distL="0" distR="0" wp14:anchorId="5C3BEB08" wp14:editId="31A0277A">
            <wp:extent cx="5130165" cy="2418193"/>
            <wp:effectExtent l="0" t="0" r="0" b="1270"/>
            <wp:docPr id="53" name="Picture 53" title="Figure 39: Number of people prescribed Suboxone, 2008–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130165" cy="2418193"/>
                    </a:xfrm>
                    <a:prstGeom prst="rect">
                      <a:avLst/>
                    </a:prstGeom>
                  </pic:spPr>
                </pic:pic>
              </a:graphicData>
            </a:graphic>
          </wp:inline>
        </w:drawing>
      </w:r>
    </w:p>
    <w:p w14:paraId="11C718D9" w14:textId="754A2408" w:rsidR="00740DA6" w:rsidRPr="00EC5EF1" w:rsidRDefault="00740DA6" w:rsidP="007753C8">
      <w:pPr>
        <w:pStyle w:val="Source"/>
      </w:pPr>
      <w:r w:rsidRPr="00EC5EF1">
        <w:t>Source: Data provided by OST services in six-monthly reports</w:t>
      </w:r>
    </w:p>
    <w:p w14:paraId="0B82E74E" w14:textId="77777777" w:rsidR="007F22A0" w:rsidRDefault="007F22A0" w:rsidP="007753C8"/>
    <w:p w14:paraId="34B898E0" w14:textId="77777777" w:rsidR="00740DA6" w:rsidRPr="00EC5EF1" w:rsidRDefault="00740DA6" w:rsidP="007753C8">
      <w:pPr>
        <w:pStyle w:val="Heading3"/>
      </w:pPr>
      <w:bookmarkStart w:id="137" w:name="_Toc2845686"/>
      <w:r w:rsidRPr="00EC5EF1">
        <w:lastRenderedPageBreak/>
        <w:t>The Alcoholism and Drug Addiction Act 1966</w:t>
      </w:r>
      <w:bookmarkEnd w:id="137"/>
    </w:p>
    <w:p w14:paraId="28CD9547" w14:textId="77777777" w:rsidR="00740DA6" w:rsidRPr="00EC5EF1" w:rsidRDefault="00740DA6" w:rsidP="007753C8">
      <w:r w:rsidRPr="00EC5EF1">
        <w:t>The Alcoholism and Drug Addiction Act 1966 (the ADA Act) provides for people with severe substance dependence to receive compulsory detention and treatment for up to two years at certified institutions.</w:t>
      </w:r>
    </w:p>
    <w:p w14:paraId="7BAD3A5C" w14:textId="77777777" w:rsidR="007753C8" w:rsidRDefault="007753C8" w:rsidP="007753C8"/>
    <w:p w14:paraId="71E49EB4" w14:textId="77777777" w:rsidR="00740DA6" w:rsidRPr="00EC5EF1" w:rsidRDefault="00740DA6" w:rsidP="007753C8">
      <w:r w:rsidRPr="00EC5EF1">
        <w:t>In 2017:</w:t>
      </w:r>
    </w:p>
    <w:p w14:paraId="6AA95E64" w14:textId="77777777" w:rsidR="00740DA6" w:rsidRPr="00EC5EF1" w:rsidRDefault="00740DA6" w:rsidP="007753C8">
      <w:pPr>
        <w:pStyle w:val="Bullet"/>
      </w:pPr>
      <w:r w:rsidRPr="00EC5EF1">
        <w:t>the Family Court granted 16 orders for either detention or committal under the ADA Act</w:t>
      </w:r>
    </w:p>
    <w:p w14:paraId="7E971E08" w14:textId="1A6F6443" w:rsidR="00740DA6" w:rsidRPr="00EC5EF1" w:rsidRDefault="007753C8" w:rsidP="007753C8">
      <w:pPr>
        <w:pStyle w:val="Bullet"/>
      </w:pPr>
      <w:proofErr w:type="gramStart"/>
      <w:r>
        <w:t>four</w:t>
      </w:r>
      <w:proofErr w:type="gramEnd"/>
      <w:r w:rsidR="00740DA6" w:rsidRPr="00EC5EF1">
        <w:t xml:space="preserve"> of the granted orders were for voluntary detention (under section 8), and 12</w:t>
      </w:r>
      <w:r>
        <w:t> </w:t>
      </w:r>
      <w:r w:rsidR="00740DA6" w:rsidRPr="00EC5EF1">
        <w:t>were for involuntary committal (under section 9).</w:t>
      </w:r>
    </w:p>
    <w:p w14:paraId="3E662FDD" w14:textId="77777777" w:rsidR="007753C8" w:rsidRDefault="007753C8" w:rsidP="007753C8"/>
    <w:p w14:paraId="066814D7" w14:textId="77777777" w:rsidR="00740DA6" w:rsidRPr="00EC5EF1" w:rsidRDefault="00740DA6" w:rsidP="007753C8">
      <w:r w:rsidRPr="00EC5EF1">
        <w:t>Section 8 of the ADA Act allows a person who is dependent on alcohol or another drug to voluntarily apply to the Family Court for detention in a specified institution certified under the ADA Act. Section 9 of the ADA Act applies when another person (such as a relative or the Police) makes an application to the Family Court for the person to be committed to a specified institution certified under the ADA Act. Section 9 applications must be accompanied by two medical certificates.</w:t>
      </w:r>
    </w:p>
    <w:p w14:paraId="7146FCBC" w14:textId="77777777" w:rsidR="007753C8" w:rsidRDefault="007753C8" w:rsidP="007753C8"/>
    <w:p w14:paraId="61F4405D" w14:textId="77777777" w:rsidR="00740DA6" w:rsidRPr="00EC5EF1" w:rsidRDefault="00740DA6" w:rsidP="007753C8">
      <w:r w:rsidRPr="00EC5EF1">
        <w:t>Table 17 details the outcomes of applications under the ADA Act to the Family Court since 2004, when the Ministry of Justice began to publish statistics on the use of the Act. Table 18 shows the number of orders granted for detention under section 8 and for committal under section 9 of the ADA Act since 2004.</w:t>
      </w:r>
    </w:p>
    <w:p w14:paraId="72561BD4" w14:textId="77777777" w:rsidR="00740DA6" w:rsidRPr="00EC5EF1" w:rsidRDefault="00740DA6" w:rsidP="000D4BB4"/>
    <w:p w14:paraId="6C76915E" w14:textId="58F9A1D6" w:rsidR="00740DA6" w:rsidRPr="00EC5EF1" w:rsidRDefault="00740DA6" w:rsidP="00434E22">
      <w:pPr>
        <w:pStyle w:val="Table"/>
      </w:pPr>
      <w:bookmarkStart w:id="138" w:name="_Toc2845761"/>
      <w:r w:rsidRPr="00EC5EF1">
        <w:rPr>
          <w:noProof/>
          <w:lang w:eastAsia="en-NZ"/>
        </w:rPr>
        <w:drawing>
          <wp:anchor distT="0" distB="0" distL="0" distR="0" simplePos="0" relativeHeight="251808768" behindDoc="0" locked="0" layoutInCell="1" allowOverlap="1" wp14:anchorId="36109FF6" wp14:editId="7BC263C8">
            <wp:simplePos x="0" y="0"/>
            <wp:positionH relativeFrom="page">
              <wp:posOffset>8060163</wp:posOffset>
            </wp:positionH>
            <wp:positionV relativeFrom="paragraph">
              <wp:posOffset>13967</wp:posOffset>
            </wp:positionV>
            <wp:extent cx="155575" cy="155575"/>
            <wp:effectExtent l="0" t="0" r="0" b="0"/>
            <wp:wrapNone/>
            <wp:docPr id="38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Table 17: Number of applications for detention and committal under the ADA Act, by application outcome, 2004–2017</w:t>
      </w:r>
      <w:bookmarkEnd w:id="138"/>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577"/>
        <w:gridCol w:w="577"/>
        <w:gridCol w:w="577"/>
        <w:gridCol w:w="577"/>
        <w:gridCol w:w="577"/>
        <w:gridCol w:w="577"/>
        <w:gridCol w:w="578"/>
        <w:gridCol w:w="577"/>
        <w:gridCol w:w="577"/>
        <w:gridCol w:w="577"/>
        <w:gridCol w:w="577"/>
        <w:gridCol w:w="577"/>
        <w:gridCol w:w="577"/>
        <w:gridCol w:w="578"/>
      </w:tblGrid>
      <w:tr w:rsidR="00740DA6" w:rsidRPr="007753C8" w14:paraId="6E968926" w14:textId="77777777" w:rsidTr="000D4BB4">
        <w:trPr>
          <w:cantSplit/>
        </w:trPr>
        <w:tc>
          <w:tcPr>
            <w:tcW w:w="577" w:type="dxa"/>
            <w:tcBorders>
              <w:top w:val="nil"/>
              <w:bottom w:val="nil"/>
            </w:tcBorders>
            <w:shd w:val="clear" w:color="auto" w:fill="D9D9D9" w:themeFill="background1" w:themeFillShade="D9"/>
          </w:tcPr>
          <w:p w14:paraId="59B36CF1" w14:textId="77777777" w:rsidR="00740DA6" w:rsidRPr="007753C8" w:rsidRDefault="00740DA6" w:rsidP="007753C8">
            <w:pPr>
              <w:pStyle w:val="TableText"/>
              <w:jc w:val="center"/>
              <w:rPr>
                <w:b/>
              </w:rPr>
            </w:pPr>
            <w:r w:rsidRPr="007753C8">
              <w:rPr>
                <w:b/>
              </w:rPr>
              <w:t>2004</w:t>
            </w:r>
          </w:p>
        </w:tc>
        <w:tc>
          <w:tcPr>
            <w:tcW w:w="577" w:type="dxa"/>
            <w:tcBorders>
              <w:top w:val="nil"/>
              <w:bottom w:val="nil"/>
            </w:tcBorders>
            <w:shd w:val="clear" w:color="auto" w:fill="D9D9D9" w:themeFill="background1" w:themeFillShade="D9"/>
          </w:tcPr>
          <w:p w14:paraId="536742C0" w14:textId="77777777" w:rsidR="00740DA6" w:rsidRPr="007753C8" w:rsidRDefault="00740DA6" w:rsidP="007753C8">
            <w:pPr>
              <w:pStyle w:val="TableText"/>
              <w:jc w:val="center"/>
              <w:rPr>
                <w:b/>
              </w:rPr>
            </w:pPr>
            <w:r w:rsidRPr="007753C8">
              <w:rPr>
                <w:b/>
              </w:rPr>
              <w:t>2005</w:t>
            </w:r>
          </w:p>
        </w:tc>
        <w:tc>
          <w:tcPr>
            <w:tcW w:w="577" w:type="dxa"/>
            <w:tcBorders>
              <w:top w:val="nil"/>
              <w:bottom w:val="nil"/>
            </w:tcBorders>
            <w:shd w:val="clear" w:color="auto" w:fill="D9D9D9" w:themeFill="background1" w:themeFillShade="D9"/>
          </w:tcPr>
          <w:p w14:paraId="3B789A7D" w14:textId="77777777" w:rsidR="00740DA6" w:rsidRPr="007753C8" w:rsidRDefault="00740DA6" w:rsidP="007753C8">
            <w:pPr>
              <w:pStyle w:val="TableText"/>
              <w:jc w:val="center"/>
              <w:rPr>
                <w:b/>
              </w:rPr>
            </w:pPr>
            <w:r w:rsidRPr="007753C8">
              <w:rPr>
                <w:b/>
              </w:rPr>
              <w:t>2006</w:t>
            </w:r>
          </w:p>
        </w:tc>
        <w:tc>
          <w:tcPr>
            <w:tcW w:w="577" w:type="dxa"/>
            <w:tcBorders>
              <w:top w:val="nil"/>
              <w:bottom w:val="nil"/>
            </w:tcBorders>
            <w:shd w:val="clear" w:color="auto" w:fill="D9D9D9" w:themeFill="background1" w:themeFillShade="D9"/>
          </w:tcPr>
          <w:p w14:paraId="1CCB85FA" w14:textId="77777777" w:rsidR="00740DA6" w:rsidRPr="007753C8" w:rsidRDefault="00740DA6" w:rsidP="007753C8">
            <w:pPr>
              <w:pStyle w:val="TableText"/>
              <w:jc w:val="center"/>
              <w:rPr>
                <w:b/>
              </w:rPr>
            </w:pPr>
            <w:r w:rsidRPr="007753C8">
              <w:rPr>
                <w:b/>
              </w:rPr>
              <w:t>2007</w:t>
            </w:r>
          </w:p>
        </w:tc>
        <w:tc>
          <w:tcPr>
            <w:tcW w:w="577" w:type="dxa"/>
            <w:tcBorders>
              <w:top w:val="nil"/>
              <w:bottom w:val="nil"/>
            </w:tcBorders>
            <w:shd w:val="clear" w:color="auto" w:fill="D9D9D9" w:themeFill="background1" w:themeFillShade="D9"/>
          </w:tcPr>
          <w:p w14:paraId="46DF961F" w14:textId="77777777" w:rsidR="00740DA6" w:rsidRPr="007753C8" w:rsidRDefault="00740DA6" w:rsidP="007753C8">
            <w:pPr>
              <w:pStyle w:val="TableText"/>
              <w:jc w:val="center"/>
              <w:rPr>
                <w:b/>
              </w:rPr>
            </w:pPr>
            <w:r w:rsidRPr="007753C8">
              <w:rPr>
                <w:b/>
              </w:rPr>
              <w:t>2008</w:t>
            </w:r>
          </w:p>
        </w:tc>
        <w:tc>
          <w:tcPr>
            <w:tcW w:w="577" w:type="dxa"/>
            <w:tcBorders>
              <w:top w:val="nil"/>
              <w:bottom w:val="nil"/>
            </w:tcBorders>
            <w:shd w:val="clear" w:color="auto" w:fill="D9D9D9" w:themeFill="background1" w:themeFillShade="D9"/>
          </w:tcPr>
          <w:p w14:paraId="0A8EF5FC" w14:textId="77777777" w:rsidR="00740DA6" w:rsidRPr="007753C8" w:rsidRDefault="00740DA6" w:rsidP="007753C8">
            <w:pPr>
              <w:pStyle w:val="TableText"/>
              <w:jc w:val="center"/>
              <w:rPr>
                <w:b/>
              </w:rPr>
            </w:pPr>
            <w:r w:rsidRPr="007753C8">
              <w:rPr>
                <w:b/>
              </w:rPr>
              <w:t>2009</w:t>
            </w:r>
          </w:p>
        </w:tc>
        <w:tc>
          <w:tcPr>
            <w:tcW w:w="578" w:type="dxa"/>
            <w:tcBorders>
              <w:top w:val="nil"/>
              <w:bottom w:val="nil"/>
            </w:tcBorders>
            <w:shd w:val="clear" w:color="auto" w:fill="D9D9D9" w:themeFill="background1" w:themeFillShade="D9"/>
          </w:tcPr>
          <w:p w14:paraId="297F8C68" w14:textId="77777777" w:rsidR="00740DA6" w:rsidRPr="007753C8" w:rsidRDefault="00740DA6" w:rsidP="007753C8">
            <w:pPr>
              <w:pStyle w:val="TableText"/>
              <w:jc w:val="center"/>
              <w:rPr>
                <w:b/>
              </w:rPr>
            </w:pPr>
            <w:r w:rsidRPr="007753C8">
              <w:rPr>
                <w:b/>
              </w:rPr>
              <w:t>2010</w:t>
            </w:r>
          </w:p>
        </w:tc>
        <w:tc>
          <w:tcPr>
            <w:tcW w:w="577" w:type="dxa"/>
            <w:tcBorders>
              <w:top w:val="nil"/>
              <w:bottom w:val="nil"/>
            </w:tcBorders>
            <w:shd w:val="clear" w:color="auto" w:fill="D9D9D9" w:themeFill="background1" w:themeFillShade="D9"/>
          </w:tcPr>
          <w:p w14:paraId="1D3A2CAD" w14:textId="77777777" w:rsidR="00740DA6" w:rsidRPr="007753C8" w:rsidRDefault="00740DA6" w:rsidP="007753C8">
            <w:pPr>
              <w:pStyle w:val="TableText"/>
              <w:jc w:val="center"/>
              <w:rPr>
                <w:b/>
              </w:rPr>
            </w:pPr>
            <w:r w:rsidRPr="007753C8">
              <w:rPr>
                <w:b/>
              </w:rPr>
              <w:t>2011</w:t>
            </w:r>
          </w:p>
        </w:tc>
        <w:tc>
          <w:tcPr>
            <w:tcW w:w="577" w:type="dxa"/>
            <w:tcBorders>
              <w:top w:val="nil"/>
              <w:bottom w:val="nil"/>
            </w:tcBorders>
            <w:shd w:val="clear" w:color="auto" w:fill="D9D9D9" w:themeFill="background1" w:themeFillShade="D9"/>
          </w:tcPr>
          <w:p w14:paraId="5BD0B9D8" w14:textId="77777777" w:rsidR="00740DA6" w:rsidRPr="007753C8" w:rsidRDefault="00740DA6" w:rsidP="007753C8">
            <w:pPr>
              <w:pStyle w:val="TableText"/>
              <w:jc w:val="center"/>
              <w:rPr>
                <w:b/>
              </w:rPr>
            </w:pPr>
            <w:r w:rsidRPr="007753C8">
              <w:rPr>
                <w:b/>
              </w:rPr>
              <w:t>2012</w:t>
            </w:r>
          </w:p>
        </w:tc>
        <w:tc>
          <w:tcPr>
            <w:tcW w:w="577" w:type="dxa"/>
            <w:tcBorders>
              <w:top w:val="nil"/>
              <w:bottom w:val="nil"/>
            </w:tcBorders>
            <w:shd w:val="clear" w:color="auto" w:fill="D9D9D9" w:themeFill="background1" w:themeFillShade="D9"/>
          </w:tcPr>
          <w:p w14:paraId="71767ADE" w14:textId="77777777" w:rsidR="00740DA6" w:rsidRPr="007753C8" w:rsidRDefault="00740DA6" w:rsidP="007753C8">
            <w:pPr>
              <w:pStyle w:val="TableText"/>
              <w:jc w:val="center"/>
              <w:rPr>
                <w:b/>
              </w:rPr>
            </w:pPr>
            <w:r w:rsidRPr="007753C8">
              <w:rPr>
                <w:b/>
              </w:rPr>
              <w:t>2013</w:t>
            </w:r>
          </w:p>
        </w:tc>
        <w:tc>
          <w:tcPr>
            <w:tcW w:w="577" w:type="dxa"/>
            <w:tcBorders>
              <w:top w:val="nil"/>
              <w:bottom w:val="nil"/>
            </w:tcBorders>
            <w:shd w:val="clear" w:color="auto" w:fill="D9D9D9" w:themeFill="background1" w:themeFillShade="D9"/>
          </w:tcPr>
          <w:p w14:paraId="695489F6" w14:textId="77777777" w:rsidR="00740DA6" w:rsidRPr="007753C8" w:rsidRDefault="00740DA6" w:rsidP="007753C8">
            <w:pPr>
              <w:pStyle w:val="TableText"/>
              <w:jc w:val="center"/>
              <w:rPr>
                <w:b/>
              </w:rPr>
            </w:pPr>
            <w:r w:rsidRPr="007753C8">
              <w:rPr>
                <w:b/>
              </w:rPr>
              <w:t>2014</w:t>
            </w:r>
          </w:p>
        </w:tc>
        <w:tc>
          <w:tcPr>
            <w:tcW w:w="577" w:type="dxa"/>
            <w:tcBorders>
              <w:top w:val="nil"/>
              <w:bottom w:val="nil"/>
            </w:tcBorders>
            <w:shd w:val="clear" w:color="auto" w:fill="D9D9D9" w:themeFill="background1" w:themeFillShade="D9"/>
          </w:tcPr>
          <w:p w14:paraId="6B3D912F" w14:textId="77777777" w:rsidR="00740DA6" w:rsidRPr="007753C8" w:rsidRDefault="00740DA6" w:rsidP="007753C8">
            <w:pPr>
              <w:pStyle w:val="TableText"/>
              <w:jc w:val="center"/>
              <w:rPr>
                <w:b/>
              </w:rPr>
            </w:pPr>
            <w:r w:rsidRPr="007753C8">
              <w:rPr>
                <w:b/>
              </w:rPr>
              <w:t>2015</w:t>
            </w:r>
          </w:p>
        </w:tc>
        <w:tc>
          <w:tcPr>
            <w:tcW w:w="577" w:type="dxa"/>
            <w:tcBorders>
              <w:top w:val="nil"/>
              <w:bottom w:val="nil"/>
            </w:tcBorders>
            <w:shd w:val="clear" w:color="auto" w:fill="D9D9D9" w:themeFill="background1" w:themeFillShade="D9"/>
          </w:tcPr>
          <w:p w14:paraId="33F7AAB7" w14:textId="77777777" w:rsidR="00740DA6" w:rsidRPr="007753C8" w:rsidRDefault="00740DA6" w:rsidP="007753C8">
            <w:pPr>
              <w:pStyle w:val="TableText"/>
              <w:jc w:val="center"/>
              <w:rPr>
                <w:b/>
              </w:rPr>
            </w:pPr>
            <w:r w:rsidRPr="007753C8">
              <w:rPr>
                <w:b/>
              </w:rPr>
              <w:t>2016</w:t>
            </w:r>
          </w:p>
        </w:tc>
        <w:tc>
          <w:tcPr>
            <w:tcW w:w="578" w:type="dxa"/>
            <w:tcBorders>
              <w:top w:val="nil"/>
              <w:bottom w:val="nil"/>
            </w:tcBorders>
            <w:shd w:val="clear" w:color="auto" w:fill="D9D9D9" w:themeFill="background1" w:themeFillShade="D9"/>
          </w:tcPr>
          <w:p w14:paraId="3F5D0506" w14:textId="77777777" w:rsidR="00740DA6" w:rsidRPr="007753C8" w:rsidRDefault="00740DA6" w:rsidP="007753C8">
            <w:pPr>
              <w:pStyle w:val="TableText"/>
              <w:jc w:val="center"/>
              <w:rPr>
                <w:b/>
              </w:rPr>
            </w:pPr>
            <w:r w:rsidRPr="007753C8">
              <w:rPr>
                <w:b/>
              </w:rPr>
              <w:t>2017</w:t>
            </w:r>
          </w:p>
        </w:tc>
      </w:tr>
      <w:tr w:rsidR="007753C8" w:rsidRPr="00EC5EF1" w14:paraId="02724E66" w14:textId="77777777" w:rsidTr="000D4BB4">
        <w:trPr>
          <w:cantSplit/>
        </w:trPr>
        <w:tc>
          <w:tcPr>
            <w:tcW w:w="8080" w:type="dxa"/>
            <w:gridSpan w:val="14"/>
            <w:tcBorders>
              <w:top w:val="nil"/>
              <w:bottom w:val="nil"/>
            </w:tcBorders>
          </w:tcPr>
          <w:p w14:paraId="05B16B69" w14:textId="5AA7EAB2" w:rsidR="007753C8" w:rsidRPr="00EC5EF1" w:rsidRDefault="007753C8" w:rsidP="007753C8">
            <w:pPr>
              <w:pStyle w:val="TableText"/>
            </w:pPr>
            <w:r w:rsidRPr="007753C8">
              <w:rPr>
                <w:b/>
              </w:rPr>
              <w:t>Applications granted or granted with consent</w:t>
            </w:r>
          </w:p>
        </w:tc>
      </w:tr>
      <w:tr w:rsidR="007753C8" w:rsidRPr="00EC5EF1" w14:paraId="108FBAE5" w14:textId="77777777" w:rsidTr="000D4BB4">
        <w:trPr>
          <w:cantSplit/>
        </w:trPr>
        <w:tc>
          <w:tcPr>
            <w:tcW w:w="577" w:type="dxa"/>
            <w:tcBorders>
              <w:top w:val="nil"/>
            </w:tcBorders>
          </w:tcPr>
          <w:p w14:paraId="6F9DE0E8" w14:textId="2705744B" w:rsidR="007753C8" w:rsidRPr="00EC5EF1" w:rsidRDefault="007753C8" w:rsidP="007753C8">
            <w:pPr>
              <w:pStyle w:val="TableText"/>
              <w:spacing w:before="0"/>
              <w:jc w:val="center"/>
            </w:pPr>
            <w:r>
              <w:rPr>
                <w:w w:val="105"/>
              </w:rPr>
              <w:t>72</w:t>
            </w:r>
          </w:p>
        </w:tc>
        <w:tc>
          <w:tcPr>
            <w:tcW w:w="577" w:type="dxa"/>
            <w:tcBorders>
              <w:top w:val="nil"/>
            </w:tcBorders>
          </w:tcPr>
          <w:p w14:paraId="16CA277C" w14:textId="174B3AA3" w:rsidR="007753C8" w:rsidRPr="00EC5EF1" w:rsidRDefault="007753C8" w:rsidP="007753C8">
            <w:pPr>
              <w:pStyle w:val="TableText"/>
              <w:spacing w:before="0"/>
              <w:jc w:val="center"/>
            </w:pPr>
            <w:r>
              <w:rPr>
                <w:w w:val="105"/>
              </w:rPr>
              <w:t>79</w:t>
            </w:r>
          </w:p>
        </w:tc>
        <w:tc>
          <w:tcPr>
            <w:tcW w:w="577" w:type="dxa"/>
            <w:tcBorders>
              <w:top w:val="nil"/>
            </w:tcBorders>
          </w:tcPr>
          <w:p w14:paraId="6459759E" w14:textId="3C154D71" w:rsidR="007753C8" w:rsidRPr="00EC5EF1" w:rsidRDefault="007753C8" w:rsidP="007753C8">
            <w:pPr>
              <w:pStyle w:val="TableText"/>
              <w:spacing w:before="0"/>
              <w:jc w:val="center"/>
            </w:pPr>
            <w:r>
              <w:rPr>
                <w:w w:val="105"/>
              </w:rPr>
              <w:t>77</w:t>
            </w:r>
          </w:p>
        </w:tc>
        <w:tc>
          <w:tcPr>
            <w:tcW w:w="577" w:type="dxa"/>
            <w:tcBorders>
              <w:top w:val="nil"/>
            </w:tcBorders>
          </w:tcPr>
          <w:p w14:paraId="570229BB" w14:textId="1848B3CE" w:rsidR="007753C8" w:rsidRPr="00EC5EF1" w:rsidRDefault="007753C8" w:rsidP="007753C8">
            <w:pPr>
              <w:pStyle w:val="TableText"/>
              <w:spacing w:before="0"/>
              <w:jc w:val="center"/>
            </w:pPr>
            <w:r>
              <w:rPr>
                <w:w w:val="105"/>
              </w:rPr>
              <w:t>71</w:t>
            </w:r>
          </w:p>
        </w:tc>
        <w:tc>
          <w:tcPr>
            <w:tcW w:w="577" w:type="dxa"/>
            <w:tcBorders>
              <w:top w:val="nil"/>
            </w:tcBorders>
          </w:tcPr>
          <w:p w14:paraId="0907C407" w14:textId="3826B1D0" w:rsidR="007753C8" w:rsidRPr="00EC5EF1" w:rsidRDefault="007753C8" w:rsidP="007753C8">
            <w:pPr>
              <w:pStyle w:val="TableText"/>
              <w:spacing w:before="0"/>
              <w:jc w:val="center"/>
            </w:pPr>
            <w:r>
              <w:rPr>
                <w:w w:val="105"/>
              </w:rPr>
              <w:t>75</w:t>
            </w:r>
          </w:p>
        </w:tc>
        <w:tc>
          <w:tcPr>
            <w:tcW w:w="577" w:type="dxa"/>
            <w:tcBorders>
              <w:top w:val="nil"/>
            </w:tcBorders>
          </w:tcPr>
          <w:p w14:paraId="09F7F2E6" w14:textId="3F805972" w:rsidR="007753C8" w:rsidRPr="00EC5EF1" w:rsidRDefault="007753C8" w:rsidP="007753C8">
            <w:pPr>
              <w:pStyle w:val="TableText"/>
              <w:spacing w:before="0"/>
              <w:jc w:val="center"/>
            </w:pPr>
            <w:r>
              <w:rPr>
                <w:w w:val="105"/>
              </w:rPr>
              <w:t>71</w:t>
            </w:r>
          </w:p>
        </w:tc>
        <w:tc>
          <w:tcPr>
            <w:tcW w:w="578" w:type="dxa"/>
            <w:tcBorders>
              <w:top w:val="nil"/>
            </w:tcBorders>
          </w:tcPr>
          <w:p w14:paraId="082E176F" w14:textId="39F43EEF" w:rsidR="007753C8" w:rsidRPr="00EC5EF1" w:rsidRDefault="007753C8" w:rsidP="007753C8">
            <w:pPr>
              <w:pStyle w:val="TableText"/>
              <w:spacing w:before="0"/>
              <w:jc w:val="center"/>
            </w:pPr>
            <w:r>
              <w:rPr>
                <w:w w:val="105"/>
              </w:rPr>
              <w:t>69</w:t>
            </w:r>
          </w:p>
        </w:tc>
        <w:tc>
          <w:tcPr>
            <w:tcW w:w="577" w:type="dxa"/>
            <w:tcBorders>
              <w:top w:val="nil"/>
            </w:tcBorders>
          </w:tcPr>
          <w:p w14:paraId="6B45A170" w14:textId="6A1F2C77" w:rsidR="007753C8" w:rsidRPr="00EC5EF1" w:rsidRDefault="007753C8" w:rsidP="007753C8">
            <w:pPr>
              <w:pStyle w:val="TableText"/>
              <w:spacing w:before="0"/>
              <w:jc w:val="center"/>
            </w:pPr>
            <w:r>
              <w:rPr>
                <w:w w:val="105"/>
              </w:rPr>
              <w:t>74</w:t>
            </w:r>
          </w:p>
        </w:tc>
        <w:tc>
          <w:tcPr>
            <w:tcW w:w="577" w:type="dxa"/>
            <w:tcBorders>
              <w:top w:val="nil"/>
            </w:tcBorders>
          </w:tcPr>
          <w:p w14:paraId="694F34A7" w14:textId="48F9C2AC" w:rsidR="007753C8" w:rsidRPr="00EC5EF1" w:rsidRDefault="007753C8" w:rsidP="007753C8">
            <w:pPr>
              <w:pStyle w:val="TableText"/>
              <w:spacing w:before="0"/>
              <w:jc w:val="center"/>
            </w:pPr>
            <w:r>
              <w:rPr>
                <w:w w:val="105"/>
              </w:rPr>
              <w:t>72</w:t>
            </w:r>
          </w:p>
        </w:tc>
        <w:tc>
          <w:tcPr>
            <w:tcW w:w="577" w:type="dxa"/>
            <w:tcBorders>
              <w:top w:val="nil"/>
            </w:tcBorders>
          </w:tcPr>
          <w:p w14:paraId="1EA3EB52" w14:textId="30AE1A79" w:rsidR="007753C8" w:rsidRPr="00EC5EF1" w:rsidRDefault="007753C8" w:rsidP="007753C8">
            <w:pPr>
              <w:pStyle w:val="TableText"/>
              <w:spacing w:before="0"/>
              <w:jc w:val="center"/>
            </w:pPr>
            <w:r>
              <w:rPr>
                <w:w w:val="105"/>
              </w:rPr>
              <w:t>74</w:t>
            </w:r>
          </w:p>
        </w:tc>
        <w:tc>
          <w:tcPr>
            <w:tcW w:w="577" w:type="dxa"/>
            <w:tcBorders>
              <w:top w:val="nil"/>
            </w:tcBorders>
          </w:tcPr>
          <w:p w14:paraId="11877DE9" w14:textId="223A7391" w:rsidR="007753C8" w:rsidRPr="00EC5EF1" w:rsidRDefault="007753C8" w:rsidP="007753C8">
            <w:pPr>
              <w:pStyle w:val="TableText"/>
              <w:spacing w:before="0"/>
              <w:jc w:val="center"/>
            </w:pPr>
            <w:r>
              <w:rPr>
                <w:w w:val="105"/>
              </w:rPr>
              <w:t>64</w:t>
            </w:r>
          </w:p>
        </w:tc>
        <w:tc>
          <w:tcPr>
            <w:tcW w:w="577" w:type="dxa"/>
            <w:tcBorders>
              <w:top w:val="nil"/>
            </w:tcBorders>
          </w:tcPr>
          <w:p w14:paraId="15F6144F" w14:textId="377052D3" w:rsidR="007753C8" w:rsidRPr="00EC5EF1" w:rsidRDefault="007753C8" w:rsidP="007753C8">
            <w:pPr>
              <w:pStyle w:val="TableText"/>
              <w:spacing w:before="0"/>
              <w:jc w:val="center"/>
            </w:pPr>
            <w:r>
              <w:rPr>
                <w:w w:val="105"/>
              </w:rPr>
              <w:t>59</w:t>
            </w:r>
          </w:p>
        </w:tc>
        <w:tc>
          <w:tcPr>
            <w:tcW w:w="577" w:type="dxa"/>
            <w:tcBorders>
              <w:top w:val="nil"/>
            </w:tcBorders>
          </w:tcPr>
          <w:p w14:paraId="1C75EB2D" w14:textId="6B2637A0" w:rsidR="007753C8" w:rsidRPr="00EC5EF1" w:rsidRDefault="007753C8" w:rsidP="007753C8">
            <w:pPr>
              <w:pStyle w:val="TableText"/>
              <w:spacing w:before="0"/>
              <w:jc w:val="center"/>
            </w:pPr>
            <w:r>
              <w:rPr>
                <w:w w:val="105"/>
              </w:rPr>
              <w:t>45</w:t>
            </w:r>
          </w:p>
        </w:tc>
        <w:tc>
          <w:tcPr>
            <w:tcW w:w="578" w:type="dxa"/>
            <w:tcBorders>
              <w:top w:val="nil"/>
            </w:tcBorders>
          </w:tcPr>
          <w:p w14:paraId="72CBD3F8" w14:textId="3430E033" w:rsidR="007753C8" w:rsidRPr="00EC5EF1" w:rsidRDefault="007753C8" w:rsidP="007753C8">
            <w:pPr>
              <w:pStyle w:val="TableText"/>
              <w:spacing w:before="0"/>
              <w:jc w:val="center"/>
            </w:pPr>
            <w:r>
              <w:rPr>
                <w:w w:val="105"/>
              </w:rPr>
              <w:t>16</w:t>
            </w:r>
          </w:p>
        </w:tc>
      </w:tr>
      <w:tr w:rsidR="007753C8" w:rsidRPr="00EC5EF1" w14:paraId="3F02B4AB" w14:textId="77777777" w:rsidTr="000D4BB4">
        <w:trPr>
          <w:cantSplit/>
        </w:trPr>
        <w:tc>
          <w:tcPr>
            <w:tcW w:w="8080" w:type="dxa"/>
            <w:gridSpan w:val="14"/>
            <w:tcBorders>
              <w:bottom w:val="nil"/>
            </w:tcBorders>
          </w:tcPr>
          <w:p w14:paraId="707B2336" w14:textId="1E5BCD35" w:rsidR="007753C8" w:rsidRPr="00EC5EF1" w:rsidRDefault="007753C8" w:rsidP="007753C8">
            <w:pPr>
              <w:pStyle w:val="TableText"/>
            </w:pPr>
            <w:r w:rsidRPr="007753C8">
              <w:rPr>
                <w:b/>
              </w:rPr>
              <w:t>Appli</w:t>
            </w:r>
            <w:r>
              <w:rPr>
                <w:b/>
              </w:rPr>
              <w:t>cations dismissed or struck out</w:t>
            </w:r>
          </w:p>
        </w:tc>
      </w:tr>
      <w:tr w:rsidR="007753C8" w:rsidRPr="00EC5EF1" w14:paraId="45A9D630" w14:textId="77777777" w:rsidTr="000D4BB4">
        <w:trPr>
          <w:cantSplit/>
        </w:trPr>
        <w:tc>
          <w:tcPr>
            <w:tcW w:w="577" w:type="dxa"/>
            <w:tcBorders>
              <w:top w:val="nil"/>
            </w:tcBorders>
          </w:tcPr>
          <w:p w14:paraId="0DA6C4DD" w14:textId="29041C12" w:rsidR="007753C8" w:rsidRPr="00EC5EF1" w:rsidRDefault="007753C8" w:rsidP="007753C8">
            <w:pPr>
              <w:pStyle w:val="TableText"/>
              <w:spacing w:before="0"/>
              <w:jc w:val="center"/>
            </w:pPr>
            <w:r>
              <w:rPr>
                <w:w w:val="102"/>
              </w:rPr>
              <w:t>5</w:t>
            </w:r>
          </w:p>
        </w:tc>
        <w:tc>
          <w:tcPr>
            <w:tcW w:w="577" w:type="dxa"/>
            <w:tcBorders>
              <w:top w:val="nil"/>
            </w:tcBorders>
          </w:tcPr>
          <w:p w14:paraId="51DB0383" w14:textId="1DB59923" w:rsidR="007753C8" w:rsidRPr="00EC5EF1" w:rsidRDefault="007753C8" w:rsidP="007753C8">
            <w:pPr>
              <w:pStyle w:val="TableText"/>
              <w:spacing w:before="0"/>
              <w:jc w:val="center"/>
            </w:pPr>
            <w:r>
              <w:rPr>
                <w:w w:val="102"/>
              </w:rPr>
              <w:t>3</w:t>
            </w:r>
          </w:p>
        </w:tc>
        <w:tc>
          <w:tcPr>
            <w:tcW w:w="577" w:type="dxa"/>
            <w:tcBorders>
              <w:top w:val="nil"/>
            </w:tcBorders>
          </w:tcPr>
          <w:p w14:paraId="5A229F64" w14:textId="5AC088D6" w:rsidR="007753C8" w:rsidRPr="00EC5EF1" w:rsidRDefault="007753C8" w:rsidP="007753C8">
            <w:pPr>
              <w:pStyle w:val="TableText"/>
              <w:spacing w:before="0"/>
              <w:jc w:val="center"/>
            </w:pPr>
            <w:r>
              <w:rPr>
                <w:w w:val="102"/>
              </w:rPr>
              <w:t>4</w:t>
            </w:r>
          </w:p>
        </w:tc>
        <w:tc>
          <w:tcPr>
            <w:tcW w:w="577" w:type="dxa"/>
            <w:tcBorders>
              <w:top w:val="nil"/>
            </w:tcBorders>
          </w:tcPr>
          <w:p w14:paraId="7D49A142" w14:textId="274E71A1" w:rsidR="007753C8" w:rsidRPr="00EC5EF1" w:rsidRDefault="007753C8" w:rsidP="007753C8">
            <w:pPr>
              <w:pStyle w:val="TableText"/>
              <w:spacing w:before="0"/>
              <w:jc w:val="center"/>
            </w:pPr>
            <w:r>
              <w:rPr>
                <w:w w:val="102"/>
              </w:rPr>
              <w:t>1</w:t>
            </w:r>
          </w:p>
        </w:tc>
        <w:tc>
          <w:tcPr>
            <w:tcW w:w="577" w:type="dxa"/>
            <w:tcBorders>
              <w:top w:val="nil"/>
            </w:tcBorders>
          </w:tcPr>
          <w:p w14:paraId="0CBC4A54" w14:textId="0769F8F2" w:rsidR="007753C8" w:rsidRPr="00EC5EF1" w:rsidRDefault="007753C8" w:rsidP="007753C8">
            <w:pPr>
              <w:pStyle w:val="TableText"/>
              <w:spacing w:before="0"/>
              <w:jc w:val="center"/>
            </w:pPr>
            <w:r>
              <w:rPr>
                <w:w w:val="102"/>
              </w:rPr>
              <w:t>2</w:t>
            </w:r>
          </w:p>
        </w:tc>
        <w:tc>
          <w:tcPr>
            <w:tcW w:w="577" w:type="dxa"/>
            <w:tcBorders>
              <w:top w:val="nil"/>
            </w:tcBorders>
          </w:tcPr>
          <w:p w14:paraId="2E7C3AD4" w14:textId="07800C06" w:rsidR="007753C8" w:rsidRPr="00EC5EF1" w:rsidRDefault="007753C8" w:rsidP="007753C8">
            <w:pPr>
              <w:pStyle w:val="TableText"/>
              <w:spacing w:before="0"/>
              <w:jc w:val="center"/>
            </w:pPr>
            <w:r>
              <w:rPr>
                <w:w w:val="102"/>
              </w:rPr>
              <w:t>3</w:t>
            </w:r>
          </w:p>
        </w:tc>
        <w:tc>
          <w:tcPr>
            <w:tcW w:w="578" w:type="dxa"/>
            <w:tcBorders>
              <w:top w:val="nil"/>
            </w:tcBorders>
          </w:tcPr>
          <w:p w14:paraId="6EE9A756" w14:textId="5659E6D2" w:rsidR="007753C8" w:rsidRPr="00EC5EF1" w:rsidRDefault="007753C8" w:rsidP="007753C8">
            <w:pPr>
              <w:pStyle w:val="TableText"/>
              <w:spacing w:before="0"/>
              <w:jc w:val="center"/>
            </w:pPr>
            <w:r>
              <w:rPr>
                <w:w w:val="102"/>
              </w:rPr>
              <w:t>3</w:t>
            </w:r>
          </w:p>
        </w:tc>
        <w:tc>
          <w:tcPr>
            <w:tcW w:w="577" w:type="dxa"/>
            <w:tcBorders>
              <w:top w:val="nil"/>
            </w:tcBorders>
          </w:tcPr>
          <w:p w14:paraId="14C583A8" w14:textId="51F8D94F" w:rsidR="007753C8" w:rsidRPr="00EC5EF1" w:rsidRDefault="007753C8" w:rsidP="007753C8">
            <w:pPr>
              <w:pStyle w:val="TableText"/>
              <w:spacing w:before="0"/>
              <w:jc w:val="center"/>
            </w:pPr>
            <w:r>
              <w:rPr>
                <w:w w:val="102"/>
              </w:rPr>
              <w:t>1</w:t>
            </w:r>
          </w:p>
        </w:tc>
        <w:tc>
          <w:tcPr>
            <w:tcW w:w="577" w:type="dxa"/>
            <w:tcBorders>
              <w:top w:val="nil"/>
            </w:tcBorders>
          </w:tcPr>
          <w:p w14:paraId="78588FC8" w14:textId="52B58F6E" w:rsidR="007753C8" w:rsidRPr="00EC5EF1" w:rsidRDefault="007753C8" w:rsidP="007753C8">
            <w:pPr>
              <w:pStyle w:val="TableText"/>
              <w:spacing w:before="0"/>
              <w:jc w:val="center"/>
            </w:pPr>
            <w:r>
              <w:rPr>
                <w:w w:val="102"/>
              </w:rPr>
              <w:t>2</w:t>
            </w:r>
          </w:p>
        </w:tc>
        <w:tc>
          <w:tcPr>
            <w:tcW w:w="577" w:type="dxa"/>
            <w:tcBorders>
              <w:top w:val="nil"/>
            </w:tcBorders>
          </w:tcPr>
          <w:p w14:paraId="7890DDFE" w14:textId="1A4C3FBC" w:rsidR="007753C8" w:rsidRPr="00EC5EF1" w:rsidRDefault="007753C8" w:rsidP="007753C8">
            <w:pPr>
              <w:pStyle w:val="TableText"/>
              <w:spacing w:before="0"/>
              <w:jc w:val="center"/>
            </w:pPr>
            <w:r>
              <w:rPr>
                <w:w w:val="102"/>
              </w:rPr>
              <w:t>3</w:t>
            </w:r>
          </w:p>
        </w:tc>
        <w:tc>
          <w:tcPr>
            <w:tcW w:w="577" w:type="dxa"/>
            <w:tcBorders>
              <w:top w:val="nil"/>
            </w:tcBorders>
          </w:tcPr>
          <w:p w14:paraId="68A16084" w14:textId="7A35E1CA" w:rsidR="007753C8" w:rsidRPr="00EC5EF1" w:rsidRDefault="007753C8" w:rsidP="007753C8">
            <w:pPr>
              <w:pStyle w:val="TableText"/>
              <w:spacing w:before="0"/>
              <w:jc w:val="center"/>
            </w:pPr>
            <w:r>
              <w:rPr>
                <w:w w:val="102"/>
              </w:rPr>
              <w:t>4</w:t>
            </w:r>
          </w:p>
        </w:tc>
        <w:tc>
          <w:tcPr>
            <w:tcW w:w="577" w:type="dxa"/>
            <w:tcBorders>
              <w:top w:val="nil"/>
            </w:tcBorders>
          </w:tcPr>
          <w:p w14:paraId="1200A2EA" w14:textId="00240211" w:rsidR="007753C8" w:rsidRPr="00EC5EF1" w:rsidRDefault="007753C8" w:rsidP="007753C8">
            <w:pPr>
              <w:pStyle w:val="TableText"/>
              <w:spacing w:before="0"/>
              <w:jc w:val="center"/>
            </w:pPr>
            <w:r>
              <w:rPr>
                <w:w w:val="102"/>
              </w:rPr>
              <w:t>2</w:t>
            </w:r>
          </w:p>
        </w:tc>
        <w:tc>
          <w:tcPr>
            <w:tcW w:w="577" w:type="dxa"/>
            <w:tcBorders>
              <w:top w:val="nil"/>
            </w:tcBorders>
          </w:tcPr>
          <w:p w14:paraId="3D76A142" w14:textId="006FE713" w:rsidR="007753C8" w:rsidRPr="00EC5EF1" w:rsidRDefault="007753C8" w:rsidP="007753C8">
            <w:pPr>
              <w:pStyle w:val="TableText"/>
              <w:spacing w:before="0"/>
              <w:jc w:val="center"/>
            </w:pPr>
            <w:r>
              <w:rPr>
                <w:w w:val="102"/>
              </w:rPr>
              <w:t>1</w:t>
            </w:r>
          </w:p>
        </w:tc>
        <w:tc>
          <w:tcPr>
            <w:tcW w:w="578" w:type="dxa"/>
            <w:tcBorders>
              <w:top w:val="nil"/>
            </w:tcBorders>
          </w:tcPr>
          <w:p w14:paraId="0B1527F0" w14:textId="60006D6A" w:rsidR="007753C8" w:rsidRPr="00EC5EF1" w:rsidRDefault="007753C8" w:rsidP="007753C8">
            <w:pPr>
              <w:pStyle w:val="TableText"/>
              <w:spacing w:before="0"/>
              <w:jc w:val="center"/>
            </w:pPr>
            <w:r>
              <w:rPr>
                <w:w w:val="102"/>
              </w:rPr>
              <w:t>4</w:t>
            </w:r>
          </w:p>
        </w:tc>
      </w:tr>
      <w:tr w:rsidR="007753C8" w:rsidRPr="00EC5EF1" w14:paraId="10CF0DF7" w14:textId="77777777" w:rsidTr="000D4BB4">
        <w:trPr>
          <w:cantSplit/>
        </w:trPr>
        <w:tc>
          <w:tcPr>
            <w:tcW w:w="8080" w:type="dxa"/>
            <w:gridSpan w:val="14"/>
            <w:tcBorders>
              <w:bottom w:val="nil"/>
            </w:tcBorders>
          </w:tcPr>
          <w:p w14:paraId="113747ED" w14:textId="1471E985" w:rsidR="007753C8" w:rsidRPr="00EC5EF1" w:rsidRDefault="007753C8" w:rsidP="007753C8">
            <w:pPr>
              <w:pStyle w:val="TableText"/>
            </w:pPr>
            <w:r w:rsidRPr="007753C8">
              <w:rPr>
                <w:b/>
              </w:rPr>
              <w:t>Applications withdrawn, lapsed or discontinued</w:t>
            </w:r>
          </w:p>
        </w:tc>
      </w:tr>
      <w:tr w:rsidR="007753C8" w:rsidRPr="00EC5EF1" w14:paraId="33C5CC94" w14:textId="77777777" w:rsidTr="000D4BB4">
        <w:trPr>
          <w:cantSplit/>
        </w:trPr>
        <w:tc>
          <w:tcPr>
            <w:tcW w:w="577" w:type="dxa"/>
            <w:tcBorders>
              <w:top w:val="nil"/>
            </w:tcBorders>
          </w:tcPr>
          <w:p w14:paraId="6D607DF1" w14:textId="09EA515D" w:rsidR="007753C8" w:rsidRPr="00EC5EF1" w:rsidRDefault="007753C8" w:rsidP="007753C8">
            <w:pPr>
              <w:pStyle w:val="TableText"/>
              <w:spacing w:before="0"/>
              <w:jc w:val="center"/>
            </w:pPr>
            <w:r>
              <w:rPr>
                <w:w w:val="102"/>
              </w:rPr>
              <w:t>3</w:t>
            </w:r>
          </w:p>
        </w:tc>
        <w:tc>
          <w:tcPr>
            <w:tcW w:w="577" w:type="dxa"/>
            <w:tcBorders>
              <w:top w:val="nil"/>
            </w:tcBorders>
          </w:tcPr>
          <w:p w14:paraId="29CC65DC" w14:textId="7D400984" w:rsidR="007753C8" w:rsidRPr="00EC5EF1" w:rsidRDefault="007753C8" w:rsidP="007753C8">
            <w:pPr>
              <w:pStyle w:val="TableText"/>
              <w:spacing w:before="0"/>
              <w:jc w:val="center"/>
            </w:pPr>
            <w:r>
              <w:rPr>
                <w:w w:val="102"/>
              </w:rPr>
              <w:t>9</w:t>
            </w:r>
          </w:p>
        </w:tc>
        <w:tc>
          <w:tcPr>
            <w:tcW w:w="577" w:type="dxa"/>
            <w:tcBorders>
              <w:top w:val="nil"/>
            </w:tcBorders>
          </w:tcPr>
          <w:p w14:paraId="216C8490" w14:textId="1CB9F7A7" w:rsidR="007753C8" w:rsidRPr="00EC5EF1" w:rsidRDefault="007753C8" w:rsidP="007753C8">
            <w:pPr>
              <w:pStyle w:val="TableText"/>
              <w:spacing w:before="0"/>
              <w:jc w:val="center"/>
            </w:pPr>
            <w:r>
              <w:rPr>
                <w:w w:val="102"/>
              </w:rPr>
              <w:t>2</w:t>
            </w:r>
          </w:p>
        </w:tc>
        <w:tc>
          <w:tcPr>
            <w:tcW w:w="577" w:type="dxa"/>
            <w:tcBorders>
              <w:top w:val="nil"/>
            </w:tcBorders>
          </w:tcPr>
          <w:p w14:paraId="5B264168" w14:textId="255E8E52" w:rsidR="007753C8" w:rsidRPr="00EC5EF1" w:rsidRDefault="007753C8" w:rsidP="007753C8">
            <w:pPr>
              <w:pStyle w:val="TableText"/>
              <w:spacing w:before="0"/>
              <w:jc w:val="center"/>
            </w:pPr>
            <w:r>
              <w:rPr>
                <w:w w:val="102"/>
              </w:rPr>
              <w:t>6</w:t>
            </w:r>
          </w:p>
        </w:tc>
        <w:tc>
          <w:tcPr>
            <w:tcW w:w="577" w:type="dxa"/>
            <w:tcBorders>
              <w:top w:val="nil"/>
            </w:tcBorders>
          </w:tcPr>
          <w:p w14:paraId="65A81C5A" w14:textId="3786B2A9" w:rsidR="007753C8" w:rsidRPr="00EC5EF1" w:rsidRDefault="007753C8" w:rsidP="007753C8">
            <w:pPr>
              <w:pStyle w:val="TableText"/>
              <w:spacing w:before="0"/>
              <w:jc w:val="center"/>
            </w:pPr>
            <w:r>
              <w:rPr>
                <w:w w:val="102"/>
              </w:rPr>
              <w:t>1</w:t>
            </w:r>
          </w:p>
        </w:tc>
        <w:tc>
          <w:tcPr>
            <w:tcW w:w="577" w:type="dxa"/>
            <w:tcBorders>
              <w:top w:val="nil"/>
            </w:tcBorders>
          </w:tcPr>
          <w:p w14:paraId="7D54A646" w14:textId="4580D330" w:rsidR="007753C8" w:rsidRPr="00EC5EF1" w:rsidRDefault="007753C8" w:rsidP="007753C8">
            <w:pPr>
              <w:pStyle w:val="TableText"/>
              <w:spacing w:before="0"/>
              <w:jc w:val="center"/>
            </w:pPr>
            <w:r>
              <w:rPr>
                <w:w w:val="102"/>
              </w:rPr>
              <w:t>4</w:t>
            </w:r>
          </w:p>
        </w:tc>
        <w:tc>
          <w:tcPr>
            <w:tcW w:w="578" w:type="dxa"/>
            <w:tcBorders>
              <w:top w:val="nil"/>
            </w:tcBorders>
          </w:tcPr>
          <w:p w14:paraId="337BB5C1" w14:textId="7A32B173" w:rsidR="007753C8" w:rsidRPr="00EC5EF1" w:rsidRDefault="007753C8" w:rsidP="007753C8">
            <w:pPr>
              <w:pStyle w:val="TableText"/>
              <w:spacing w:before="0"/>
              <w:jc w:val="center"/>
            </w:pPr>
            <w:r>
              <w:rPr>
                <w:w w:val="102"/>
              </w:rPr>
              <w:t>9</w:t>
            </w:r>
          </w:p>
        </w:tc>
        <w:tc>
          <w:tcPr>
            <w:tcW w:w="577" w:type="dxa"/>
            <w:tcBorders>
              <w:top w:val="nil"/>
            </w:tcBorders>
          </w:tcPr>
          <w:p w14:paraId="2BF87D5D" w14:textId="05CE80E4" w:rsidR="007753C8" w:rsidRPr="00EC5EF1" w:rsidRDefault="007753C8" w:rsidP="007753C8">
            <w:pPr>
              <w:pStyle w:val="TableText"/>
              <w:spacing w:before="0"/>
              <w:jc w:val="center"/>
            </w:pPr>
            <w:r>
              <w:rPr>
                <w:w w:val="102"/>
              </w:rPr>
              <w:t>5</w:t>
            </w:r>
          </w:p>
        </w:tc>
        <w:tc>
          <w:tcPr>
            <w:tcW w:w="577" w:type="dxa"/>
            <w:tcBorders>
              <w:top w:val="nil"/>
            </w:tcBorders>
          </w:tcPr>
          <w:p w14:paraId="76EE20DD" w14:textId="5E3364E5" w:rsidR="007753C8" w:rsidRPr="00EC5EF1" w:rsidRDefault="007753C8" w:rsidP="007753C8">
            <w:pPr>
              <w:pStyle w:val="TableText"/>
              <w:spacing w:before="0"/>
              <w:jc w:val="center"/>
            </w:pPr>
            <w:r>
              <w:rPr>
                <w:w w:val="102"/>
              </w:rPr>
              <w:t>9</w:t>
            </w:r>
          </w:p>
        </w:tc>
        <w:tc>
          <w:tcPr>
            <w:tcW w:w="577" w:type="dxa"/>
            <w:tcBorders>
              <w:top w:val="nil"/>
            </w:tcBorders>
          </w:tcPr>
          <w:p w14:paraId="286FB473" w14:textId="74B29CA0" w:rsidR="007753C8" w:rsidRPr="00EC5EF1" w:rsidRDefault="007753C8" w:rsidP="007753C8">
            <w:pPr>
              <w:pStyle w:val="TableText"/>
              <w:spacing w:before="0"/>
              <w:jc w:val="center"/>
            </w:pPr>
            <w:r>
              <w:rPr>
                <w:w w:val="102"/>
              </w:rPr>
              <w:t>9</w:t>
            </w:r>
          </w:p>
        </w:tc>
        <w:tc>
          <w:tcPr>
            <w:tcW w:w="577" w:type="dxa"/>
            <w:tcBorders>
              <w:top w:val="nil"/>
            </w:tcBorders>
          </w:tcPr>
          <w:p w14:paraId="606A647C" w14:textId="032F9480" w:rsidR="007753C8" w:rsidRPr="00EC5EF1" w:rsidRDefault="007753C8" w:rsidP="007753C8">
            <w:pPr>
              <w:pStyle w:val="TableText"/>
              <w:spacing w:before="0"/>
              <w:jc w:val="center"/>
            </w:pPr>
            <w:r>
              <w:rPr>
                <w:w w:val="102"/>
              </w:rPr>
              <w:t>7</w:t>
            </w:r>
          </w:p>
        </w:tc>
        <w:tc>
          <w:tcPr>
            <w:tcW w:w="577" w:type="dxa"/>
            <w:tcBorders>
              <w:top w:val="nil"/>
            </w:tcBorders>
          </w:tcPr>
          <w:p w14:paraId="6C9DD88A" w14:textId="5360950B" w:rsidR="007753C8" w:rsidRPr="00EC5EF1" w:rsidRDefault="007753C8" w:rsidP="007753C8">
            <w:pPr>
              <w:pStyle w:val="TableText"/>
              <w:spacing w:before="0"/>
              <w:jc w:val="center"/>
            </w:pPr>
            <w:r>
              <w:rPr>
                <w:w w:val="102"/>
              </w:rPr>
              <w:t>2</w:t>
            </w:r>
          </w:p>
        </w:tc>
        <w:tc>
          <w:tcPr>
            <w:tcW w:w="577" w:type="dxa"/>
            <w:tcBorders>
              <w:top w:val="nil"/>
            </w:tcBorders>
          </w:tcPr>
          <w:p w14:paraId="7E890AC2" w14:textId="3B4296B9" w:rsidR="007753C8" w:rsidRPr="00EC5EF1" w:rsidRDefault="007753C8" w:rsidP="007753C8">
            <w:pPr>
              <w:pStyle w:val="TableText"/>
              <w:spacing w:before="0"/>
              <w:jc w:val="center"/>
            </w:pPr>
            <w:r>
              <w:rPr>
                <w:w w:val="102"/>
              </w:rPr>
              <w:t>3</w:t>
            </w:r>
          </w:p>
        </w:tc>
        <w:tc>
          <w:tcPr>
            <w:tcW w:w="578" w:type="dxa"/>
            <w:tcBorders>
              <w:top w:val="nil"/>
            </w:tcBorders>
          </w:tcPr>
          <w:p w14:paraId="6A6EB294" w14:textId="049D0BE1" w:rsidR="007753C8" w:rsidRPr="00EC5EF1" w:rsidRDefault="007753C8" w:rsidP="007753C8">
            <w:pPr>
              <w:pStyle w:val="TableText"/>
              <w:spacing w:before="0"/>
              <w:jc w:val="center"/>
            </w:pPr>
            <w:r>
              <w:rPr>
                <w:w w:val="102"/>
              </w:rPr>
              <w:t>3</w:t>
            </w:r>
          </w:p>
        </w:tc>
      </w:tr>
      <w:tr w:rsidR="007753C8" w:rsidRPr="00EC5EF1" w14:paraId="6404EE31" w14:textId="77777777" w:rsidTr="000D4BB4">
        <w:trPr>
          <w:cantSplit/>
        </w:trPr>
        <w:tc>
          <w:tcPr>
            <w:tcW w:w="8080" w:type="dxa"/>
            <w:gridSpan w:val="14"/>
            <w:tcBorders>
              <w:bottom w:val="nil"/>
            </w:tcBorders>
          </w:tcPr>
          <w:p w14:paraId="6B34CF63" w14:textId="37EB187D" w:rsidR="007753C8" w:rsidRPr="00EC5EF1" w:rsidRDefault="007753C8" w:rsidP="007753C8">
            <w:pPr>
              <w:pStyle w:val="TableText"/>
            </w:pPr>
            <w:r w:rsidRPr="007753C8">
              <w:rPr>
                <w:b/>
              </w:rPr>
              <w:t>Total applications for s 8 and s 9 orders</w:t>
            </w:r>
          </w:p>
        </w:tc>
      </w:tr>
      <w:tr w:rsidR="007753C8" w:rsidRPr="00EC5EF1" w14:paraId="07C8D266" w14:textId="77777777" w:rsidTr="000D4BB4">
        <w:trPr>
          <w:cantSplit/>
        </w:trPr>
        <w:tc>
          <w:tcPr>
            <w:tcW w:w="577" w:type="dxa"/>
            <w:tcBorders>
              <w:top w:val="nil"/>
            </w:tcBorders>
          </w:tcPr>
          <w:p w14:paraId="60BE1C4C" w14:textId="3C9BAB14" w:rsidR="007753C8" w:rsidRPr="00EC5EF1" w:rsidRDefault="007753C8" w:rsidP="007753C8">
            <w:pPr>
              <w:pStyle w:val="TableText"/>
              <w:spacing w:before="0"/>
              <w:jc w:val="center"/>
            </w:pPr>
            <w:r>
              <w:rPr>
                <w:w w:val="105"/>
              </w:rPr>
              <w:t>80</w:t>
            </w:r>
          </w:p>
        </w:tc>
        <w:tc>
          <w:tcPr>
            <w:tcW w:w="577" w:type="dxa"/>
            <w:tcBorders>
              <w:top w:val="nil"/>
            </w:tcBorders>
          </w:tcPr>
          <w:p w14:paraId="78507655" w14:textId="3AFEE021" w:rsidR="007753C8" w:rsidRPr="00EC5EF1" w:rsidRDefault="007753C8" w:rsidP="007753C8">
            <w:pPr>
              <w:pStyle w:val="TableText"/>
              <w:spacing w:before="0"/>
              <w:jc w:val="center"/>
            </w:pPr>
            <w:r>
              <w:rPr>
                <w:w w:val="105"/>
              </w:rPr>
              <w:t>91</w:t>
            </w:r>
          </w:p>
        </w:tc>
        <w:tc>
          <w:tcPr>
            <w:tcW w:w="577" w:type="dxa"/>
            <w:tcBorders>
              <w:top w:val="nil"/>
            </w:tcBorders>
          </w:tcPr>
          <w:p w14:paraId="41D89C35" w14:textId="5EE91EDD" w:rsidR="007753C8" w:rsidRPr="00EC5EF1" w:rsidRDefault="007753C8" w:rsidP="007753C8">
            <w:pPr>
              <w:pStyle w:val="TableText"/>
              <w:spacing w:before="0"/>
              <w:jc w:val="center"/>
            </w:pPr>
            <w:r>
              <w:rPr>
                <w:w w:val="105"/>
              </w:rPr>
              <w:t>83</w:t>
            </w:r>
          </w:p>
        </w:tc>
        <w:tc>
          <w:tcPr>
            <w:tcW w:w="577" w:type="dxa"/>
            <w:tcBorders>
              <w:top w:val="nil"/>
            </w:tcBorders>
          </w:tcPr>
          <w:p w14:paraId="2DED645D" w14:textId="3051EC10" w:rsidR="007753C8" w:rsidRPr="00EC5EF1" w:rsidRDefault="007753C8" w:rsidP="007753C8">
            <w:pPr>
              <w:pStyle w:val="TableText"/>
              <w:spacing w:before="0"/>
              <w:jc w:val="center"/>
            </w:pPr>
            <w:r>
              <w:rPr>
                <w:w w:val="105"/>
              </w:rPr>
              <w:t>78</w:t>
            </w:r>
          </w:p>
        </w:tc>
        <w:tc>
          <w:tcPr>
            <w:tcW w:w="577" w:type="dxa"/>
            <w:tcBorders>
              <w:top w:val="nil"/>
            </w:tcBorders>
          </w:tcPr>
          <w:p w14:paraId="073005BA" w14:textId="51D9EB3E" w:rsidR="007753C8" w:rsidRPr="00EC5EF1" w:rsidRDefault="007753C8" w:rsidP="007753C8">
            <w:pPr>
              <w:pStyle w:val="TableText"/>
              <w:spacing w:before="0"/>
              <w:jc w:val="center"/>
            </w:pPr>
            <w:r>
              <w:rPr>
                <w:w w:val="105"/>
              </w:rPr>
              <w:t>78</w:t>
            </w:r>
          </w:p>
        </w:tc>
        <w:tc>
          <w:tcPr>
            <w:tcW w:w="577" w:type="dxa"/>
            <w:tcBorders>
              <w:top w:val="nil"/>
            </w:tcBorders>
          </w:tcPr>
          <w:p w14:paraId="58585E0D" w14:textId="302283AA" w:rsidR="007753C8" w:rsidRPr="00EC5EF1" w:rsidRDefault="007753C8" w:rsidP="007753C8">
            <w:pPr>
              <w:pStyle w:val="TableText"/>
              <w:spacing w:before="0"/>
              <w:jc w:val="center"/>
            </w:pPr>
            <w:r>
              <w:rPr>
                <w:w w:val="105"/>
              </w:rPr>
              <w:t>78</w:t>
            </w:r>
          </w:p>
        </w:tc>
        <w:tc>
          <w:tcPr>
            <w:tcW w:w="578" w:type="dxa"/>
            <w:tcBorders>
              <w:top w:val="nil"/>
            </w:tcBorders>
          </w:tcPr>
          <w:p w14:paraId="511CFC60" w14:textId="3721D7F1" w:rsidR="007753C8" w:rsidRPr="00EC5EF1" w:rsidRDefault="007753C8" w:rsidP="007753C8">
            <w:pPr>
              <w:pStyle w:val="TableText"/>
              <w:spacing w:before="0"/>
              <w:jc w:val="center"/>
            </w:pPr>
            <w:r>
              <w:rPr>
                <w:w w:val="105"/>
              </w:rPr>
              <w:t>81</w:t>
            </w:r>
          </w:p>
        </w:tc>
        <w:tc>
          <w:tcPr>
            <w:tcW w:w="577" w:type="dxa"/>
            <w:tcBorders>
              <w:top w:val="nil"/>
            </w:tcBorders>
          </w:tcPr>
          <w:p w14:paraId="600ADF0B" w14:textId="28660175" w:rsidR="007753C8" w:rsidRPr="00EC5EF1" w:rsidRDefault="007753C8" w:rsidP="007753C8">
            <w:pPr>
              <w:pStyle w:val="TableText"/>
              <w:spacing w:before="0"/>
              <w:jc w:val="center"/>
            </w:pPr>
            <w:r>
              <w:rPr>
                <w:w w:val="105"/>
              </w:rPr>
              <w:t>80</w:t>
            </w:r>
          </w:p>
        </w:tc>
        <w:tc>
          <w:tcPr>
            <w:tcW w:w="577" w:type="dxa"/>
            <w:tcBorders>
              <w:top w:val="nil"/>
            </w:tcBorders>
          </w:tcPr>
          <w:p w14:paraId="1C1B7F9E" w14:textId="6C52B53A" w:rsidR="007753C8" w:rsidRPr="00EC5EF1" w:rsidRDefault="007753C8" w:rsidP="007753C8">
            <w:pPr>
              <w:pStyle w:val="TableText"/>
              <w:spacing w:before="0"/>
              <w:jc w:val="center"/>
            </w:pPr>
            <w:r>
              <w:rPr>
                <w:w w:val="105"/>
              </w:rPr>
              <w:t>83</w:t>
            </w:r>
          </w:p>
        </w:tc>
        <w:tc>
          <w:tcPr>
            <w:tcW w:w="577" w:type="dxa"/>
            <w:tcBorders>
              <w:top w:val="nil"/>
            </w:tcBorders>
          </w:tcPr>
          <w:p w14:paraId="65FB82F9" w14:textId="3BFF561A" w:rsidR="007753C8" w:rsidRPr="00EC5EF1" w:rsidRDefault="007753C8" w:rsidP="007753C8">
            <w:pPr>
              <w:pStyle w:val="TableText"/>
              <w:spacing w:before="0"/>
              <w:jc w:val="center"/>
            </w:pPr>
            <w:r>
              <w:rPr>
                <w:w w:val="105"/>
              </w:rPr>
              <w:t>86</w:t>
            </w:r>
          </w:p>
        </w:tc>
        <w:tc>
          <w:tcPr>
            <w:tcW w:w="577" w:type="dxa"/>
            <w:tcBorders>
              <w:top w:val="nil"/>
            </w:tcBorders>
          </w:tcPr>
          <w:p w14:paraId="7CDC7B98" w14:textId="4D96E9CD" w:rsidR="007753C8" w:rsidRPr="00EC5EF1" w:rsidRDefault="007753C8" w:rsidP="007753C8">
            <w:pPr>
              <w:pStyle w:val="TableText"/>
              <w:spacing w:before="0"/>
              <w:jc w:val="center"/>
            </w:pPr>
            <w:r>
              <w:rPr>
                <w:w w:val="105"/>
              </w:rPr>
              <w:t>75</w:t>
            </w:r>
          </w:p>
        </w:tc>
        <w:tc>
          <w:tcPr>
            <w:tcW w:w="577" w:type="dxa"/>
            <w:tcBorders>
              <w:top w:val="nil"/>
            </w:tcBorders>
          </w:tcPr>
          <w:p w14:paraId="317E8110" w14:textId="31944CD1" w:rsidR="007753C8" w:rsidRPr="00EC5EF1" w:rsidRDefault="007753C8" w:rsidP="007753C8">
            <w:pPr>
              <w:pStyle w:val="TableText"/>
              <w:spacing w:before="0"/>
              <w:jc w:val="center"/>
            </w:pPr>
            <w:r>
              <w:rPr>
                <w:w w:val="105"/>
              </w:rPr>
              <w:t>63</w:t>
            </w:r>
          </w:p>
        </w:tc>
        <w:tc>
          <w:tcPr>
            <w:tcW w:w="577" w:type="dxa"/>
            <w:tcBorders>
              <w:top w:val="nil"/>
            </w:tcBorders>
          </w:tcPr>
          <w:p w14:paraId="5D2A0C9E" w14:textId="2153C49F" w:rsidR="007753C8" w:rsidRPr="00EC5EF1" w:rsidRDefault="007753C8" w:rsidP="007753C8">
            <w:pPr>
              <w:pStyle w:val="TableText"/>
              <w:spacing w:before="0"/>
              <w:jc w:val="center"/>
            </w:pPr>
            <w:r>
              <w:rPr>
                <w:w w:val="105"/>
              </w:rPr>
              <w:t>49</w:t>
            </w:r>
          </w:p>
        </w:tc>
        <w:tc>
          <w:tcPr>
            <w:tcW w:w="578" w:type="dxa"/>
            <w:tcBorders>
              <w:top w:val="nil"/>
            </w:tcBorders>
          </w:tcPr>
          <w:p w14:paraId="3132E004" w14:textId="25AAC14F" w:rsidR="007753C8" w:rsidRPr="00EC5EF1" w:rsidRDefault="007753C8" w:rsidP="007753C8">
            <w:pPr>
              <w:pStyle w:val="TableText"/>
              <w:spacing w:before="0"/>
              <w:jc w:val="center"/>
            </w:pPr>
            <w:r>
              <w:rPr>
                <w:w w:val="105"/>
              </w:rPr>
              <w:t>23</w:t>
            </w:r>
          </w:p>
        </w:tc>
      </w:tr>
    </w:tbl>
    <w:p w14:paraId="093EF348" w14:textId="77777777" w:rsidR="00740DA6" w:rsidRPr="00EC5EF1" w:rsidRDefault="00740DA6" w:rsidP="007753C8">
      <w:pPr>
        <w:pStyle w:val="Note"/>
      </w:pPr>
      <w:r w:rsidRPr="00EC5EF1">
        <w:t>Notes: The table presents applications that were disposed at the time of data extraction at 14 June 2018.</w:t>
      </w:r>
    </w:p>
    <w:p w14:paraId="4F07CAED" w14:textId="77777777" w:rsidR="00740DA6" w:rsidRPr="00EC5EF1" w:rsidRDefault="00740DA6" w:rsidP="007753C8">
      <w:pPr>
        <w:pStyle w:val="Note"/>
      </w:pPr>
      <w:r w:rsidRPr="00EC5EF1">
        <w:t>The case management system (CMS) is a live operational database. Figures are subject to minor changes at any time.</w:t>
      </w:r>
    </w:p>
    <w:p w14:paraId="7900C1A8" w14:textId="77777777" w:rsidR="00740DA6" w:rsidRPr="00EC5EF1" w:rsidRDefault="00740DA6" w:rsidP="007753C8">
      <w:pPr>
        <w:pStyle w:val="Source"/>
      </w:pPr>
      <w:r w:rsidRPr="00EC5EF1">
        <w:t>Source: Ministry of Justice CMS</w:t>
      </w:r>
    </w:p>
    <w:p w14:paraId="2D1248E3" w14:textId="77777777" w:rsidR="00740DA6" w:rsidRPr="00EC5EF1" w:rsidRDefault="00740DA6" w:rsidP="00975A47"/>
    <w:p w14:paraId="23236453" w14:textId="6262ECED" w:rsidR="00740DA6" w:rsidRDefault="00740DA6" w:rsidP="00434E22">
      <w:pPr>
        <w:pStyle w:val="Table"/>
      </w:pPr>
      <w:bookmarkStart w:id="139" w:name="_Toc2845762"/>
      <w:r w:rsidRPr="00EC5EF1">
        <w:lastRenderedPageBreak/>
        <w:t>Table 18: Number of granted orders for detention and committal, under the ADA Act, 2004–2017</w:t>
      </w:r>
      <w:bookmarkEnd w:id="139"/>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709"/>
        <w:gridCol w:w="77"/>
        <w:gridCol w:w="65"/>
        <w:gridCol w:w="2693"/>
        <w:gridCol w:w="38"/>
        <w:gridCol w:w="33"/>
        <w:gridCol w:w="2764"/>
        <w:gridCol w:w="1701"/>
        <w:gridCol w:w="51"/>
      </w:tblGrid>
      <w:tr w:rsidR="000D4BB4" w:rsidRPr="00B158F8" w14:paraId="3AE3D77D" w14:textId="77777777" w:rsidTr="00975A47">
        <w:trPr>
          <w:cantSplit/>
        </w:trPr>
        <w:tc>
          <w:tcPr>
            <w:tcW w:w="851" w:type="dxa"/>
            <w:gridSpan w:val="3"/>
            <w:tcBorders>
              <w:top w:val="nil"/>
              <w:bottom w:val="nil"/>
            </w:tcBorders>
            <w:shd w:val="clear" w:color="auto" w:fill="D9D9D9" w:themeFill="background1" w:themeFillShade="D9"/>
          </w:tcPr>
          <w:p w14:paraId="7D9276E1" w14:textId="08CCB56E" w:rsidR="000D4BB4" w:rsidRPr="00B158F8" w:rsidRDefault="00975A47" w:rsidP="00CF0327">
            <w:pPr>
              <w:pStyle w:val="TableText"/>
              <w:keepNext/>
              <w:rPr>
                <w:b/>
              </w:rPr>
            </w:pPr>
            <w:r>
              <w:rPr>
                <w:b/>
              </w:rPr>
              <w:t>Year</w:t>
            </w:r>
          </w:p>
        </w:tc>
        <w:tc>
          <w:tcPr>
            <w:tcW w:w="2764" w:type="dxa"/>
            <w:gridSpan w:val="3"/>
            <w:tcBorders>
              <w:top w:val="nil"/>
              <w:bottom w:val="nil"/>
            </w:tcBorders>
            <w:shd w:val="clear" w:color="auto" w:fill="D9D9D9" w:themeFill="background1" w:themeFillShade="D9"/>
          </w:tcPr>
          <w:p w14:paraId="06BA24B3" w14:textId="5C367F10" w:rsidR="000D4BB4" w:rsidRPr="00B158F8" w:rsidRDefault="00975A47" w:rsidP="00CF0327">
            <w:pPr>
              <w:pStyle w:val="TableText"/>
              <w:keepNext/>
              <w:jc w:val="center"/>
              <w:rPr>
                <w:b/>
              </w:rPr>
            </w:pPr>
            <w:r>
              <w:rPr>
                <w:b/>
              </w:rPr>
              <w:t>Number (and percentage) of section 8 applications granted for detention</w:t>
            </w:r>
          </w:p>
        </w:tc>
        <w:tc>
          <w:tcPr>
            <w:tcW w:w="2764" w:type="dxa"/>
            <w:tcBorders>
              <w:top w:val="nil"/>
              <w:bottom w:val="nil"/>
            </w:tcBorders>
            <w:shd w:val="clear" w:color="auto" w:fill="D9D9D9" w:themeFill="background1" w:themeFillShade="D9"/>
          </w:tcPr>
          <w:p w14:paraId="76E7A406" w14:textId="18317FD9" w:rsidR="000D4BB4" w:rsidRPr="00B158F8" w:rsidRDefault="00975A47" w:rsidP="00CF0327">
            <w:pPr>
              <w:pStyle w:val="TableText"/>
              <w:keepNext/>
              <w:jc w:val="center"/>
              <w:rPr>
                <w:b/>
              </w:rPr>
            </w:pPr>
            <w:r>
              <w:rPr>
                <w:b/>
              </w:rPr>
              <w:t>Number (and percentage) of section 9 applications granted for committal</w:t>
            </w:r>
          </w:p>
        </w:tc>
        <w:tc>
          <w:tcPr>
            <w:tcW w:w="1752" w:type="dxa"/>
            <w:gridSpan w:val="2"/>
            <w:tcBorders>
              <w:top w:val="nil"/>
              <w:bottom w:val="nil"/>
            </w:tcBorders>
            <w:shd w:val="clear" w:color="auto" w:fill="D9D9D9" w:themeFill="background1" w:themeFillShade="D9"/>
          </w:tcPr>
          <w:p w14:paraId="2F8C77FC" w14:textId="1C526453" w:rsidR="000D4BB4" w:rsidRPr="00975A47" w:rsidRDefault="00975A47" w:rsidP="00CF0327">
            <w:pPr>
              <w:pStyle w:val="TableText"/>
              <w:keepNext/>
              <w:jc w:val="center"/>
              <w:rPr>
                <w:b/>
              </w:rPr>
            </w:pPr>
            <w:r w:rsidRPr="00975A47">
              <w:rPr>
                <w:b/>
              </w:rPr>
              <w:t>Total number of applications granted</w:t>
            </w:r>
          </w:p>
        </w:tc>
      </w:tr>
      <w:tr w:rsidR="000D4BB4" w14:paraId="1F888AD7" w14:textId="77777777" w:rsidTr="00975A47">
        <w:tblPrEx>
          <w:tblBorders>
            <w:top w:val="none" w:sz="0" w:space="0" w:color="auto"/>
            <w:bottom w:val="none" w:sz="0" w:space="0" w:color="auto"/>
            <w:insideH w:val="none" w:sz="0" w:space="0" w:color="auto"/>
          </w:tblBorders>
        </w:tblPrEx>
        <w:trPr>
          <w:gridAfter w:val="1"/>
          <w:wAfter w:w="51" w:type="dxa"/>
          <w:cantSplit/>
        </w:trPr>
        <w:tc>
          <w:tcPr>
            <w:tcW w:w="786" w:type="dxa"/>
            <w:gridSpan w:val="2"/>
            <w:tcBorders>
              <w:bottom w:val="single" w:sz="4" w:space="0" w:color="A6A6A6" w:themeColor="background1" w:themeShade="A6"/>
            </w:tcBorders>
          </w:tcPr>
          <w:p w14:paraId="1792E50A" w14:textId="77777777" w:rsidR="000D4BB4" w:rsidRDefault="000D4BB4" w:rsidP="00CF0327">
            <w:pPr>
              <w:pStyle w:val="TableText"/>
              <w:keepNext/>
            </w:pPr>
            <w:r>
              <w:rPr>
                <w:w w:val="105"/>
              </w:rPr>
              <w:t>2004</w:t>
            </w:r>
          </w:p>
        </w:tc>
        <w:tc>
          <w:tcPr>
            <w:tcW w:w="2796" w:type="dxa"/>
            <w:gridSpan w:val="3"/>
            <w:tcBorders>
              <w:bottom w:val="single" w:sz="4" w:space="0" w:color="A6A6A6" w:themeColor="background1" w:themeShade="A6"/>
            </w:tcBorders>
          </w:tcPr>
          <w:p w14:paraId="79697FC1" w14:textId="77777777" w:rsidR="000D4BB4" w:rsidRDefault="000D4BB4" w:rsidP="00CF0327">
            <w:pPr>
              <w:pStyle w:val="TableText"/>
              <w:keepNext/>
              <w:jc w:val="center"/>
            </w:pPr>
            <w:r>
              <w:t>44 (92%)</w:t>
            </w:r>
          </w:p>
        </w:tc>
        <w:tc>
          <w:tcPr>
            <w:tcW w:w="2797" w:type="dxa"/>
            <w:gridSpan w:val="2"/>
            <w:tcBorders>
              <w:bottom w:val="single" w:sz="4" w:space="0" w:color="A6A6A6" w:themeColor="background1" w:themeShade="A6"/>
            </w:tcBorders>
          </w:tcPr>
          <w:p w14:paraId="5F57081F" w14:textId="77777777" w:rsidR="000D4BB4" w:rsidRDefault="000D4BB4" w:rsidP="00CF0327">
            <w:pPr>
              <w:pStyle w:val="TableText"/>
              <w:keepNext/>
              <w:jc w:val="center"/>
            </w:pPr>
            <w:r>
              <w:t>28 (85%)</w:t>
            </w:r>
          </w:p>
        </w:tc>
        <w:tc>
          <w:tcPr>
            <w:tcW w:w="1701" w:type="dxa"/>
            <w:tcBorders>
              <w:bottom w:val="single" w:sz="4" w:space="0" w:color="A6A6A6" w:themeColor="background1" w:themeShade="A6"/>
            </w:tcBorders>
          </w:tcPr>
          <w:p w14:paraId="28DF7497" w14:textId="77777777" w:rsidR="000D4BB4" w:rsidRDefault="000D4BB4" w:rsidP="00CF0327">
            <w:pPr>
              <w:pStyle w:val="TableText"/>
              <w:keepNext/>
              <w:jc w:val="center"/>
            </w:pPr>
            <w:r>
              <w:t>72</w:t>
            </w:r>
          </w:p>
        </w:tc>
      </w:tr>
      <w:tr w:rsidR="000D4BB4" w14:paraId="00825597" w14:textId="77777777" w:rsidTr="00975A47">
        <w:tblPrEx>
          <w:tblBorders>
            <w:top w:val="none" w:sz="0" w:space="0" w:color="auto"/>
            <w:bottom w:val="none" w:sz="0" w:space="0" w:color="auto"/>
            <w:insideH w:val="none" w:sz="0" w:space="0" w:color="auto"/>
          </w:tblBorders>
        </w:tblPrEx>
        <w:trPr>
          <w:gridAfter w:val="1"/>
          <w:wAfter w:w="51" w:type="dxa"/>
          <w:cantSplit/>
        </w:trPr>
        <w:tc>
          <w:tcPr>
            <w:tcW w:w="786" w:type="dxa"/>
            <w:gridSpan w:val="2"/>
            <w:tcBorders>
              <w:top w:val="single" w:sz="4" w:space="0" w:color="A6A6A6" w:themeColor="background1" w:themeShade="A6"/>
              <w:bottom w:val="single" w:sz="4" w:space="0" w:color="A6A6A6" w:themeColor="background1" w:themeShade="A6"/>
            </w:tcBorders>
          </w:tcPr>
          <w:p w14:paraId="5443269B" w14:textId="77777777" w:rsidR="000D4BB4" w:rsidRDefault="000D4BB4" w:rsidP="000D4BB4">
            <w:pPr>
              <w:pStyle w:val="TableText"/>
            </w:pPr>
            <w:r>
              <w:rPr>
                <w:w w:val="105"/>
              </w:rPr>
              <w:t>2005</w:t>
            </w:r>
          </w:p>
        </w:tc>
        <w:tc>
          <w:tcPr>
            <w:tcW w:w="2796" w:type="dxa"/>
            <w:gridSpan w:val="3"/>
            <w:tcBorders>
              <w:top w:val="single" w:sz="4" w:space="0" w:color="A6A6A6" w:themeColor="background1" w:themeShade="A6"/>
              <w:bottom w:val="single" w:sz="4" w:space="0" w:color="A6A6A6" w:themeColor="background1" w:themeShade="A6"/>
            </w:tcBorders>
          </w:tcPr>
          <w:p w14:paraId="2F2CF39B" w14:textId="77777777" w:rsidR="000D4BB4" w:rsidRDefault="000D4BB4" w:rsidP="00975A47">
            <w:pPr>
              <w:pStyle w:val="TableText"/>
              <w:jc w:val="center"/>
            </w:pPr>
            <w:r>
              <w:t>49 (96%)</w:t>
            </w:r>
          </w:p>
        </w:tc>
        <w:tc>
          <w:tcPr>
            <w:tcW w:w="2797" w:type="dxa"/>
            <w:gridSpan w:val="2"/>
            <w:tcBorders>
              <w:top w:val="single" w:sz="4" w:space="0" w:color="A6A6A6" w:themeColor="background1" w:themeShade="A6"/>
              <w:bottom w:val="single" w:sz="4" w:space="0" w:color="A6A6A6" w:themeColor="background1" w:themeShade="A6"/>
            </w:tcBorders>
          </w:tcPr>
          <w:p w14:paraId="6A8A5F57" w14:textId="77777777" w:rsidR="000D4BB4" w:rsidRDefault="000D4BB4" w:rsidP="00975A47">
            <w:pPr>
              <w:pStyle w:val="TableText"/>
              <w:jc w:val="center"/>
            </w:pPr>
            <w:r>
              <w:t>30 (79%)</w:t>
            </w:r>
          </w:p>
        </w:tc>
        <w:tc>
          <w:tcPr>
            <w:tcW w:w="1701" w:type="dxa"/>
            <w:tcBorders>
              <w:top w:val="single" w:sz="4" w:space="0" w:color="A6A6A6" w:themeColor="background1" w:themeShade="A6"/>
              <w:bottom w:val="single" w:sz="4" w:space="0" w:color="A6A6A6" w:themeColor="background1" w:themeShade="A6"/>
            </w:tcBorders>
          </w:tcPr>
          <w:p w14:paraId="59788B3C" w14:textId="77777777" w:rsidR="000D4BB4" w:rsidRDefault="000D4BB4" w:rsidP="00975A47">
            <w:pPr>
              <w:pStyle w:val="TableText"/>
              <w:jc w:val="center"/>
            </w:pPr>
            <w:r>
              <w:t>79</w:t>
            </w:r>
          </w:p>
        </w:tc>
      </w:tr>
      <w:tr w:rsidR="000D4BB4" w14:paraId="7D12235E" w14:textId="77777777" w:rsidTr="00975A47">
        <w:tblPrEx>
          <w:tblBorders>
            <w:top w:val="none" w:sz="0" w:space="0" w:color="auto"/>
            <w:bottom w:val="none" w:sz="0" w:space="0" w:color="auto"/>
            <w:insideH w:val="none" w:sz="0" w:space="0" w:color="auto"/>
          </w:tblBorders>
        </w:tblPrEx>
        <w:trPr>
          <w:gridAfter w:val="1"/>
          <w:wAfter w:w="51" w:type="dxa"/>
          <w:cantSplit/>
        </w:trPr>
        <w:tc>
          <w:tcPr>
            <w:tcW w:w="786" w:type="dxa"/>
            <w:gridSpan w:val="2"/>
            <w:tcBorders>
              <w:top w:val="single" w:sz="4" w:space="0" w:color="A6A6A6" w:themeColor="background1" w:themeShade="A6"/>
              <w:bottom w:val="single" w:sz="4" w:space="0" w:color="A6A6A6" w:themeColor="background1" w:themeShade="A6"/>
            </w:tcBorders>
          </w:tcPr>
          <w:p w14:paraId="231A3EB3" w14:textId="77777777" w:rsidR="000D4BB4" w:rsidRDefault="000D4BB4" w:rsidP="000D4BB4">
            <w:pPr>
              <w:pStyle w:val="TableText"/>
            </w:pPr>
            <w:r>
              <w:rPr>
                <w:w w:val="105"/>
              </w:rPr>
              <w:t>2006</w:t>
            </w:r>
          </w:p>
        </w:tc>
        <w:tc>
          <w:tcPr>
            <w:tcW w:w="2796" w:type="dxa"/>
            <w:gridSpan w:val="3"/>
            <w:tcBorders>
              <w:top w:val="single" w:sz="4" w:space="0" w:color="A6A6A6" w:themeColor="background1" w:themeShade="A6"/>
              <w:bottom w:val="single" w:sz="4" w:space="0" w:color="A6A6A6" w:themeColor="background1" w:themeShade="A6"/>
            </w:tcBorders>
          </w:tcPr>
          <w:p w14:paraId="40E41F63" w14:textId="77777777" w:rsidR="000D4BB4" w:rsidRDefault="000D4BB4" w:rsidP="00975A47">
            <w:pPr>
              <w:pStyle w:val="TableText"/>
              <w:jc w:val="center"/>
            </w:pPr>
            <w:r>
              <w:t>60 (98%)</w:t>
            </w:r>
          </w:p>
        </w:tc>
        <w:tc>
          <w:tcPr>
            <w:tcW w:w="2797" w:type="dxa"/>
            <w:gridSpan w:val="2"/>
            <w:tcBorders>
              <w:top w:val="single" w:sz="4" w:space="0" w:color="A6A6A6" w:themeColor="background1" w:themeShade="A6"/>
              <w:bottom w:val="single" w:sz="4" w:space="0" w:color="A6A6A6" w:themeColor="background1" w:themeShade="A6"/>
            </w:tcBorders>
          </w:tcPr>
          <w:p w14:paraId="0A94ED73" w14:textId="77777777" w:rsidR="000D4BB4" w:rsidRDefault="000D4BB4" w:rsidP="00975A47">
            <w:pPr>
              <w:pStyle w:val="TableText"/>
              <w:jc w:val="center"/>
            </w:pPr>
            <w:r>
              <w:t>17 (77%)</w:t>
            </w:r>
          </w:p>
        </w:tc>
        <w:tc>
          <w:tcPr>
            <w:tcW w:w="1701" w:type="dxa"/>
            <w:tcBorders>
              <w:top w:val="single" w:sz="4" w:space="0" w:color="A6A6A6" w:themeColor="background1" w:themeShade="A6"/>
              <w:bottom w:val="single" w:sz="4" w:space="0" w:color="A6A6A6" w:themeColor="background1" w:themeShade="A6"/>
            </w:tcBorders>
          </w:tcPr>
          <w:p w14:paraId="0E6613CC" w14:textId="77777777" w:rsidR="000D4BB4" w:rsidRDefault="000D4BB4" w:rsidP="00975A47">
            <w:pPr>
              <w:pStyle w:val="TableText"/>
              <w:jc w:val="center"/>
            </w:pPr>
            <w:r>
              <w:t>77</w:t>
            </w:r>
          </w:p>
        </w:tc>
      </w:tr>
      <w:tr w:rsidR="000D4BB4" w14:paraId="1E0B8E96" w14:textId="77777777" w:rsidTr="00975A47">
        <w:tblPrEx>
          <w:tblBorders>
            <w:top w:val="none" w:sz="0" w:space="0" w:color="auto"/>
            <w:bottom w:val="none" w:sz="0" w:space="0" w:color="auto"/>
            <w:insideH w:val="none" w:sz="0" w:space="0" w:color="auto"/>
          </w:tblBorders>
        </w:tblPrEx>
        <w:trPr>
          <w:gridAfter w:val="1"/>
          <w:wAfter w:w="51" w:type="dxa"/>
          <w:cantSplit/>
        </w:trPr>
        <w:tc>
          <w:tcPr>
            <w:tcW w:w="786" w:type="dxa"/>
            <w:gridSpan w:val="2"/>
            <w:tcBorders>
              <w:top w:val="single" w:sz="4" w:space="0" w:color="A6A6A6" w:themeColor="background1" w:themeShade="A6"/>
              <w:bottom w:val="single" w:sz="4" w:space="0" w:color="A6A6A6" w:themeColor="background1" w:themeShade="A6"/>
            </w:tcBorders>
          </w:tcPr>
          <w:p w14:paraId="3BE3B812" w14:textId="77777777" w:rsidR="000D4BB4" w:rsidRDefault="000D4BB4" w:rsidP="000D4BB4">
            <w:pPr>
              <w:pStyle w:val="TableText"/>
            </w:pPr>
            <w:r>
              <w:rPr>
                <w:w w:val="105"/>
              </w:rPr>
              <w:t>2007</w:t>
            </w:r>
          </w:p>
        </w:tc>
        <w:tc>
          <w:tcPr>
            <w:tcW w:w="2796" w:type="dxa"/>
            <w:gridSpan w:val="3"/>
            <w:tcBorders>
              <w:top w:val="single" w:sz="4" w:space="0" w:color="A6A6A6" w:themeColor="background1" w:themeShade="A6"/>
              <w:bottom w:val="single" w:sz="4" w:space="0" w:color="A6A6A6" w:themeColor="background1" w:themeShade="A6"/>
            </w:tcBorders>
          </w:tcPr>
          <w:p w14:paraId="2A196C2C" w14:textId="77777777" w:rsidR="000D4BB4" w:rsidRDefault="000D4BB4" w:rsidP="00975A47">
            <w:pPr>
              <w:pStyle w:val="TableText"/>
              <w:jc w:val="center"/>
            </w:pPr>
            <w:r>
              <w:t>52 (100%)</w:t>
            </w:r>
          </w:p>
        </w:tc>
        <w:tc>
          <w:tcPr>
            <w:tcW w:w="2797" w:type="dxa"/>
            <w:gridSpan w:val="2"/>
            <w:tcBorders>
              <w:top w:val="single" w:sz="4" w:space="0" w:color="A6A6A6" w:themeColor="background1" w:themeShade="A6"/>
              <w:bottom w:val="single" w:sz="4" w:space="0" w:color="A6A6A6" w:themeColor="background1" w:themeShade="A6"/>
            </w:tcBorders>
          </w:tcPr>
          <w:p w14:paraId="2C57A176" w14:textId="77777777" w:rsidR="000D4BB4" w:rsidRDefault="000D4BB4" w:rsidP="00975A47">
            <w:pPr>
              <w:pStyle w:val="TableText"/>
              <w:jc w:val="center"/>
            </w:pPr>
            <w:r>
              <w:t>19 (76%)</w:t>
            </w:r>
          </w:p>
        </w:tc>
        <w:tc>
          <w:tcPr>
            <w:tcW w:w="1701" w:type="dxa"/>
            <w:tcBorders>
              <w:top w:val="single" w:sz="4" w:space="0" w:color="A6A6A6" w:themeColor="background1" w:themeShade="A6"/>
              <w:bottom w:val="single" w:sz="4" w:space="0" w:color="A6A6A6" w:themeColor="background1" w:themeShade="A6"/>
            </w:tcBorders>
          </w:tcPr>
          <w:p w14:paraId="38D9FEAA" w14:textId="77777777" w:rsidR="000D4BB4" w:rsidRDefault="000D4BB4" w:rsidP="00975A47">
            <w:pPr>
              <w:pStyle w:val="TableText"/>
              <w:jc w:val="center"/>
            </w:pPr>
            <w:r>
              <w:t>71</w:t>
            </w:r>
          </w:p>
        </w:tc>
      </w:tr>
      <w:tr w:rsidR="000D4BB4" w14:paraId="5F2B1867" w14:textId="77777777" w:rsidTr="00975A47">
        <w:tblPrEx>
          <w:tblBorders>
            <w:top w:val="none" w:sz="0" w:space="0" w:color="auto"/>
            <w:bottom w:val="none" w:sz="0" w:space="0" w:color="auto"/>
            <w:insideH w:val="none" w:sz="0" w:space="0" w:color="auto"/>
          </w:tblBorders>
        </w:tblPrEx>
        <w:trPr>
          <w:gridAfter w:val="1"/>
          <w:wAfter w:w="51" w:type="dxa"/>
          <w:cantSplit/>
        </w:trPr>
        <w:tc>
          <w:tcPr>
            <w:tcW w:w="786" w:type="dxa"/>
            <w:gridSpan w:val="2"/>
            <w:tcBorders>
              <w:top w:val="single" w:sz="4" w:space="0" w:color="A6A6A6" w:themeColor="background1" w:themeShade="A6"/>
              <w:bottom w:val="single" w:sz="4" w:space="0" w:color="A6A6A6" w:themeColor="background1" w:themeShade="A6"/>
            </w:tcBorders>
          </w:tcPr>
          <w:p w14:paraId="3C69C744" w14:textId="77777777" w:rsidR="000D4BB4" w:rsidRDefault="000D4BB4" w:rsidP="000D4BB4">
            <w:pPr>
              <w:pStyle w:val="TableText"/>
            </w:pPr>
            <w:r>
              <w:rPr>
                <w:w w:val="105"/>
              </w:rPr>
              <w:t>2008</w:t>
            </w:r>
          </w:p>
        </w:tc>
        <w:tc>
          <w:tcPr>
            <w:tcW w:w="2796" w:type="dxa"/>
            <w:gridSpan w:val="3"/>
            <w:tcBorders>
              <w:top w:val="single" w:sz="4" w:space="0" w:color="A6A6A6" w:themeColor="background1" w:themeShade="A6"/>
              <w:bottom w:val="single" w:sz="4" w:space="0" w:color="A6A6A6" w:themeColor="background1" w:themeShade="A6"/>
            </w:tcBorders>
          </w:tcPr>
          <w:p w14:paraId="410E4D13" w14:textId="77777777" w:rsidR="000D4BB4" w:rsidRDefault="000D4BB4" w:rsidP="00975A47">
            <w:pPr>
              <w:pStyle w:val="TableText"/>
              <w:jc w:val="center"/>
            </w:pPr>
            <w:r>
              <w:t>63 (98%)</w:t>
            </w:r>
          </w:p>
        </w:tc>
        <w:tc>
          <w:tcPr>
            <w:tcW w:w="2797" w:type="dxa"/>
            <w:gridSpan w:val="2"/>
            <w:tcBorders>
              <w:top w:val="single" w:sz="4" w:space="0" w:color="A6A6A6" w:themeColor="background1" w:themeShade="A6"/>
              <w:bottom w:val="single" w:sz="4" w:space="0" w:color="A6A6A6" w:themeColor="background1" w:themeShade="A6"/>
            </w:tcBorders>
          </w:tcPr>
          <w:p w14:paraId="5CAFB5C8" w14:textId="77777777" w:rsidR="000D4BB4" w:rsidRDefault="000D4BB4" w:rsidP="00975A47">
            <w:pPr>
              <w:pStyle w:val="TableText"/>
              <w:jc w:val="center"/>
            </w:pPr>
            <w:r>
              <w:t>12 (86%)</w:t>
            </w:r>
          </w:p>
        </w:tc>
        <w:tc>
          <w:tcPr>
            <w:tcW w:w="1701" w:type="dxa"/>
            <w:tcBorders>
              <w:top w:val="single" w:sz="4" w:space="0" w:color="A6A6A6" w:themeColor="background1" w:themeShade="A6"/>
              <w:bottom w:val="single" w:sz="4" w:space="0" w:color="A6A6A6" w:themeColor="background1" w:themeShade="A6"/>
            </w:tcBorders>
          </w:tcPr>
          <w:p w14:paraId="5BDD985D" w14:textId="77777777" w:rsidR="000D4BB4" w:rsidRDefault="000D4BB4" w:rsidP="00975A47">
            <w:pPr>
              <w:pStyle w:val="TableText"/>
              <w:jc w:val="center"/>
            </w:pPr>
            <w:r>
              <w:t>75</w:t>
            </w:r>
          </w:p>
        </w:tc>
      </w:tr>
      <w:tr w:rsidR="000D4BB4" w14:paraId="418D69B0" w14:textId="77777777" w:rsidTr="00975A47">
        <w:tblPrEx>
          <w:tblBorders>
            <w:top w:val="none" w:sz="0" w:space="0" w:color="auto"/>
            <w:bottom w:val="none" w:sz="0" w:space="0" w:color="auto"/>
            <w:insideH w:val="none" w:sz="0" w:space="0" w:color="auto"/>
          </w:tblBorders>
        </w:tblPrEx>
        <w:trPr>
          <w:gridAfter w:val="1"/>
          <w:wAfter w:w="51" w:type="dxa"/>
          <w:cantSplit/>
        </w:trPr>
        <w:tc>
          <w:tcPr>
            <w:tcW w:w="786" w:type="dxa"/>
            <w:gridSpan w:val="2"/>
            <w:tcBorders>
              <w:top w:val="single" w:sz="4" w:space="0" w:color="A6A6A6" w:themeColor="background1" w:themeShade="A6"/>
              <w:bottom w:val="single" w:sz="4" w:space="0" w:color="A6A6A6" w:themeColor="background1" w:themeShade="A6"/>
            </w:tcBorders>
          </w:tcPr>
          <w:p w14:paraId="1354017C" w14:textId="77777777" w:rsidR="000D4BB4" w:rsidRDefault="000D4BB4" w:rsidP="000D4BB4">
            <w:pPr>
              <w:pStyle w:val="TableText"/>
            </w:pPr>
            <w:r>
              <w:rPr>
                <w:w w:val="105"/>
              </w:rPr>
              <w:t>2009</w:t>
            </w:r>
          </w:p>
        </w:tc>
        <w:tc>
          <w:tcPr>
            <w:tcW w:w="2796" w:type="dxa"/>
            <w:gridSpan w:val="3"/>
            <w:tcBorders>
              <w:top w:val="single" w:sz="4" w:space="0" w:color="A6A6A6" w:themeColor="background1" w:themeShade="A6"/>
              <w:bottom w:val="single" w:sz="4" w:space="0" w:color="A6A6A6" w:themeColor="background1" w:themeShade="A6"/>
            </w:tcBorders>
          </w:tcPr>
          <w:p w14:paraId="18C9B243" w14:textId="77777777" w:rsidR="000D4BB4" w:rsidRDefault="000D4BB4" w:rsidP="00975A47">
            <w:pPr>
              <w:pStyle w:val="TableText"/>
              <w:jc w:val="center"/>
            </w:pPr>
            <w:r>
              <w:t>49 (98%)</w:t>
            </w:r>
          </w:p>
        </w:tc>
        <w:tc>
          <w:tcPr>
            <w:tcW w:w="2797" w:type="dxa"/>
            <w:gridSpan w:val="2"/>
            <w:tcBorders>
              <w:top w:val="single" w:sz="4" w:space="0" w:color="A6A6A6" w:themeColor="background1" w:themeShade="A6"/>
              <w:bottom w:val="single" w:sz="4" w:space="0" w:color="A6A6A6" w:themeColor="background1" w:themeShade="A6"/>
            </w:tcBorders>
          </w:tcPr>
          <w:p w14:paraId="0CC8815F" w14:textId="77777777" w:rsidR="000D4BB4" w:rsidRDefault="000D4BB4" w:rsidP="00975A47">
            <w:pPr>
              <w:pStyle w:val="TableText"/>
              <w:jc w:val="center"/>
            </w:pPr>
            <w:r>
              <w:t>22 (81%)</w:t>
            </w:r>
          </w:p>
        </w:tc>
        <w:tc>
          <w:tcPr>
            <w:tcW w:w="1701" w:type="dxa"/>
            <w:tcBorders>
              <w:top w:val="single" w:sz="4" w:space="0" w:color="A6A6A6" w:themeColor="background1" w:themeShade="A6"/>
              <w:bottom w:val="single" w:sz="4" w:space="0" w:color="A6A6A6" w:themeColor="background1" w:themeShade="A6"/>
            </w:tcBorders>
          </w:tcPr>
          <w:p w14:paraId="0317C280" w14:textId="77777777" w:rsidR="000D4BB4" w:rsidRDefault="000D4BB4" w:rsidP="00975A47">
            <w:pPr>
              <w:pStyle w:val="TableText"/>
              <w:jc w:val="center"/>
            </w:pPr>
            <w:r>
              <w:t>71</w:t>
            </w:r>
          </w:p>
        </w:tc>
      </w:tr>
      <w:tr w:rsidR="000D4BB4" w14:paraId="104FC10C" w14:textId="77777777" w:rsidTr="00975A47">
        <w:tblPrEx>
          <w:tblBorders>
            <w:top w:val="none" w:sz="0" w:space="0" w:color="auto"/>
            <w:bottom w:val="none" w:sz="0" w:space="0" w:color="auto"/>
            <w:insideH w:val="none" w:sz="0" w:space="0" w:color="auto"/>
          </w:tblBorders>
        </w:tblPrEx>
        <w:trPr>
          <w:gridAfter w:val="1"/>
          <w:wAfter w:w="51" w:type="dxa"/>
          <w:cantSplit/>
        </w:trPr>
        <w:tc>
          <w:tcPr>
            <w:tcW w:w="786" w:type="dxa"/>
            <w:gridSpan w:val="2"/>
            <w:tcBorders>
              <w:top w:val="single" w:sz="4" w:space="0" w:color="A6A6A6" w:themeColor="background1" w:themeShade="A6"/>
              <w:bottom w:val="single" w:sz="4" w:space="0" w:color="A6A6A6" w:themeColor="background1" w:themeShade="A6"/>
            </w:tcBorders>
          </w:tcPr>
          <w:p w14:paraId="691C5FD3" w14:textId="77777777" w:rsidR="000D4BB4" w:rsidRDefault="000D4BB4" w:rsidP="000D4BB4">
            <w:pPr>
              <w:pStyle w:val="TableText"/>
            </w:pPr>
            <w:r>
              <w:rPr>
                <w:w w:val="105"/>
              </w:rPr>
              <w:t>2010</w:t>
            </w:r>
          </w:p>
        </w:tc>
        <w:tc>
          <w:tcPr>
            <w:tcW w:w="2796" w:type="dxa"/>
            <w:gridSpan w:val="3"/>
            <w:tcBorders>
              <w:top w:val="single" w:sz="4" w:space="0" w:color="A6A6A6" w:themeColor="background1" w:themeShade="A6"/>
              <w:bottom w:val="single" w:sz="4" w:space="0" w:color="A6A6A6" w:themeColor="background1" w:themeShade="A6"/>
            </w:tcBorders>
          </w:tcPr>
          <w:p w14:paraId="00951F29" w14:textId="77777777" w:rsidR="000D4BB4" w:rsidRDefault="000D4BB4" w:rsidP="00975A47">
            <w:pPr>
              <w:pStyle w:val="TableText"/>
              <w:jc w:val="center"/>
            </w:pPr>
            <w:r>
              <w:t>55 (96%)</w:t>
            </w:r>
          </w:p>
        </w:tc>
        <w:tc>
          <w:tcPr>
            <w:tcW w:w="2797" w:type="dxa"/>
            <w:gridSpan w:val="2"/>
            <w:tcBorders>
              <w:top w:val="single" w:sz="4" w:space="0" w:color="A6A6A6" w:themeColor="background1" w:themeShade="A6"/>
              <w:bottom w:val="single" w:sz="4" w:space="0" w:color="A6A6A6" w:themeColor="background1" w:themeShade="A6"/>
            </w:tcBorders>
          </w:tcPr>
          <w:p w14:paraId="73D924E2" w14:textId="77777777" w:rsidR="000D4BB4" w:rsidRDefault="000D4BB4" w:rsidP="00975A47">
            <w:pPr>
              <w:pStyle w:val="TableText"/>
              <w:jc w:val="center"/>
            </w:pPr>
            <w:r>
              <w:t>14 (58%)</w:t>
            </w:r>
          </w:p>
        </w:tc>
        <w:tc>
          <w:tcPr>
            <w:tcW w:w="1701" w:type="dxa"/>
            <w:tcBorders>
              <w:top w:val="single" w:sz="4" w:space="0" w:color="A6A6A6" w:themeColor="background1" w:themeShade="A6"/>
              <w:bottom w:val="single" w:sz="4" w:space="0" w:color="A6A6A6" w:themeColor="background1" w:themeShade="A6"/>
            </w:tcBorders>
          </w:tcPr>
          <w:p w14:paraId="6C68ECC2" w14:textId="77777777" w:rsidR="000D4BB4" w:rsidRDefault="000D4BB4" w:rsidP="00975A47">
            <w:pPr>
              <w:pStyle w:val="TableText"/>
              <w:jc w:val="center"/>
            </w:pPr>
            <w:r>
              <w:t>69</w:t>
            </w:r>
          </w:p>
        </w:tc>
      </w:tr>
      <w:tr w:rsidR="000D4BB4" w14:paraId="49375A7D" w14:textId="77777777" w:rsidTr="00975A47">
        <w:tblPrEx>
          <w:tblBorders>
            <w:top w:val="none" w:sz="0" w:space="0" w:color="auto"/>
            <w:bottom w:val="none" w:sz="0" w:space="0" w:color="auto"/>
            <w:insideH w:val="none" w:sz="0" w:space="0" w:color="auto"/>
          </w:tblBorders>
        </w:tblPrEx>
        <w:trPr>
          <w:gridAfter w:val="1"/>
          <w:wAfter w:w="51" w:type="dxa"/>
          <w:cantSplit/>
        </w:trPr>
        <w:tc>
          <w:tcPr>
            <w:tcW w:w="786" w:type="dxa"/>
            <w:gridSpan w:val="2"/>
            <w:tcBorders>
              <w:top w:val="single" w:sz="4" w:space="0" w:color="A6A6A6" w:themeColor="background1" w:themeShade="A6"/>
              <w:bottom w:val="single" w:sz="4" w:space="0" w:color="A6A6A6" w:themeColor="background1" w:themeShade="A6"/>
            </w:tcBorders>
          </w:tcPr>
          <w:p w14:paraId="5EAD927E" w14:textId="77777777" w:rsidR="000D4BB4" w:rsidRDefault="000D4BB4" w:rsidP="000D4BB4">
            <w:pPr>
              <w:pStyle w:val="TableText"/>
            </w:pPr>
            <w:r>
              <w:rPr>
                <w:w w:val="105"/>
              </w:rPr>
              <w:t>2011</w:t>
            </w:r>
          </w:p>
        </w:tc>
        <w:tc>
          <w:tcPr>
            <w:tcW w:w="2796" w:type="dxa"/>
            <w:gridSpan w:val="3"/>
            <w:tcBorders>
              <w:top w:val="single" w:sz="4" w:space="0" w:color="A6A6A6" w:themeColor="background1" w:themeShade="A6"/>
              <w:bottom w:val="single" w:sz="4" w:space="0" w:color="A6A6A6" w:themeColor="background1" w:themeShade="A6"/>
            </w:tcBorders>
          </w:tcPr>
          <w:p w14:paraId="43D9E143" w14:textId="77777777" w:rsidR="000D4BB4" w:rsidRDefault="000D4BB4" w:rsidP="00975A47">
            <w:pPr>
              <w:pStyle w:val="TableText"/>
              <w:jc w:val="center"/>
            </w:pPr>
            <w:r>
              <w:t>59 (97%)</w:t>
            </w:r>
          </w:p>
        </w:tc>
        <w:tc>
          <w:tcPr>
            <w:tcW w:w="2797" w:type="dxa"/>
            <w:gridSpan w:val="2"/>
            <w:tcBorders>
              <w:top w:val="single" w:sz="4" w:space="0" w:color="A6A6A6" w:themeColor="background1" w:themeShade="A6"/>
              <w:bottom w:val="single" w:sz="4" w:space="0" w:color="A6A6A6" w:themeColor="background1" w:themeShade="A6"/>
            </w:tcBorders>
          </w:tcPr>
          <w:p w14:paraId="18A399FD" w14:textId="77777777" w:rsidR="000D4BB4" w:rsidRDefault="000D4BB4" w:rsidP="00975A47">
            <w:pPr>
              <w:pStyle w:val="TableText"/>
              <w:jc w:val="center"/>
            </w:pPr>
            <w:r>
              <w:t>15 (75%)</w:t>
            </w:r>
          </w:p>
        </w:tc>
        <w:tc>
          <w:tcPr>
            <w:tcW w:w="1701" w:type="dxa"/>
            <w:tcBorders>
              <w:top w:val="single" w:sz="4" w:space="0" w:color="A6A6A6" w:themeColor="background1" w:themeShade="A6"/>
              <w:bottom w:val="single" w:sz="4" w:space="0" w:color="A6A6A6" w:themeColor="background1" w:themeShade="A6"/>
            </w:tcBorders>
          </w:tcPr>
          <w:p w14:paraId="57573FCC" w14:textId="77777777" w:rsidR="000D4BB4" w:rsidRDefault="000D4BB4" w:rsidP="00975A47">
            <w:pPr>
              <w:pStyle w:val="TableText"/>
              <w:jc w:val="center"/>
            </w:pPr>
            <w:r>
              <w:t>74</w:t>
            </w:r>
          </w:p>
        </w:tc>
      </w:tr>
      <w:tr w:rsidR="000D4BB4" w14:paraId="1B7F2974" w14:textId="77777777" w:rsidTr="00975A47">
        <w:tblPrEx>
          <w:tblBorders>
            <w:top w:val="none" w:sz="0" w:space="0" w:color="auto"/>
            <w:bottom w:val="none" w:sz="0" w:space="0" w:color="auto"/>
            <w:insideH w:val="none" w:sz="0" w:space="0" w:color="auto"/>
          </w:tblBorders>
        </w:tblPrEx>
        <w:trPr>
          <w:gridAfter w:val="1"/>
          <w:wAfter w:w="51" w:type="dxa"/>
          <w:cantSplit/>
        </w:trPr>
        <w:tc>
          <w:tcPr>
            <w:tcW w:w="786" w:type="dxa"/>
            <w:gridSpan w:val="2"/>
            <w:tcBorders>
              <w:top w:val="single" w:sz="4" w:space="0" w:color="A6A6A6" w:themeColor="background1" w:themeShade="A6"/>
              <w:bottom w:val="single" w:sz="4" w:space="0" w:color="A6A6A6" w:themeColor="background1" w:themeShade="A6"/>
            </w:tcBorders>
          </w:tcPr>
          <w:p w14:paraId="6B973E08" w14:textId="77777777" w:rsidR="000D4BB4" w:rsidRDefault="000D4BB4" w:rsidP="000D4BB4">
            <w:pPr>
              <w:pStyle w:val="TableText"/>
            </w:pPr>
            <w:r>
              <w:rPr>
                <w:w w:val="105"/>
              </w:rPr>
              <w:t>2012</w:t>
            </w:r>
          </w:p>
        </w:tc>
        <w:tc>
          <w:tcPr>
            <w:tcW w:w="2796" w:type="dxa"/>
            <w:gridSpan w:val="3"/>
            <w:tcBorders>
              <w:top w:val="single" w:sz="4" w:space="0" w:color="A6A6A6" w:themeColor="background1" w:themeShade="A6"/>
              <w:bottom w:val="single" w:sz="4" w:space="0" w:color="A6A6A6" w:themeColor="background1" w:themeShade="A6"/>
            </w:tcBorders>
          </w:tcPr>
          <w:p w14:paraId="2433A3D5" w14:textId="77777777" w:rsidR="000D4BB4" w:rsidRDefault="000D4BB4" w:rsidP="00975A47">
            <w:pPr>
              <w:pStyle w:val="TableText"/>
              <w:jc w:val="center"/>
            </w:pPr>
            <w:r>
              <w:t>61 (97%)</w:t>
            </w:r>
          </w:p>
        </w:tc>
        <w:tc>
          <w:tcPr>
            <w:tcW w:w="2797" w:type="dxa"/>
            <w:gridSpan w:val="2"/>
            <w:tcBorders>
              <w:top w:val="single" w:sz="4" w:space="0" w:color="A6A6A6" w:themeColor="background1" w:themeShade="A6"/>
              <w:bottom w:val="single" w:sz="4" w:space="0" w:color="A6A6A6" w:themeColor="background1" w:themeShade="A6"/>
            </w:tcBorders>
          </w:tcPr>
          <w:p w14:paraId="6C20DDA5" w14:textId="77777777" w:rsidR="000D4BB4" w:rsidRDefault="000D4BB4" w:rsidP="00975A47">
            <w:pPr>
              <w:pStyle w:val="TableText"/>
              <w:jc w:val="center"/>
            </w:pPr>
            <w:r>
              <w:t>11 (58%)</w:t>
            </w:r>
          </w:p>
        </w:tc>
        <w:tc>
          <w:tcPr>
            <w:tcW w:w="1701" w:type="dxa"/>
            <w:tcBorders>
              <w:top w:val="single" w:sz="4" w:space="0" w:color="A6A6A6" w:themeColor="background1" w:themeShade="A6"/>
              <w:bottom w:val="single" w:sz="4" w:space="0" w:color="A6A6A6" w:themeColor="background1" w:themeShade="A6"/>
            </w:tcBorders>
          </w:tcPr>
          <w:p w14:paraId="43E3F6C8" w14:textId="77777777" w:rsidR="000D4BB4" w:rsidRDefault="000D4BB4" w:rsidP="00975A47">
            <w:pPr>
              <w:pStyle w:val="TableText"/>
              <w:jc w:val="center"/>
            </w:pPr>
            <w:r>
              <w:t>72</w:t>
            </w:r>
          </w:p>
        </w:tc>
      </w:tr>
      <w:tr w:rsidR="000D4BB4" w14:paraId="47C7D736" w14:textId="77777777" w:rsidTr="00975A47">
        <w:tblPrEx>
          <w:tblBorders>
            <w:top w:val="none" w:sz="0" w:space="0" w:color="auto"/>
            <w:bottom w:val="none" w:sz="0" w:space="0" w:color="auto"/>
            <w:insideH w:val="none" w:sz="0" w:space="0" w:color="auto"/>
          </w:tblBorders>
        </w:tblPrEx>
        <w:trPr>
          <w:gridAfter w:val="1"/>
          <w:wAfter w:w="51" w:type="dxa"/>
          <w:cantSplit/>
        </w:trPr>
        <w:tc>
          <w:tcPr>
            <w:tcW w:w="786" w:type="dxa"/>
            <w:gridSpan w:val="2"/>
            <w:tcBorders>
              <w:top w:val="single" w:sz="4" w:space="0" w:color="A6A6A6" w:themeColor="background1" w:themeShade="A6"/>
              <w:bottom w:val="single" w:sz="4" w:space="0" w:color="A6A6A6" w:themeColor="background1" w:themeShade="A6"/>
            </w:tcBorders>
          </w:tcPr>
          <w:p w14:paraId="786615F6" w14:textId="77777777" w:rsidR="000D4BB4" w:rsidRDefault="000D4BB4" w:rsidP="000D4BB4">
            <w:pPr>
              <w:pStyle w:val="TableText"/>
            </w:pPr>
            <w:r>
              <w:rPr>
                <w:w w:val="105"/>
              </w:rPr>
              <w:t>2013</w:t>
            </w:r>
          </w:p>
        </w:tc>
        <w:tc>
          <w:tcPr>
            <w:tcW w:w="2796" w:type="dxa"/>
            <w:gridSpan w:val="3"/>
            <w:tcBorders>
              <w:top w:val="single" w:sz="4" w:space="0" w:color="A6A6A6" w:themeColor="background1" w:themeShade="A6"/>
              <w:bottom w:val="single" w:sz="4" w:space="0" w:color="A6A6A6" w:themeColor="background1" w:themeShade="A6"/>
            </w:tcBorders>
          </w:tcPr>
          <w:p w14:paraId="7F6581DD" w14:textId="77777777" w:rsidR="000D4BB4" w:rsidRDefault="000D4BB4" w:rsidP="00975A47">
            <w:pPr>
              <w:pStyle w:val="TableText"/>
              <w:jc w:val="center"/>
            </w:pPr>
            <w:r>
              <w:t>58 (94%)</w:t>
            </w:r>
          </w:p>
        </w:tc>
        <w:tc>
          <w:tcPr>
            <w:tcW w:w="2797" w:type="dxa"/>
            <w:gridSpan w:val="2"/>
            <w:tcBorders>
              <w:top w:val="single" w:sz="4" w:space="0" w:color="A6A6A6" w:themeColor="background1" w:themeShade="A6"/>
              <w:bottom w:val="single" w:sz="4" w:space="0" w:color="A6A6A6" w:themeColor="background1" w:themeShade="A6"/>
            </w:tcBorders>
          </w:tcPr>
          <w:p w14:paraId="7433F318" w14:textId="77777777" w:rsidR="000D4BB4" w:rsidRDefault="000D4BB4" w:rsidP="00975A47">
            <w:pPr>
              <w:pStyle w:val="TableText"/>
              <w:jc w:val="center"/>
            </w:pPr>
            <w:r>
              <w:t>16 (64%)</w:t>
            </w:r>
          </w:p>
        </w:tc>
        <w:tc>
          <w:tcPr>
            <w:tcW w:w="1701" w:type="dxa"/>
            <w:tcBorders>
              <w:top w:val="single" w:sz="4" w:space="0" w:color="A6A6A6" w:themeColor="background1" w:themeShade="A6"/>
              <w:bottom w:val="single" w:sz="4" w:space="0" w:color="A6A6A6" w:themeColor="background1" w:themeShade="A6"/>
            </w:tcBorders>
          </w:tcPr>
          <w:p w14:paraId="0801CAA5" w14:textId="77777777" w:rsidR="000D4BB4" w:rsidRDefault="000D4BB4" w:rsidP="00975A47">
            <w:pPr>
              <w:pStyle w:val="TableText"/>
              <w:jc w:val="center"/>
            </w:pPr>
            <w:r>
              <w:t>74</w:t>
            </w:r>
          </w:p>
        </w:tc>
      </w:tr>
      <w:tr w:rsidR="00975A47" w:rsidRPr="00EC5EF1" w14:paraId="48F99D1D" w14:textId="77777777" w:rsidTr="00975A47">
        <w:trPr>
          <w:cantSplit/>
        </w:trPr>
        <w:tc>
          <w:tcPr>
            <w:tcW w:w="709" w:type="dxa"/>
            <w:tcBorders>
              <w:top w:val="single" w:sz="4" w:space="0" w:color="A6A6A6" w:themeColor="background1" w:themeShade="A6"/>
            </w:tcBorders>
          </w:tcPr>
          <w:p w14:paraId="06B2D9C9" w14:textId="2A754761" w:rsidR="00975A47" w:rsidRPr="00B158F8" w:rsidRDefault="00975A47" w:rsidP="000D4BB4">
            <w:pPr>
              <w:pStyle w:val="TableText"/>
            </w:pPr>
            <w:r>
              <w:rPr>
                <w:w w:val="105"/>
              </w:rPr>
              <w:t>2014</w:t>
            </w:r>
          </w:p>
        </w:tc>
        <w:tc>
          <w:tcPr>
            <w:tcW w:w="2835" w:type="dxa"/>
            <w:gridSpan w:val="3"/>
            <w:tcBorders>
              <w:top w:val="single" w:sz="4" w:space="0" w:color="A6A6A6" w:themeColor="background1" w:themeShade="A6"/>
            </w:tcBorders>
          </w:tcPr>
          <w:p w14:paraId="184B1EAD" w14:textId="70401A25" w:rsidR="00975A47" w:rsidRPr="00EC5EF1" w:rsidRDefault="00975A47" w:rsidP="00975A47">
            <w:pPr>
              <w:pStyle w:val="TableText"/>
              <w:jc w:val="center"/>
            </w:pPr>
            <w:r>
              <w:t>50 (94%)</w:t>
            </w:r>
          </w:p>
        </w:tc>
        <w:tc>
          <w:tcPr>
            <w:tcW w:w="2835" w:type="dxa"/>
            <w:gridSpan w:val="3"/>
            <w:tcBorders>
              <w:top w:val="single" w:sz="4" w:space="0" w:color="A6A6A6" w:themeColor="background1" w:themeShade="A6"/>
            </w:tcBorders>
          </w:tcPr>
          <w:p w14:paraId="16599810" w14:textId="6637E956" w:rsidR="00975A47" w:rsidRPr="00EC5EF1" w:rsidRDefault="00975A47" w:rsidP="00975A47">
            <w:pPr>
              <w:pStyle w:val="TableText"/>
              <w:jc w:val="center"/>
            </w:pPr>
            <w:r>
              <w:t>14 (64%)</w:t>
            </w:r>
          </w:p>
        </w:tc>
        <w:tc>
          <w:tcPr>
            <w:tcW w:w="1752" w:type="dxa"/>
            <w:gridSpan w:val="2"/>
            <w:tcBorders>
              <w:top w:val="single" w:sz="4" w:space="0" w:color="A6A6A6" w:themeColor="background1" w:themeShade="A6"/>
            </w:tcBorders>
          </w:tcPr>
          <w:p w14:paraId="062B5F74" w14:textId="09FF77AA" w:rsidR="00975A47" w:rsidRPr="00EC5EF1" w:rsidRDefault="00975A47" w:rsidP="00975A47">
            <w:pPr>
              <w:pStyle w:val="TableText"/>
              <w:jc w:val="center"/>
            </w:pPr>
            <w:r>
              <w:t>64</w:t>
            </w:r>
          </w:p>
        </w:tc>
      </w:tr>
      <w:tr w:rsidR="00975A47" w:rsidRPr="00EC5EF1" w14:paraId="60F3F3D4" w14:textId="77777777" w:rsidTr="00975A47">
        <w:trPr>
          <w:cantSplit/>
        </w:trPr>
        <w:tc>
          <w:tcPr>
            <w:tcW w:w="709" w:type="dxa"/>
          </w:tcPr>
          <w:p w14:paraId="2B0D2F50" w14:textId="289E6C0F" w:rsidR="00975A47" w:rsidRPr="00EC5EF1" w:rsidRDefault="00975A47" w:rsidP="000D4BB4">
            <w:pPr>
              <w:pStyle w:val="TableText"/>
            </w:pPr>
            <w:r>
              <w:rPr>
                <w:w w:val="105"/>
              </w:rPr>
              <w:t>2015</w:t>
            </w:r>
          </w:p>
        </w:tc>
        <w:tc>
          <w:tcPr>
            <w:tcW w:w="2835" w:type="dxa"/>
            <w:gridSpan w:val="3"/>
          </w:tcPr>
          <w:p w14:paraId="1E5474B5" w14:textId="60A430DF" w:rsidR="00975A47" w:rsidRPr="00EC5EF1" w:rsidRDefault="00975A47" w:rsidP="00975A47">
            <w:pPr>
              <w:pStyle w:val="TableText"/>
              <w:jc w:val="center"/>
            </w:pPr>
            <w:r>
              <w:t>36 (100%)</w:t>
            </w:r>
          </w:p>
        </w:tc>
        <w:tc>
          <w:tcPr>
            <w:tcW w:w="2835" w:type="dxa"/>
            <w:gridSpan w:val="3"/>
          </w:tcPr>
          <w:p w14:paraId="33DCD85F" w14:textId="15F3C869" w:rsidR="00975A47" w:rsidRPr="00EC5EF1" w:rsidRDefault="00975A47" w:rsidP="00975A47">
            <w:pPr>
              <w:pStyle w:val="TableText"/>
              <w:jc w:val="center"/>
            </w:pPr>
            <w:r>
              <w:t>23 (85%)</w:t>
            </w:r>
          </w:p>
        </w:tc>
        <w:tc>
          <w:tcPr>
            <w:tcW w:w="1752" w:type="dxa"/>
            <w:gridSpan w:val="2"/>
          </w:tcPr>
          <w:p w14:paraId="3A6572DA" w14:textId="445C1F1D" w:rsidR="00975A47" w:rsidRPr="00EC5EF1" w:rsidRDefault="00975A47" w:rsidP="00975A47">
            <w:pPr>
              <w:pStyle w:val="TableText"/>
              <w:jc w:val="center"/>
            </w:pPr>
            <w:r>
              <w:t>59</w:t>
            </w:r>
          </w:p>
        </w:tc>
      </w:tr>
      <w:tr w:rsidR="00975A47" w:rsidRPr="00EC5EF1" w14:paraId="527CEBA9" w14:textId="77777777" w:rsidTr="00975A47">
        <w:trPr>
          <w:cantSplit/>
        </w:trPr>
        <w:tc>
          <w:tcPr>
            <w:tcW w:w="709" w:type="dxa"/>
            <w:tcBorders>
              <w:bottom w:val="single" w:sz="4" w:space="0" w:color="A6A6A6" w:themeColor="background1" w:themeShade="A6"/>
            </w:tcBorders>
          </w:tcPr>
          <w:p w14:paraId="09DDF5AB" w14:textId="1D227381" w:rsidR="00975A47" w:rsidRPr="00EC5EF1" w:rsidRDefault="00975A47" w:rsidP="000D4BB4">
            <w:pPr>
              <w:pStyle w:val="TableText"/>
            </w:pPr>
            <w:r>
              <w:rPr>
                <w:w w:val="105"/>
              </w:rPr>
              <w:t>2016</w:t>
            </w:r>
          </w:p>
        </w:tc>
        <w:tc>
          <w:tcPr>
            <w:tcW w:w="2835" w:type="dxa"/>
            <w:gridSpan w:val="3"/>
            <w:tcBorders>
              <w:bottom w:val="single" w:sz="4" w:space="0" w:color="A6A6A6" w:themeColor="background1" w:themeShade="A6"/>
            </w:tcBorders>
          </w:tcPr>
          <w:p w14:paraId="4A4FDF30" w14:textId="4DB5D8C8" w:rsidR="00975A47" w:rsidRPr="00EC5EF1" w:rsidRDefault="00975A47" w:rsidP="00975A47">
            <w:pPr>
              <w:pStyle w:val="TableText"/>
              <w:jc w:val="center"/>
            </w:pPr>
            <w:r>
              <w:t>24 (100%)</w:t>
            </w:r>
          </w:p>
        </w:tc>
        <w:tc>
          <w:tcPr>
            <w:tcW w:w="2835" w:type="dxa"/>
            <w:gridSpan w:val="3"/>
            <w:tcBorders>
              <w:bottom w:val="single" w:sz="4" w:space="0" w:color="A6A6A6" w:themeColor="background1" w:themeShade="A6"/>
            </w:tcBorders>
          </w:tcPr>
          <w:p w14:paraId="232658F2" w14:textId="544A3DFB" w:rsidR="00975A47" w:rsidRPr="00EC5EF1" w:rsidRDefault="00975A47" w:rsidP="00975A47">
            <w:pPr>
              <w:pStyle w:val="TableText"/>
              <w:jc w:val="center"/>
            </w:pPr>
            <w:r>
              <w:t>21 (81%)</w:t>
            </w:r>
          </w:p>
        </w:tc>
        <w:tc>
          <w:tcPr>
            <w:tcW w:w="1752" w:type="dxa"/>
            <w:gridSpan w:val="2"/>
            <w:tcBorders>
              <w:bottom w:val="single" w:sz="4" w:space="0" w:color="A6A6A6" w:themeColor="background1" w:themeShade="A6"/>
            </w:tcBorders>
          </w:tcPr>
          <w:p w14:paraId="112EFBC2" w14:textId="3F38B168" w:rsidR="00975A47" w:rsidRPr="00EC5EF1" w:rsidRDefault="00975A47" w:rsidP="00975A47">
            <w:pPr>
              <w:pStyle w:val="TableText"/>
              <w:jc w:val="center"/>
            </w:pPr>
            <w:r>
              <w:t>45</w:t>
            </w:r>
          </w:p>
        </w:tc>
      </w:tr>
      <w:tr w:rsidR="00975A47" w:rsidRPr="00EC5EF1" w14:paraId="017E2426" w14:textId="77777777" w:rsidTr="00975A47">
        <w:trPr>
          <w:cantSplit/>
        </w:trPr>
        <w:tc>
          <w:tcPr>
            <w:tcW w:w="709" w:type="dxa"/>
            <w:tcBorders>
              <w:top w:val="single" w:sz="4" w:space="0" w:color="A6A6A6" w:themeColor="background1" w:themeShade="A6"/>
            </w:tcBorders>
          </w:tcPr>
          <w:p w14:paraId="1D69965A" w14:textId="39B89638" w:rsidR="00975A47" w:rsidRPr="00975A47" w:rsidRDefault="00975A47" w:rsidP="000D4BB4">
            <w:pPr>
              <w:pStyle w:val="TableText"/>
            </w:pPr>
            <w:r>
              <w:rPr>
                <w:w w:val="105"/>
              </w:rPr>
              <w:t>2017</w:t>
            </w:r>
          </w:p>
        </w:tc>
        <w:tc>
          <w:tcPr>
            <w:tcW w:w="2835" w:type="dxa"/>
            <w:gridSpan w:val="3"/>
            <w:tcBorders>
              <w:top w:val="single" w:sz="4" w:space="0" w:color="A6A6A6" w:themeColor="background1" w:themeShade="A6"/>
            </w:tcBorders>
          </w:tcPr>
          <w:p w14:paraId="53038FB0" w14:textId="7967BAD5" w:rsidR="00975A47" w:rsidRPr="00EC5EF1" w:rsidRDefault="00975A47" w:rsidP="00975A47">
            <w:pPr>
              <w:pStyle w:val="TableText"/>
              <w:jc w:val="center"/>
            </w:pPr>
            <w:r>
              <w:t>4 (67%)</w:t>
            </w:r>
          </w:p>
        </w:tc>
        <w:tc>
          <w:tcPr>
            <w:tcW w:w="2835" w:type="dxa"/>
            <w:gridSpan w:val="3"/>
            <w:tcBorders>
              <w:top w:val="single" w:sz="4" w:space="0" w:color="A6A6A6" w:themeColor="background1" w:themeShade="A6"/>
            </w:tcBorders>
          </w:tcPr>
          <w:p w14:paraId="76B9BA02" w14:textId="1B776B14" w:rsidR="00975A47" w:rsidRPr="00EC5EF1" w:rsidRDefault="00975A47" w:rsidP="00975A47">
            <w:pPr>
              <w:pStyle w:val="TableText"/>
              <w:jc w:val="center"/>
            </w:pPr>
            <w:r>
              <w:t>12 (71%)</w:t>
            </w:r>
          </w:p>
        </w:tc>
        <w:tc>
          <w:tcPr>
            <w:tcW w:w="1752" w:type="dxa"/>
            <w:gridSpan w:val="2"/>
            <w:tcBorders>
              <w:top w:val="single" w:sz="4" w:space="0" w:color="A6A6A6" w:themeColor="background1" w:themeShade="A6"/>
            </w:tcBorders>
          </w:tcPr>
          <w:p w14:paraId="4E21CB39" w14:textId="4F538EBE" w:rsidR="00975A47" w:rsidRPr="00EC5EF1" w:rsidRDefault="00975A47" w:rsidP="00975A47">
            <w:pPr>
              <w:pStyle w:val="TableText"/>
              <w:jc w:val="center"/>
            </w:pPr>
            <w:r>
              <w:t>16</w:t>
            </w:r>
          </w:p>
        </w:tc>
      </w:tr>
    </w:tbl>
    <w:p w14:paraId="2344E54D" w14:textId="77777777" w:rsidR="00740DA6" w:rsidRPr="00EC5EF1" w:rsidRDefault="00740DA6" w:rsidP="00975A47">
      <w:pPr>
        <w:pStyle w:val="Note"/>
      </w:pPr>
      <w:r w:rsidRPr="00EC5EF1">
        <w:t>Notes: The table presents applications that were disposed at the time of data extraction on 14 June 2018.</w:t>
      </w:r>
    </w:p>
    <w:p w14:paraId="251D90FE" w14:textId="77777777" w:rsidR="00740DA6" w:rsidRPr="00EC5EF1" w:rsidRDefault="00740DA6" w:rsidP="00975A47">
      <w:pPr>
        <w:pStyle w:val="Note"/>
      </w:pPr>
      <w:r w:rsidRPr="00EC5EF1">
        <w:t>The case management system (CMS) is a live operational database. Figures are subject to minor changes at any time.</w:t>
      </w:r>
    </w:p>
    <w:p w14:paraId="7A5027D4" w14:textId="77777777" w:rsidR="00740DA6" w:rsidRPr="00EC5EF1" w:rsidRDefault="00740DA6" w:rsidP="00975A47">
      <w:pPr>
        <w:pStyle w:val="Source"/>
      </w:pPr>
      <w:r w:rsidRPr="00EC5EF1">
        <w:t>Source: Ministry of Justice CMS</w:t>
      </w:r>
    </w:p>
    <w:p w14:paraId="3E02735C" w14:textId="77777777" w:rsidR="00975A47" w:rsidRDefault="00975A47" w:rsidP="00975A47"/>
    <w:p w14:paraId="7014DBC3" w14:textId="7C5C4D3A" w:rsidR="00740DA6" w:rsidRPr="00EC5EF1" w:rsidRDefault="00740DA6" w:rsidP="00975A47">
      <w:r w:rsidRPr="00EC5EF1">
        <w:t xml:space="preserve">In October 2009, the Prime Minister announced a review of the ADA Act as part of a range of initiatives to reduce harm from methamphetamine. The New Zealand Law Commission released its report </w:t>
      </w:r>
      <w:r w:rsidRPr="00D83D0A">
        <w:rPr>
          <w:i/>
        </w:rPr>
        <w:t>Compulsory Treatment for Substance Dependence: A</w:t>
      </w:r>
      <w:r w:rsidR="00975A47" w:rsidRPr="00D83D0A">
        <w:rPr>
          <w:i/>
        </w:rPr>
        <w:t> </w:t>
      </w:r>
      <w:r w:rsidRPr="00D83D0A">
        <w:rPr>
          <w:i/>
        </w:rPr>
        <w:t xml:space="preserve">review of the Alcoholism and Drug Addiction Act 1966 </w:t>
      </w:r>
      <w:r w:rsidRPr="00EC5EF1">
        <w:t>in October 2012 (New Zealand Law Commission 2012).</w:t>
      </w:r>
    </w:p>
    <w:p w14:paraId="7F106DDB" w14:textId="77777777" w:rsidR="00975A47" w:rsidRDefault="00975A47" w:rsidP="00975A47"/>
    <w:p w14:paraId="6B3FA978" w14:textId="5B7AD9C5" w:rsidR="00740DA6" w:rsidRDefault="00740DA6" w:rsidP="00975A47">
      <w:r w:rsidRPr="00EC5EF1">
        <w:t xml:space="preserve">In 2012, Parliament introduced a Bill to repeal and replace the ADA Act. The Substance Addiction (Compulsory Assessment and Treatment) Bill was introduced to Parliament in December 2015 and came into force in February 2018. For more information on the Substance Addiction Act, see </w:t>
      </w:r>
      <w:r w:rsidRPr="00D60FD0">
        <w:t xml:space="preserve">page </w:t>
      </w:r>
      <w:r w:rsidR="00114267">
        <w:t>21</w:t>
      </w:r>
      <w:r w:rsidRPr="00EC5EF1">
        <w:t xml:space="preserve"> of this report.</w:t>
      </w:r>
    </w:p>
    <w:p w14:paraId="7C0BB0A3" w14:textId="77777777" w:rsidR="00975A47" w:rsidRPr="00EC5EF1" w:rsidRDefault="00975A47" w:rsidP="00975A47"/>
    <w:p w14:paraId="04555483" w14:textId="77777777" w:rsidR="00740DA6" w:rsidRPr="00EC5EF1" w:rsidRDefault="00740DA6" w:rsidP="00975A47">
      <w:pPr>
        <w:pStyle w:val="Heading3"/>
      </w:pPr>
      <w:bookmarkStart w:id="140" w:name="_Toc2845687"/>
      <w:r w:rsidRPr="00EC5EF1">
        <w:t>Electroconvulsive therapy</w:t>
      </w:r>
      <w:bookmarkEnd w:id="140"/>
    </w:p>
    <w:p w14:paraId="546F32D9" w14:textId="5D4E149D" w:rsidR="00740DA6" w:rsidRPr="00EC5EF1" w:rsidRDefault="00740DA6" w:rsidP="00CF0327">
      <w:pPr>
        <w:keepNext/>
      </w:pPr>
      <w:r w:rsidRPr="00EC5EF1">
        <w:t>ECT is a therapeutic procedure in which a brief pulse of electricity is delivered to a person’s brain in order to produce a seizure. It can be an effective treatment for various types of mental illness, including depressive illness, mania, catatonia and other serious neuropsychiatric conditions. It is often effective as a last resort in</w:t>
      </w:r>
      <w:r w:rsidR="00975A47">
        <w:t xml:space="preserve"> </w:t>
      </w:r>
      <w:r w:rsidRPr="00EC5EF1">
        <w:t xml:space="preserve">cases where medication is contraindicated or is not relieving symptoms sufficiently. It can only be </w:t>
      </w:r>
      <w:r w:rsidRPr="00EC5EF1">
        <w:lastRenderedPageBreak/>
        <w:t>given with the consent of the person receiving it, other than in certain carefully defined circumstances.</w:t>
      </w:r>
    </w:p>
    <w:p w14:paraId="02A069FB" w14:textId="77777777" w:rsidR="00740DA6" w:rsidRPr="00EC5EF1" w:rsidRDefault="00740DA6" w:rsidP="00975A47"/>
    <w:p w14:paraId="5F0E75CF" w14:textId="77777777" w:rsidR="00740DA6" w:rsidRPr="00EC5EF1" w:rsidRDefault="00740DA6" w:rsidP="00975A47">
      <w:r w:rsidRPr="00EC5EF1">
        <w:t>In 2017:</w:t>
      </w:r>
    </w:p>
    <w:p w14:paraId="48CA65CF" w14:textId="77777777" w:rsidR="00740DA6" w:rsidRPr="00EC5EF1" w:rsidRDefault="00740DA6" w:rsidP="00975A47">
      <w:pPr>
        <w:pStyle w:val="Bullet"/>
      </w:pPr>
      <w:r w:rsidRPr="00EC5EF1">
        <w:t>265 people received ECT (5.5 people per 100,000)</w:t>
      </w:r>
    </w:p>
    <w:p w14:paraId="17B09E5A" w14:textId="77777777" w:rsidR="00740DA6" w:rsidRPr="00EC5EF1" w:rsidRDefault="00740DA6" w:rsidP="00975A47">
      <w:pPr>
        <w:pStyle w:val="Bullet"/>
      </w:pPr>
      <w:r w:rsidRPr="00EC5EF1">
        <w:t>services administered a total of 2,914 treatments of ECT</w:t>
      </w:r>
    </w:p>
    <w:p w14:paraId="6DB7A89A" w14:textId="77777777" w:rsidR="00740DA6" w:rsidRPr="00EC5EF1" w:rsidRDefault="00740DA6" w:rsidP="00975A47">
      <w:pPr>
        <w:pStyle w:val="Bullet"/>
      </w:pPr>
      <w:r w:rsidRPr="00EC5EF1">
        <w:t>those treated received an average of 11 administrations of ECT over the year</w:t>
      </w:r>
    </w:p>
    <w:p w14:paraId="39CC07D8" w14:textId="77777777" w:rsidR="00740DA6" w:rsidRPr="00EC5EF1" w:rsidRDefault="00740DA6" w:rsidP="00975A47">
      <w:pPr>
        <w:pStyle w:val="Bullet"/>
      </w:pPr>
      <w:r w:rsidRPr="00EC5EF1">
        <w:t>females were more likely to receive ECT than males</w:t>
      </w:r>
    </w:p>
    <w:p w14:paraId="6355B286" w14:textId="77777777" w:rsidR="00740DA6" w:rsidRPr="00EC5EF1" w:rsidRDefault="00740DA6" w:rsidP="00975A47">
      <w:pPr>
        <w:pStyle w:val="Bullet"/>
      </w:pPr>
      <w:proofErr w:type="gramStart"/>
      <w:r w:rsidRPr="00EC5EF1">
        <w:t>older</w:t>
      </w:r>
      <w:proofErr w:type="gramEnd"/>
      <w:r w:rsidRPr="00EC5EF1">
        <w:t xml:space="preserve"> people were more likely to receive ECT than younger people.</w:t>
      </w:r>
    </w:p>
    <w:p w14:paraId="1779C013" w14:textId="77777777" w:rsidR="00975A47" w:rsidRDefault="00975A47" w:rsidP="00975A47"/>
    <w:p w14:paraId="67911889" w14:textId="2E0B6C85" w:rsidR="00740DA6" w:rsidRPr="00EC5EF1" w:rsidRDefault="00740DA6" w:rsidP="00975A47">
      <w:r w:rsidRPr="00EC5EF1">
        <w:t>Medical staff administer ECT under anaesthesia in an operating theatre, making use</w:t>
      </w:r>
      <w:r w:rsidR="00975A47">
        <w:t xml:space="preserve"> </w:t>
      </w:r>
      <w:r w:rsidRPr="00EC5EF1">
        <w:t>of muscle relaxants. The person who has received ECT wakes unable to recall the details of the procedure. The most common side effects of ECT are confusion, disorientation and memory</w:t>
      </w:r>
      <w:r w:rsidR="00DE0BB2">
        <w:t xml:space="preserve"> </w:t>
      </w:r>
      <w:r w:rsidRPr="00EC5EF1">
        <w:t>loss.</w:t>
      </w:r>
      <w:r w:rsidR="00975A47">
        <w:t xml:space="preserve"> </w:t>
      </w:r>
      <w:r w:rsidRPr="00EC5EF1">
        <w:t>Confusion and disorientation typically clear within an hour, but memory loss can be persistent and in some cases even permanent (American Psychiatric Association 2001; Ministry of Health 2004).</w:t>
      </w:r>
    </w:p>
    <w:p w14:paraId="074EF76C" w14:textId="77777777" w:rsidR="00975A47" w:rsidRDefault="00975A47" w:rsidP="00975A47"/>
    <w:p w14:paraId="6138D3B3" w14:textId="100606DF" w:rsidR="00740DA6" w:rsidRPr="00EC5EF1" w:rsidRDefault="00740DA6" w:rsidP="00975A47">
      <w:r w:rsidRPr="00EC5EF1">
        <w:t>Significant advances have been made in improving</w:t>
      </w:r>
      <w:r w:rsidR="00434E22">
        <w:t xml:space="preserve"> </w:t>
      </w:r>
      <w:r w:rsidRPr="00EC5EF1">
        <w:t>ECT techniques and reducing side effects over the last 20 years. Despite these improvements, ECT remains a controversial treatment. In 2003, in response to petition</w:t>
      </w:r>
      <w:r w:rsidR="00975A47">
        <w:t xml:space="preserve"> </w:t>
      </w:r>
      <w:r w:rsidRPr="00EC5EF1">
        <w:rPr>
          <w:noProof/>
          <w:lang w:eastAsia="en-NZ"/>
        </w:rPr>
        <w:drawing>
          <wp:anchor distT="0" distB="0" distL="0" distR="0" simplePos="0" relativeHeight="251810816" behindDoc="0" locked="0" layoutInCell="1" allowOverlap="1" wp14:anchorId="73FBC23E" wp14:editId="673F3202">
            <wp:simplePos x="0" y="0"/>
            <wp:positionH relativeFrom="page">
              <wp:posOffset>8060163</wp:posOffset>
            </wp:positionH>
            <wp:positionV relativeFrom="paragraph">
              <wp:posOffset>555563</wp:posOffset>
            </wp:positionV>
            <wp:extent cx="155575" cy="155575"/>
            <wp:effectExtent l="0" t="0" r="0" b="0"/>
            <wp:wrapNone/>
            <wp:docPr id="38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 xml:space="preserve">1999/30 of Anna de </w:t>
      </w:r>
      <w:proofErr w:type="spellStart"/>
      <w:r w:rsidRPr="00EC5EF1">
        <w:t>Jonge</w:t>
      </w:r>
      <w:proofErr w:type="spellEnd"/>
      <w:r w:rsidRPr="00EC5EF1">
        <w:t xml:space="preserve"> and others regarding ECT, the Health Committee recommended that an independent review be carried out on the safety and efficacy of ECT and the adequacy of regulatory controls on its use in New Zealand. The review concluded that ECT continues to have a place as a treatment option for consumers of mental health services in New Zealand, and that banning its use would deprive some seriously ill people of a potentially effective and sometimes life-saving means of treatment (Ministry of Health 2004).</w:t>
      </w:r>
    </w:p>
    <w:p w14:paraId="0537233D" w14:textId="77777777" w:rsidR="007F22A0" w:rsidRDefault="007F22A0" w:rsidP="00975A47"/>
    <w:p w14:paraId="138A31D1" w14:textId="77777777" w:rsidR="00740DA6" w:rsidRDefault="00740DA6" w:rsidP="00975A47">
      <w:r w:rsidRPr="00EC5EF1">
        <w:t>In 2009, the Ministry created a consumer resource on ECT as part of the Government response to the 2004 independent review (Ministry of Health 2009).</w:t>
      </w:r>
    </w:p>
    <w:p w14:paraId="52424DFC" w14:textId="77777777" w:rsidR="00975A47" w:rsidRPr="00EC5EF1" w:rsidRDefault="00975A47" w:rsidP="00975A47"/>
    <w:p w14:paraId="37A5CC68" w14:textId="77777777" w:rsidR="00740DA6" w:rsidRPr="00EC5EF1" w:rsidRDefault="00740DA6" w:rsidP="00975A47">
      <w:pPr>
        <w:pStyle w:val="Heading4"/>
      </w:pPr>
      <w:r w:rsidRPr="00EC5EF1">
        <w:t>Changes in the use of ECT over time</w:t>
      </w:r>
    </w:p>
    <w:p w14:paraId="6E9F956F" w14:textId="77777777" w:rsidR="00740DA6" w:rsidRPr="00EC5EF1" w:rsidRDefault="00740DA6" w:rsidP="00975A47">
      <w:r w:rsidRPr="00EC5EF1">
        <w:t>The number of people treated with ECT in New Zealand has remained relatively stable since 2006. Around 200 to 300 people receive the treatment each year. Although the rate of people treated with ECT had been declining for some years, it has increased since the 2015 calendar year (Figure 40).</w:t>
      </w:r>
    </w:p>
    <w:p w14:paraId="7B34B37D" w14:textId="77777777" w:rsidR="00740DA6" w:rsidRPr="00EC5EF1" w:rsidRDefault="00740DA6" w:rsidP="00975A47"/>
    <w:p w14:paraId="75455AE2" w14:textId="77777777" w:rsidR="00740DA6" w:rsidRPr="00EC5EF1" w:rsidRDefault="00740DA6" w:rsidP="00434E22">
      <w:pPr>
        <w:pStyle w:val="Figure"/>
      </w:pPr>
      <w:bookmarkStart w:id="141" w:name="_Toc2845742"/>
      <w:r w:rsidRPr="00EC5EF1">
        <w:lastRenderedPageBreak/>
        <w:t>Figure 40: Number of people treated with ECT per 100,000 service user population, 2005–2017</w:t>
      </w:r>
      <w:bookmarkEnd w:id="141"/>
    </w:p>
    <w:p w14:paraId="16C43379" w14:textId="356AF3E6" w:rsidR="00740DA6" w:rsidRPr="00EC5EF1" w:rsidRDefault="00CF0327" w:rsidP="00434E22">
      <w:r>
        <w:rPr>
          <w:noProof/>
          <w:lang w:eastAsia="en-NZ"/>
        </w:rPr>
        <w:drawing>
          <wp:inline distT="0" distB="0" distL="0" distR="0" wp14:anchorId="631B7EEB" wp14:editId="7B5E9497">
            <wp:extent cx="5120640" cy="2475173"/>
            <wp:effectExtent l="0" t="0" r="3810" b="1905"/>
            <wp:docPr id="54" name="Picture 54" title="Figure 40: Number of people treated with ECT per 100,000 service user population, 2005–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t="2931" b="-1"/>
                    <a:stretch/>
                  </pic:blipFill>
                  <pic:spPr bwMode="auto">
                    <a:xfrm>
                      <a:off x="0" y="0"/>
                      <a:ext cx="5130165" cy="2479777"/>
                    </a:xfrm>
                    <a:prstGeom prst="rect">
                      <a:avLst/>
                    </a:prstGeom>
                    <a:ln>
                      <a:noFill/>
                    </a:ln>
                    <a:extLst>
                      <a:ext uri="{53640926-AAD7-44D8-BBD7-CCE9431645EC}">
                        <a14:shadowObscured xmlns:a14="http://schemas.microsoft.com/office/drawing/2010/main"/>
                      </a:ext>
                    </a:extLst>
                  </pic:spPr>
                </pic:pic>
              </a:graphicData>
            </a:graphic>
          </wp:inline>
        </w:drawing>
      </w:r>
    </w:p>
    <w:p w14:paraId="44B7B0E0" w14:textId="77777777" w:rsidR="00740DA6" w:rsidRPr="00EC5EF1" w:rsidRDefault="00740DA6" w:rsidP="00975A47">
      <w:pPr>
        <w:pStyle w:val="Source"/>
      </w:pPr>
      <w:r w:rsidRPr="00EC5EF1">
        <w:t>Source: PRIMHD data, extracted on 14 August 2018, except for Nelson Marlborough, Southern, and Whanganui DHBs, which submitted data manually</w:t>
      </w:r>
    </w:p>
    <w:p w14:paraId="54B6A67F" w14:textId="77777777" w:rsidR="00975A47" w:rsidRDefault="00975A47" w:rsidP="00975A47"/>
    <w:p w14:paraId="5609584A" w14:textId="461C90FD" w:rsidR="00740DA6" w:rsidRPr="00975A47" w:rsidRDefault="00740DA6" w:rsidP="00975A47">
      <w:r w:rsidRPr="00EC5EF1">
        <w:t>During the year ending 31 December 2017, a total of 265 people received ECT and 2,914 treatments were administered, representing a mean of 11 treatments per person (see Table 19).</w:t>
      </w:r>
      <w:r w:rsidR="00975A47">
        <w:rPr>
          <w:rStyle w:val="FootnoteReference"/>
        </w:rPr>
        <w:footnoteReference w:id="55"/>
      </w:r>
    </w:p>
    <w:p w14:paraId="5B7A0330" w14:textId="50F31819" w:rsidR="00740DA6" w:rsidRPr="00EC5EF1" w:rsidRDefault="00740DA6" w:rsidP="00975A47">
      <w:pPr>
        <w:rPr>
          <w:sz w:val="24"/>
        </w:rPr>
      </w:pPr>
    </w:p>
    <w:p w14:paraId="456BC781" w14:textId="18F04DED" w:rsidR="00740DA6" w:rsidRDefault="00740DA6" w:rsidP="00975A47">
      <w:pPr>
        <w:pStyle w:val="Table"/>
      </w:pPr>
      <w:bookmarkStart w:id="142" w:name="_Toc2845763"/>
      <w:r w:rsidRPr="00EC5EF1">
        <w:lastRenderedPageBreak/>
        <w:t>Table 19: ECT therapy indicators, by DHB of domicile, 1 January to 31 December 2017</w:t>
      </w:r>
      <w:bookmarkEnd w:id="142"/>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020"/>
        <w:gridCol w:w="12"/>
        <w:gridCol w:w="1742"/>
        <w:gridCol w:w="6"/>
        <w:gridCol w:w="1749"/>
        <w:gridCol w:w="2551"/>
        <w:gridCol w:w="51"/>
      </w:tblGrid>
      <w:tr w:rsidR="00975A47" w:rsidRPr="00975A47" w14:paraId="7990484D" w14:textId="77777777" w:rsidTr="00C512D1">
        <w:trPr>
          <w:cantSplit/>
        </w:trPr>
        <w:tc>
          <w:tcPr>
            <w:tcW w:w="2032" w:type="dxa"/>
            <w:gridSpan w:val="2"/>
            <w:tcBorders>
              <w:top w:val="nil"/>
              <w:bottom w:val="nil"/>
            </w:tcBorders>
            <w:shd w:val="clear" w:color="auto" w:fill="D9D9D9" w:themeFill="background1" w:themeFillShade="D9"/>
          </w:tcPr>
          <w:p w14:paraId="05196356" w14:textId="70FC5B4A" w:rsidR="00975A47" w:rsidRPr="00B158F8" w:rsidRDefault="00975A47" w:rsidP="00CF0327">
            <w:pPr>
              <w:pStyle w:val="TableText"/>
              <w:keepNext/>
              <w:rPr>
                <w:b/>
              </w:rPr>
            </w:pPr>
            <w:r>
              <w:rPr>
                <w:b/>
              </w:rPr>
              <w:t>DHB of domicile</w:t>
            </w:r>
          </w:p>
        </w:tc>
        <w:tc>
          <w:tcPr>
            <w:tcW w:w="1748" w:type="dxa"/>
            <w:gridSpan w:val="2"/>
            <w:tcBorders>
              <w:top w:val="nil"/>
              <w:bottom w:val="nil"/>
            </w:tcBorders>
            <w:shd w:val="clear" w:color="auto" w:fill="D9D9D9" w:themeFill="background1" w:themeFillShade="D9"/>
          </w:tcPr>
          <w:p w14:paraId="3A0490B7" w14:textId="1C471B4C" w:rsidR="00975A47" w:rsidRPr="00B158F8" w:rsidRDefault="00975A47" w:rsidP="00CF0327">
            <w:pPr>
              <w:pStyle w:val="TableText"/>
              <w:keepNext/>
              <w:jc w:val="center"/>
              <w:rPr>
                <w:b/>
              </w:rPr>
            </w:pPr>
            <w:r>
              <w:rPr>
                <w:b/>
              </w:rPr>
              <w:t>Number of people treated with ECT</w:t>
            </w:r>
          </w:p>
        </w:tc>
        <w:tc>
          <w:tcPr>
            <w:tcW w:w="1749" w:type="dxa"/>
            <w:tcBorders>
              <w:top w:val="nil"/>
              <w:bottom w:val="nil"/>
            </w:tcBorders>
            <w:shd w:val="clear" w:color="auto" w:fill="D9D9D9" w:themeFill="background1" w:themeFillShade="D9"/>
          </w:tcPr>
          <w:p w14:paraId="5C309857" w14:textId="3308C02E" w:rsidR="00975A47" w:rsidRPr="00B158F8" w:rsidRDefault="00975A47" w:rsidP="00CF0327">
            <w:pPr>
              <w:pStyle w:val="TableText"/>
              <w:keepNext/>
              <w:jc w:val="center"/>
              <w:rPr>
                <w:b/>
              </w:rPr>
            </w:pPr>
            <w:r>
              <w:rPr>
                <w:b/>
              </w:rPr>
              <w:t>Number of</w:t>
            </w:r>
            <w:r w:rsidR="00C512D1">
              <w:rPr>
                <w:b/>
              </w:rPr>
              <w:br/>
            </w:r>
            <w:r>
              <w:rPr>
                <w:b/>
              </w:rPr>
              <w:t>treatments</w:t>
            </w:r>
          </w:p>
        </w:tc>
        <w:tc>
          <w:tcPr>
            <w:tcW w:w="2602" w:type="dxa"/>
            <w:gridSpan w:val="2"/>
            <w:tcBorders>
              <w:top w:val="nil"/>
              <w:bottom w:val="nil"/>
            </w:tcBorders>
            <w:shd w:val="clear" w:color="auto" w:fill="D9D9D9" w:themeFill="background1" w:themeFillShade="D9"/>
          </w:tcPr>
          <w:p w14:paraId="4F5135F8" w14:textId="61A101C3" w:rsidR="00975A47" w:rsidRPr="00975A47" w:rsidRDefault="00975A47" w:rsidP="00CF0327">
            <w:pPr>
              <w:pStyle w:val="TableText"/>
              <w:keepNext/>
              <w:jc w:val="center"/>
              <w:rPr>
                <w:b/>
              </w:rPr>
            </w:pPr>
            <w:r>
              <w:rPr>
                <w:b/>
              </w:rPr>
              <w:t>Mean number of treatments per person (range)</w:t>
            </w:r>
          </w:p>
        </w:tc>
      </w:tr>
      <w:tr w:rsidR="00975A47" w14:paraId="21435D43" w14:textId="77777777" w:rsidTr="00C512D1">
        <w:tblPrEx>
          <w:tblBorders>
            <w:top w:val="none" w:sz="0" w:space="0" w:color="auto"/>
            <w:bottom w:val="none" w:sz="0" w:space="0" w:color="auto"/>
            <w:insideH w:val="none" w:sz="0" w:space="0" w:color="auto"/>
          </w:tblBorders>
        </w:tblPrEx>
        <w:trPr>
          <w:gridAfter w:val="1"/>
          <w:wAfter w:w="51" w:type="dxa"/>
          <w:cantSplit/>
        </w:trPr>
        <w:tc>
          <w:tcPr>
            <w:tcW w:w="2020" w:type="dxa"/>
            <w:tcBorders>
              <w:bottom w:val="single" w:sz="4" w:space="0" w:color="A6A6A6" w:themeColor="background1" w:themeShade="A6"/>
            </w:tcBorders>
          </w:tcPr>
          <w:p w14:paraId="2F32B0AE" w14:textId="2CFF29E0" w:rsidR="00975A47" w:rsidRDefault="00975A47" w:rsidP="00CF0327">
            <w:pPr>
              <w:pStyle w:val="TableText"/>
              <w:keepNext/>
            </w:pPr>
            <w:r>
              <w:rPr>
                <w:w w:val="105"/>
              </w:rPr>
              <w:t>Auckland</w:t>
            </w:r>
          </w:p>
        </w:tc>
        <w:tc>
          <w:tcPr>
            <w:tcW w:w="1754" w:type="dxa"/>
            <w:gridSpan w:val="2"/>
            <w:tcBorders>
              <w:bottom w:val="single" w:sz="4" w:space="0" w:color="A6A6A6" w:themeColor="background1" w:themeShade="A6"/>
            </w:tcBorders>
          </w:tcPr>
          <w:p w14:paraId="46B0BCAE" w14:textId="53F64294" w:rsidR="00975A47" w:rsidRDefault="00975A47" w:rsidP="00CF0327">
            <w:pPr>
              <w:pStyle w:val="TableText"/>
              <w:keepNext/>
              <w:tabs>
                <w:tab w:val="decimal" w:pos="900"/>
              </w:tabs>
            </w:pPr>
            <w:r>
              <w:t>23</w:t>
            </w:r>
          </w:p>
        </w:tc>
        <w:tc>
          <w:tcPr>
            <w:tcW w:w="1755" w:type="dxa"/>
            <w:gridSpan w:val="2"/>
            <w:tcBorders>
              <w:bottom w:val="single" w:sz="4" w:space="0" w:color="A6A6A6" w:themeColor="background1" w:themeShade="A6"/>
            </w:tcBorders>
          </w:tcPr>
          <w:p w14:paraId="05434544" w14:textId="2964F731" w:rsidR="00975A47" w:rsidRDefault="00975A47" w:rsidP="00CF0327">
            <w:pPr>
              <w:pStyle w:val="TableText"/>
              <w:keepNext/>
              <w:tabs>
                <w:tab w:val="decimal" w:pos="1012"/>
              </w:tabs>
            </w:pPr>
            <w:r>
              <w:t>298</w:t>
            </w:r>
          </w:p>
        </w:tc>
        <w:tc>
          <w:tcPr>
            <w:tcW w:w="2551" w:type="dxa"/>
            <w:tcBorders>
              <w:bottom w:val="single" w:sz="4" w:space="0" w:color="A6A6A6" w:themeColor="background1" w:themeShade="A6"/>
            </w:tcBorders>
          </w:tcPr>
          <w:p w14:paraId="00C50452" w14:textId="216BDAF5" w:rsidR="00975A47" w:rsidRDefault="00975A47" w:rsidP="00CF0327">
            <w:pPr>
              <w:pStyle w:val="TableText"/>
              <w:keepNext/>
              <w:tabs>
                <w:tab w:val="decimal" w:pos="1077"/>
              </w:tabs>
            </w:pPr>
            <w:r>
              <w:t>13 (2–52)</w:t>
            </w:r>
          </w:p>
        </w:tc>
      </w:tr>
      <w:tr w:rsidR="00975A47" w14:paraId="27CC101A" w14:textId="77777777" w:rsidTr="00C512D1">
        <w:tblPrEx>
          <w:tblBorders>
            <w:top w:val="none" w:sz="0" w:space="0" w:color="auto"/>
            <w:bottom w:val="none" w:sz="0" w:space="0" w:color="auto"/>
            <w:insideH w:val="none" w:sz="0" w:space="0" w:color="auto"/>
          </w:tblBorders>
        </w:tblPrEx>
        <w:trPr>
          <w:gridAfter w:val="1"/>
          <w:wAfter w:w="51" w:type="dxa"/>
          <w:cantSplit/>
        </w:trPr>
        <w:tc>
          <w:tcPr>
            <w:tcW w:w="2020" w:type="dxa"/>
            <w:tcBorders>
              <w:top w:val="single" w:sz="4" w:space="0" w:color="A6A6A6" w:themeColor="background1" w:themeShade="A6"/>
              <w:bottom w:val="single" w:sz="4" w:space="0" w:color="A6A6A6" w:themeColor="background1" w:themeShade="A6"/>
            </w:tcBorders>
          </w:tcPr>
          <w:p w14:paraId="305D91E8" w14:textId="41BBBFC5" w:rsidR="00975A47" w:rsidRDefault="00975A47" w:rsidP="00CF0327">
            <w:pPr>
              <w:pStyle w:val="TableText"/>
              <w:keepNext/>
            </w:pPr>
            <w:r>
              <w:rPr>
                <w:w w:val="105"/>
              </w:rPr>
              <w:t>Bay of Plenty</w:t>
            </w:r>
          </w:p>
        </w:tc>
        <w:tc>
          <w:tcPr>
            <w:tcW w:w="1754" w:type="dxa"/>
            <w:gridSpan w:val="2"/>
            <w:tcBorders>
              <w:top w:val="single" w:sz="4" w:space="0" w:color="A6A6A6" w:themeColor="background1" w:themeShade="A6"/>
              <w:bottom w:val="single" w:sz="4" w:space="0" w:color="A6A6A6" w:themeColor="background1" w:themeShade="A6"/>
            </w:tcBorders>
          </w:tcPr>
          <w:p w14:paraId="10B349F6" w14:textId="5AB8CF71" w:rsidR="00975A47" w:rsidRDefault="00975A47" w:rsidP="00CF0327">
            <w:pPr>
              <w:pStyle w:val="TableText"/>
              <w:keepNext/>
              <w:tabs>
                <w:tab w:val="decimal" w:pos="900"/>
              </w:tabs>
            </w:pPr>
            <w:r>
              <w:t>17</w:t>
            </w:r>
          </w:p>
        </w:tc>
        <w:tc>
          <w:tcPr>
            <w:tcW w:w="1755" w:type="dxa"/>
            <w:gridSpan w:val="2"/>
            <w:tcBorders>
              <w:top w:val="single" w:sz="4" w:space="0" w:color="A6A6A6" w:themeColor="background1" w:themeShade="A6"/>
              <w:bottom w:val="single" w:sz="4" w:space="0" w:color="A6A6A6" w:themeColor="background1" w:themeShade="A6"/>
            </w:tcBorders>
          </w:tcPr>
          <w:p w14:paraId="492927F0" w14:textId="7EFB0AF2" w:rsidR="00975A47" w:rsidRDefault="00975A47" w:rsidP="00CF0327">
            <w:pPr>
              <w:pStyle w:val="TableText"/>
              <w:keepNext/>
              <w:tabs>
                <w:tab w:val="decimal" w:pos="1012"/>
              </w:tabs>
            </w:pPr>
            <w:r>
              <w:t>256</w:t>
            </w:r>
          </w:p>
        </w:tc>
        <w:tc>
          <w:tcPr>
            <w:tcW w:w="2551" w:type="dxa"/>
            <w:tcBorders>
              <w:top w:val="single" w:sz="4" w:space="0" w:color="A6A6A6" w:themeColor="background1" w:themeShade="A6"/>
              <w:bottom w:val="single" w:sz="4" w:space="0" w:color="A6A6A6" w:themeColor="background1" w:themeShade="A6"/>
            </w:tcBorders>
          </w:tcPr>
          <w:p w14:paraId="4AEE01E8" w14:textId="7FDFF180" w:rsidR="00975A47" w:rsidRDefault="00975A47" w:rsidP="00CF0327">
            <w:pPr>
              <w:pStyle w:val="TableText"/>
              <w:keepNext/>
              <w:tabs>
                <w:tab w:val="decimal" w:pos="1077"/>
              </w:tabs>
            </w:pPr>
            <w:r>
              <w:t>15 (3–52)</w:t>
            </w:r>
          </w:p>
        </w:tc>
      </w:tr>
      <w:tr w:rsidR="00975A47" w14:paraId="3F896282" w14:textId="77777777" w:rsidTr="00C512D1">
        <w:tblPrEx>
          <w:tblBorders>
            <w:top w:val="none" w:sz="0" w:space="0" w:color="auto"/>
            <w:bottom w:val="none" w:sz="0" w:space="0" w:color="auto"/>
            <w:insideH w:val="none" w:sz="0" w:space="0" w:color="auto"/>
          </w:tblBorders>
        </w:tblPrEx>
        <w:trPr>
          <w:gridAfter w:val="1"/>
          <w:wAfter w:w="51" w:type="dxa"/>
          <w:cantSplit/>
        </w:trPr>
        <w:tc>
          <w:tcPr>
            <w:tcW w:w="2020" w:type="dxa"/>
            <w:tcBorders>
              <w:top w:val="single" w:sz="4" w:space="0" w:color="A6A6A6" w:themeColor="background1" w:themeShade="A6"/>
              <w:bottom w:val="single" w:sz="4" w:space="0" w:color="A6A6A6" w:themeColor="background1" w:themeShade="A6"/>
            </w:tcBorders>
          </w:tcPr>
          <w:p w14:paraId="5A9281B9" w14:textId="4D40CAFD" w:rsidR="00975A47" w:rsidRDefault="00975A47" w:rsidP="00CF0327">
            <w:pPr>
              <w:pStyle w:val="TableText"/>
              <w:keepNext/>
            </w:pPr>
            <w:r>
              <w:rPr>
                <w:w w:val="105"/>
              </w:rPr>
              <w:t>Canterbury</w:t>
            </w:r>
          </w:p>
        </w:tc>
        <w:tc>
          <w:tcPr>
            <w:tcW w:w="1754" w:type="dxa"/>
            <w:gridSpan w:val="2"/>
            <w:tcBorders>
              <w:top w:val="single" w:sz="4" w:space="0" w:color="A6A6A6" w:themeColor="background1" w:themeShade="A6"/>
              <w:bottom w:val="single" w:sz="4" w:space="0" w:color="A6A6A6" w:themeColor="background1" w:themeShade="A6"/>
            </w:tcBorders>
          </w:tcPr>
          <w:p w14:paraId="41876C99" w14:textId="49B81FC1" w:rsidR="00975A47" w:rsidRDefault="00975A47" w:rsidP="00CF0327">
            <w:pPr>
              <w:pStyle w:val="TableText"/>
              <w:keepNext/>
              <w:tabs>
                <w:tab w:val="decimal" w:pos="900"/>
              </w:tabs>
            </w:pPr>
            <w:r>
              <w:t>21</w:t>
            </w:r>
          </w:p>
        </w:tc>
        <w:tc>
          <w:tcPr>
            <w:tcW w:w="1755" w:type="dxa"/>
            <w:gridSpan w:val="2"/>
            <w:tcBorders>
              <w:top w:val="single" w:sz="4" w:space="0" w:color="A6A6A6" w:themeColor="background1" w:themeShade="A6"/>
              <w:bottom w:val="single" w:sz="4" w:space="0" w:color="A6A6A6" w:themeColor="background1" w:themeShade="A6"/>
            </w:tcBorders>
          </w:tcPr>
          <w:p w14:paraId="035E13FC" w14:textId="37A712C5" w:rsidR="00975A47" w:rsidRDefault="00975A47" w:rsidP="00CF0327">
            <w:pPr>
              <w:pStyle w:val="TableText"/>
              <w:keepNext/>
              <w:tabs>
                <w:tab w:val="decimal" w:pos="1012"/>
              </w:tabs>
            </w:pPr>
            <w:r>
              <w:t>198</w:t>
            </w:r>
          </w:p>
        </w:tc>
        <w:tc>
          <w:tcPr>
            <w:tcW w:w="2551" w:type="dxa"/>
            <w:tcBorders>
              <w:top w:val="single" w:sz="4" w:space="0" w:color="A6A6A6" w:themeColor="background1" w:themeShade="A6"/>
              <w:bottom w:val="single" w:sz="4" w:space="0" w:color="A6A6A6" w:themeColor="background1" w:themeShade="A6"/>
            </w:tcBorders>
          </w:tcPr>
          <w:p w14:paraId="4B315B53" w14:textId="1F87D960" w:rsidR="00975A47" w:rsidRDefault="00975A47" w:rsidP="00CF0327">
            <w:pPr>
              <w:pStyle w:val="TableText"/>
              <w:keepNext/>
              <w:tabs>
                <w:tab w:val="decimal" w:pos="1077"/>
              </w:tabs>
            </w:pPr>
            <w:r>
              <w:t>9 (1–45)</w:t>
            </w:r>
          </w:p>
        </w:tc>
      </w:tr>
      <w:tr w:rsidR="00975A47" w14:paraId="723D1145" w14:textId="77777777" w:rsidTr="00C512D1">
        <w:tblPrEx>
          <w:tblBorders>
            <w:top w:val="none" w:sz="0" w:space="0" w:color="auto"/>
            <w:bottom w:val="none" w:sz="0" w:space="0" w:color="auto"/>
            <w:insideH w:val="none" w:sz="0" w:space="0" w:color="auto"/>
          </w:tblBorders>
        </w:tblPrEx>
        <w:trPr>
          <w:gridAfter w:val="1"/>
          <w:wAfter w:w="51" w:type="dxa"/>
          <w:cantSplit/>
        </w:trPr>
        <w:tc>
          <w:tcPr>
            <w:tcW w:w="2020" w:type="dxa"/>
            <w:tcBorders>
              <w:top w:val="single" w:sz="4" w:space="0" w:color="A6A6A6" w:themeColor="background1" w:themeShade="A6"/>
              <w:bottom w:val="single" w:sz="4" w:space="0" w:color="A6A6A6" w:themeColor="background1" w:themeShade="A6"/>
            </w:tcBorders>
          </w:tcPr>
          <w:p w14:paraId="1494E986" w14:textId="39AAE821" w:rsidR="00975A47" w:rsidRDefault="00975A47" w:rsidP="00CF0327">
            <w:pPr>
              <w:pStyle w:val="TableText"/>
              <w:keepNext/>
            </w:pPr>
            <w:r>
              <w:rPr>
                <w:w w:val="105"/>
              </w:rPr>
              <w:t>Capital &amp; Coast</w:t>
            </w:r>
          </w:p>
        </w:tc>
        <w:tc>
          <w:tcPr>
            <w:tcW w:w="1754" w:type="dxa"/>
            <w:gridSpan w:val="2"/>
            <w:tcBorders>
              <w:top w:val="single" w:sz="4" w:space="0" w:color="A6A6A6" w:themeColor="background1" w:themeShade="A6"/>
              <w:bottom w:val="single" w:sz="4" w:space="0" w:color="A6A6A6" w:themeColor="background1" w:themeShade="A6"/>
            </w:tcBorders>
          </w:tcPr>
          <w:p w14:paraId="2FCF7A6B" w14:textId="6C9812ED" w:rsidR="00975A47" w:rsidRDefault="00975A47" w:rsidP="00CF0327">
            <w:pPr>
              <w:pStyle w:val="TableText"/>
              <w:keepNext/>
              <w:tabs>
                <w:tab w:val="decimal" w:pos="900"/>
              </w:tabs>
            </w:pPr>
            <w:r>
              <w:t>21</w:t>
            </w:r>
          </w:p>
        </w:tc>
        <w:tc>
          <w:tcPr>
            <w:tcW w:w="1755" w:type="dxa"/>
            <w:gridSpan w:val="2"/>
            <w:tcBorders>
              <w:top w:val="single" w:sz="4" w:space="0" w:color="A6A6A6" w:themeColor="background1" w:themeShade="A6"/>
              <w:bottom w:val="single" w:sz="4" w:space="0" w:color="A6A6A6" w:themeColor="background1" w:themeShade="A6"/>
            </w:tcBorders>
          </w:tcPr>
          <w:p w14:paraId="45983250" w14:textId="211AFF3E" w:rsidR="00975A47" w:rsidRDefault="00975A47" w:rsidP="00CF0327">
            <w:pPr>
              <w:pStyle w:val="TableText"/>
              <w:keepNext/>
              <w:tabs>
                <w:tab w:val="decimal" w:pos="1012"/>
              </w:tabs>
            </w:pPr>
            <w:r>
              <w:t>190</w:t>
            </w:r>
          </w:p>
        </w:tc>
        <w:tc>
          <w:tcPr>
            <w:tcW w:w="2551" w:type="dxa"/>
            <w:tcBorders>
              <w:top w:val="single" w:sz="4" w:space="0" w:color="A6A6A6" w:themeColor="background1" w:themeShade="A6"/>
              <w:bottom w:val="single" w:sz="4" w:space="0" w:color="A6A6A6" w:themeColor="background1" w:themeShade="A6"/>
            </w:tcBorders>
          </w:tcPr>
          <w:p w14:paraId="7ACEFFED" w14:textId="23BEABA4" w:rsidR="00975A47" w:rsidRDefault="00975A47" w:rsidP="00CF0327">
            <w:pPr>
              <w:pStyle w:val="TableText"/>
              <w:keepNext/>
              <w:tabs>
                <w:tab w:val="decimal" w:pos="1077"/>
              </w:tabs>
            </w:pPr>
            <w:r>
              <w:t>9 (1–30)</w:t>
            </w:r>
          </w:p>
        </w:tc>
      </w:tr>
      <w:tr w:rsidR="00975A47" w14:paraId="30A83472" w14:textId="77777777" w:rsidTr="00C512D1">
        <w:tblPrEx>
          <w:tblBorders>
            <w:top w:val="none" w:sz="0" w:space="0" w:color="auto"/>
            <w:bottom w:val="none" w:sz="0" w:space="0" w:color="auto"/>
            <w:insideH w:val="none" w:sz="0" w:space="0" w:color="auto"/>
          </w:tblBorders>
        </w:tblPrEx>
        <w:trPr>
          <w:gridAfter w:val="1"/>
          <w:wAfter w:w="51" w:type="dxa"/>
          <w:cantSplit/>
        </w:trPr>
        <w:tc>
          <w:tcPr>
            <w:tcW w:w="2020" w:type="dxa"/>
            <w:tcBorders>
              <w:top w:val="single" w:sz="4" w:space="0" w:color="A6A6A6" w:themeColor="background1" w:themeShade="A6"/>
              <w:bottom w:val="single" w:sz="4" w:space="0" w:color="A6A6A6" w:themeColor="background1" w:themeShade="A6"/>
            </w:tcBorders>
          </w:tcPr>
          <w:p w14:paraId="2BCC6CBE" w14:textId="64CB7C4E" w:rsidR="00975A47" w:rsidRDefault="00975A47" w:rsidP="00CF0327">
            <w:pPr>
              <w:pStyle w:val="TableText"/>
              <w:keepNext/>
            </w:pPr>
            <w:r>
              <w:rPr>
                <w:w w:val="105"/>
              </w:rPr>
              <w:t xml:space="preserve">Counties </w:t>
            </w:r>
            <w:proofErr w:type="spellStart"/>
            <w:r>
              <w:rPr>
                <w:w w:val="105"/>
              </w:rPr>
              <w:t>Manukau</w:t>
            </w:r>
            <w:proofErr w:type="spellEnd"/>
          </w:p>
        </w:tc>
        <w:tc>
          <w:tcPr>
            <w:tcW w:w="1754" w:type="dxa"/>
            <w:gridSpan w:val="2"/>
            <w:tcBorders>
              <w:top w:val="single" w:sz="4" w:space="0" w:color="A6A6A6" w:themeColor="background1" w:themeShade="A6"/>
              <w:bottom w:val="single" w:sz="4" w:space="0" w:color="A6A6A6" w:themeColor="background1" w:themeShade="A6"/>
            </w:tcBorders>
          </w:tcPr>
          <w:p w14:paraId="5C74856C" w14:textId="6D6CB258" w:rsidR="00975A47" w:rsidRDefault="00975A47" w:rsidP="00CF0327">
            <w:pPr>
              <w:pStyle w:val="TableText"/>
              <w:keepNext/>
              <w:tabs>
                <w:tab w:val="decimal" w:pos="900"/>
              </w:tabs>
            </w:pPr>
            <w:r>
              <w:t>23</w:t>
            </w:r>
          </w:p>
        </w:tc>
        <w:tc>
          <w:tcPr>
            <w:tcW w:w="1755" w:type="dxa"/>
            <w:gridSpan w:val="2"/>
            <w:tcBorders>
              <w:top w:val="single" w:sz="4" w:space="0" w:color="A6A6A6" w:themeColor="background1" w:themeShade="A6"/>
              <w:bottom w:val="single" w:sz="4" w:space="0" w:color="A6A6A6" w:themeColor="background1" w:themeShade="A6"/>
            </w:tcBorders>
          </w:tcPr>
          <w:p w14:paraId="7D2F5640" w14:textId="7E02DD64" w:rsidR="00975A47" w:rsidRDefault="00975A47" w:rsidP="00CF0327">
            <w:pPr>
              <w:pStyle w:val="TableText"/>
              <w:keepNext/>
              <w:tabs>
                <w:tab w:val="decimal" w:pos="1012"/>
              </w:tabs>
            </w:pPr>
            <w:r>
              <w:t>214</w:t>
            </w:r>
          </w:p>
        </w:tc>
        <w:tc>
          <w:tcPr>
            <w:tcW w:w="2551" w:type="dxa"/>
            <w:tcBorders>
              <w:top w:val="single" w:sz="4" w:space="0" w:color="A6A6A6" w:themeColor="background1" w:themeShade="A6"/>
              <w:bottom w:val="single" w:sz="4" w:space="0" w:color="A6A6A6" w:themeColor="background1" w:themeShade="A6"/>
            </w:tcBorders>
          </w:tcPr>
          <w:p w14:paraId="1C0CC32C" w14:textId="4EF43618" w:rsidR="00975A47" w:rsidRDefault="00975A47" w:rsidP="00CF0327">
            <w:pPr>
              <w:pStyle w:val="TableText"/>
              <w:keepNext/>
              <w:tabs>
                <w:tab w:val="decimal" w:pos="1077"/>
              </w:tabs>
            </w:pPr>
            <w:r>
              <w:t>9 (1–16)</w:t>
            </w:r>
          </w:p>
        </w:tc>
      </w:tr>
      <w:tr w:rsidR="00975A47" w14:paraId="24653DCB" w14:textId="77777777" w:rsidTr="00C512D1">
        <w:tblPrEx>
          <w:tblBorders>
            <w:top w:val="none" w:sz="0" w:space="0" w:color="auto"/>
            <w:bottom w:val="none" w:sz="0" w:space="0" w:color="auto"/>
            <w:insideH w:val="none" w:sz="0" w:space="0" w:color="auto"/>
          </w:tblBorders>
        </w:tblPrEx>
        <w:trPr>
          <w:gridAfter w:val="1"/>
          <w:wAfter w:w="51" w:type="dxa"/>
          <w:cantSplit/>
        </w:trPr>
        <w:tc>
          <w:tcPr>
            <w:tcW w:w="2020" w:type="dxa"/>
            <w:tcBorders>
              <w:top w:val="single" w:sz="4" w:space="0" w:color="A6A6A6" w:themeColor="background1" w:themeShade="A6"/>
              <w:bottom w:val="single" w:sz="4" w:space="0" w:color="A6A6A6" w:themeColor="background1" w:themeShade="A6"/>
            </w:tcBorders>
          </w:tcPr>
          <w:p w14:paraId="3FF0BB80" w14:textId="09CC1ECC" w:rsidR="00975A47" w:rsidRDefault="00975A47" w:rsidP="00CF0327">
            <w:pPr>
              <w:pStyle w:val="TableText"/>
              <w:keepNext/>
            </w:pPr>
            <w:r>
              <w:t>Hawke’s Bay</w:t>
            </w:r>
          </w:p>
        </w:tc>
        <w:tc>
          <w:tcPr>
            <w:tcW w:w="1754" w:type="dxa"/>
            <w:gridSpan w:val="2"/>
            <w:tcBorders>
              <w:top w:val="single" w:sz="4" w:space="0" w:color="A6A6A6" w:themeColor="background1" w:themeShade="A6"/>
              <w:bottom w:val="single" w:sz="4" w:space="0" w:color="A6A6A6" w:themeColor="background1" w:themeShade="A6"/>
            </w:tcBorders>
          </w:tcPr>
          <w:p w14:paraId="1155FF49" w14:textId="76C6370C" w:rsidR="00975A47" w:rsidRDefault="00975A47" w:rsidP="00CF0327">
            <w:pPr>
              <w:pStyle w:val="TableText"/>
              <w:keepNext/>
              <w:tabs>
                <w:tab w:val="decimal" w:pos="900"/>
              </w:tabs>
            </w:pPr>
            <w:r>
              <w:t>12</w:t>
            </w:r>
          </w:p>
        </w:tc>
        <w:tc>
          <w:tcPr>
            <w:tcW w:w="1755" w:type="dxa"/>
            <w:gridSpan w:val="2"/>
            <w:tcBorders>
              <w:top w:val="single" w:sz="4" w:space="0" w:color="A6A6A6" w:themeColor="background1" w:themeShade="A6"/>
              <w:bottom w:val="single" w:sz="4" w:space="0" w:color="A6A6A6" w:themeColor="background1" w:themeShade="A6"/>
            </w:tcBorders>
          </w:tcPr>
          <w:p w14:paraId="2B2F4892" w14:textId="2D3AB761" w:rsidR="00975A47" w:rsidRDefault="00975A47" w:rsidP="00CF0327">
            <w:pPr>
              <w:pStyle w:val="TableText"/>
              <w:keepNext/>
              <w:tabs>
                <w:tab w:val="decimal" w:pos="1012"/>
              </w:tabs>
            </w:pPr>
            <w:r>
              <w:t>46</w:t>
            </w:r>
          </w:p>
        </w:tc>
        <w:tc>
          <w:tcPr>
            <w:tcW w:w="2551" w:type="dxa"/>
            <w:tcBorders>
              <w:top w:val="single" w:sz="4" w:space="0" w:color="A6A6A6" w:themeColor="background1" w:themeShade="A6"/>
              <w:bottom w:val="single" w:sz="4" w:space="0" w:color="A6A6A6" w:themeColor="background1" w:themeShade="A6"/>
            </w:tcBorders>
          </w:tcPr>
          <w:p w14:paraId="4FFFD398" w14:textId="4099CCFE" w:rsidR="00975A47" w:rsidRDefault="00975A47" w:rsidP="00CF0327">
            <w:pPr>
              <w:pStyle w:val="TableText"/>
              <w:keepNext/>
              <w:tabs>
                <w:tab w:val="decimal" w:pos="1077"/>
              </w:tabs>
            </w:pPr>
            <w:r>
              <w:t>4 (1–12)</w:t>
            </w:r>
          </w:p>
        </w:tc>
      </w:tr>
      <w:tr w:rsidR="00975A47" w14:paraId="7A82E0B5" w14:textId="77777777" w:rsidTr="00C512D1">
        <w:tblPrEx>
          <w:tblBorders>
            <w:top w:val="none" w:sz="0" w:space="0" w:color="auto"/>
            <w:bottom w:val="none" w:sz="0" w:space="0" w:color="auto"/>
            <w:insideH w:val="none" w:sz="0" w:space="0" w:color="auto"/>
          </w:tblBorders>
        </w:tblPrEx>
        <w:trPr>
          <w:gridAfter w:val="1"/>
          <w:wAfter w:w="51" w:type="dxa"/>
          <w:cantSplit/>
        </w:trPr>
        <w:tc>
          <w:tcPr>
            <w:tcW w:w="2020" w:type="dxa"/>
            <w:tcBorders>
              <w:top w:val="single" w:sz="4" w:space="0" w:color="A6A6A6" w:themeColor="background1" w:themeShade="A6"/>
              <w:bottom w:val="single" w:sz="4" w:space="0" w:color="A6A6A6" w:themeColor="background1" w:themeShade="A6"/>
            </w:tcBorders>
          </w:tcPr>
          <w:p w14:paraId="5B006AD6" w14:textId="675A146C" w:rsidR="00975A47" w:rsidRDefault="00975A47" w:rsidP="00CF0327">
            <w:pPr>
              <w:pStyle w:val="TableText"/>
              <w:keepNext/>
            </w:pPr>
            <w:r>
              <w:rPr>
                <w:w w:val="105"/>
              </w:rPr>
              <w:t>Hutt Valley</w:t>
            </w:r>
          </w:p>
        </w:tc>
        <w:tc>
          <w:tcPr>
            <w:tcW w:w="1754" w:type="dxa"/>
            <w:gridSpan w:val="2"/>
            <w:tcBorders>
              <w:top w:val="single" w:sz="4" w:space="0" w:color="A6A6A6" w:themeColor="background1" w:themeShade="A6"/>
              <w:bottom w:val="single" w:sz="4" w:space="0" w:color="A6A6A6" w:themeColor="background1" w:themeShade="A6"/>
            </w:tcBorders>
          </w:tcPr>
          <w:p w14:paraId="3A0F88A2" w14:textId="05CE5F82" w:rsidR="00975A47" w:rsidRDefault="00975A47" w:rsidP="00CF0327">
            <w:pPr>
              <w:pStyle w:val="TableText"/>
              <w:keepNext/>
              <w:tabs>
                <w:tab w:val="decimal" w:pos="900"/>
              </w:tabs>
            </w:pPr>
            <w:r>
              <w:t>12</w:t>
            </w:r>
          </w:p>
        </w:tc>
        <w:tc>
          <w:tcPr>
            <w:tcW w:w="1755" w:type="dxa"/>
            <w:gridSpan w:val="2"/>
            <w:tcBorders>
              <w:top w:val="single" w:sz="4" w:space="0" w:color="A6A6A6" w:themeColor="background1" w:themeShade="A6"/>
              <w:bottom w:val="single" w:sz="4" w:space="0" w:color="A6A6A6" w:themeColor="background1" w:themeShade="A6"/>
            </w:tcBorders>
          </w:tcPr>
          <w:p w14:paraId="00F9701E" w14:textId="5932C3C2" w:rsidR="00975A47" w:rsidRDefault="00975A47" w:rsidP="00CF0327">
            <w:pPr>
              <w:pStyle w:val="TableText"/>
              <w:keepNext/>
              <w:tabs>
                <w:tab w:val="decimal" w:pos="1012"/>
              </w:tabs>
            </w:pPr>
            <w:r>
              <w:t>142</w:t>
            </w:r>
          </w:p>
        </w:tc>
        <w:tc>
          <w:tcPr>
            <w:tcW w:w="2551" w:type="dxa"/>
            <w:tcBorders>
              <w:top w:val="single" w:sz="4" w:space="0" w:color="A6A6A6" w:themeColor="background1" w:themeShade="A6"/>
              <w:bottom w:val="single" w:sz="4" w:space="0" w:color="A6A6A6" w:themeColor="background1" w:themeShade="A6"/>
            </w:tcBorders>
          </w:tcPr>
          <w:p w14:paraId="7C4EEA63" w14:textId="0B8CD8E6" w:rsidR="00975A47" w:rsidRDefault="00975A47" w:rsidP="00CF0327">
            <w:pPr>
              <w:pStyle w:val="TableText"/>
              <w:keepNext/>
              <w:tabs>
                <w:tab w:val="decimal" w:pos="1077"/>
              </w:tabs>
            </w:pPr>
            <w:r>
              <w:t>12 (1–31)</w:t>
            </w:r>
          </w:p>
        </w:tc>
      </w:tr>
      <w:tr w:rsidR="00975A47" w14:paraId="6E6E7BCE" w14:textId="77777777" w:rsidTr="00C512D1">
        <w:tblPrEx>
          <w:tblBorders>
            <w:top w:val="none" w:sz="0" w:space="0" w:color="auto"/>
            <w:bottom w:val="none" w:sz="0" w:space="0" w:color="auto"/>
            <w:insideH w:val="none" w:sz="0" w:space="0" w:color="auto"/>
          </w:tblBorders>
        </w:tblPrEx>
        <w:trPr>
          <w:gridAfter w:val="1"/>
          <w:wAfter w:w="51" w:type="dxa"/>
          <w:cantSplit/>
        </w:trPr>
        <w:tc>
          <w:tcPr>
            <w:tcW w:w="2020" w:type="dxa"/>
            <w:tcBorders>
              <w:top w:val="single" w:sz="4" w:space="0" w:color="A6A6A6" w:themeColor="background1" w:themeShade="A6"/>
              <w:bottom w:val="single" w:sz="4" w:space="0" w:color="A6A6A6" w:themeColor="background1" w:themeShade="A6"/>
            </w:tcBorders>
          </w:tcPr>
          <w:p w14:paraId="09F37804" w14:textId="3569A6DA" w:rsidR="00975A47" w:rsidRDefault="00975A47" w:rsidP="00CF0327">
            <w:pPr>
              <w:pStyle w:val="TableText"/>
              <w:keepNext/>
            </w:pPr>
            <w:r>
              <w:t>Lakes</w:t>
            </w:r>
          </w:p>
        </w:tc>
        <w:tc>
          <w:tcPr>
            <w:tcW w:w="1754" w:type="dxa"/>
            <w:gridSpan w:val="2"/>
            <w:tcBorders>
              <w:top w:val="single" w:sz="4" w:space="0" w:color="A6A6A6" w:themeColor="background1" w:themeShade="A6"/>
              <w:bottom w:val="single" w:sz="4" w:space="0" w:color="A6A6A6" w:themeColor="background1" w:themeShade="A6"/>
            </w:tcBorders>
          </w:tcPr>
          <w:p w14:paraId="5C4FF975" w14:textId="3132D4FC" w:rsidR="00975A47" w:rsidRDefault="00975A47" w:rsidP="00CF0327">
            <w:pPr>
              <w:pStyle w:val="TableText"/>
              <w:keepNext/>
              <w:tabs>
                <w:tab w:val="decimal" w:pos="900"/>
              </w:tabs>
            </w:pPr>
            <w:r>
              <w:rPr>
                <w:w w:val="102"/>
              </w:rPr>
              <w:t>9</w:t>
            </w:r>
          </w:p>
        </w:tc>
        <w:tc>
          <w:tcPr>
            <w:tcW w:w="1755" w:type="dxa"/>
            <w:gridSpan w:val="2"/>
            <w:tcBorders>
              <w:top w:val="single" w:sz="4" w:space="0" w:color="A6A6A6" w:themeColor="background1" w:themeShade="A6"/>
              <w:bottom w:val="single" w:sz="4" w:space="0" w:color="A6A6A6" w:themeColor="background1" w:themeShade="A6"/>
            </w:tcBorders>
          </w:tcPr>
          <w:p w14:paraId="0321ECB4" w14:textId="06218E95" w:rsidR="00975A47" w:rsidRDefault="00975A47" w:rsidP="00CF0327">
            <w:pPr>
              <w:pStyle w:val="TableText"/>
              <w:keepNext/>
              <w:tabs>
                <w:tab w:val="decimal" w:pos="1012"/>
              </w:tabs>
            </w:pPr>
            <w:r>
              <w:t>102</w:t>
            </w:r>
          </w:p>
        </w:tc>
        <w:tc>
          <w:tcPr>
            <w:tcW w:w="2551" w:type="dxa"/>
            <w:tcBorders>
              <w:top w:val="single" w:sz="4" w:space="0" w:color="A6A6A6" w:themeColor="background1" w:themeShade="A6"/>
              <w:bottom w:val="single" w:sz="4" w:space="0" w:color="A6A6A6" w:themeColor="background1" w:themeShade="A6"/>
            </w:tcBorders>
          </w:tcPr>
          <w:p w14:paraId="478257C8" w14:textId="5067A519" w:rsidR="00975A47" w:rsidRDefault="00975A47" w:rsidP="00CF0327">
            <w:pPr>
              <w:pStyle w:val="TableText"/>
              <w:keepNext/>
              <w:tabs>
                <w:tab w:val="decimal" w:pos="1077"/>
              </w:tabs>
            </w:pPr>
            <w:r>
              <w:t>11 (1–28)</w:t>
            </w:r>
          </w:p>
        </w:tc>
      </w:tr>
      <w:tr w:rsidR="00975A47" w14:paraId="5480C8FD" w14:textId="77777777" w:rsidTr="00C512D1">
        <w:tblPrEx>
          <w:tblBorders>
            <w:top w:val="none" w:sz="0" w:space="0" w:color="auto"/>
            <w:bottom w:val="none" w:sz="0" w:space="0" w:color="auto"/>
            <w:insideH w:val="none" w:sz="0" w:space="0" w:color="auto"/>
          </w:tblBorders>
        </w:tblPrEx>
        <w:trPr>
          <w:gridAfter w:val="1"/>
          <w:wAfter w:w="51" w:type="dxa"/>
          <w:cantSplit/>
        </w:trPr>
        <w:tc>
          <w:tcPr>
            <w:tcW w:w="2020" w:type="dxa"/>
            <w:tcBorders>
              <w:top w:val="single" w:sz="4" w:space="0" w:color="A6A6A6" w:themeColor="background1" w:themeShade="A6"/>
              <w:bottom w:val="single" w:sz="4" w:space="0" w:color="A6A6A6" w:themeColor="background1" w:themeShade="A6"/>
            </w:tcBorders>
          </w:tcPr>
          <w:p w14:paraId="1F90911D" w14:textId="3335880D" w:rsidR="00975A47" w:rsidRDefault="00975A47" w:rsidP="00CF0327">
            <w:pPr>
              <w:pStyle w:val="TableText"/>
              <w:keepNext/>
            </w:pPr>
            <w:proofErr w:type="spellStart"/>
            <w:r>
              <w:rPr>
                <w:w w:val="105"/>
              </w:rPr>
              <w:t>MidCentral</w:t>
            </w:r>
            <w:proofErr w:type="spellEnd"/>
          </w:p>
        </w:tc>
        <w:tc>
          <w:tcPr>
            <w:tcW w:w="1754" w:type="dxa"/>
            <w:gridSpan w:val="2"/>
            <w:tcBorders>
              <w:top w:val="single" w:sz="4" w:space="0" w:color="A6A6A6" w:themeColor="background1" w:themeShade="A6"/>
              <w:bottom w:val="single" w:sz="4" w:space="0" w:color="A6A6A6" w:themeColor="background1" w:themeShade="A6"/>
            </w:tcBorders>
          </w:tcPr>
          <w:p w14:paraId="081BC202" w14:textId="27B117A4" w:rsidR="00975A47" w:rsidRDefault="00975A47" w:rsidP="00CF0327">
            <w:pPr>
              <w:pStyle w:val="TableText"/>
              <w:keepNext/>
              <w:tabs>
                <w:tab w:val="decimal" w:pos="900"/>
              </w:tabs>
            </w:pPr>
            <w:r>
              <w:rPr>
                <w:w w:val="102"/>
              </w:rPr>
              <w:t>7</w:t>
            </w:r>
          </w:p>
        </w:tc>
        <w:tc>
          <w:tcPr>
            <w:tcW w:w="1755" w:type="dxa"/>
            <w:gridSpan w:val="2"/>
            <w:tcBorders>
              <w:top w:val="single" w:sz="4" w:space="0" w:color="A6A6A6" w:themeColor="background1" w:themeShade="A6"/>
              <w:bottom w:val="single" w:sz="4" w:space="0" w:color="A6A6A6" w:themeColor="background1" w:themeShade="A6"/>
            </w:tcBorders>
          </w:tcPr>
          <w:p w14:paraId="2BEE6A3E" w14:textId="4FE4BBE7" w:rsidR="00975A47" w:rsidRDefault="00975A47" w:rsidP="00CF0327">
            <w:pPr>
              <w:pStyle w:val="TableText"/>
              <w:keepNext/>
              <w:tabs>
                <w:tab w:val="decimal" w:pos="1012"/>
              </w:tabs>
            </w:pPr>
            <w:r>
              <w:t>46</w:t>
            </w:r>
          </w:p>
        </w:tc>
        <w:tc>
          <w:tcPr>
            <w:tcW w:w="2551" w:type="dxa"/>
            <w:tcBorders>
              <w:top w:val="single" w:sz="4" w:space="0" w:color="A6A6A6" w:themeColor="background1" w:themeShade="A6"/>
              <w:bottom w:val="single" w:sz="4" w:space="0" w:color="A6A6A6" w:themeColor="background1" w:themeShade="A6"/>
            </w:tcBorders>
          </w:tcPr>
          <w:p w14:paraId="746EAA1B" w14:textId="15097825" w:rsidR="00975A47" w:rsidRDefault="00975A47" w:rsidP="00CF0327">
            <w:pPr>
              <w:pStyle w:val="TableText"/>
              <w:keepNext/>
              <w:tabs>
                <w:tab w:val="decimal" w:pos="1077"/>
              </w:tabs>
            </w:pPr>
            <w:r>
              <w:t>7 (3–11)</w:t>
            </w:r>
          </w:p>
        </w:tc>
      </w:tr>
      <w:tr w:rsidR="00975A47" w14:paraId="062B5F0E" w14:textId="77777777" w:rsidTr="00C512D1">
        <w:tblPrEx>
          <w:tblBorders>
            <w:top w:val="none" w:sz="0" w:space="0" w:color="auto"/>
            <w:bottom w:val="none" w:sz="0" w:space="0" w:color="auto"/>
            <w:insideH w:val="none" w:sz="0" w:space="0" w:color="auto"/>
          </w:tblBorders>
        </w:tblPrEx>
        <w:trPr>
          <w:gridAfter w:val="1"/>
          <w:wAfter w:w="51" w:type="dxa"/>
          <w:cantSplit/>
        </w:trPr>
        <w:tc>
          <w:tcPr>
            <w:tcW w:w="2020" w:type="dxa"/>
            <w:tcBorders>
              <w:top w:val="single" w:sz="4" w:space="0" w:color="A6A6A6" w:themeColor="background1" w:themeShade="A6"/>
              <w:bottom w:val="single" w:sz="4" w:space="0" w:color="A6A6A6" w:themeColor="background1" w:themeShade="A6"/>
            </w:tcBorders>
          </w:tcPr>
          <w:p w14:paraId="6BAB836D" w14:textId="2752D426" w:rsidR="00975A47" w:rsidRDefault="00975A47" w:rsidP="00CF0327">
            <w:pPr>
              <w:pStyle w:val="TableText"/>
              <w:keepNext/>
            </w:pPr>
            <w:r>
              <w:rPr>
                <w:w w:val="110"/>
              </w:rPr>
              <w:t>Nelson Marlborough</w:t>
            </w:r>
          </w:p>
        </w:tc>
        <w:tc>
          <w:tcPr>
            <w:tcW w:w="1754" w:type="dxa"/>
            <w:gridSpan w:val="2"/>
            <w:tcBorders>
              <w:top w:val="single" w:sz="4" w:space="0" w:color="A6A6A6" w:themeColor="background1" w:themeShade="A6"/>
              <w:bottom w:val="single" w:sz="4" w:space="0" w:color="A6A6A6" w:themeColor="background1" w:themeShade="A6"/>
            </w:tcBorders>
          </w:tcPr>
          <w:p w14:paraId="2DDDCD8E" w14:textId="2FA16BD4" w:rsidR="00975A47" w:rsidRDefault="00975A47" w:rsidP="00CF0327">
            <w:pPr>
              <w:pStyle w:val="TableText"/>
              <w:keepNext/>
              <w:tabs>
                <w:tab w:val="decimal" w:pos="900"/>
              </w:tabs>
            </w:pPr>
            <w:r>
              <w:rPr>
                <w:w w:val="102"/>
              </w:rPr>
              <w:t>8</w:t>
            </w:r>
          </w:p>
        </w:tc>
        <w:tc>
          <w:tcPr>
            <w:tcW w:w="1755" w:type="dxa"/>
            <w:gridSpan w:val="2"/>
            <w:tcBorders>
              <w:top w:val="single" w:sz="4" w:space="0" w:color="A6A6A6" w:themeColor="background1" w:themeShade="A6"/>
              <w:bottom w:val="single" w:sz="4" w:space="0" w:color="A6A6A6" w:themeColor="background1" w:themeShade="A6"/>
            </w:tcBorders>
          </w:tcPr>
          <w:p w14:paraId="31239C13" w14:textId="5EB27C6E" w:rsidR="00975A47" w:rsidRDefault="00975A47" w:rsidP="00CF0327">
            <w:pPr>
              <w:pStyle w:val="TableText"/>
              <w:keepNext/>
              <w:tabs>
                <w:tab w:val="decimal" w:pos="1012"/>
              </w:tabs>
            </w:pPr>
            <w:r>
              <w:t>66</w:t>
            </w:r>
          </w:p>
        </w:tc>
        <w:tc>
          <w:tcPr>
            <w:tcW w:w="2551" w:type="dxa"/>
            <w:tcBorders>
              <w:top w:val="single" w:sz="4" w:space="0" w:color="A6A6A6" w:themeColor="background1" w:themeShade="A6"/>
              <w:bottom w:val="single" w:sz="4" w:space="0" w:color="A6A6A6" w:themeColor="background1" w:themeShade="A6"/>
            </w:tcBorders>
          </w:tcPr>
          <w:p w14:paraId="3E27566D" w14:textId="005C6EB1" w:rsidR="00975A47" w:rsidRDefault="00975A47" w:rsidP="00CF0327">
            <w:pPr>
              <w:pStyle w:val="TableText"/>
              <w:keepNext/>
              <w:tabs>
                <w:tab w:val="decimal" w:pos="1077"/>
              </w:tabs>
            </w:pPr>
            <w:r>
              <w:t>8 (3–17)</w:t>
            </w:r>
          </w:p>
        </w:tc>
      </w:tr>
      <w:tr w:rsidR="00975A47" w:rsidRPr="00EC5EF1" w14:paraId="7D5C57A7" w14:textId="77777777" w:rsidTr="00C512D1">
        <w:trPr>
          <w:cantSplit/>
        </w:trPr>
        <w:tc>
          <w:tcPr>
            <w:tcW w:w="2032" w:type="dxa"/>
            <w:gridSpan w:val="2"/>
            <w:tcBorders>
              <w:top w:val="single" w:sz="4" w:space="0" w:color="A6A6A6" w:themeColor="background1" w:themeShade="A6"/>
            </w:tcBorders>
          </w:tcPr>
          <w:p w14:paraId="48EA4C31" w14:textId="750F30E6" w:rsidR="00975A47" w:rsidRPr="00B158F8" w:rsidRDefault="00975A47" w:rsidP="00CF0327">
            <w:pPr>
              <w:pStyle w:val="TableText"/>
              <w:keepNext/>
            </w:pPr>
            <w:r>
              <w:rPr>
                <w:w w:val="110"/>
              </w:rPr>
              <w:t>Northland</w:t>
            </w:r>
          </w:p>
        </w:tc>
        <w:tc>
          <w:tcPr>
            <w:tcW w:w="1748" w:type="dxa"/>
            <w:gridSpan w:val="2"/>
            <w:tcBorders>
              <w:top w:val="single" w:sz="4" w:space="0" w:color="A6A6A6" w:themeColor="background1" w:themeShade="A6"/>
            </w:tcBorders>
          </w:tcPr>
          <w:p w14:paraId="5F79BECD" w14:textId="62D3D506" w:rsidR="00975A47" w:rsidRPr="00EC5EF1" w:rsidRDefault="00975A47" w:rsidP="00CF0327">
            <w:pPr>
              <w:pStyle w:val="TableText"/>
              <w:keepNext/>
              <w:tabs>
                <w:tab w:val="decimal" w:pos="882"/>
              </w:tabs>
            </w:pPr>
            <w:r>
              <w:t>14</w:t>
            </w:r>
          </w:p>
        </w:tc>
        <w:tc>
          <w:tcPr>
            <w:tcW w:w="1749" w:type="dxa"/>
            <w:tcBorders>
              <w:top w:val="single" w:sz="4" w:space="0" w:color="A6A6A6" w:themeColor="background1" w:themeShade="A6"/>
            </w:tcBorders>
          </w:tcPr>
          <w:p w14:paraId="5C99B7DB" w14:textId="73A03DCA" w:rsidR="00975A47" w:rsidRPr="00EC5EF1" w:rsidRDefault="00975A47" w:rsidP="00CF0327">
            <w:pPr>
              <w:pStyle w:val="TableText"/>
              <w:keepNext/>
              <w:tabs>
                <w:tab w:val="decimal" w:pos="983"/>
              </w:tabs>
            </w:pPr>
            <w:r>
              <w:t>183</w:t>
            </w:r>
          </w:p>
        </w:tc>
        <w:tc>
          <w:tcPr>
            <w:tcW w:w="2602" w:type="dxa"/>
            <w:gridSpan w:val="2"/>
            <w:tcBorders>
              <w:top w:val="single" w:sz="4" w:space="0" w:color="A6A6A6" w:themeColor="background1" w:themeShade="A6"/>
            </w:tcBorders>
          </w:tcPr>
          <w:p w14:paraId="102F304B" w14:textId="656F5CD3" w:rsidR="00975A47" w:rsidRPr="00EC5EF1" w:rsidRDefault="00975A47" w:rsidP="00CF0327">
            <w:pPr>
              <w:pStyle w:val="TableText"/>
              <w:keepNext/>
              <w:tabs>
                <w:tab w:val="decimal" w:pos="1077"/>
              </w:tabs>
            </w:pPr>
            <w:r>
              <w:t>13 (1–30)</w:t>
            </w:r>
          </w:p>
        </w:tc>
      </w:tr>
      <w:tr w:rsidR="00975A47" w:rsidRPr="00EC5EF1" w14:paraId="449E0CCC" w14:textId="77777777" w:rsidTr="00C512D1">
        <w:trPr>
          <w:cantSplit/>
        </w:trPr>
        <w:tc>
          <w:tcPr>
            <w:tcW w:w="2032" w:type="dxa"/>
            <w:gridSpan w:val="2"/>
          </w:tcPr>
          <w:p w14:paraId="5A9B9A87" w14:textId="7C4900D0" w:rsidR="00975A47" w:rsidRPr="00EC5EF1" w:rsidRDefault="00975A47" w:rsidP="00CF0327">
            <w:pPr>
              <w:pStyle w:val="TableText"/>
              <w:keepNext/>
            </w:pPr>
            <w:r>
              <w:rPr>
                <w:w w:val="105"/>
              </w:rPr>
              <w:t>South Canterbury</w:t>
            </w:r>
          </w:p>
        </w:tc>
        <w:tc>
          <w:tcPr>
            <w:tcW w:w="1748" w:type="dxa"/>
            <w:gridSpan w:val="2"/>
          </w:tcPr>
          <w:p w14:paraId="1E84066F" w14:textId="17B11690" w:rsidR="00975A47" w:rsidRPr="00EC5EF1" w:rsidRDefault="00975A47" w:rsidP="00CF0327">
            <w:pPr>
              <w:pStyle w:val="TableText"/>
              <w:keepNext/>
              <w:tabs>
                <w:tab w:val="decimal" w:pos="882"/>
              </w:tabs>
            </w:pPr>
            <w:r>
              <w:t>–</w:t>
            </w:r>
          </w:p>
        </w:tc>
        <w:tc>
          <w:tcPr>
            <w:tcW w:w="1749" w:type="dxa"/>
          </w:tcPr>
          <w:p w14:paraId="49F79E8D" w14:textId="7FBB5478" w:rsidR="00975A47" w:rsidRPr="00EC5EF1" w:rsidRDefault="00975A47" w:rsidP="00CF0327">
            <w:pPr>
              <w:pStyle w:val="TableText"/>
              <w:keepNext/>
              <w:tabs>
                <w:tab w:val="decimal" w:pos="983"/>
              </w:tabs>
            </w:pPr>
            <w:r>
              <w:t>–</w:t>
            </w:r>
          </w:p>
        </w:tc>
        <w:tc>
          <w:tcPr>
            <w:tcW w:w="2602" w:type="dxa"/>
            <w:gridSpan w:val="2"/>
          </w:tcPr>
          <w:p w14:paraId="3B8A52FA" w14:textId="50A48EB5" w:rsidR="00975A47" w:rsidRPr="00EC5EF1" w:rsidRDefault="00975A47" w:rsidP="00CF0327">
            <w:pPr>
              <w:pStyle w:val="TableText"/>
              <w:keepNext/>
              <w:jc w:val="center"/>
            </w:pPr>
            <w:r>
              <w:t>–</w:t>
            </w:r>
          </w:p>
        </w:tc>
      </w:tr>
      <w:tr w:rsidR="00975A47" w:rsidRPr="00EC5EF1" w14:paraId="354945A4" w14:textId="77777777" w:rsidTr="00C512D1">
        <w:trPr>
          <w:cantSplit/>
        </w:trPr>
        <w:tc>
          <w:tcPr>
            <w:tcW w:w="2032" w:type="dxa"/>
            <w:gridSpan w:val="2"/>
            <w:tcBorders>
              <w:bottom w:val="single" w:sz="4" w:space="0" w:color="A6A6A6" w:themeColor="background1" w:themeShade="A6"/>
            </w:tcBorders>
          </w:tcPr>
          <w:p w14:paraId="7E5DCEFD" w14:textId="54038D0B" w:rsidR="00975A47" w:rsidRPr="00EC5EF1" w:rsidRDefault="00975A47" w:rsidP="00CF0327">
            <w:pPr>
              <w:pStyle w:val="TableText"/>
              <w:keepNext/>
            </w:pPr>
            <w:r>
              <w:rPr>
                <w:w w:val="105"/>
              </w:rPr>
              <w:t>Southern</w:t>
            </w:r>
          </w:p>
        </w:tc>
        <w:tc>
          <w:tcPr>
            <w:tcW w:w="1748" w:type="dxa"/>
            <w:gridSpan w:val="2"/>
            <w:tcBorders>
              <w:bottom w:val="single" w:sz="4" w:space="0" w:color="A6A6A6" w:themeColor="background1" w:themeShade="A6"/>
            </w:tcBorders>
          </w:tcPr>
          <w:p w14:paraId="6FDABACA" w14:textId="2746D04A" w:rsidR="00975A47" w:rsidRPr="00EC5EF1" w:rsidRDefault="00975A47" w:rsidP="00CF0327">
            <w:pPr>
              <w:pStyle w:val="TableText"/>
              <w:keepNext/>
              <w:tabs>
                <w:tab w:val="decimal" w:pos="882"/>
              </w:tabs>
            </w:pPr>
            <w:r>
              <w:t>38</w:t>
            </w:r>
          </w:p>
        </w:tc>
        <w:tc>
          <w:tcPr>
            <w:tcW w:w="1749" w:type="dxa"/>
            <w:tcBorders>
              <w:bottom w:val="single" w:sz="4" w:space="0" w:color="A6A6A6" w:themeColor="background1" w:themeShade="A6"/>
            </w:tcBorders>
          </w:tcPr>
          <w:p w14:paraId="353CD364" w14:textId="62B172EF" w:rsidR="00975A47" w:rsidRPr="00EC5EF1" w:rsidRDefault="00975A47" w:rsidP="00CF0327">
            <w:pPr>
              <w:pStyle w:val="TableText"/>
              <w:keepNext/>
              <w:tabs>
                <w:tab w:val="decimal" w:pos="983"/>
              </w:tabs>
            </w:pPr>
            <w:r>
              <w:t>451</w:t>
            </w:r>
          </w:p>
        </w:tc>
        <w:tc>
          <w:tcPr>
            <w:tcW w:w="2602" w:type="dxa"/>
            <w:gridSpan w:val="2"/>
            <w:tcBorders>
              <w:bottom w:val="single" w:sz="4" w:space="0" w:color="A6A6A6" w:themeColor="background1" w:themeShade="A6"/>
            </w:tcBorders>
          </w:tcPr>
          <w:p w14:paraId="79866E7A" w14:textId="4C9322AD" w:rsidR="00975A47" w:rsidRPr="00EC5EF1" w:rsidRDefault="00975A47" w:rsidP="00CF0327">
            <w:pPr>
              <w:pStyle w:val="TableText"/>
              <w:keepNext/>
              <w:tabs>
                <w:tab w:val="decimal" w:pos="1077"/>
              </w:tabs>
            </w:pPr>
            <w:r>
              <w:t>12 (1–58)</w:t>
            </w:r>
          </w:p>
        </w:tc>
      </w:tr>
      <w:tr w:rsidR="00975A47" w:rsidRPr="00EC5EF1" w14:paraId="5F1EF30A" w14:textId="77777777" w:rsidTr="00C512D1">
        <w:trPr>
          <w:cantSplit/>
        </w:trPr>
        <w:tc>
          <w:tcPr>
            <w:tcW w:w="2032" w:type="dxa"/>
            <w:gridSpan w:val="2"/>
            <w:tcBorders>
              <w:top w:val="single" w:sz="4" w:space="0" w:color="A6A6A6" w:themeColor="background1" w:themeShade="A6"/>
            </w:tcBorders>
          </w:tcPr>
          <w:p w14:paraId="57018011" w14:textId="43A6173F" w:rsidR="00975A47" w:rsidRPr="00975A47" w:rsidRDefault="00975A47" w:rsidP="00CF0327">
            <w:pPr>
              <w:pStyle w:val="TableText"/>
              <w:keepNext/>
            </w:pPr>
            <w:proofErr w:type="spellStart"/>
            <w:r>
              <w:rPr>
                <w:w w:val="110"/>
              </w:rPr>
              <w:t>Tairāwhiti</w:t>
            </w:r>
            <w:proofErr w:type="spellEnd"/>
          </w:p>
        </w:tc>
        <w:tc>
          <w:tcPr>
            <w:tcW w:w="1748" w:type="dxa"/>
            <w:gridSpan w:val="2"/>
            <w:tcBorders>
              <w:top w:val="single" w:sz="4" w:space="0" w:color="A6A6A6" w:themeColor="background1" w:themeShade="A6"/>
            </w:tcBorders>
          </w:tcPr>
          <w:p w14:paraId="6F9ADDB2" w14:textId="55D6A1E7" w:rsidR="00975A47" w:rsidRPr="00EC5EF1" w:rsidRDefault="00975A47" w:rsidP="00CF0327">
            <w:pPr>
              <w:pStyle w:val="TableText"/>
              <w:keepNext/>
              <w:tabs>
                <w:tab w:val="decimal" w:pos="882"/>
              </w:tabs>
            </w:pPr>
            <w:r>
              <w:rPr>
                <w:w w:val="102"/>
              </w:rPr>
              <w:t>1</w:t>
            </w:r>
          </w:p>
        </w:tc>
        <w:tc>
          <w:tcPr>
            <w:tcW w:w="1749" w:type="dxa"/>
            <w:tcBorders>
              <w:top w:val="single" w:sz="4" w:space="0" w:color="A6A6A6" w:themeColor="background1" w:themeShade="A6"/>
            </w:tcBorders>
          </w:tcPr>
          <w:p w14:paraId="2337E77B" w14:textId="260E08D7" w:rsidR="00975A47" w:rsidRPr="00EC5EF1" w:rsidRDefault="00975A47" w:rsidP="00CF0327">
            <w:pPr>
              <w:pStyle w:val="TableText"/>
              <w:keepNext/>
              <w:tabs>
                <w:tab w:val="decimal" w:pos="983"/>
              </w:tabs>
            </w:pPr>
            <w:r>
              <w:rPr>
                <w:w w:val="102"/>
              </w:rPr>
              <w:t>6</w:t>
            </w:r>
          </w:p>
        </w:tc>
        <w:tc>
          <w:tcPr>
            <w:tcW w:w="2602" w:type="dxa"/>
            <w:gridSpan w:val="2"/>
            <w:tcBorders>
              <w:top w:val="single" w:sz="4" w:space="0" w:color="A6A6A6" w:themeColor="background1" w:themeShade="A6"/>
            </w:tcBorders>
          </w:tcPr>
          <w:p w14:paraId="32B8303A" w14:textId="0375E57E" w:rsidR="00975A47" w:rsidRPr="00EC5EF1" w:rsidRDefault="00975A47" w:rsidP="00CF0327">
            <w:pPr>
              <w:pStyle w:val="TableText"/>
              <w:keepNext/>
              <w:tabs>
                <w:tab w:val="decimal" w:pos="1077"/>
              </w:tabs>
            </w:pPr>
            <w:r>
              <w:t>6 (6–6)</w:t>
            </w:r>
          </w:p>
        </w:tc>
      </w:tr>
      <w:tr w:rsidR="00975A47" w:rsidRPr="00EC5EF1" w14:paraId="42A2020E" w14:textId="77777777" w:rsidTr="00C512D1">
        <w:trPr>
          <w:cantSplit/>
        </w:trPr>
        <w:tc>
          <w:tcPr>
            <w:tcW w:w="2032" w:type="dxa"/>
            <w:gridSpan w:val="2"/>
            <w:tcBorders>
              <w:top w:val="single" w:sz="4" w:space="0" w:color="A6A6A6" w:themeColor="background1" w:themeShade="A6"/>
            </w:tcBorders>
          </w:tcPr>
          <w:p w14:paraId="5490B896" w14:textId="5C359A6B" w:rsidR="00975A47" w:rsidRDefault="00975A47" w:rsidP="00CF0327">
            <w:pPr>
              <w:pStyle w:val="TableText"/>
              <w:keepNext/>
              <w:rPr>
                <w:w w:val="110"/>
              </w:rPr>
            </w:pPr>
            <w:r>
              <w:rPr>
                <w:w w:val="105"/>
              </w:rPr>
              <w:t>Taranaki</w:t>
            </w:r>
          </w:p>
        </w:tc>
        <w:tc>
          <w:tcPr>
            <w:tcW w:w="1748" w:type="dxa"/>
            <w:gridSpan w:val="2"/>
            <w:tcBorders>
              <w:top w:val="single" w:sz="4" w:space="0" w:color="A6A6A6" w:themeColor="background1" w:themeShade="A6"/>
            </w:tcBorders>
          </w:tcPr>
          <w:p w14:paraId="4F0626B6" w14:textId="0F71D1B7" w:rsidR="00975A47" w:rsidRDefault="00975A47" w:rsidP="00CF0327">
            <w:pPr>
              <w:pStyle w:val="TableText"/>
              <w:keepNext/>
              <w:tabs>
                <w:tab w:val="decimal" w:pos="882"/>
              </w:tabs>
              <w:rPr>
                <w:w w:val="102"/>
              </w:rPr>
            </w:pPr>
            <w:r>
              <w:rPr>
                <w:w w:val="102"/>
              </w:rPr>
              <w:t>2</w:t>
            </w:r>
          </w:p>
        </w:tc>
        <w:tc>
          <w:tcPr>
            <w:tcW w:w="1749" w:type="dxa"/>
            <w:tcBorders>
              <w:top w:val="single" w:sz="4" w:space="0" w:color="A6A6A6" w:themeColor="background1" w:themeShade="A6"/>
            </w:tcBorders>
          </w:tcPr>
          <w:p w14:paraId="3A07F440" w14:textId="1C8720F7" w:rsidR="00975A47" w:rsidRDefault="00975A47" w:rsidP="00CF0327">
            <w:pPr>
              <w:pStyle w:val="TableText"/>
              <w:keepNext/>
              <w:tabs>
                <w:tab w:val="decimal" w:pos="983"/>
              </w:tabs>
              <w:rPr>
                <w:w w:val="102"/>
              </w:rPr>
            </w:pPr>
            <w:r>
              <w:rPr>
                <w:w w:val="102"/>
              </w:rPr>
              <w:t>7</w:t>
            </w:r>
          </w:p>
        </w:tc>
        <w:tc>
          <w:tcPr>
            <w:tcW w:w="2602" w:type="dxa"/>
            <w:gridSpan w:val="2"/>
            <w:tcBorders>
              <w:top w:val="single" w:sz="4" w:space="0" w:color="A6A6A6" w:themeColor="background1" w:themeShade="A6"/>
            </w:tcBorders>
          </w:tcPr>
          <w:p w14:paraId="5E3216D0" w14:textId="07086226" w:rsidR="00975A47" w:rsidRDefault="00975A47" w:rsidP="00CF0327">
            <w:pPr>
              <w:pStyle w:val="TableText"/>
              <w:keepNext/>
              <w:tabs>
                <w:tab w:val="decimal" w:pos="1077"/>
              </w:tabs>
            </w:pPr>
            <w:r>
              <w:t>4 (1–6)</w:t>
            </w:r>
          </w:p>
        </w:tc>
      </w:tr>
      <w:tr w:rsidR="00975A47" w:rsidRPr="00EC5EF1" w14:paraId="71C7069F" w14:textId="77777777" w:rsidTr="00C512D1">
        <w:trPr>
          <w:cantSplit/>
        </w:trPr>
        <w:tc>
          <w:tcPr>
            <w:tcW w:w="2032" w:type="dxa"/>
            <w:gridSpan w:val="2"/>
            <w:tcBorders>
              <w:top w:val="single" w:sz="4" w:space="0" w:color="A6A6A6" w:themeColor="background1" w:themeShade="A6"/>
            </w:tcBorders>
          </w:tcPr>
          <w:p w14:paraId="0577D0E1" w14:textId="7B55F586" w:rsidR="00975A47" w:rsidRDefault="00975A47" w:rsidP="00193432">
            <w:pPr>
              <w:pStyle w:val="TableText"/>
              <w:rPr>
                <w:w w:val="105"/>
              </w:rPr>
            </w:pPr>
            <w:r>
              <w:rPr>
                <w:w w:val="105"/>
              </w:rPr>
              <w:t>Waikato</w:t>
            </w:r>
          </w:p>
        </w:tc>
        <w:tc>
          <w:tcPr>
            <w:tcW w:w="1748" w:type="dxa"/>
            <w:gridSpan w:val="2"/>
            <w:tcBorders>
              <w:top w:val="single" w:sz="4" w:space="0" w:color="A6A6A6" w:themeColor="background1" w:themeShade="A6"/>
            </w:tcBorders>
          </w:tcPr>
          <w:p w14:paraId="6094FF42" w14:textId="2BB907F2" w:rsidR="00975A47" w:rsidRDefault="00975A47" w:rsidP="00C512D1">
            <w:pPr>
              <w:pStyle w:val="TableText"/>
              <w:tabs>
                <w:tab w:val="decimal" w:pos="882"/>
              </w:tabs>
              <w:rPr>
                <w:w w:val="102"/>
              </w:rPr>
            </w:pPr>
            <w:r>
              <w:t>36</w:t>
            </w:r>
          </w:p>
        </w:tc>
        <w:tc>
          <w:tcPr>
            <w:tcW w:w="1749" w:type="dxa"/>
            <w:tcBorders>
              <w:top w:val="single" w:sz="4" w:space="0" w:color="A6A6A6" w:themeColor="background1" w:themeShade="A6"/>
            </w:tcBorders>
          </w:tcPr>
          <w:p w14:paraId="4F1177AB" w14:textId="7472A8E6" w:rsidR="00975A47" w:rsidRDefault="00975A47" w:rsidP="00C512D1">
            <w:pPr>
              <w:pStyle w:val="TableText"/>
              <w:tabs>
                <w:tab w:val="decimal" w:pos="983"/>
              </w:tabs>
              <w:rPr>
                <w:w w:val="102"/>
              </w:rPr>
            </w:pPr>
            <w:r>
              <w:t>413</w:t>
            </w:r>
          </w:p>
        </w:tc>
        <w:tc>
          <w:tcPr>
            <w:tcW w:w="2602" w:type="dxa"/>
            <w:gridSpan w:val="2"/>
            <w:tcBorders>
              <w:top w:val="single" w:sz="4" w:space="0" w:color="A6A6A6" w:themeColor="background1" w:themeShade="A6"/>
            </w:tcBorders>
          </w:tcPr>
          <w:p w14:paraId="6C28BC27" w14:textId="6DC68586" w:rsidR="00975A47" w:rsidRDefault="00975A47" w:rsidP="00C512D1">
            <w:pPr>
              <w:pStyle w:val="TableText"/>
              <w:tabs>
                <w:tab w:val="decimal" w:pos="1077"/>
              </w:tabs>
            </w:pPr>
            <w:r>
              <w:t>11 (1–47)</w:t>
            </w:r>
          </w:p>
        </w:tc>
      </w:tr>
      <w:tr w:rsidR="00975A47" w:rsidRPr="00EC5EF1" w14:paraId="33FCD416" w14:textId="77777777" w:rsidTr="00C512D1">
        <w:trPr>
          <w:cantSplit/>
        </w:trPr>
        <w:tc>
          <w:tcPr>
            <w:tcW w:w="2032" w:type="dxa"/>
            <w:gridSpan w:val="2"/>
            <w:tcBorders>
              <w:top w:val="single" w:sz="4" w:space="0" w:color="A6A6A6" w:themeColor="background1" w:themeShade="A6"/>
            </w:tcBorders>
          </w:tcPr>
          <w:p w14:paraId="14238D80" w14:textId="05612FAE" w:rsidR="00975A47" w:rsidRDefault="00975A47" w:rsidP="00193432">
            <w:pPr>
              <w:pStyle w:val="TableText"/>
              <w:rPr>
                <w:w w:val="105"/>
              </w:rPr>
            </w:pPr>
            <w:proofErr w:type="spellStart"/>
            <w:r>
              <w:rPr>
                <w:w w:val="105"/>
              </w:rPr>
              <w:t>Wairarapa</w:t>
            </w:r>
            <w:proofErr w:type="spellEnd"/>
          </w:p>
        </w:tc>
        <w:tc>
          <w:tcPr>
            <w:tcW w:w="1748" w:type="dxa"/>
            <w:gridSpan w:val="2"/>
            <w:tcBorders>
              <w:top w:val="single" w:sz="4" w:space="0" w:color="A6A6A6" w:themeColor="background1" w:themeShade="A6"/>
            </w:tcBorders>
          </w:tcPr>
          <w:p w14:paraId="32F815A8" w14:textId="7C6ED7F6" w:rsidR="00975A47" w:rsidRDefault="00975A47" w:rsidP="00C512D1">
            <w:pPr>
              <w:pStyle w:val="TableText"/>
              <w:tabs>
                <w:tab w:val="decimal" w:pos="882"/>
              </w:tabs>
            </w:pPr>
            <w:r>
              <w:rPr>
                <w:w w:val="102"/>
              </w:rPr>
              <w:t>1</w:t>
            </w:r>
          </w:p>
        </w:tc>
        <w:tc>
          <w:tcPr>
            <w:tcW w:w="1749" w:type="dxa"/>
            <w:tcBorders>
              <w:top w:val="single" w:sz="4" w:space="0" w:color="A6A6A6" w:themeColor="background1" w:themeShade="A6"/>
            </w:tcBorders>
          </w:tcPr>
          <w:p w14:paraId="7263A3AC" w14:textId="435FE995" w:rsidR="00975A47" w:rsidRDefault="00975A47" w:rsidP="00C512D1">
            <w:pPr>
              <w:pStyle w:val="TableText"/>
              <w:tabs>
                <w:tab w:val="decimal" w:pos="983"/>
              </w:tabs>
            </w:pPr>
            <w:r>
              <w:rPr>
                <w:w w:val="102"/>
              </w:rPr>
              <w:t>1</w:t>
            </w:r>
          </w:p>
        </w:tc>
        <w:tc>
          <w:tcPr>
            <w:tcW w:w="2602" w:type="dxa"/>
            <w:gridSpan w:val="2"/>
            <w:tcBorders>
              <w:top w:val="single" w:sz="4" w:space="0" w:color="A6A6A6" w:themeColor="background1" w:themeShade="A6"/>
            </w:tcBorders>
          </w:tcPr>
          <w:p w14:paraId="738AEEEC" w14:textId="5190E4A6" w:rsidR="00975A47" w:rsidRDefault="00975A47" w:rsidP="00C512D1">
            <w:pPr>
              <w:pStyle w:val="TableText"/>
              <w:tabs>
                <w:tab w:val="decimal" w:pos="1077"/>
              </w:tabs>
            </w:pPr>
            <w:r>
              <w:t>1 (1–1)</w:t>
            </w:r>
          </w:p>
        </w:tc>
      </w:tr>
      <w:tr w:rsidR="00975A47" w:rsidRPr="00EC5EF1" w14:paraId="1061265B" w14:textId="77777777" w:rsidTr="00C512D1">
        <w:trPr>
          <w:cantSplit/>
        </w:trPr>
        <w:tc>
          <w:tcPr>
            <w:tcW w:w="2032" w:type="dxa"/>
            <w:gridSpan w:val="2"/>
            <w:tcBorders>
              <w:top w:val="single" w:sz="4" w:space="0" w:color="A6A6A6" w:themeColor="background1" w:themeShade="A6"/>
            </w:tcBorders>
          </w:tcPr>
          <w:p w14:paraId="56331284" w14:textId="7A092F2C" w:rsidR="00975A47" w:rsidRDefault="00975A47" w:rsidP="00193432">
            <w:pPr>
              <w:pStyle w:val="TableText"/>
              <w:rPr>
                <w:w w:val="105"/>
              </w:rPr>
            </w:pPr>
            <w:proofErr w:type="spellStart"/>
            <w:r>
              <w:rPr>
                <w:w w:val="105"/>
              </w:rPr>
              <w:t>Waitemata</w:t>
            </w:r>
            <w:proofErr w:type="spellEnd"/>
          </w:p>
        </w:tc>
        <w:tc>
          <w:tcPr>
            <w:tcW w:w="1748" w:type="dxa"/>
            <w:gridSpan w:val="2"/>
            <w:tcBorders>
              <w:top w:val="single" w:sz="4" w:space="0" w:color="A6A6A6" w:themeColor="background1" w:themeShade="A6"/>
            </w:tcBorders>
          </w:tcPr>
          <w:p w14:paraId="005A46EC" w14:textId="4D639B14" w:rsidR="00975A47" w:rsidRDefault="00975A47" w:rsidP="00C512D1">
            <w:pPr>
              <w:pStyle w:val="TableText"/>
              <w:tabs>
                <w:tab w:val="decimal" w:pos="882"/>
              </w:tabs>
              <w:rPr>
                <w:w w:val="102"/>
              </w:rPr>
            </w:pPr>
            <w:r>
              <w:t>22</w:t>
            </w:r>
          </w:p>
        </w:tc>
        <w:tc>
          <w:tcPr>
            <w:tcW w:w="1749" w:type="dxa"/>
            <w:tcBorders>
              <w:top w:val="single" w:sz="4" w:space="0" w:color="A6A6A6" w:themeColor="background1" w:themeShade="A6"/>
            </w:tcBorders>
          </w:tcPr>
          <w:p w14:paraId="225F6D9B" w14:textId="01411DEB" w:rsidR="00975A47" w:rsidRDefault="00975A47" w:rsidP="00C512D1">
            <w:pPr>
              <w:pStyle w:val="TableText"/>
              <w:tabs>
                <w:tab w:val="decimal" w:pos="983"/>
              </w:tabs>
              <w:rPr>
                <w:w w:val="102"/>
              </w:rPr>
            </w:pPr>
            <w:r>
              <w:t>275</w:t>
            </w:r>
          </w:p>
        </w:tc>
        <w:tc>
          <w:tcPr>
            <w:tcW w:w="2602" w:type="dxa"/>
            <w:gridSpan w:val="2"/>
            <w:tcBorders>
              <w:top w:val="single" w:sz="4" w:space="0" w:color="A6A6A6" w:themeColor="background1" w:themeShade="A6"/>
            </w:tcBorders>
          </w:tcPr>
          <w:p w14:paraId="41FC8AAF" w14:textId="3A257712" w:rsidR="00975A47" w:rsidRDefault="00975A47" w:rsidP="00C512D1">
            <w:pPr>
              <w:pStyle w:val="TableText"/>
              <w:tabs>
                <w:tab w:val="decimal" w:pos="1077"/>
              </w:tabs>
            </w:pPr>
            <w:r>
              <w:t>13 (2–31)</w:t>
            </w:r>
          </w:p>
        </w:tc>
      </w:tr>
      <w:tr w:rsidR="00975A47" w:rsidRPr="00EC5EF1" w14:paraId="697A96E1" w14:textId="77777777" w:rsidTr="00C512D1">
        <w:trPr>
          <w:cantSplit/>
        </w:trPr>
        <w:tc>
          <w:tcPr>
            <w:tcW w:w="2032" w:type="dxa"/>
            <w:gridSpan w:val="2"/>
            <w:tcBorders>
              <w:top w:val="single" w:sz="4" w:space="0" w:color="A6A6A6" w:themeColor="background1" w:themeShade="A6"/>
            </w:tcBorders>
          </w:tcPr>
          <w:p w14:paraId="2B62BCFA" w14:textId="1EFB2E73" w:rsidR="00975A47" w:rsidRDefault="00975A47" w:rsidP="00193432">
            <w:pPr>
              <w:pStyle w:val="TableText"/>
              <w:rPr>
                <w:w w:val="105"/>
              </w:rPr>
            </w:pPr>
            <w:r>
              <w:t>West Coast</w:t>
            </w:r>
          </w:p>
        </w:tc>
        <w:tc>
          <w:tcPr>
            <w:tcW w:w="1748" w:type="dxa"/>
            <w:gridSpan w:val="2"/>
            <w:tcBorders>
              <w:top w:val="single" w:sz="4" w:space="0" w:color="A6A6A6" w:themeColor="background1" w:themeShade="A6"/>
            </w:tcBorders>
          </w:tcPr>
          <w:p w14:paraId="05F8867C" w14:textId="2531BD28" w:rsidR="00975A47" w:rsidRDefault="00975A47" w:rsidP="00C512D1">
            <w:pPr>
              <w:pStyle w:val="TableText"/>
              <w:tabs>
                <w:tab w:val="decimal" w:pos="882"/>
              </w:tabs>
            </w:pPr>
            <w:r>
              <w:rPr>
                <w:w w:val="102"/>
              </w:rPr>
              <w:t>1</w:t>
            </w:r>
          </w:p>
        </w:tc>
        <w:tc>
          <w:tcPr>
            <w:tcW w:w="1749" w:type="dxa"/>
            <w:tcBorders>
              <w:top w:val="single" w:sz="4" w:space="0" w:color="A6A6A6" w:themeColor="background1" w:themeShade="A6"/>
            </w:tcBorders>
          </w:tcPr>
          <w:p w14:paraId="2A4BF759" w14:textId="00327709" w:rsidR="00975A47" w:rsidRDefault="00975A47" w:rsidP="00C512D1">
            <w:pPr>
              <w:pStyle w:val="TableText"/>
              <w:tabs>
                <w:tab w:val="decimal" w:pos="983"/>
              </w:tabs>
            </w:pPr>
            <w:r>
              <w:rPr>
                <w:w w:val="102"/>
              </w:rPr>
              <w:t>7</w:t>
            </w:r>
          </w:p>
        </w:tc>
        <w:tc>
          <w:tcPr>
            <w:tcW w:w="2602" w:type="dxa"/>
            <w:gridSpan w:val="2"/>
            <w:tcBorders>
              <w:top w:val="single" w:sz="4" w:space="0" w:color="A6A6A6" w:themeColor="background1" w:themeShade="A6"/>
            </w:tcBorders>
          </w:tcPr>
          <w:p w14:paraId="3F5CE2EE" w14:textId="2B0D3D08" w:rsidR="00975A47" w:rsidRDefault="00975A47" w:rsidP="00C512D1">
            <w:pPr>
              <w:pStyle w:val="TableText"/>
              <w:tabs>
                <w:tab w:val="decimal" w:pos="1077"/>
              </w:tabs>
            </w:pPr>
            <w:r>
              <w:t>7 (7–7)</w:t>
            </w:r>
          </w:p>
        </w:tc>
      </w:tr>
      <w:tr w:rsidR="00975A47" w:rsidRPr="00EC5EF1" w14:paraId="45A33E31" w14:textId="77777777" w:rsidTr="00C512D1">
        <w:trPr>
          <w:cantSplit/>
        </w:trPr>
        <w:tc>
          <w:tcPr>
            <w:tcW w:w="2032" w:type="dxa"/>
            <w:gridSpan w:val="2"/>
            <w:tcBorders>
              <w:top w:val="single" w:sz="4" w:space="0" w:color="A6A6A6" w:themeColor="background1" w:themeShade="A6"/>
            </w:tcBorders>
          </w:tcPr>
          <w:p w14:paraId="44466C24" w14:textId="2295A68F" w:rsidR="00975A47" w:rsidRDefault="00975A47" w:rsidP="00193432">
            <w:pPr>
              <w:pStyle w:val="TableText"/>
            </w:pPr>
            <w:r>
              <w:rPr>
                <w:w w:val="105"/>
              </w:rPr>
              <w:t>Whanganui</w:t>
            </w:r>
          </w:p>
        </w:tc>
        <w:tc>
          <w:tcPr>
            <w:tcW w:w="1748" w:type="dxa"/>
            <w:gridSpan w:val="2"/>
            <w:tcBorders>
              <w:top w:val="single" w:sz="4" w:space="0" w:color="A6A6A6" w:themeColor="background1" w:themeShade="A6"/>
            </w:tcBorders>
          </w:tcPr>
          <w:p w14:paraId="5CAF6AA8" w14:textId="62237DBC" w:rsidR="00975A47" w:rsidRDefault="00975A47" w:rsidP="00C512D1">
            <w:pPr>
              <w:pStyle w:val="TableText"/>
              <w:tabs>
                <w:tab w:val="decimal" w:pos="882"/>
              </w:tabs>
              <w:rPr>
                <w:w w:val="102"/>
              </w:rPr>
            </w:pPr>
            <w:r>
              <w:rPr>
                <w:w w:val="102"/>
              </w:rPr>
              <w:t>1</w:t>
            </w:r>
          </w:p>
        </w:tc>
        <w:tc>
          <w:tcPr>
            <w:tcW w:w="1749" w:type="dxa"/>
            <w:tcBorders>
              <w:top w:val="single" w:sz="4" w:space="0" w:color="A6A6A6" w:themeColor="background1" w:themeShade="A6"/>
            </w:tcBorders>
          </w:tcPr>
          <w:p w14:paraId="509B971B" w14:textId="069B8192" w:rsidR="00975A47" w:rsidRDefault="00975A47" w:rsidP="00C512D1">
            <w:pPr>
              <w:pStyle w:val="TableText"/>
              <w:tabs>
                <w:tab w:val="decimal" w:pos="983"/>
              </w:tabs>
              <w:rPr>
                <w:w w:val="102"/>
              </w:rPr>
            </w:pPr>
            <w:r>
              <w:t>13</w:t>
            </w:r>
          </w:p>
        </w:tc>
        <w:tc>
          <w:tcPr>
            <w:tcW w:w="2602" w:type="dxa"/>
            <w:gridSpan w:val="2"/>
            <w:tcBorders>
              <w:top w:val="single" w:sz="4" w:space="0" w:color="A6A6A6" w:themeColor="background1" w:themeShade="A6"/>
            </w:tcBorders>
          </w:tcPr>
          <w:p w14:paraId="7C00CC1C" w14:textId="16C68393" w:rsidR="00975A47" w:rsidRDefault="00975A47" w:rsidP="00C512D1">
            <w:pPr>
              <w:pStyle w:val="TableText"/>
              <w:tabs>
                <w:tab w:val="decimal" w:pos="1077"/>
              </w:tabs>
            </w:pPr>
            <w:r>
              <w:t>13 (13–13)</w:t>
            </w:r>
          </w:p>
        </w:tc>
      </w:tr>
      <w:tr w:rsidR="00975A47" w:rsidRPr="00B730BB" w14:paraId="4D741900" w14:textId="77777777" w:rsidTr="00C512D1">
        <w:trPr>
          <w:cantSplit/>
        </w:trPr>
        <w:tc>
          <w:tcPr>
            <w:tcW w:w="2032" w:type="dxa"/>
            <w:gridSpan w:val="2"/>
            <w:tcBorders>
              <w:top w:val="single" w:sz="4" w:space="0" w:color="A6A6A6" w:themeColor="background1" w:themeShade="A6"/>
            </w:tcBorders>
          </w:tcPr>
          <w:p w14:paraId="026CF8AA" w14:textId="79EFECE3" w:rsidR="00975A47" w:rsidRPr="00B730BB" w:rsidRDefault="00975A47" w:rsidP="00B730BB">
            <w:pPr>
              <w:pStyle w:val="TableText"/>
              <w:rPr>
                <w:rFonts w:cs="Segoe UI"/>
                <w:b/>
              </w:rPr>
            </w:pPr>
            <w:r w:rsidRPr="00B730BB">
              <w:rPr>
                <w:rFonts w:cs="Segoe UI"/>
                <w:b/>
              </w:rPr>
              <w:t>New Zealand total</w:t>
            </w:r>
          </w:p>
        </w:tc>
        <w:tc>
          <w:tcPr>
            <w:tcW w:w="1748" w:type="dxa"/>
            <w:gridSpan w:val="2"/>
            <w:tcBorders>
              <w:top w:val="single" w:sz="4" w:space="0" w:color="A6A6A6" w:themeColor="background1" w:themeShade="A6"/>
            </w:tcBorders>
          </w:tcPr>
          <w:p w14:paraId="298C435D" w14:textId="045FC325" w:rsidR="00975A47" w:rsidRPr="00B730BB" w:rsidRDefault="00975A47" w:rsidP="00C512D1">
            <w:pPr>
              <w:pStyle w:val="TableText"/>
              <w:tabs>
                <w:tab w:val="decimal" w:pos="882"/>
              </w:tabs>
              <w:rPr>
                <w:rFonts w:cs="Segoe UI"/>
                <w:b/>
              </w:rPr>
            </w:pPr>
            <w:r w:rsidRPr="00B730BB">
              <w:rPr>
                <w:rFonts w:cs="Segoe UI"/>
                <w:b/>
              </w:rPr>
              <w:t>265</w:t>
            </w:r>
          </w:p>
        </w:tc>
        <w:tc>
          <w:tcPr>
            <w:tcW w:w="1749" w:type="dxa"/>
            <w:tcBorders>
              <w:top w:val="single" w:sz="4" w:space="0" w:color="A6A6A6" w:themeColor="background1" w:themeShade="A6"/>
            </w:tcBorders>
          </w:tcPr>
          <w:p w14:paraId="050103B5" w14:textId="6FD5F0B3" w:rsidR="00975A47" w:rsidRPr="00B730BB" w:rsidRDefault="00975A47" w:rsidP="00C512D1">
            <w:pPr>
              <w:pStyle w:val="TableText"/>
              <w:tabs>
                <w:tab w:val="decimal" w:pos="983"/>
              </w:tabs>
              <w:rPr>
                <w:rFonts w:cs="Segoe UI"/>
                <w:b/>
              </w:rPr>
            </w:pPr>
            <w:r w:rsidRPr="00B730BB">
              <w:rPr>
                <w:rFonts w:cs="Segoe UI"/>
                <w:b/>
              </w:rPr>
              <w:t>2</w:t>
            </w:r>
            <w:r w:rsidR="00C512D1">
              <w:rPr>
                <w:rFonts w:cs="Segoe UI"/>
                <w:b/>
              </w:rPr>
              <w:t>,</w:t>
            </w:r>
            <w:r w:rsidRPr="00B730BB">
              <w:rPr>
                <w:rFonts w:cs="Segoe UI"/>
                <w:b/>
              </w:rPr>
              <w:t>914</w:t>
            </w:r>
          </w:p>
        </w:tc>
        <w:tc>
          <w:tcPr>
            <w:tcW w:w="2602" w:type="dxa"/>
            <w:gridSpan w:val="2"/>
            <w:tcBorders>
              <w:top w:val="single" w:sz="4" w:space="0" w:color="A6A6A6" w:themeColor="background1" w:themeShade="A6"/>
            </w:tcBorders>
          </w:tcPr>
          <w:p w14:paraId="12F7F4B9" w14:textId="43E9B887" w:rsidR="00975A47" w:rsidRPr="00B730BB" w:rsidRDefault="00975A47" w:rsidP="00C512D1">
            <w:pPr>
              <w:pStyle w:val="TableText"/>
              <w:tabs>
                <w:tab w:val="decimal" w:pos="1077"/>
              </w:tabs>
              <w:rPr>
                <w:rFonts w:cs="Segoe UI"/>
                <w:b/>
              </w:rPr>
            </w:pPr>
            <w:r w:rsidRPr="00B730BB">
              <w:rPr>
                <w:rFonts w:cs="Segoe UI"/>
                <w:b/>
              </w:rPr>
              <w:t>11 (1–58)</w:t>
            </w:r>
          </w:p>
        </w:tc>
      </w:tr>
    </w:tbl>
    <w:p w14:paraId="501F0018" w14:textId="77777777" w:rsidR="00740DA6" w:rsidRPr="00EC5EF1" w:rsidRDefault="00740DA6" w:rsidP="00CD1F6C">
      <w:pPr>
        <w:pStyle w:val="Note"/>
      </w:pPr>
      <w:r w:rsidRPr="00EC5EF1">
        <w:t>Notes: In 2017, 24 people were treated out of area, as follows:</w:t>
      </w:r>
    </w:p>
    <w:p w14:paraId="50537CAC" w14:textId="77777777" w:rsidR="00740DA6" w:rsidRPr="00CD1F6C" w:rsidRDefault="00740DA6" w:rsidP="00CD1F6C">
      <w:pPr>
        <w:pStyle w:val="Bullet"/>
        <w:spacing w:before="60"/>
        <w:rPr>
          <w:sz w:val="17"/>
          <w:szCs w:val="17"/>
        </w:rPr>
      </w:pPr>
      <w:r w:rsidRPr="00CD1F6C">
        <w:rPr>
          <w:sz w:val="17"/>
          <w:szCs w:val="17"/>
        </w:rPr>
        <w:t xml:space="preserve">Auckland DHB saw one person from Bay of Plenty DHB, two people from Counties </w:t>
      </w:r>
      <w:proofErr w:type="spellStart"/>
      <w:r w:rsidRPr="00CD1F6C">
        <w:rPr>
          <w:sz w:val="17"/>
          <w:szCs w:val="17"/>
        </w:rPr>
        <w:t>Manukau</w:t>
      </w:r>
      <w:proofErr w:type="spellEnd"/>
      <w:r w:rsidRPr="00CD1F6C">
        <w:rPr>
          <w:sz w:val="17"/>
          <w:szCs w:val="17"/>
        </w:rPr>
        <w:t xml:space="preserve"> DHB and one from </w:t>
      </w:r>
      <w:proofErr w:type="spellStart"/>
      <w:r w:rsidRPr="00CD1F6C">
        <w:rPr>
          <w:sz w:val="17"/>
          <w:szCs w:val="17"/>
        </w:rPr>
        <w:t>Waitemata</w:t>
      </w:r>
      <w:proofErr w:type="spellEnd"/>
      <w:r w:rsidRPr="00CD1F6C">
        <w:rPr>
          <w:sz w:val="17"/>
          <w:szCs w:val="17"/>
        </w:rPr>
        <w:t xml:space="preserve"> DHB</w:t>
      </w:r>
    </w:p>
    <w:p w14:paraId="2DE2B82A" w14:textId="77777777" w:rsidR="00740DA6" w:rsidRPr="00CD1F6C" w:rsidRDefault="00740DA6" w:rsidP="00CD1F6C">
      <w:pPr>
        <w:pStyle w:val="Bullet"/>
        <w:spacing w:before="60"/>
        <w:rPr>
          <w:sz w:val="17"/>
          <w:szCs w:val="17"/>
        </w:rPr>
      </w:pPr>
      <w:r w:rsidRPr="00CD1F6C">
        <w:rPr>
          <w:sz w:val="17"/>
          <w:szCs w:val="17"/>
        </w:rPr>
        <w:t xml:space="preserve">Bay of Plenty DHB saw one person from </w:t>
      </w:r>
      <w:proofErr w:type="spellStart"/>
      <w:r w:rsidRPr="00CD1F6C">
        <w:rPr>
          <w:sz w:val="17"/>
          <w:szCs w:val="17"/>
        </w:rPr>
        <w:t>Tairāwhiti</w:t>
      </w:r>
      <w:proofErr w:type="spellEnd"/>
      <w:r w:rsidRPr="00CD1F6C">
        <w:rPr>
          <w:sz w:val="17"/>
          <w:szCs w:val="17"/>
        </w:rPr>
        <w:t xml:space="preserve"> DHB</w:t>
      </w:r>
    </w:p>
    <w:p w14:paraId="6DBFE963" w14:textId="77777777" w:rsidR="00740DA6" w:rsidRPr="00CD1F6C" w:rsidRDefault="00740DA6" w:rsidP="00CD1F6C">
      <w:pPr>
        <w:pStyle w:val="Bullet"/>
        <w:spacing w:before="60"/>
        <w:rPr>
          <w:sz w:val="17"/>
          <w:szCs w:val="17"/>
        </w:rPr>
      </w:pPr>
      <w:r w:rsidRPr="00CD1F6C">
        <w:rPr>
          <w:sz w:val="17"/>
          <w:szCs w:val="17"/>
        </w:rPr>
        <w:t>Canterbury DHB saw one person from West Coast DHB</w:t>
      </w:r>
    </w:p>
    <w:p w14:paraId="76697BC3" w14:textId="77777777" w:rsidR="00740DA6" w:rsidRPr="00CD1F6C" w:rsidRDefault="00740DA6" w:rsidP="00CD1F6C">
      <w:pPr>
        <w:pStyle w:val="Bullet"/>
        <w:spacing w:before="60"/>
        <w:rPr>
          <w:sz w:val="17"/>
          <w:szCs w:val="17"/>
        </w:rPr>
      </w:pPr>
      <w:r w:rsidRPr="00CD1F6C">
        <w:rPr>
          <w:sz w:val="17"/>
          <w:szCs w:val="17"/>
        </w:rPr>
        <w:t>Capital &amp; Coast DHB saw six people from Hutt Valley DHB</w:t>
      </w:r>
    </w:p>
    <w:p w14:paraId="47BDF155" w14:textId="77777777" w:rsidR="00740DA6" w:rsidRPr="00CD1F6C" w:rsidRDefault="00740DA6" w:rsidP="00CD1F6C">
      <w:pPr>
        <w:pStyle w:val="Bullet"/>
        <w:spacing w:before="60"/>
        <w:rPr>
          <w:sz w:val="17"/>
          <w:szCs w:val="17"/>
        </w:rPr>
      </w:pPr>
      <w:r w:rsidRPr="00CD1F6C">
        <w:rPr>
          <w:sz w:val="17"/>
          <w:szCs w:val="17"/>
        </w:rPr>
        <w:t xml:space="preserve">Counties </w:t>
      </w:r>
      <w:proofErr w:type="spellStart"/>
      <w:r w:rsidRPr="00CD1F6C">
        <w:rPr>
          <w:sz w:val="17"/>
          <w:szCs w:val="17"/>
        </w:rPr>
        <w:t>Manukau</w:t>
      </w:r>
      <w:proofErr w:type="spellEnd"/>
      <w:r w:rsidRPr="00CD1F6C">
        <w:rPr>
          <w:sz w:val="17"/>
          <w:szCs w:val="17"/>
        </w:rPr>
        <w:t xml:space="preserve"> DHB saw one person from Auckland DHB</w:t>
      </w:r>
    </w:p>
    <w:p w14:paraId="5CE02FB4" w14:textId="77777777" w:rsidR="00740DA6" w:rsidRPr="00CD1F6C" w:rsidRDefault="00740DA6" w:rsidP="00CD1F6C">
      <w:pPr>
        <w:pStyle w:val="Bullet"/>
        <w:spacing w:before="60"/>
        <w:rPr>
          <w:sz w:val="17"/>
          <w:szCs w:val="17"/>
        </w:rPr>
      </w:pPr>
      <w:r w:rsidRPr="00CD1F6C">
        <w:rPr>
          <w:sz w:val="17"/>
          <w:szCs w:val="17"/>
        </w:rPr>
        <w:t xml:space="preserve">Hutt Valley DHB saw two people from Capital &amp; Coast DHB and one from </w:t>
      </w:r>
      <w:proofErr w:type="spellStart"/>
      <w:r w:rsidRPr="00CD1F6C">
        <w:rPr>
          <w:sz w:val="17"/>
          <w:szCs w:val="17"/>
        </w:rPr>
        <w:t>Wairarapa</w:t>
      </w:r>
      <w:proofErr w:type="spellEnd"/>
      <w:r w:rsidRPr="00CD1F6C">
        <w:rPr>
          <w:sz w:val="17"/>
          <w:szCs w:val="17"/>
        </w:rPr>
        <w:t xml:space="preserve"> DHB</w:t>
      </w:r>
    </w:p>
    <w:p w14:paraId="1F9306D3" w14:textId="77777777" w:rsidR="00740DA6" w:rsidRPr="00CD1F6C" w:rsidRDefault="00740DA6" w:rsidP="00CD1F6C">
      <w:pPr>
        <w:pStyle w:val="Bullet"/>
        <w:spacing w:before="60"/>
        <w:rPr>
          <w:sz w:val="17"/>
          <w:szCs w:val="17"/>
        </w:rPr>
      </w:pPr>
      <w:r w:rsidRPr="00CD1F6C">
        <w:rPr>
          <w:sz w:val="17"/>
          <w:szCs w:val="17"/>
        </w:rPr>
        <w:t xml:space="preserve">Lakes DHB saw one person from Taranaki DHB, one person from Waikato DHB and one person from </w:t>
      </w:r>
      <w:proofErr w:type="spellStart"/>
      <w:r w:rsidRPr="00CD1F6C">
        <w:rPr>
          <w:sz w:val="17"/>
          <w:szCs w:val="17"/>
        </w:rPr>
        <w:t>Waitemata</w:t>
      </w:r>
      <w:proofErr w:type="spellEnd"/>
      <w:r w:rsidRPr="00CD1F6C">
        <w:rPr>
          <w:sz w:val="17"/>
          <w:szCs w:val="17"/>
        </w:rPr>
        <w:t xml:space="preserve"> DHB</w:t>
      </w:r>
    </w:p>
    <w:p w14:paraId="66799ED9" w14:textId="77777777" w:rsidR="00740DA6" w:rsidRPr="00CD1F6C" w:rsidRDefault="00740DA6" w:rsidP="00CD1F6C">
      <w:pPr>
        <w:pStyle w:val="Bullet"/>
        <w:spacing w:before="60"/>
        <w:rPr>
          <w:sz w:val="17"/>
          <w:szCs w:val="17"/>
        </w:rPr>
      </w:pPr>
      <w:proofErr w:type="spellStart"/>
      <w:r w:rsidRPr="00CD1F6C">
        <w:rPr>
          <w:sz w:val="17"/>
          <w:szCs w:val="17"/>
        </w:rPr>
        <w:t>MidCentral</w:t>
      </w:r>
      <w:proofErr w:type="spellEnd"/>
      <w:r w:rsidRPr="00CD1F6C">
        <w:rPr>
          <w:sz w:val="17"/>
          <w:szCs w:val="17"/>
        </w:rPr>
        <w:t xml:space="preserve"> DHB saw one person from Hutt Valley DHB, one from Taranaki DHB and one from Whanganui DHB</w:t>
      </w:r>
    </w:p>
    <w:p w14:paraId="62CFCEA2" w14:textId="77777777" w:rsidR="00740DA6" w:rsidRPr="00CD1F6C" w:rsidRDefault="00740DA6" w:rsidP="00CD1F6C">
      <w:pPr>
        <w:pStyle w:val="Bullet"/>
        <w:spacing w:before="60"/>
        <w:rPr>
          <w:sz w:val="17"/>
          <w:szCs w:val="17"/>
        </w:rPr>
      </w:pPr>
      <w:r w:rsidRPr="00CD1F6C">
        <w:rPr>
          <w:sz w:val="17"/>
          <w:szCs w:val="17"/>
        </w:rPr>
        <w:t>Southern DHB saw one person from Northland DHB</w:t>
      </w:r>
    </w:p>
    <w:p w14:paraId="59371AF4" w14:textId="77777777" w:rsidR="00740DA6" w:rsidRPr="00CD1F6C" w:rsidRDefault="00740DA6" w:rsidP="00CD1F6C">
      <w:pPr>
        <w:pStyle w:val="Bullet"/>
        <w:spacing w:before="60"/>
        <w:rPr>
          <w:sz w:val="17"/>
          <w:szCs w:val="17"/>
        </w:rPr>
      </w:pPr>
      <w:r w:rsidRPr="00CD1F6C">
        <w:rPr>
          <w:sz w:val="17"/>
          <w:szCs w:val="17"/>
        </w:rPr>
        <w:t>Waikato DHB saw one person from Auckland DHB.</w:t>
      </w:r>
    </w:p>
    <w:p w14:paraId="3211F761" w14:textId="77777777" w:rsidR="00740DA6" w:rsidRPr="00EC5EF1" w:rsidRDefault="00740DA6" w:rsidP="00CD1F6C">
      <w:pPr>
        <w:pStyle w:val="Note"/>
      </w:pPr>
      <w:r w:rsidRPr="00EC5EF1">
        <w:t>If a person was seen while living in two DHB areas, they were counted under each DHB. The New Zealand total of 265 is a unique count and not a sum of this column in the table, as the New Zealand total excludes one individual who was treated by more than one DHB.</w:t>
      </w:r>
    </w:p>
    <w:p w14:paraId="764C1DED" w14:textId="521D5897" w:rsidR="00740DA6" w:rsidRPr="00EC5EF1" w:rsidRDefault="00740DA6" w:rsidP="00CD1F6C">
      <w:pPr>
        <w:pStyle w:val="Source"/>
      </w:pPr>
      <w:r w:rsidRPr="00EC5EF1">
        <w:t>Source: PRIMHD data, extracted on 14 August 2018, except for Nelson Marlborough, Southern and Whanganui DHBs, which submitted data manually</w:t>
      </w:r>
    </w:p>
    <w:p w14:paraId="29494B7E" w14:textId="77777777" w:rsidR="00740DA6" w:rsidRPr="00EC5EF1" w:rsidRDefault="00740DA6" w:rsidP="00CD1F6C"/>
    <w:p w14:paraId="7BE1EB06" w14:textId="2AAE9D29" w:rsidR="00740DA6" w:rsidRPr="00EC5EF1" w:rsidRDefault="00740DA6" w:rsidP="00CD1F6C">
      <w:r w:rsidRPr="00EC5EF1">
        <w:lastRenderedPageBreak/>
        <w:t>The national rate of people receiving ECT treatment in 2017 was 5.5 per 100,000. Figure</w:t>
      </w:r>
      <w:r w:rsidR="00CD1F6C">
        <w:t> </w:t>
      </w:r>
      <w:r w:rsidRPr="00EC5EF1">
        <w:t>41 presents the rate of people treated with ECT by DHB of domicile. As Figure 41 shows, the rate of ECT treatments varies regionally. Several factors contribute to this. First, regions with smaller populations are more vulnerable to annual variations (according to the needs of the population at any given time). In addition, people receiving continuous or maintenance treatment will typically receive more treatments in a year than those treated with an acute course. ECT is indicated in older people more often than in younger adults because older people are more likely to have associated medical problems contraindicating medication. Finally, populations in some DHBs have better access to ECT services than others.</w:t>
      </w:r>
    </w:p>
    <w:p w14:paraId="2502459C" w14:textId="77777777" w:rsidR="00740DA6" w:rsidRPr="00EC5EF1" w:rsidRDefault="00740DA6" w:rsidP="00CD1F6C"/>
    <w:p w14:paraId="63353209" w14:textId="0014BD51" w:rsidR="00740DA6" w:rsidRPr="00EC5EF1" w:rsidRDefault="00740DA6" w:rsidP="00475708">
      <w:pPr>
        <w:pStyle w:val="Figure"/>
      </w:pPr>
      <w:bookmarkStart w:id="143" w:name="_Toc2845743"/>
      <w:r w:rsidRPr="00EC5EF1">
        <w:t>Figure 41: Rates of people treated with ECT, by DHB of domicile, 1 January to 31</w:t>
      </w:r>
      <w:r w:rsidR="00475708">
        <w:t> </w:t>
      </w:r>
      <w:r w:rsidRPr="00EC5EF1">
        <w:t>December 2017</w:t>
      </w:r>
      <w:bookmarkEnd w:id="143"/>
    </w:p>
    <w:p w14:paraId="11E3A64C" w14:textId="4E1C893E" w:rsidR="00740DA6" w:rsidRPr="00EC5EF1" w:rsidRDefault="00CF0327" w:rsidP="00475708">
      <w:r>
        <w:rPr>
          <w:noProof/>
          <w:lang w:eastAsia="en-NZ"/>
        </w:rPr>
        <w:drawing>
          <wp:inline distT="0" distB="0" distL="0" distR="0" wp14:anchorId="37C9F74D" wp14:editId="04912F55">
            <wp:extent cx="4480560" cy="2614617"/>
            <wp:effectExtent l="0" t="0" r="0" b="0"/>
            <wp:docPr id="56" name="Picture 56" title="Figure 41: Rates of people treated with ECT, by DHB of domicile, 1 January to 31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485547" cy="2617527"/>
                    </a:xfrm>
                    <a:prstGeom prst="rect">
                      <a:avLst/>
                    </a:prstGeom>
                  </pic:spPr>
                </pic:pic>
              </a:graphicData>
            </a:graphic>
          </wp:inline>
        </w:drawing>
      </w:r>
    </w:p>
    <w:p w14:paraId="656F5FC3" w14:textId="45E5B5FE" w:rsidR="00740DA6" w:rsidRPr="00EC5EF1" w:rsidRDefault="00740DA6" w:rsidP="00CD1F6C">
      <w:pPr>
        <w:pStyle w:val="Note"/>
      </w:pPr>
      <w:r w:rsidRPr="00EC5EF1">
        <w:t>Notes: As the numbers of people receiving ECT by DHB are so small, it is difficult to make meaningful comparisons between DHBs using rates per 100,000</w:t>
      </w:r>
      <w:r w:rsidR="00DE0BB2">
        <w:t xml:space="preserve"> </w:t>
      </w:r>
      <w:r w:rsidRPr="00EC5EF1">
        <w:t>population.</w:t>
      </w:r>
    </w:p>
    <w:p w14:paraId="7CB9B7D8" w14:textId="77777777" w:rsidR="00740DA6" w:rsidRPr="00EC5EF1" w:rsidRDefault="00740DA6" w:rsidP="00CF0327">
      <w:pPr>
        <w:pStyle w:val="Note"/>
        <w:spacing w:before="40"/>
      </w:pPr>
      <w:r w:rsidRPr="00EC5EF1">
        <w:t>Confidence intervals (for 99 percent confidence) have been used to aid interpretation. Where a DHB region’s confidence interval crosses the national average, this means the DHB’s rate was not statistically significantly different to the national average.</w:t>
      </w:r>
    </w:p>
    <w:p w14:paraId="7BCECAE8" w14:textId="4ADC79F6" w:rsidR="00740DA6" w:rsidRDefault="00740DA6" w:rsidP="00CF0327">
      <w:pPr>
        <w:pStyle w:val="Source"/>
        <w:spacing w:before="40"/>
      </w:pPr>
      <w:r w:rsidRPr="00EC5EF1">
        <w:t>Source: PRIMHD data, extracted on 14 August 2018, except for Nelson Marlborough, Southern and Whanganui DHBs, which submitted data manually</w:t>
      </w:r>
    </w:p>
    <w:p w14:paraId="07CFE87E" w14:textId="77777777" w:rsidR="00CD1F6C" w:rsidRPr="00CD1F6C" w:rsidRDefault="00CD1F6C" w:rsidP="00CD1F6C"/>
    <w:p w14:paraId="474B26C8" w14:textId="5E71EF13" w:rsidR="00740DA6" w:rsidRPr="00EC5EF1" w:rsidRDefault="00740DA6" w:rsidP="00CD1F6C">
      <w:pPr>
        <w:pStyle w:val="Heading4"/>
      </w:pPr>
      <w:r w:rsidRPr="00EC5EF1">
        <w:t>Consent to treatment</w:t>
      </w:r>
    </w:p>
    <w:p w14:paraId="291BB447" w14:textId="3AC2E638" w:rsidR="00740DA6" w:rsidRPr="00CF0327" w:rsidRDefault="00740DA6" w:rsidP="00CD1F6C">
      <w:pPr>
        <w:rPr>
          <w:spacing w:val="-2"/>
        </w:rPr>
      </w:pPr>
      <w:r w:rsidRPr="00CF0327">
        <w:rPr>
          <w:spacing w:val="-2"/>
        </w:rPr>
        <w:t>Section 60 of the Mental Health Act describes the process required for obtaining consent for ECT – obtaining either the consent of the person themselves or a second opinion from a psychiatrist appointed by the Mental Health Review Tribunal.</w:t>
      </w:r>
      <w:r w:rsidR="00CD1F6C" w:rsidRPr="00CF0327">
        <w:rPr>
          <w:rStyle w:val="FootnoteReference"/>
          <w:spacing w:val="-2"/>
        </w:rPr>
        <w:footnoteReference w:id="56"/>
      </w:r>
      <w:r w:rsidR="00CD1F6C" w:rsidRPr="00CF0327">
        <w:rPr>
          <w:spacing w:val="-2"/>
        </w:rPr>
        <w:t xml:space="preserve"> </w:t>
      </w:r>
      <w:r w:rsidRPr="00CF0327">
        <w:rPr>
          <w:spacing w:val="-2"/>
        </w:rPr>
        <w:t>In the latter case, the psychiatrist must consider the treatment to be in the interests of the person.</w:t>
      </w:r>
    </w:p>
    <w:p w14:paraId="26DFD7AB" w14:textId="77777777" w:rsidR="00740DA6" w:rsidRPr="00EC5EF1" w:rsidRDefault="00740DA6" w:rsidP="00CD1F6C"/>
    <w:p w14:paraId="6D02D691" w14:textId="72B442B2" w:rsidR="00740DA6" w:rsidRPr="00CD1F6C" w:rsidRDefault="00740DA6" w:rsidP="00CF0327">
      <w:r w:rsidRPr="00EC5EF1">
        <w:t>This process allows for the treatment of people too unwell to consent to treatment. Clinicians should decide whether ECT is in the interests of the person after discussing the options with family/whānau and considering any relevant advance directives the person has made.</w:t>
      </w:r>
      <w:r w:rsidR="00CD1F6C">
        <w:rPr>
          <w:rStyle w:val="FootnoteReference"/>
        </w:rPr>
        <w:footnoteReference w:id="57"/>
      </w:r>
    </w:p>
    <w:p w14:paraId="20EE62A0" w14:textId="37ACAD33" w:rsidR="00740DA6" w:rsidRPr="00EC5EF1" w:rsidRDefault="00740DA6" w:rsidP="00B0271E">
      <w:pPr>
        <w:spacing w:before="240"/>
      </w:pPr>
      <w:r w:rsidRPr="00EC5EF1">
        <w:lastRenderedPageBreak/>
        <w:t>During 2017, six people were treated with ECT who retained decision-making capacity and refused consent. The total number of ECT treatments not able to be consented increased from 954 in 2016 to 1,137 in 2017, which may be attributable to focused efforts by the Office during 2015 to improve reporting on non-consensual ECT. Table</w:t>
      </w:r>
      <w:r w:rsidR="00CD1F6C">
        <w:t> </w:t>
      </w:r>
      <w:r w:rsidRPr="00EC5EF1">
        <w:t>20 shows the number of treatments administered without consent during 2017.</w:t>
      </w:r>
    </w:p>
    <w:p w14:paraId="744A67F8" w14:textId="77777777" w:rsidR="00740DA6" w:rsidRPr="00EC5EF1" w:rsidRDefault="00740DA6" w:rsidP="00CD1F6C"/>
    <w:p w14:paraId="79B7E1A2" w14:textId="77777777" w:rsidR="00740DA6" w:rsidRDefault="00740DA6" w:rsidP="006A1E3A">
      <w:pPr>
        <w:pStyle w:val="Table"/>
      </w:pPr>
      <w:bookmarkStart w:id="144" w:name="_Toc2845764"/>
      <w:r w:rsidRPr="00EC5EF1">
        <w:t>Table 20: Indicators for situations in which ECT was not consented to, by DHB of service, 1 January to 31 December 2017</w:t>
      </w:r>
      <w:bookmarkEnd w:id="144"/>
    </w:p>
    <w:tbl>
      <w:tblPr>
        <w:tblW w:w="0" w:type="auto"/>
        <w:tblInd w:w="57" w:type="dxa"/>
        <w:tblLayout w:type="fixed"/>
        <w:tblCellMar>
          <w:left w:w="57" w:type="dxa"/>
          <w:right w:w="57" w:type="dxa"/>
        </w:tblCellMar>
        <w:tblLook w:val="01E0" w:firstRow="1" w:lastRow="1" w:firstColumn="1" w:lastColumn="1" w:noHBand="0" w:noVBand="0"/>
      </w:tblPr>
      <w:tblGrid>
        <w:gridCol w:w="1985"/>
        <w:gridCol w:w="2031"/>
        <w:gridCol w:w="2032"/>
        <w:gridCol w:w="2032"/>
      </w:tblGrid>
      <w:tr w:rsidR="006A1E3A" w:rsidRPr="006A1E3A" w14:paraId="24243502" w14:textId="77777777" w:rsidTr="006A1E3A">
        <w:trPr>
          <w:cantSplit/>
        </w:trPr>
        <w:tc>
          <w:tcPr>
            <w:tcW w:w="1985" w:type="dxa"/>
            <w:shd w:val="clear" w:color="auto" w:fill="D9D9D9" w:themeFill="background1" w:themeFillShade="D9"/>
          </w:tcPr>
          <w:p w14:paraId="6B87796E" w14:textId="77777777" w:rsidR="006A1E3A" w:rsidRPr="006A1E3A" w:rsidRDefault="006A1E3A" w:rsidP="00193432">
            <w:pPr>
              <w:pStyle w:val="TableText"/>
              <w:rPr>
                <w:b/>
              </w:rPr>
            </w:pPr>
            <w:r w:rsidRPr="006A1E3A">
              <w:rPr>
                <w:b/>
              </w:rPr>
              <w:t>DHB of service</w:t>
            </w:r>
          </w:p>
        </w:tc>
        <w:tc>
          <w:tcPr>
            <w:tcW w:w="2031" w:type="dxa"/>
            <w:shd w:val="clear" w:color="auto" w:fill="D9D9D9" w:themeFill="background1" w:themeFillShade="D9"/>
          </w:tcPr>
          <w:p w14:paraId="474A68EC" w14:textId="3C23FB64" w:rsidR="006A1E3A" w:rsidRPr="006A1E3A" w:rsidRDefault="006A1E3A" w:rsidP="006A1E3A">
            <w:pPr>
              <w:pStyle w:val="TableText"/>
              <w:jc w:val="center"/>
              <w:rPr>
                <w:b/>
              </w:rPr>
            </w:pPr>
            <w:r w:rsidRPr="006A1E3A">
              <w:rPr>
                <w:b/>
              </w:rPr>
              <w:t>Number of people given ECT who did not</w:t>
            </w:r>
            <w:r>
              <w:rPr>
                <w:b/>
              </w:rPr>
              <w:t> </w:t>
            </w:r>
            <w:r w:rsidRPr="006A1E3A">
              <w:rPr>
                <w:b/>
              </w:rPr>
              <w:t>have the capacity</w:t>
            </w:r>
            <w:r>
              <w:rPr>
                <w:b/>
              </w:rPr>
              <w:t> </w:t>
            </w:r>
            <w:r w:rsidRPr="006A1E3A">
              <w:rPr>
                <w:b/>
              </w:rPr>
              <w:t>to consent</w:t>
            </w:r>
          </w:p>
        </w:tc>
        <w:tc>
          <w:tcPr>
            <w:tcW w:w="2032" w:type="dxa"/>
            <w:shd w:val="clear" w:color="auto" w:fill="D9D9D9" w:themeFill="background1" w:themeFillShade="D9"/>
          </w:tcPr>
          <w:p w14:paraId="0CA7F83C" w14:textId="231B98F3" w:rsidR="006A1E3A" w:rsidRPr="006A1E3A" w:rsidRDefault="006A1E3A" w:rsidP="006A1E3A">
            <w:pPr>
              <w:pStyle w:val="TableText"/>
              <w:jc w:val="center"/>
              <w:rPr>
                <w:b/>
              </w:rPr>
            </w:pPr>
            <w:r w:rsidRPr="006A1E3A">
              <w:rPr>
                <w:b/>
              </w:rPr>
              <w:t>Number of administrations not</w:t>
            </w:r>
            <w:r>
              <w:rPr>
                <w:b/>
              </w:rPr>
              <w:t> </w:t>
            </w:r>
            <w:r w:rsidRPr="006A1E3A">
              <w:rPr>
                <w:b/>
              </w:rPr>
              <w:t>able to be consented to</w:t>
            </w:r>
          </w:p>
        </w:tc>
        <w:tc>
          <w:tcPr>
            <w:tcW w:w="2032" w:type="dxa"/>
            <w:shd w:val="clear" w:color="auto" w:fill="D9D9D9" w:themeFill="background1" w:themeFillShade="D9"/>
          </w:tcPr>
          <w:p w14:paraId="22EAC8C0" w14:textId="77777777" w:rsidR="006A1E3A" w:rsidRPr="006A1E3A" w:rsidRDefault="006A1E3A" w:rsidP="006A1E3A">
            <w:pPr>
              <w:pStyle w:val="TableText"/>
              <w:jc w:val="center"/>
              <w:rPr>
                <w:b/>
              </w:rPr>
            </w:pPr>
            <w:r w:rsidRPr="006A1E3A">
              <w:rPr>
                <w:b/>
              </w:rPr>
              <w:t>Number of people given ECT who had capacity and refused consent</w:t>
            </w:r>
          </w:p>
        </w:tc>
      </w:tr>
      <w:tr w:rsidR="006A1E3A" w14:paraId="54164F00" w14:textId="77777777" w:rsidTr="006A1E3A">
        <w:trPr>
          <w:cantSplit/>
        </w:trPr>
        <w:tc>
          <w:tcPr>
            <w:tcW w:w="1985" w:type="dxa"/>
            <w:tcBorders>
              <w:bottom w:val="single" w:sz="4" w:space="0" w:color="A6A6A6" w:themeColor="background1" w:themeShade="A6"/>
            </w:tcBorders>
          </w:tcPr>
          <w:p w14:paraId="1C125D9A" w14:textId="77777777" w:rsidR="006A1E3A" w:rsidRPr="006A1E3A" w:rsidRDefault="006A1E3A" w:rsidP="006A1E3A">
            <w:pPr>
              <w:pStyle w:val="TableText"/>
            </w:pPr>
            <w:r w:rsidRPr="006A1E3A">
              <w:t>Auckland</w:t>
            </w:r>
          </w:p>
        </w:tc>
        <w:tc>
          <w:tcPr>
            <w:tcW w:w="2031" w:type="dxa"/>
            <w:tcBorders>
              <w:bottom w:val="single" w:sz="4" w:space="0" w:color="A6A6A6" w:themeColor="background1" w:themeShade="A6"/>
            </w:tcBorders>
          </w:tcPr>
          <w:p w14:paraId="079DA88D" w14:textId="77777777" w:rsidR="006A1E3A" w:rsidRPr="006A1E3A" w:rsidRDefault="006A1E3A" w:rsidP="006A1E3A">
            <w:pPr>
              <w:pStyle w:val="TableText"/>
              <w:tabs>
                <w:tab w:val="decimal" w:pos="1139"/>
              </w:tabs>
            </w:pPr>
            <w:r w:rsidRPr="006A1E3A">
              <w:t>18</w:t>
            </w:r>
          </w:p>
        </w:tc>
        <w:tc>
          <w:tcPr>
            <w:tcW w:w="2032" w:type="dxa"/>
            <w:tcBorders>
              <w:bottom w:val="single" w:sz="4" w:space="0" w:color="A6A6A6" w:themeColor="background1" w:themeShade="A6"/>
            </w:tcBorders>
          </w:tcPr>
          <w:p w14:paraId="4657E743" w14:textId="77777777" w:rsidR="006A1E3A" w:rsidRPr="006A1E3A" w:rsidRDefault="006A1E3A" w:rsidP="006A1E3A">
            <w:pPr>
              <w:pStyle w:val="TableText"/>
              <w:tabs>
                <w:tab w:val="decimal" w:pos="1172"/>
              </w:tabs>
            </w:pPr>
            <w:r w:rsidRPr="006A1E3A">
              <w:t>212</w:t>
            </w:r>
          </w:p>
        </w:tc>
        <w:tc>
          <w:tcPr>
            <w:tcW w:w="2032" w:type="dxa"/>
            <w:tcBorders>
              <w:bottom w:val="single" w:sz="4" w:space="0" w:color="A6A6A6" w:themeColor="background1" w:themeShade="A6"/>
            </w:tcBorders>
          </w:tcPr>
          <w:p w14:paraId="354FDE77" w14:textId="77777777" w:rsidR="006A1E3A" w:rsidRPr="006A1E3A" w:rsidRDefault="006A1E3A" w:rsidP="006A1E3A">
            <w:pPr>
              <w:pStyle w:val="TableText"/>
              <w:jc w:val="center"/>
            </w:pPr>
            <w:r w:rsidRPr="006A1E3A">
              <w:t>0</w:t>
            </w:r>
          </w:p>
        </w:tc>
      </w:tr>
      <w:tr w:rsidR="006A1E3A" w14:paraId="1862C340" w14:textId="77777777" w:rsidTr="006A1E3A">
        <w:trPr>
          <w:cantSplit/>
        </w:trPr>
        <w:tc>
          <w:tcPr>
            <w:tcW w:w="1985" w:type="dxa"/>
            <w:tcBorders>
              <w:top w:val="single" w:sz="4" w:space="0" w:color="A6A6A6" w:themeColor="background1" w:themeShade="A6"/>
              <w:bottom w:val="single" w:sz="4" w:space="0" w:color="A6A6A6" w:themeColor="background1" w:themeShade="A6"/>
            </w:tcBorders>
          </w:tcPr>
          <w:p w14:paraId="76E18FAF" w14:textId="77777777" w:rsidR="006A1E3A" w:rsidRPr="006A1E3A" w:rsidRDefault="006A1E3A" w:rsidP="006A1E3A">
            <w:pPr>
              <w:pStyle w:val="TableText"/>
            </w:pPr>
            <w:r w:rsidRPr="006A1E3A">
              <w:t>Bay of Plenty</w:t>
            </w:r>
          </w:p>
        </w:tc>
        <w:tc>
          <w:tcPr>
            <w:tcW w:w="2031" w:type="dxa"/>
            <w:tcBorders>
              <w:top w:val="single" w:sz="4" w:space="0" w:color="A6A6A6" w:themeColor="background1" w:themeShade="A6"/>
              <w:bottom w:val="single" w:sz="4" w:space="0" w:color="A6A6A6" w:themeColor="background1" w:themeShade="A6"/>
            </w:tcBorders>
          </w:tcPr>
          <w:p w14:paraId="465220DD" w14:textId="77777777" w:rsidR="006A1E3A" w:rsidRPr="006A1E3A" w:rsidRDefault="006A1E3A" w:rsidP="006A1E3A">
            <w:pPr>
              <w:pStyle w:val="TableText"/>
              <w:tabs>
                <w:tab w:val="decimal" w:pos="1139"/>
              </w:tabs>
            </w:pPr>
            <w:r w:rsidRPr="006A1E3A">
              <w:t>5</w:t>
            </w:r>
          </w:p>
        </w:tc>
        <w:tc>
          <w:tcPr>
            <w:tcW w:w="2032" w:type="dxa"/>
            <w:tcBorders>
              <w:top w:val="single" w:sz="4" w:space="0" w:color="A6A6A6" w:themeColor="background1" w:themeShade="A6"/>
              <w:bottom w:val="single" w:sz="4" w:space="0" w:color="A6A6A6" w:themeColor="background1" w:themeShade="A6"/>
            </w:tcBorders>
          </w:tcPr>
          <w:p w14:paraId="57C39487" w14:textId="77777777" w:rsidR="006A1E3A" w:rsidRPr="006A1E3A" w:rsidRDefault="006A1E3A" w:rsidP="006A1E3A">
            <w:pPr>
              <w:pStyle w:val="TableText"/>
              <w:tabs>
                <w:tab w:val="decimal" w:pos="1172"/>
              </w:tabs>
            </w:pPr>
            <w:r w:rsidRPr="006A1E3A">
              <w:t>51</w:t>
            </w:r>
          </w:p>
        </w:tc>
        <w:tc>
          <w:tcPr>
            <w:tcW w:w="2032" w:type="dxa"/>
            <w:tcBorders>
              <w:top w:val="single" w:sz="4" w:space="0" w:color="A6A6A6" w:themeColor="background1" w:themeShade="A6"/>
              <w:bottom w:val="single" w:sz="4" w:space="0" w:color="A6A6A6" w:themeColor="background1" w:themeShade="A6"/>
            </w:tcBorders>
          </w:tcPr>
          <w:p w14:paraId="0525DB82" w14:textId="77777777" w:rsidR="006A1E3A" w:rsidRPr="006A1E3A" w:rsidRDefault="006A1E3A" w:rsidP="006A1E3A">
            <w:pPr>
              <w:pStyle w:val="TableText"/>
              <w:jc w:val="center"/>
            </w:pPr>
            <w:r w:rsidRPr="006A1E3A">
              <w:t>0</w:t>
            </w:r>
          </w:p>
        </w:tc>
      </w:tr>
      <w:tr w:rsidR="006A1E3A" w14:paraId="05FD1BBA" w14:textId="77777777" w:rsidTr="006A1E3A">
        <w:trPr>
          <w:cantSplit/>
        </w:trPr>
        <w:tc>
          <w:tcPr>
            <w:tcW w:w="1985" w:type="dxa"/>
            <w:tcBorders>
              <w:top w:val="single" w:sz="4" w:space="0" w:color="A6A6A6" w:themeColor="background1" w:themeShade="A6"/>
              <w:bottom w:val="single" w:sz="4" w:space="0" w:color="A6A6A6" w:themeColor="background1" w:themeShade="A6"/>
            </w:tcBorders>
          </w:tcPr>
          <w:p w14:paraId="1FE92A7F" w14:textId="77777777" w:rsidR="006A1E3A" w:rsidRPr="006A1E3A" w:rsidRDefault="006A1E3A" w:rsidP="006A1E3A">
            <w:pPr>
              <w:pStyle w:val="TableText"/>
            </w:pPr>
            <w:r w:rsidRPr="006A1E3A">
              <w:t>Canterbury</w:t>
            </w:r>
          </w:p>
        </w:tc>
        <w:tc>
          <w:tcPr>
            <w:tcW w:w="2031" w:type="dxa"/>
            <w:tcBorders>
              <w:top w:val="single" w:sz="4" w:space="0" w:color="A6A6A6" w:themeColor="background1" w:themeShade="A6"/>
              <w:bottom w:val="single" w:sz="4" w:space="0" w:color="A6A6A6" w:themeColor="background1" w:themeShade="A6"/>
            </w:tcBorders>
          </w:tcPr>
          <w:p w14:paraId="4F0FFF1C" w14:textId="77777777" w:rsidR="006A1E3A" w:rsidRPr="006A1E3A" w:rsidRDefault="006A1E3A" w:rsidP="006A1E3A">
            <w:pPr>
              <w:pStyle w:val="TableText"/>
              <w:tabs>
                <w:tab w:val="decimal" w:pos="1139"/>
              </w:tabs>
            </w:pPr>
            <w:r w:rsidRPr="006A1E3A">
              <w:t>16</w:t>
            </w:r>
          </w:p>
        </w:tc>
        <w:tc>
          <w:tcPr>
            <w:tcW w:w="2032" w:type="dxa"/>
            <w:tcBorders>
              <w:top w:val="single" w:sz="4" w:space="0" w:color="A6A6A6" w:themeColor="background1" w:themeShade="A6"/>
              <w:bottom w:val="single" w:sz="4" w:space="0" w:color="A6A6A6" w:themeColor="background1" w:themeShade="A6"/>
            </w:tcBorders>
          </w:tcPr>
          <w:p w14:paraId="33BABF1F" w14:textId="77777777" w:rsidR="006A1E3A" w:rsidRPr="006A1E3A" w:rsidRDefault="006A1E3A" w:rsidP="006A1E3A">
            <w:pPr>
              <w:pStyle w:val="TableText"/>
              <w:tabs>
                <w:tab w:val="decimal" w:pos="1172"/>
              </w:tabs>
            </w:pPr>
            <w:r w:rsidRPr="006A1E3A">
              <w:t>167</w:t>
            </w:r>
          </w:p>
        </w:tc>
        <w:tc>
          <w:tcPr>
            <w:tcW w:w="2032" w:type="dxa"/>
            <w:tcBorders>
              <w:top w:val="single" w:sz="4" w:space="0" w:color="A6A6A6" w:themeColor="background1" w:themeShade="A6"/>
              <w:bottom w:val="single" w:sz="4" w:space="0" w:color="A6A6A6" w:themeColor="background1" w:themeShade="A6"/>
            </w:tcBorders>
          </w:tcPr>
          <w:p w14:paraId="1E42DBF6" w14:textId="77777777" w:rsidR="006A1E3A" w:rsidRPr="006A1E3A" w:rsidRDefault="006A1E3A" w:rsidP="006A1E3A">
            <w:pPr>
              <w:pStyle w:val="TableText"/>
              <w:jc w:val="center"/>
            </w:pPr>
            <w:r w:rsidRPr="006A1E3A">
              <w:t>2</w:t>
            </w:r>
          </w:p>
        </w:tc>
      </w:tr>
      <w:tr w:rsidR="006A1E3A" w14:paraId="3AECB01F" w14:textId="77777777" w:rsidTr="006A1E3A">
        <w:trPr>
          <w:cantSplit/>
        </w:trPr>
        <w:tc>
          <w:tcPr>
            <w:tcW w:w="1985" w:type="dxa"/>
            <w:tcBorders>
              <w:top w:val="single" w:sz="4" w:space="0" w:color="A6A6A6" w:themeColor="background1" w:themeShade="A6"/>
              <w:bottom w:val="single" w:sz="4" w:space="0" w:color="A6A6A6" w:themeColor="background1" w:themeShade="A6"/>
            </w:tcBorders>
          </w:tcPr>
          <w:p w14:paraId="5A1D5A41" w14:textId="77777777" w:rsidR="006A1E3A" w:rsidRPr="006A1E3A" w:rsidRDefault="006A1E3A" w:rsidP="006A1E3A">
            <w:pPr>
              <w:pStyle w:val="TableText"/>
            </w:pPr>
            <w:r w:rsidRPr="006A1E3A">
              <w:t>Capital &amp; Coast</w:t>
            </w:r>
          </w:p>
        </w:tc>
        <w:tc>
          <w:tcPr>
            <w:tcW w:w="2031" w:type="dxa"/>
            <w:tcBorders>
              <w:top w:val="single" w:sz="4" w:space="0" w:color="A6A6A6" w:themeColor="background1" w:themeShade="A6"/>
              <w:bottom w:val="single" w:sz="4" w:space="0" w:color="A6A6A6" w:themeColor="background1" w:themeShade="A6"/>
            </w:tcBorders>
          </w:tcPr>
          <w:p w14:paraId="331C457B" w14:textId="77777777" w:rsidR="006A1E3A" w:rsidRPr="006A1E3A" w:rsidRDefault="006A1E3A" w:rsidP="006A1E3A">
            <w:pPr>
              <w:pStyle w:val="TableText"/>
              <w:tabs>
                <w:tab w:val="decimal" w:pos="1139"/>
              </w:tabs>
            </w:pPr>
            <w:r w:rsidRPr="006A1E3A">
              <w:t>4</w:t>
            </w:r>
          </w:p>
        </w:tc>
        <w:tc>
          <w:tcPr>
            <w:tcW w:w="2032" w:type="dxa"/>
            <w:tcBorders>
              <w:top w:val="single" w:sz="4" w:space="0" w:color="A6A6A6" w:themeColor="background1" w:themeShade="A6"/>
              <w:bottom w:val="single" w:sz="4" w:space="0" w:color="A6A6A6" w:themeColor="background1" w:themeShade="A6"/>
            </w:tcBorders>
          </w:tcPr>
          <w:p w14:paraId="5EA25FAA" w14:textId="77777777" w:rsidR="006A1E3A" w:rsidRPr="006A1E3A" w:rsidRDefault="006A1E3A" w:rsidP="006A1E3A">
            <w:pPr>
              <w:pStyle w:val="TableText"/>
              <w:tabs>
                <w:tab w:val="decimal" w:pos="1172"/>
              </w:tabs>
            </w:pPr>
            <w:r w:rsidRPr="006A1E3A">
              <w:t>26</w:t>
            </w:r>
          </w:p>
        </w:tc>
        <w:tc>
          <w:tcPr>
            <w:tcW w:w="2032" w:type="dxa"/>
            <w:tcBorders>
              <w:top w:val="single" w:sz="4" w:space="0" w:color="A6A6A6" w:themeColor="background1" w:themeShade="A6"/>
              <w:bottom w:val="single" w:sz="4" w:space="0" w:color="A6A6A6" w:themeColor="background1" w:themeShade="A6"/>
            </w:tcBorders>
          </w:tcPr>
          <w:p w14:paraId="163CF0C0" w14:textId="77777777" w:rsidR="006A1E3A" w:rsidRPr="006A1E3A" w:rsidRDefault="006A1E3A" w:rsidP="006A1E3A">
            <w:pPr>
              <w:pStyle w:val="TableText"/>
              <w:jc w:val="center"/>
            </w:pPr>
            <w:r w:rsidRPr="006A1E3A">
              <w:t>0</w:t>
            </w:r>
          </w:p>
        </w:tc>
      </w:tr>
      <w:tr w:rsidR="006A1E3A" w14:paraId="7AE74317" w14:textId="77777777" w:rsidTr="006A1E3A">
        <w:trPr>
          <w:cantSplit/>
        </w:trPr>
        <w:tc>
          <w:tcPr>
            <w:tcW w:w="1985" w:type="dxa"/>
            <w:tcBorders>
              <w:top w:val="single" w:sz="4" w:space="0" w:color="A6A6A6" w:themeColor="background1" w:themeShade="A6"/>
              <w:bottom w:val="single" w:sz="4" w:space="0" w:color="A6A6A6" w:themeColor="background1" w:themeShade="A6"/>
            </w:tcBorders>
          </w:tcPr>
          <w:p w14:paraId="252D5BD9" w14:textId="77777777" w:rsidR="006A1E3A" w:rsidRPr="006A1E3A" w:rsidRDefault="006A1E3A" w:rsidP="006A1E3A">
            <w:pPr>
              <w:pStyle w:val="TableText"/>
            </w:pPr>
            <w:r w:rsidRPr="006A1E3A">
              <w:t xml:space="preserve">Counties </w:t>
            </w:r>
            <w:proofErr w:type="spellStart"/>
            <w:r w:rsidRPr="006A1E3A">
              <w:t>Manukau</w:t>
            </w:r>
            <w:proofErr w:type="spellEnd"/>
          </w:p>
        </w:tc>
        <w:tc>
          <w:tcPr>
            <w:tcW w:w="2031" w:type="dxa"/>
            <w:tcBorders>
              <w:top w:val="single" w:sz="4" w:space="0" w:color="A6A6A6" w:themeColor="background1" w:themeShade="A6"/>
              <w:bottom w:val="single" w:sz="4" w:space="0" w:color="A6A6A6" w:themeColor="background1" w:themeShade="A6"/>
            </w:tcBorders>
          </w:tcPr>
          <w:p w14:paraId="58294B5A" w14:textId="77777777" w:rsidR="006A1E3A" w:rsidRPr="006A1E3A" w:rsidRDefault="006A1E3A" w:rsidP="006A1E3A">
            <w:pPr>
              <w:pStyle w:val="TableText"/>
              <w:tabs>
                <w:tab w:val="decimal" w:pos="1139"/>
              </w:tabs>
            </w:pPr>
            <w:r w:rsidRPr="006A1E3A">
              <w:t>8</w:t>
            </w:r>
          </w:p>
        </w:tc>
        <w:tc>
          <w:tcPr>
            <w:tcW w:w="2032" w:type="dxa"/>
            <w:tcBorders>
              <w:top w:val="single" w:sz="4" w:space="0" w:color="A6A6A6" w:themeColor="background1" w:themeShade="A6"/>
              <w:bottom w:val="single" w:sz="4" w:space="0" w:color="A6A6A6" w:themeColor="background1" w:themeShade="A6"/>
            </w:tcBorders>
          </w:tcPr>
          <w:p w14:paraId="433CAC63" w14:textId="77777777" w:rsidR="006A1E3A" w:rsidRPr="006A1E3A" w:rsidRDefault="006A1E3A" w:rsidP="006A1E3A">
            <w:pPr>
              <w:pStyle w:val="TableText"/>
              <w:tabs>
                <w:tab w:val="decimal" w:pos="1172"/>
              </w:tabs>
            </w:pPr>
            <w:r w:rsidRPr="006A1E3A">
              <w:t>52</w:t>
            </w:r>
          </w:p>
        </w:tc>
        <w:tc>
          <w:tcPr>
            <w:tcW w:w="2032" w:type="dxa"/>
            <w:tcBorders>
              <w:top w:val="single" w:sz="4" w:space="0" w:color="A6A6A6" w:themeColor="background1" w:themeShade="A6"/>
              <w:bottom w:val="single" w:sz="4" w:space="0" w:color="A6A6A6" w:themeColor="background1" w:themeShade="A6"/>
            </w:tcBorders>
          </w:tcPr>
          <w:p w14:paraId="09AE3300" w14:textId="77777777" w:rsidR="006A1E3A" w:rsidRPr="006A1E3A" w:rsidRDefault="006A1E3A" w:rsidP="006A1E3A">
            <w:pPr>
              <w:pStyle w:val="TableText"/>
              <w:jc w:val="center"/>
            </w:pPr>
            <w:r w:rsidRPr="006A1E3A">
              <w:t>0</w:t>
            </w:r>
          </w:p>
        </w:tc>
      </w:tr>
      <w:tr w:rsidR="006A1E3A" w14:paraId="36870E65" w14:textId="77777777" w:rsidTr="006A1E3A">
        <w:trPr>
          <w:cantSplit/>
        </w:trPr>
        <w:tc>
          <w:tcPr>
            <w:tcW w:w="1985" w:type="dxa"/>
            <w:tcBorders>
              <w:top w:val="single" w:sz="4" w:space="0" w:color="A6A6A6" w:themeColor="background1" w:themeShade="A6"/>
              <w:bottom w:val="single" w:sz="4" w:space="0" w:color="A6A6A6" w:themeColor="background1" w:themeShade="A6"/>
            </w:tcBorders>
          </w:tcPr>
          <w:p w14:paraId="1505BD1F" w14:textId="77777777" w:rsidR="006A1E3A" w:rsidRPr="006A1E3A" w:rsidRDefault="006A1E3A" w:rsidP="006A1E3A">
            <w:pPr>
              <w:pStyle w:val="TableText"/>
            </w:pPr>
            <w:r w:rsidRPr="006A1E3A">
              <w:t>Hawke’s Bay</w:t>
            </w:r>
          </w:p>
        </w:tc>
        <w:tc>
          <w:tcPr>
            <w:tcW w:w="2031" w:type="dxa"/>
            <w:tcBorders>
              <w:top w:val="single" w:sz="4" w:space="0" w:color="A6A6A6" w:themeColor="background1" w:themeShade="A6"/>
              <w:bottom w:val="single" w:sz="4" w:space="0" w:color="A6A6A6" w:themeColor="background1" w:themeShade="A6"/>
            </w:tcBorders>
          </w:tcPr>
          <w:p w14:paraId="18351A2B" w14:textId="77777777" w:rsidR="006A1E3A" w:rsidRPr="006A1E3A" w:rsidRDefault="006A1E3A" w:rsidP="006A1E3A">
            <w:pPr>
              <w:pStyle w:val="TableText"/>
              <w:tabs>
                <w:tab w:val="decimal" w:pos="1139"/>
              </w:tabs>
            </w:pPr>
            <w:r w:rsidRPr="006A1E3A">
              <w:t>0</w:t>
            </w:r>
          </w:p>
        </w:tc>
        <w:tc>
          <w:tcPr>
            <w:tcW w:w="2032" w:type="dxa"/>
            <w:tcBorders>
              <w:top w:val="single" w:sz="4" w:space="0" w:color="A6A6A6" w:themeColor="background1" w:themeShade="A6"/>
              <w:bottom w:val="single" w:sz="4" w:space="0" w:color="A6A6A6" w:themeColor="background1" w:themeShade="A6"/>
            </w:tcBorders>
          </w:tcPr>
          <w:p w14:paraId="4839972C" w14:textId="77777777" w:rsidR="006A1E3A" w:rsidRPr="006A1E3A" w:rsidRDefault="006A1E3A" w:rsidP="006A1E3A">
            <w:pPr>
              <w:pStyle w:val="TableText"/>
              <w:tabs>
                <w:tab w:val="decimal" w:pos="1172"/>
              </w:tabs>
            </w:pPr>
            <w:r w:rsidRPr="006A1E3A">
              <w:t>0</w:t>
            </w:r>
          </w:p>
        </w:tc>
        <w:tc>
          <w:tcPr>
            <w:tcW w:w="2032" w:type="dxa"/>
            <w:tcBorders>
              <w:top w:val="single" w:sz="4" w:space="0" w:color="A6A6A6" w:themeColor="background1" w:themeShade="A6"/>
              <w:bottom w:val="single" w:sz="4" w:space="0" w:color="A6A6A6" w:themeColor="background1" w:themeShade="A6"/>
            </w:tcBorders>
          </w:tcPr>
          <w:p w14:paraId="64694B9F" w14:textId="77777777" w:rsidR="006A1E3A" w:rsidRPr="006A1E3A" w:rsidRDefault="006A1E3A" w:rsidP="006A1E3A">
            <w:pPr>
              <w:pStyle w:val="TableText"/>
              <w:jc w:val="center"/>
            </w:pPr>
            <w:r w:rsidRPr="006A1E3A">
              <w:t>0</w:t>
            </w:r>
          </w:p>
        </w:tc>
      </w:tr>
      <w:tr w:rsidR="006A1E3A" w14:paraId="64D9F661" w14:textId="77777777" w:rsidTr="006A1E3A">
        <w:trPr>
          <w:cantSplit/>
        </w:trPr>
        <w:tc>
          <w:tcPr>
            <w:tcW w:w="1985" w:type="dxa"/>
            <w:tcBorders>
              <w:top w:val="single" w:sz="4" w:space="0" w:color="A6A6A6" w:themeColor="background1" w:themeShade="A6"/>
              <w:bottom w:val="single" w:sz="4" w:space="0" w:color="A6A6A6" w:themeColor="background1" w:themeShade="A6"/>
            </w:tcBorders>
          </w:tcPr>
          <w:p w14:paraId="7640074A" w14:textId="77777777" w:rsidR="006A1E3A" w:rsidRPr="006A1E3A" w:rsidRDefault="006A1E3A" w:rsidP="006A1E3A">
            <w:pPr>
              <w:pStyle w:val="TableText"/>
            </w:pPr>
            <w:r w:rsidRPr="006A1E3A">
              <w:t>Hutt Valley</w:t>
            </w:r>
          </w:p>
        </w:tc>
        <w:tc>
          <w:tcPr>
            <w:tcW w:w="2031" w:type="dxa"/>
            <w:tcBorders>
              <w:top w:val="single" w:sz="4" w:space="0" w:color="A6A6A6" w:themeColor="background1" w:themeShade="A6"/>
              <w:bottom w:val="single" w:sz="4" w:space="0" w:color="A6A6A6" w:themeColor="background1" w:themeShade="A6"/>
            </w:tcBorders>
          </w:tcPr>
          <w:p w14:paraId="1164907B" w14:textId="77777777" w:rsidR="006A1E3A" w:rsidRPr="006A1E3A" w:rsidRDefault="006A1E3A" w:rsidP="006A1E3A">
            <w:pPr>
              <w:pStyle w:val="TableText"/>
              <w:tabs>
                <w:tab w:val="decimal" w:pos="1139"/>
              </w:tabs>
            </w:pPr>
            <w:r w:rsidRPr="006A1E3A">
              <w:t>4</w:t>
            </w:r>
          </w:p>
        </w:tc>
        <w:tc>
          <w:tcPr>
            <w:tcW w:w="2032" w:type="dxa"/>
            <w:tcBorders>
              <w:top w:val="single" w:sz="4" w:space="0" w:color="A6A6A6" w:themeColor="background1" w:themeShade="A6"/>
              <w:bottom w:val="single" w:sz="4" w:space="0" w:color="A6A6A6" w:themeColor="background1" w:themeShade="A6"/>
            </w:tcBorders>
          </w:tcPr>
          <w:p w14:paraId="5A07760E" w14:textId="77777777" w:rsidR="006A1E3A" w:rsidRPr="006A1E3A" w:rsidRDefault="006A1E3A" w:rsidP="006A1E3A">
            <w:pPr>
              <w:pStyle w:val="TableText"/>
              <w:tabs>
                <w:tab w:val="decimal" w:pos="1172"/>
              </w:tabs>
            </w:pPr>
            <w:r w:rsidRPr="006A1E3A">
              <w:t>24</w:t>
            </w:r>
          </w:p>
        </w:tc>
        <w:tc>
          <w:tcPr>
            <w:tcW w:w="2032" w:type="dxa"/>
            <w:tcBorders>
              <w:top w:val="single" w:sz="4" w:space="0" w:color="A6A6A6" w:themeColor="background1" w:themeShade="A6"/>
              <w:bottom w:val="single" w:sz="4" w:space="0" w:color="A6A6A6" w:themeColor="background1" w:themeShade="A6"/>
            </w:tcBorders>
          </w:tcPr>
          <w:p w14:paraId="6B48D9D7" w14:textId="77777777" w:rsidR="006A1E3A" w:rsidRPr="006A1E3A" w:rsidRDefault="006A1E3A" w:rsidP="006A1E3A">
            <w:pPr>
              <w:pStyle w:val="TableText"/>
              <w:jc w:val="center"/>
            </w:pPr>
            <w:r w:rsidRPr="006A1E3A">
              <w:t>3</w:t>
            </w:r>
          </w:p>
        </w:tc>
      </w:tr>
      <w:tr w:rsidR="006A1E3A" w14:paraId="74172923" w14:textId="77777777" w:rsidTr="006A1E3A">
        <w:trPr>
          <w:cantSplit/>
        </w:trPr>
        <w:tc>
          <w:tcPr>
            <w:tcW w:w="1985" w:type="dxa"/>
            <w:tcBorders>
              <w:top w:val="single" w:sz="4" w:space="0" w:color="A6A6A6" w:themeColor="background1" w:themeShade="A6"/>
              <w:bottom w:val="single" w:sz="4" w:space="0" w:color="A6A6A6" w:themeColor="background1" w:themeShade="A6"/>
            </w:tcBorders>
          </w:tcPr>
          <w:p w14:paraId="18CDC906" w14:textId="77777777" w:rsidR="006A1E3A" w:rsidRPr="006A1E3A" w:rsidRDefault="006A1E3A" w:rsidP="006A1E3A">
            <w:pPr>
              <w:pStyle w:val="TableText"/>
            </w:pPr>
            <w:r w:rsidRPr="006A1E3A">
              <w:t>Lakes</w:t>
            </w:r>
          </w:p>
        </w:tc>
        <w:tc>
          <w:tcPr>
            <w:tcW w:w="2031" w:type="dxa"/>
            <w:tcBorders>
              <w:top w:val="single" w:sz="4" w:space="0" w:color="A6A6A6" w:themeColor="background1" w:themeShade="A6"/>
              <w:bottom w:val="single" w:sz="4" w:space="0" w:color="A6A6A6" w:themeColor="background1" w:themeShade="A6"/>
            </w:tcBorders>
          </w:tcPr>
          <w:p w14:paraId="29A5A03B" w14:textId="77777777" w:rsidR="006A1E3A" w:rsidRPr="006A1E3A" w:rsidRDefault="006A1E3A" w:rsidP="006A1E3A">
            <w:pPr>
              <w:pStyle w:val="TableText"/>
              <w:tabs>
                <w:tab w:val="decimal" w:pos="1139"/>
              </w:tabs>
            </w:pPr>
            <w:r w:rsidRPr="006A1E3A">
              <w:t>0</w:t>
            </w:r>
          </w:p>
        </w:tc>
        <w:tc>
          <w:tcPr>
            <w:tcW w:w="2032" w:type="dxa"/>
            <w:tcBorders>
              <w:top w:val="single" w:sz="4" w:space="0" w:color="A6A6A6" w:themeColor="background1" w:themeShade="A6"/>
              <w:bottom w:val="single" w:sz="4" w:space="0" w:color="A6A6A6" w:themeColor="background1" w:themeShade="A6"/>
            </w:tcBorders>
          </w:tcPr>
          <w:p w14:paraId="5200C1FD" w14:textId="77777777" w:rsidR="006A1E3A" w:rsidRPr="006A1E3A" w:rsidRDefault="006A1E3A" w:rsidP="006A1E3A">
            <w:pPr>
              <w:pStyle w:val="TableText"/>
              <w:tabs>
                <w:tab w:val="decimal" w:pos="1172"/>
              </w:tabs>
            </w:pPr>
            <w:r w:rsidRPr="006A1E3A">
              <w:t>0</w:t>
            </w:r>
          </w:p>
        </w:tc>
        <w:tc>
          <w:tcPr>
            <w:tcW w:w="2032" w:type="dxa"/>
            <w:tcBorders>
              <w:top w:val="single" w:sz="4" w:space="0" w:color="A6A6A6" w:themeColor="background1" w:themeShade="A6"/>
              <w:bottom w:val="single" w:sz="4" w:space="0" w:color="A6A6A6" w:themeColor="background1" w:themeShade="A6"/>
            </w:tcBorders>
          </w:tcPr>
          <w:p w14:paraId="021ED67D" w14:textId="77777777" w:rsidR="006A1E3A" w:rsidRPr="006A1E3A" w:rsidRDefault="006A1E3A" w:rsidP="006A1E3A">
            <w:pPr>
              <w:pStyle w:val="TableText"/>
              <w:jc w:val="center"/>
            </w:pPr>
            <w:r w:rsidRPr="006A1E3A">
              <w:t>0</w:t>
            </w:r>
          </w:p>
        </w:tc>
      </w:tr>
      <w:tr w:rsidR="006A1E3A" w14:paraId="4E5003E2" w14:textId="77777777" w:rsidTr="006A1E3A">
        <w:trPr>
          <w:cantSplit/>
        </w:trPr>
        <w:tc>
          <w:tcPr>
            <w:tcW w:w="1985" w:type="dxa"/>
            <w:tcBorders>
              <w:top w:val="single" w:sz="4" w:space="0" w:color="A6A6A6" w:themeColor="background1" w:themeShade="A6"/>
              <w:bottom w:val="single" w:sz="4" w:space="0" w:color="A6A6A6" w:themeColor="background1" w:themeShade="A6"/>
            </w:tcBorders>
          </w:tcPr>
          <w:p w14:paraId="3792189B" w14:textId="77777777" w:rsidR="006A1E3A" w:rsidRPr="006A1E3A" w:rsidRDefault="006A1E3A" w:rsidP="006A1E3A">
            <w:pPr>
              <w:pStyle w:val="TableText"/>
            </w:pPr>
            <w:proofErr w:type="spellStart"/>
            <w:r w:rsidRPr="006A1E3A">
              <w:t>MidCentral</w:t>
            </w:r>
            <w:proofErr w:type="spellEnd"/>
          </w:p>
        </w:tc>
        <w:tc>
          <w:tcPr>
            <w:tcW w:w="2031" w:type="dxa"/>
            <w:tcBorders>
              <w:top w:val="single" w:sz="4" w:space="0" w:color="A6A6A6" w:themeColor="background1" w:themeShade="A6"/>
              <w:bottom w:val="single" w:sz="4" w:space="0" w:color="A6A6A6" w:themeColor="background1" w:themeShade="A6"/>
            </w:tcBorders>
          </w:tcPr>
          <w:p w14:paraId="7AC6CA7F" w14:textId="77777777" w:rsidR="006A1E3A" w:rsidRPr="006A1E3A" w:rsidRDefault="006A1E3A" w:rsidP="006A1E3A">
            <w:pPr>
              <w:pStyle w:val="TableText"/>
              <w:tabs>
                <w:tab w:val="decimal" w:pos="1139"/>
              </w:tabs>
            </w:pPr>
            <w:r w:rsidRPr="006A1E3A">
              <w:t>3</w:t>
            </w:r>
          </w:p>
        </w:tc>
        <w:tc>
          <w:tcPr>
            <w:tcW w:w="2032" w:type="dxa"/>
            <w:tcBorders>
              <w:top w:val="single" w:sz="4" w:space="0" w:color="A6A6A6" w:themeColor="background1" w:themeShade="A6"/>
              <w:bottom w:val="single" w:sz="4" w:space="0" w:color="A6A6A6" w:themeColor="background1" w:themeShade="A6"/>
            </w:tcBorders>
          </w:tcPr>
          <w:p w14:paraId="37536253" w14:textId="77777777" w:rsidR="006A1E3A" w:rsidRPr="006A1E3A" w:rsidRDefault="006A1E3A" w:rsidP="006A1E3A">
            <w:pPr>
              <w:pStyle w:val="TableText"/>
              <w:tabs>
                <w:tab w:val="decimal" w:pos="1172"/>
              </w:tabs>
            </w:pPr>
            <w:r w:rsidRPr="006A1E3A">
              <w:t>32</w:t>
            </w:r>
          </w:p>
        </w:tc>
        <w:tc>
          <w:tcPr>
            <w:tcW w:w="2032" w:type="dxa"/>
            <w:tcBorders>
              <w:top w:val="single" w:sz="4" w:space="0" w:color="A6A6A6" w:themeColor="background1" w:themeShade="A6"/>
              <w:bottom w:val="single" w:sz="4" w:space="0" w:color="A6A6A6" w:themeColor="background1" w:themeShade="A6"/>
            </w:tcBorders>
          </w:tcPr>
          <w:p w14:paraId="14EFCB1E" w14:textId="77777777" w:rsidR="006A1E3A" w:rsidRPr="006A1E3A" w:rsidRDefault="006A1E3A" w:rsidP="006A1E3A">
            <w:pPr>
              <w:pStyle w:val="TableText"/>
              <w:jc w:val="center"/>
            </w:pPr>
            <w:r w:rsidRPr="006A1E3A">
              <w:t>0</w:t>
            </w:r>
          </w:p>
        </w:tc>
      </w:tr>
      <w:tr w:rsidR="006A1E3A" w14:paraId="5C8B78C5" w14:textId="77777777" w:rsidTr="006A1E3A">
        <w:trPr>
          <w:cantSplit/>
        </w:trPr>
        <w:tc>
          <w:tcPr>
            <w:tcW w:w="1985" w:type="dxa"/>
            <w:tcBorders>
              <w:top w:val="single" w:sz="4" w:space="0" w:color="A6A6A6" w:themeColor="background1" w:themeShade="A6"/>
              <w:bottom w:val="single" w:sz="4" w:space="0" w:color="A6A6A6" w:themeColor="background1" w:themeShade="A6"/>
            </w:tcBorders>
          </w:tcPr>
          <w:p w14:paraId="6EB1C19A" w14:textId="77777777" w:rsidR="006A1E3A" w:rsidRPr="006A1E3A" w:rsidRDefault="006A1E3A" w:rsidP="006A1E3A">
            <w:pPr>
              <w:pStyle w:val="TableText"/>
            </w:pPr>
            <w:r w:rsidRPr="006A1E3A">
              <w:t>Nelson Marlborough</w:t>
            </w:r>
          </w:p>
        </w:tc>
        <w:tc>
          <w:tcPr>
            <w:tcW w:w="2031" w:type="dxa"/>
            <w:tcBorders>
              <w:top w:val="single" w:sz="4" w:space="0" w:color="A6A6A6" w:themeColor="background1" w:themeShade="A6"/>
              <w:bottom w:val="single" w:sz="4" w:space="0" w:color="A6A6A6" w:themeColor="background1" w:themeShade="A6"/>
            </w:tcBorders>
          </w:tcPr>
          <w:p w14:paraId="345D1C3E" w14:textId="77777777" w:rsidR="006A1E3A" w:rsidRPr="006A1E3A" w:rsidRDefault="006A1E3A" w:rsidP="006A1E3A">
            <w:pPr>
              <w:pStyle w:val="TableText"/>
              <w:tabs>
                <w:tab w:val="decimal" w:pos="1139"/>
              </w:tabs>
            </w:pPr>
            <w:r w:rsidRPr="006A1E3A">
              <w:t>0</w:t>
            </w:r>
          </w:p>
        </w:tc>
        <w:tc>
          <w:tcPr>
            <w:tcW w:w="2032" w:type="dxa"/>
            <w:tcBorders>
              <w:top w:val="single" w:sz="4" w:space="0" w:color="A6A6A6" w:themeColor="background1" w:themeShade="A6"/>
              <w:bottom w:val="single" w:sz="4" w:space="0" w:color="A6A6A6" w:themeColor="background1" w:themeShade="A6"/>
            </w:tcBorders>
          </w:tcPr>
          <w:p w14:paraId="7311548E" w14:textId="77777777" w:rsidR="006A1E3A" w:rsidRPr="006A1E3A" w:rsidRDefault="006A1E3A" w:rsidP="006A1E3A">
            <w:pPr>
              <w:pStyle w:val="TableText"/>
              <w:tabs>
                <w:tab w:val="decimal" w:pos="1172"/>
              </w:tabs>
            </w:pPr>
            <w:r w:rsidRPr="006A1E3A">
              <w:t>0</w:t>
            </w:r>
          </w:p>
        </w:tc>
        <w:tc>
          <w:tcPr>
            <w:tcW w:w="2032" w:type="dxa"/>
            <w:tcBorders>
              <w:top w:val="single" w:sz="4" w:space="0" w:color="A6A6A6" w:themeColor="background1" w:themeShade="A6"/>
              <w:bottom w:val="single" w:sz="4" w:space="0" w:color="A6A6A6" w:themeColor="background1" w:themeShade="A6"/>
            </w:tcBorders>
          </w:tcPr>
          <w:p w14:paraId="7AE5CA36" w14:textId="77777777" w:rsidR="006A1E3A" w:rsidRPr="006A1E3A" w:rsidRDefault="006A1E3A" w:rsidP="006A1E3A">
            <w:pPr>
              <w:pStyle w:val="TableText"/>
              <w:jc w:val="center"/>
            </w:pPr>
            <w:r w:rsidRPr="006A1E3A">
              <w:t>0</w:t>
            </w:r>
          </w:p>
        </w:tc>
      </w:tr>
      <w:tr w:rsidR="006A1E3A" w14:paraId="27BA02F8" w14:textId="77777777" w:rsidTr="006A1E3A">
        <w:trPr>
          <w:cantSplit/>
        </w:trPr>
        <w:tc>
          <w:tcPr>
            <w:tcW w:w="1985" w:type="dxa"/>
            <w:tcBorders>
              <w:top w:val="single" w:sz="4" w:space="0" w:color="A6A6A6" w:themeColor="background1" w:themeShade="A6"/>
              <w:bottom w:val="single" w:sz="4" w:space="0" w:color="A6A6A6" w:themeColor="background1" w:themeShade="A6"/>
            </w:tcBorders>
          </w:tcPr>
          <w:p w14:paraId="6DA500D8" w14:textId="77777777" w:rsidR="006A1E3A" w:rsidRPr="006A1E3A" w:rsidRDefault="006A1E3A" w:rsidP="006A1E3A">
            <w:pPr>
              <w:pStyle w:val="TableText"/>
            </w:pPr>
            <w:r w:rsidRPr="006A1E3A">
              <w:t>Northland</w:t>
            </w:r>
          </w:p>
        </w:tc>
        <w:tc>
          <w:tcPr>
            <w:tcW w:w="2031" w:type="dxa"/>
            <w:tcBorders>
              <w:top w:val="single" w:sz="4" w:space="0" w:color="A6A6A6" w:themeColor="background1" w:themeShade="A6"/>
              <w:bottom w:val="single" w:sz="4" w:space="0" w:color="A6A6A6" w:themeColor="background1" w:themeShade="A6"/>
            </w:tcBorders>
          </w:tcPr>
          <w:p w14:paraId="6E1E5228" w14:textId="77777777" w:rsidR="006A1E3A" w:rsidRPr="006A1E3A" w:rsidRDefault="006A1E3A" w:rsidP="006A1E3A">
            <w:pPr>
              <w:pStyle w:val="TableText"/>
              <w:tabs>
                <w:tab w:val="decimal" w:pos="1139"/>
              </w:tabs>
            </w:pPr>
            <w:r w:rsidRPr="006A1E3A">
              <w:t>7</w:t>
            </w:r>
          </w:p>
        </w:tc>
        <w:tc>
          <w:tcPr>
            <w:tcW w:w="2032" w:type="dxa"/>
            <w:tcBorders>
              <w:top w:val="single" w:sz="4" w:space="0" w:color="A6A6A6" w:themeColor="background1" w:themeShade="A6"/>
              <w:bottom w:val="single" w:sz="4" w:space="0" w:color="A6A6A6" w:themeColor="background1" w:themeShade="A6"/>
            </w:tcBorders>
          </w:tcPr>
          <w:p w14:paraId="1C42B3C2" w14:textId="77777777" w:rsidR="006A1E3A" w:rsidRPr="006A1E3A" w:rsidRDefault="006A1E3A" w:rsidP="006A1E3A">
            <w:pPr>
              <w:pStyle w:val="TableText"/>
              <w:tabs>
                <w:tab w:val="decimal" w:pos="1172"/>
              </w:tabs>
            </w:pPr>
            <w:r w:rsidRPr="006A1E3A">
              <w:t>68</w:t>
            </w:r>
          </w:p>
        </w:tc>
        <w:tc>
          <w:tcPr>
            <w:tcW w:w="2032" w:type="dxa"/>
            <w:tcBorders>
              <w:top w:val="single" w:sz="4" w:space="0" w:color="A6A6A6" w:themeColor="background1" w:themeShade="A6"/>
              <w:bottom w:val="single" w:sz="4" w:space="0" w:color="A6A6A6" w:themeColor="background1" w:themeShade="A6"/>
            </w:tcBorders>
          </w:tcPr>
          <w:p w14:paraId="45F6CA41" w14:textId="77777777" w:rsidR="006A1E3A" w:rsidRPr="006A1E3A" w:rsidRDefault="006A1E3A" w:rsidP="006A1E3A">
            <w:pPr>
              <w:pStyle w:val="TableText"/>
              <w:jc w:val="center"/>
            </w:pPr>
            <w:r w:rsidRPr="006A1E3A">
              <w:t>0</w:t>
            </w:r>
          </w:p>
        </w:tc>
      </w:tr>
      <w:tr w:rsidR="006A1E3A" w14:paraId="234C4684" w14:textId="77777777" w:rsidTr="006A1E3A">
        <w:trPr>
          <w:cantSplit/>
        </w:trPr>
        <w:tc>
          <w:tcPr>
            <w:tcW w:w="1985" w:type="dxa"/>
            <w:tcBorders>
              <w:top w:val="single" w:sz="4" w:space="0" w:color="A6A6A6" w:themeColor="background1" w:themeShade="A6"/>
              <w:bottom w:val="single" w:sz="4" w:space="0" w:color="A6A6A6" w:themeColor="background1" w:themeShade="A6"/>
            </w:tcBorders>
          </w:tcPr>
          <w:p w14:paraId="2610B864" w14:textId="77777777" w:rsidR="006A1E3A" w:rsidRPr="006A1E3A" w:rsidRDefault="006A1E3A" w:rsidP="006A1E3A">
            <w:pPr>
              <w:pStyle w:val="TableText"/>
            </w:pPr>
            <w:r w:rsidRPr="006A1E3A">
              <w:t>South Canterbury</w:t>
            </w:r>
          </w:p>
        </w:tc>
        <w:tc>
          <w:tcPr>
            <w:tcW w:w="2031" w:type="dxa"/>
            <w:tcBorders>
              <w:top w:val="single" w:sz="4" w:space="0" w:color="A6A6A6" w:themeColor="background1" w:themeShade="A6"/>
              <w:bottom w:val="single" w:sz="4" w:space="0" w:color="A6A6A6" w:themeColor="background1" w:themeShade="A6"/>
            </w:tcBorders>
          </w:tcPr>
          <w:p w14:paraId="6A7E9510" w14:textId="77777777" w:rsidR="006A1E3A" w:rsidRPr="006A1E3A" w:rsidRDefault="006A1E3A" w:rsidP="006A1E3A">
            <w:pPr>
              <w:pStyle w:val="TableText"/>
              <w:tabs>
                <w:tab w:val="decimal" w:pos="1139"/>
              </w:tabs>
            </w:pPr>
            <w:r w:rsidRPr="006A1E3A">
              <w:t>0</w:t>
            </w:r>
          </w:p>
        </w:tc>
        <w:tc>
          <w:tcPr>
            <w:tcW w:w="2032" w:type="dxa"/>
            <w:tcBorders>
              <w:top w:val="single" w:sz="4" w:space="0" w:color="A6A6A6" w:themeColor="background1" w:themeShade="A6"/>
              <w:bottom w:val="single" w:sz="4" w:space="0" w:color="A6A6A6" w:themeColor="background1" w:themeShade="A6"/>
            </w:tcBorders>
          </w:tcPr>
          <w:p w14:paraId="1529849F" w14:textId="77777777" w:rsidR="006A1E3A" w:rsidRPr="006A1E3A" w:rsidRDefault="006A1E3A" w:rsidP="006A1E3A">
            <w:pPr>
              <w:pStyle w:val="TableText"/>
              <w:tabs>
                <w:tab w:val="decimal" w:pos="1172"/>
              </w:tabs>
            </w:pPr>
            <w:r w:rsidRPr="006A1E3A">
              <w:t>0</w:t>
            </w:r>
          </w:p>
        </w:tc>
        <w:tc>
          <w:tcPr>
            <w:tcW w:w="2032" w:type="dxa"/>
            <w:tcBorders>
              <w:top w:val="single" w:sz="4" w:space="0" w:color="A6A6A6" w:themeColor="background1" w:themeShade="A6"/>
              <w:bottom w:val="single" w:sz="4" w:space="0" w:color="A6A6A6" w:themeColor="background1" w:themeShade="A6"/>
            </w:tcBorders>
          </w:tcPr>
          <w:p w14:paraId="74D17A43" w14:textId="77777777" w:rsidR="006A1E3A" w:rsidRPr="006A1E3A" w:rsidRDefault="006A1E3A" w:rsidP="006A1E3A">
            <w:pPr>
              <w:pStyle w:val="TableText"/>
              <w:jc w:val="center"/>
            </w:pPr>
            <w:r w:rsidRPr="006A1E3A">
              <w:t>0</w:t>
            </w:r>
          </w:p>
        </w:tc>
      </w:tr>
      <w:tr w:rsidR="006A1E3A" w14:paraId="31ADB691" w14:textId="77777777" w:rsidTr="006A1E3A">
        <w:trPr>
          <w:cantSplit/>
        </w:trPr>
        <w:tc>
          <w:tcPr>
            <w:tcW w:w="1985" w:type="dxa"/>
            <w:tcBorders>
              <w:top w:val="single" w:sz="4" w:space="0" w:color="A6A6A6" w:themeColor="background1" w:themeShade="A6"/>
              <w:bottom w:val="single" w:sz="4" w:space="0" w:color="A6A6A6" w:themeColor="background1" w:themeShade="A6"/>
            </w:tcBorders>
          </w:tcPr>
          <w:p w14:paraId="4039F844" w14:textId="77777777" w:rsidR="006A1E3A" w:rsidRPr="006A1E3A" w:rsidRDefault="006A1E3A" w:rsidP="006A1E3A">
            <w:pPr>
              <w:pStyle w:val="TableText"/>
            </w:pPr>
            <w:r w:rsidRPr="006A1E3A">
              <w:t>Southern</w:t>
            </w:r>
          </w:p>
        </w:tc>
        <w:tc>
          <w:tcPr>
            <w:tcW w:w="2031" w:type="dxa"/>
            <w:tcBorders>
              <w:top w:val="single" w:sz="4" w:space="0" w:color="A6A6A6" w:themeColor="background1" w:themeShade="A6"/>
              <w:bottom w:val="single" w:sz="4" w:space="0" w:color="A6A6A6" w:themeColor="background1" w:themeShade="A6"/>
            </w:tcBorders>
          </w:tcPr>
          <w:p w14:paraId="0AF61908" w14:textId="77777777" w:rsidR="006A1E3A" w:rsidRPr="006A1E3A" w:rsidRDefault="006A1E3A" w:rsidP="006A1E3A">
            <w:pPr>
              <w:pStyle w:val="TableText"/>
              <w:tabs>
                <w:tab w:val="decimal" w:pos="1139"/>
              </w:tabs>
            </w:pPr>
            <w:r w:rsidRPr="006A1E3A">
              <w:t>17</w:t>
            </w:r>
          </w:p>
        </w:tc>
        <w:tc>
          <w:tcPr>
            <w:tcW w:w="2032" w:type="dxa"/>
            <w:tcBorders>
              <w:top w:val="single" w:sz="4" w:space="0" w:color="A6A6A6" w:themeColor="background1" w:themeShade="A6"/>
              <w:bottom w:val="single" w:sz="4" w:space="0" w:color="A6A6A6" w:themeColor="background1" w:themeShade="A6"/>
            </w:tcBorders>
          </w:tcPr>
          <w:p w14:paraId="1E2AF098" w14:textId="77777777" w:rsidR="006A1E3A" w:rsidRPr="006A1E3A" w:rsidRDefault="006A1E3A" w:rsidP="006A1E3A">
            <w:pPr>
              <w:pStyle w:val="TableText"/>
              <w:tabs>
                <w:tab w:val="decimal" w:pos="1172"/>
              </w:tabs>
            </w:pPr>
            <w:r w:rsidRPr="006A1E3A">
              <w:t>234</w:t>
            </w:r>
          </w:p>
        </w:tc>
        <w:tc>
          <w:tcPr>
            <w:tcW w:w="2032" w:type="dxa"/>
            <w:tcBorders>
              <w:top w:val="single" w:sz="4" w:space="0" w:color="A6A6A6" w:themeColor="background1" w:themeShade="A6"/>
              <w:bottom w:val="single" w:sz="4" w:space="0" w:color="A6A6A6" w:themeColor="background1" w:themeShade="A6"/>
            </w:tcBorders>
          </w:tcPr>
          <w:p w14:paraId="705CC2E5" w14:textId="77777777" w:rsidR="006A1E3A" w:rsidRPr="006A1E3A" w:rsidRDefault="006A1E3A" w:rsidP="006A1E3A">
            <w:pPr>
              <w:pStyle w:val="TableText"/>
              <w:jc w:val="center"/>
            </w:pPr>
            <w:r w:rsidRPr="006A1E3A">
              <w:t>1</w:t>
            </w:r>
          </w:p>
        </w:tc>
      </w:tr>
      <w:tr w:rsidR="006A1E3A" w14:paraId="47D99CE3" w14:textId="77777777" w:rsidTr="006A1E3A">
        <w:trPr>
          <w:cantSplit/>
        </w:trPr>
        <w:tc>
          <w:tcPr>
            <w:tcW w:w="1985" w:type="dxa"/>
            <w:tcBorders>
              <w:top w:val="single" w:sz="4" w:space="0" w:color="A6A6A6" w:themeColor="background1" w:themeShade="A6"/>
              <w:bottom w:val="single" w:sz="4" w:space="0" w:color="A6A6A6" w:themeColor="background1" w:themeShade="A6"/>
            </w:tcBorders>
          </w:tcPr>
          <w:p w14:paraId="70419763" w14:textId="77777777" w:rsidR="006A1E3A" w:rsidRPr="006A1E3A" w:rsidRDefault="006A1E3A" w:rsidP="006A1E3A">
            <w:pPr>
              <w:pStyle w:val="TableText"/>
            </w:pPr>
            <w:proofErr w:type="spellStart"/>
            <w:r w:rsidRPr="006A1E3A">
              <w:t>Tairāwhiti</w:t>
            </w:r>
            <w:proofErr w:type="spellEnd"/>
          </w:p>
        </w:tc>
        <w:tc>
          <w:tcPr>
            <w:tcW w:w="2031" w:type="dxa"/>
            <w:tcBorders>
              <w:top w:val="single" w:sz="4" w:space="0" w:color="A6A6A6" w:themeColor="background1" w:themeShade="A6"/>
              <w:bottom w:val="single" w:sz="4" w:space="0" w:color="A6A6A6" w:themeColor="background1" w:themeShade="A6"/>
            </w:tcBorders>
          </w:tcPr>
          <w:p w14:paraId="1F59B271" w14:textId="77777777" w:rsidR="006A1E3A" w:rsidRPr="006A1E3A" w:rsidRDefault="006A1E3A" w:rsidP="006A1E3A">
            <w:pPr>
              <w:pStyle w:val="TableText"/>
              <w:tabs>
                <w:tab w:val="decimal" w:pos="1139"/>
              </w:tabs>
            </w:pPr>
            <w:r w:rsidRPr="006A1E3A">
              <w:t>0</w:t>
            </w:r>
          </w:p>
        </w:tc>
        <w:tc>
          <w:tcPr>
            <w:tcW w:w="2032" w:type="dxa"/>
            <w:tcBorders>
              <w:top w:val="single" w:sz="4" w:space="0" w:color="A6A6A6" w:themeColor="background1" w:themeShade="A6"/>
              <w:bottom w:val="single" w:sz="4" w:space="0" w:color="A6A6A6" w:themeColor="background1" w:themeShade="A6"/>
            </w:tcBorders>
          </w:tcPr>
          <w:p w14:paraId="4F1F6E18" w14:textId="77777777" w:rsidR="006A1E3A" w:rsidRPr="006A1E3A" w:rsidRDefault="006A1E3A" w:rsidP="006A1E3A">
            <w:pPr>
              <w:pStyle w:val="TableText"/>
              <w:tabs>
                <w:tab w:val="decimal" w:pos="1172"/>
              </w:tabs>
            </w:pPr>
            <w:r w:rsidRPr="006A1E3A">
              <w:t>0</w:t>
            </w:r>
          </w:p>
        </w:tc>
        <w:tc>
          <w:tcPr>
            <w:tcW w:w="2032" w:type="dxa"/>
            <w:tcBorders>
              <w:top w:val="single" w:sz="4" w:space="0" w:color="A6A6A6" w:themeColor="background1" w:themeShade="A6"/>
              <w:bottom w:val="single" w:sz="4" w:space="0" w:color="A6A6A6" w:themeColor="background1" w:themeShade="A6"/>
            </w:tcBorders>
          </w:tcPr>
          <w:p w14:paraId="03CF6EC8" w14:textId="77777777" w:rsidR="006A1E3A" w:rsidRPr="006A1E3A" w:rsidRDefault="006A1E3A" w:rsidP="006A1E3A">
            <w:pPr>
              <w:pStyle w:val="TableText"/>
              <w:jc w:val="center"/>
            </w:pPr>
            <w:r w:rsidRPr="006A1E3A">
              <w:t>0</w:t>
            </w:r>
          </w:p>
        </w:tc>
      </w:tr>
      <w:tr w:rsidR="006A1E3A" w14:paraId="41803354" w14:textId="77777777" w:rsidTr="006A1E3A">
        <w:trPr>
          <w:cantSplit/>
        </w:trPr>
        <w:tc>
          <w:tcPr>
            <w:tcW w:w="1985" w:type="dxa"/>
            <w:tcBorders>
              <w:top w:val="single" w:sz="4" w:space="0" w:color="A6A6A6" w:themeColor="background1" w:themeShade="A6"/>
              <w:bottom w:val="single" w:sz="4" w:space="0" w:color="A6A6A6" w:themeColor="background1" w:themeShade="A6"/>
            </w:tcBorders>
          </w:tcPr>
          <w:p w14:paraId="02648D15" w14:textId="77777777" w:rsidR="006A1E3A" w:rsidRPr="006A1E3A" w:rsidRDefault="006A1E3A" w:rsidP="006A1E3A">
            <w:pPr>
              <w:pStyle w:val="TableText"/>
            </w:pPr>
            <w:r w:rsidRPr="006A1E3A">
              <w:t>Taranaki</w:t>
            </w:r>
          </w:p>
        </w:tc>
        <w:tc>
          <w:tcPr>
            <w:tcW w:w="2031" w:type="dxa"/>
            <w:tcBorders>
              <w:top w:val="single" w:sz="4" w:space="0" w:color="A6A6A6" w:themeColor="background1" w:themeShade="A6"/>
              <w:bottom w:val="single" w:sz="4" w:space="0" w:color="A6A6A6" w:themeColor="background1" w:themeShade="A6"/>
            </w:tcBorders>
          </w:tcPr>
          <w:p w14:paraId="6684FF38" w14:textId="77777777" w:rsidR="006A1E3A" w:rsidRPr="006A1E3A" w:rsidRDefault="006A1E3A" w:rsidP="006A1E3A">
            <w:pPr>
              <w:pStyle w:val="TableText"/>
              <w:tabs>
                <w:tab w:val="decimal" w:pos="1139"/>
              </w:tabs>
            </w:pPr>
            <w:r w:rsidRPr="006A1E3A">
              <w:t>0</w:t>
            </w:r>
          </w:p>
        </w:tc>
        <w:tc>
          <w:tcPr>
            <w:tcW w:w="2032" w:type="dxa"/>
            <w:tcBorders>
              <w:top w:val="single" w:sz="4" w:space="0" w:color="A6A6A6" w:themeColor="background1" w:themeShade="A6"/>
              <w:bottom w:val="single" w:sz="4" w:space="0" w:color="A6A6A6" w:themeColor="background1" w:themeShade="A6"/>
            </w:tcBorders>
          </w:tcPr>
          <w:p w14:paraId="17400813" w14:textId="77777777" w:rsidR="006A1E3A" w:rsidRPr="006A1E3A" w:rsidRDefault="006A1E3A" w:rsidP="006A1E3A">
            <w:pPr>
              <w:pStyle w:val="TableText"/>
              <w:tabs>
                <w:tab w:val="decimal" w:pos="1172"/>
              </w:tabs>
            </w:pPr>
            <w:r w:rsidRPr="006A1E3A">
              <w:t>0</w:t>
            </w:r>
          </w:p>
        </w:tc>
        <w:tc>
          <w:tcPr>
            <w:tcW w:w="2032" w:type="dxa"/>
            <w:tcBorders>
              <w:top w:val="single" w:sz="4" w:space="0" w:color="A6A6A6" w:themeColor="background1" w:themeShade="A6"/>
              <w:bottom w:val="single" w:sz="4" w:space="0" w:color="A6A6A6" w:themeColor="background1" w:themeShade="A6"/>
            </w:tcBorders>
          </w:tcPr>
          <w:p w14:paraId="0E828DA2" w14:textId="77777777" w:rsidR="006A1E3A" w:rsidRPr="006A1E3A" w:rsidRDefault="006A1E3A" w:rsidP="006A1E3A">
            <w:pPr>
              <w:pStyle w:val="TableText"/>
              <w:jc w:val="center"/>
            </w:pPr>
            <w:r w:rsidRPr="006A1E3A">
              <w:t>0</w:t>
            </w:r>
          </w:p>
        </w:tc>
      </w:tr>
      <w:tr w:rsidR="006A1E3A" w14:paraId="4C1B93A9" w14:textId="77777777" w:rsidTr="006A1E3A">
        <w:trPr>
          <w:cantSplit/>
        </w:trPr>
        <w:tc>
          <w:tcPr>
            <w:tcW w:w="1985" w:type="dxa"/>
            <w:tcBorders>
              <w:top w:val="single" w:sz="4" w:space="0" w:color="A6A6A6" w:themeColor="background1" w:themeShade="A6"/>
              <w:bottom w:val="single" w:sz="4" w:space="0" w:color="A6A6A6" w:themeColor="background1" w:themeShade="A6"/>
            </w:tcBorders>
          </w:tcPr>
          <w:p w14:paraId="6E3DEF2F" w14:textId="77777777" w:rsidR="006A1E3A" w:rsidRPr="006A1E3A" w:rsidRDefault="006A1E3A" w:rsidP="006A1E3A">
            <w:pPr>
              <w:pStyle w:val="TableText"/>
            </w:pPr>
            <w:r w:rsidRPr="006A1E3A">
              <w:t>Waikato</w:t>
            </w:r>
          </w:p>
        </w:tc>
        <w:tc>
          <w:tcPr>
            <w:tcW w:w="2031" w:type="dxa"/>
            <w:tcBorders>
              <w:top w:val="single" w:sz="4" w:space="0" w:color="A6A6A6" w:themeColor="background1" w:themeShade="A6"/>
              <w:bottom w:val="single" w:sz="4" w:space="0" w:color="A6A6A6" w:themeColor="background1" w:themeShade="A6"/>
            </w:tcBorders>
          </w:tcPr>
          <w:p w14:paraId="590DDDD3" w14:textId="77777777" w:rsidR="006A1E3A" w:rsidRPr="006A1E3A" w:rsidRDefault="006A1E3A" w:rsidP="006A1E3A">
            <w:pPr>
              <w:pStyle w:val="TableText"/>
              <w:tabs>
                <w:tab w:val="decimal" w:pos="1139"/>
              </w:tabs>
            </w:pPr>
            <w:r w:rsidRPr="006A1E3A">
              <w:t>14</w:t>
            </w:r>
          </w:p>
        </w:tc>
        <w:tc>
          <w:tcPr>
            <w:tcW w:w="2032" w:type="dxa"/>
            <w:tcBorders>
              <w:top w:val="single" w:sz="4" w:space="0" w:color="A6A6A6" w:themeColor="background1" w:themeShade="A6"/>
              <w:bottom w:val="single" w:sz="4" w:space="0" w:color="A6A6A6" w:themeColor="background1" w:themeShade="A6"/>
            </w:tcBorders>
          </w:tcPr>
          <w:p w14:paraId="0403DC52" w14:textId="77777777" w:rsidR="006A1E3A" w:rsidRPr="006A1E3A" w:rsidRDefault="006A1E3A" w:rsidP="006A1E3A">
            <w:pPr>
              <w:pStyle w:val="TableText"/>
              <w:tabs>
                <w:tab w:val="decimal" w:pos="1172"/>
              </w:tabs>
            </w:pPr>
            <w:r w:rsidRPr="006A1E3A">
              <w:t>173</w:t>
            </w:r>
          </w:p>
        </w:tc>
        <w:tc>
          <w:tcPr>
            <w:tcW w:w="2032" w:type="dxa"/>
            <w:tcBorders>
              <w:top w:val="single" w:sz="4" w:space="0" w:color="A6A6A6" w:themeColor="background1" w:themeShade="A6"/>
              <w:bottom w:val="single" w:sz="4" w:space="0" w:color="A6A6A6" w:themeColor="background1" w:themeShade="A6"/>
            </w:tcBorders>
          </w:tcPr>
          <w:p w14:paraId="2327E226" w14:textId="77777777" w:rsidR="006A1E3A" w:rsidRPr="006A1E3A" w:rsidRDefault="006A1E3A" w:rsidP="006A1E3A">
            <w:pPr>
              <w:pStyle w:val="TableText"/>
              <w:jc w:val="center"/>
            </w:pPr>
            <w:r w:rsidRPr="006A1E3A">
              <w:t>0</w:t>
            </w:r>
          </w:p>
        </w:tc>
      </w:tr>
      <w:tr w:rsidR="006A1E3A" w14:paraId="3BE0C137" w14:textId="77777777" w:rsidTr="006A1E3A">
        <w:trPr>
          <w:cantSplit/>
        </w:trPr>
        <w:tc>
          <w:tcPr>
            <w:tcW w:w="1985" w:type="dxa"/>
            <w:tcBorders>
              <w:top w:val="single" w:sz="4" w:space="0" w:color="A6A6A6" w:themeColor="background1" w:themeShade="A6"/>
              <w:bottom w:val="single" w:sz="4" w:space="0" w:color="A6A6A6" w:themeColor="background1" w:themeShade="A6"/>
            </w:tcBorders>
          </w:tcPr>
          <w:p w14:paraId="58FC9BA6" w14:textId="77777777" w:rsidR="006A1E3A" w:rsidRPr="006A1E3A" w:rsidRDefault="006A1E3A" w:rsidP="006A1E3A">
            <w:pPr>
              <w:pStyle w:val="TableText"/>
            </w:pPr>
            <w:proofErr w:type="spellStart"/>
            <w:r w:rsidRPr="006A1E3A">
              <w:t>Wairarapa</w:t>
            </w:r>
            <w:proofErr w:type="spellEnd"/>
          </w:p>
        </w:tc>
        <w:tc>
          <w:tcPr>
            <w:tcW w:w="2031" w:type="dxa"/>
            <w:tcBorders>
              <w:top w:val="single" w:sz="4" w:space="0" w:color="A6A6A6" w:themeColor="background1" w:themeShade="A6"/>
              <w:bottom w:val="single" w:sz="4" w:space="0" w:color="A6A6A6" w:themeColor="background1" w:themeShade="A6"/>
            </w:tcBorders>
          </w:tcPr>
          <w:p w14:paraId="6DEC26AA" w14:textId="77777777" w:rsidR="006A1E3A" w:rsidRPr="006A1E3A" w:rsidRDefault="006A1E3A" w:rsidP="006A1E3A">
            <w:pPr>
              <w:pStyle w:val="TableText"/>
              <w:tabs>
                <w:tab w:val="decimal" w:pos="1139"/>
              </w:tabs>
            </w:pPr>
            <w:r w:rsidRPr="006A1E3A">
              <w:t>–</w:t>
            </w:r>
          </w:p>
        </w:tc>
        <w:tc>
          <w:tcPr>
            <w:tcW w:w="2032" w:type="dxa"/>
            <w:tcBorders>
              <w:top w:val="single" w:sz="4" w:space="0" w:color="A6A6A6" w:themeColor="background1" w:themeShade="A6"/>
              <w:bottom w:val="single" w:sz="4" w:space="0" w:color="A6A6A6" w:themeColor="background1" w:themeShade="A6"/>
            </w:tcBorders>
          </w:tcPr>
          <w:p w14:paraId="17942F29" w14:textId="77777777" w:rsidR="006A1E3A" w:rsidRPr="006A1E3A" w:rsidRDefault="006A1E3A" w:rsidP="006A1E3A">
            <w:pPr>
              <w:pStyle w:val="TableText"/>
              <w:tabs>
                <w:tab w:val="decimal" w:pos="1172"/>
              </w:tabs>
            </w:pPr>
            <w:r w:rsidRPr="006A1E3A">
              <w:t>–</w:t>
            </w:r>
          </w:p>
        </w:tc>
        <w:tc>
          <w:tcPr>
            <w:tcW w:w="2032" w:type="dxa"/>
            <w:tcBorders>
              <w:top w:val="single" w:sz="4" w:space="0" w:color="A6A6A6" w:themeColor="background1" w:themeShade="A6"/>
              <w:bottom w:val="single" w:sz="4" w:space="0" w:color="A6A6A6" w:themeColor="background1" w:themeShade="A6"/>
            </w:tcBorders>
          </w:tcPr>
          <w:p w14:paraId="2AE204D9" w14:textId="77777777" w:rsidR="006A1E3A" w:rsidRPr="006A1E3A" w:rsidRDefault="006A1E3A" w:rsidP="006A1E3A">
            <w:pPr>
              <w:pStyle w:val="TableText"/>
              <w:jc w:val="center"/>
            </w:pPr>
            <w:r w:rsidRPr="006A1E3A">
              <w:t>–</w:t>
            </w:r>
          </w:p>
        </w:tc>
      </w:tr>
      <w:tr w:rsidR="006A1E3A" w14:paraId="5F0A7480" w14:textId="77777777" w:rsidTr="006A1E3A">
        <w:trPr>
          <w:cantSplit/>
        </w:trPr>
        <w:tc>
          <w:tcPr>
            <w:tcW w:w="1985" w:type="dxa"/>
            <w:tcBorders>
              <w:top w:val="single" w:sz="4" w:space="0" w:color="A6A6A6" w:themeColor="background1" w:themeShade="A6"/>
              <w:bottom w:val="single" w:sz="4" w:space="0" w:color="A6A6A6" w:themeColor="background1" w:themeShade="A6"/>
            </w:tcBorders>
          </w:tcPr>
          <w:p w14:paraId="3861204A" w14:textId="77777777" w:rsidR="006A1E3A" w:rsidRPr="006A1E3A" w:rsidRDefault="006A1E3A" w:rsidP="006A1E3A">
            <w:pPr>
              <w:pStyle w:val="TableText"/>
            </w:pPr>
            <w:proofErr w:type="spellStart"/>
            <w:r w:rsidRPr="006A1E3A">
              <w:t>Waitemata</w:t>
            </w:r>
            <w:proofErr w:type="spellEnd"/>
          </w:p>
        </w:tc>
        <w:tc>
          <w:tcPr>
            <w:tcW w:w="2031" w:type="dxa"/>
            <w:tcBorders>
              <w:top w:val="single" w:sz="4" w:space="0" w:color="A6A6A6" w:themeColor="background1" w:themeShade="A6"/>
              <w:bottom w:val="single" w:sz="4" w:space="0" w:color="A6A6A6" w:themeColor="background1" w:themeShade="A6"/>
            </w:tcBorders>
          </w:tcPr>
          <w:p w14:paraId="01209166" w14:textId="77777777" w:rsidR="006A1E3A" w:rsidRPr="006A1E3A" w:rsidRDefault="006A1E3A" w:rsidP="006A1E3A">
            <w:pPr>
              <w:pStyle w:val="TableText"/>
              <w:tabs>
                <w:tab w:val="decimal" w:pos="1139"/>
              </w:tabs>
            </w:pPr>
            <w:r w:rsidRPr="006A1E3A">
              <w:t>10</w:t>
            </w:r>
          </w:p>
        </w:tc>
        <w:tc>
          <w:tcPr>
            <w:tcW w:w="2032" w:type="dxa"/>
            <w:tcBorders>
              <w:top w:val="single" w:sz="4" w:space="0" w:color="A6A6A6" w:themeColor="background1" w:themeShade="A6"/>
              <w:bottom w:val="single" w:sz="4" w:space="0" w:color="A6A6A6" w:themeColor="background1" w:themeShade="A6"/>
            </w:tcBorders>
          </w:tcPr>
          <w:p w14:paraId="5976B9B7" w14:textId="77777777" w:rsidR="006A1E3A" w:rsidRPr="006A1E3A" w:rsidRDefault="006A1E3A" w:rsidP="006A1E3A">
            <w:pPr>
              <w:pStyle w:val="TableText"/>
              <w:tabs>
                <w:tab w:val="decimal" w:pos="1172"/>
              </w:tabs>
            </w:pPr>
            <w:r w:rsidRPr="006A1E3A">
              <w:t>98</w:t>
            </w:r>
          </w:p>
        </w:tc>
        <w:tc>
          <w:tcPr>
            <w:tcW w:w="2032" w:type="dxa"/>
            <w:tcBorders>
              <w:top w:val="single" w:sz="4" w:space="0" w:color="A6A6A6" w:themeColor="background1" w:themeShade="A6"/>
              <w:bottom w:val="single" w:sz="4" w:space="0" w:color="A6A6A6" w:themeColor="background1" w:themeShade="A6"/>
            </w:tcBorders>
          </w:tcPr>
          <w:p w14:paraId="3ABF7C25" w14:textId="77777777" w:rsidR="006A1E3A" w:rsidRPr="006A1E3A" w:rsidRDefault="006A1E3A" w:rsidP="006A1E3A">
            <w:pPr>
              <w:pStyle w:val="TableText"/>
              <w:jc w:val="center"/>
            </w:pPr>
            <w:r w:rsidRPr="006A1E3A">
              <w:t>0</w:t>
            </w:r>
          </w:p>
        </w:tc>
      </w:tr>
      <w:tr w:rsidR="006A1E3A" w14:paraId="7554F1A3" w14:textId="77777777" w:rsidTr="006A1E3A">
        <w:trPr>
          <w:cantSplit/>
        </w:trPr>
        <w:tc>
          <w:tcPr>
            <w:tcW w:w="1985" w:type="dxa"/>
            <w:tcBorders>
              <w:top w:val="single" w:sz="4" w:space="0" w:color="A6A6A6" w:themeColor="background1" w:themeShade="A6"/>
              <w:bottom w:val="single" w:sz="4" w:space="0" w:color="A6A6A6" w:themeColor="background1" w:themeShade="A6"/>
            </w:tcBorders>
          </w:tcPr>
          <w:p w14:paraId="2F244345" w14:textId="77777777" w:rsidR="006A1E3A" w:rsidRPr="006A1E3A" w:rsidRDefault="006A1E3A" w:rsidP="006A1E3A">
            <w:pPr>
              <w:pStyle w:val="TableText"/>
            </w:pPr>
            <w:r w:rsidRPr="006A1E3A">
              <w:t>West Coast</w:t>
            </w:r>
          </w:p>
        </w:tc>
        <w:tc>
          <w:tcPr>
            <w:tcW w:w="2031" w:type="dxa"/>
            <w:tcBorders>
              <w:top w:val="single" w:sz="4" w:space="0" w:color="A6A6A6" w:themeColor="background1" w:themeShade="A6"/>
              <w:bottom w:val="single" w:sz="4" w:space="0" w:color="A6A6A6" w:themeColor="background1" w:themeShade="A6"/>
            </w:tcBorders>
          </w:tcPr>
          <w:p w14:paraId="1D356FB5" w14:textId="77777777" w:rsidR="006A1E3A" w:rsidRPr="006A1E3A" w:rsidRDefault="006A1E3A" w:rsidP="006A1E3A">
            <w:pPr>
              <w:pStyle w:val="TableText"/>
              <w:tabs>
                <w:tab w:val="decimal" w:pos="1139"/>
              </w:tabs>
            </w:pPr>
            <w:r w:rsidRPr="006A1E3A">
              <w:t>–</w:t>
            </w:r>
          </w:p>
        </w:tc>
        <w:tc>
          <w:tcPr>
            <w:tcW w:w="2032" w:type="dxa"/>
            <w:tcBorders>
              <w:top w:val="single" w:sz="4" w:space="0" w:color="A6A6A6" w:themeColor="background1" w:themeShade="A6"/>
              <w:bottom w:val="single" w:sz="4" w:space="0" w:color="A6A6A6" w:themeColor="background1" w:themeShade="A6"/>
            </w:tcBorders>
          </w:tcPr>
          <w:p w14:paraId="260B2ABA" w14:textId="77777777" w:rsidR="006A1E3A" w:rsidRPr="006A1E3A" w:rsidRDefault="006A1E3A" w:rsidP="006A1E3A">
            <w:pPr>
              <w:pStyle w:val="TableText"/>
              <w:tabs>
                <w:tab w:val="decimal" w:pos="1172"/>
              </w:tabs>
            </w:pPr>
            <w:r w:rsidRPr="006A1E3A">
              <w:t>–</w:t>
            </w:r>
          </w:p>
        </w:tc>
        <w:tc>
          <w:tcPr>
            <w:tcW w:w="2032" w:type="dxa"/>
            <w:tcBorders>
              <w:top w:val="single" w:sz="4" w:space="0" w:color="A6A6A6" w:themeColor="background1" w:themeShade="A6"/>
              <w:bottom w:val="single" w:sz="4" w:space="0" w:color="A6A6A6" w:themeColor="background1" w:themeShade="A6"/>
            </w:tcBorders>
          </w:tcPr>
          <w:p w14:paraId="1572EF59" w14:textId="77777777" w:rsidR="006A1E3A" w:rsidRPr="006A1E3A" w:rsidRDefault="006A1E3A" w:rsidP="006A1E3A">
            <w:pPr>
              <w:pStyle w:val="TableText"/>
              <w:jc w:val="center"/>
            </w:pPr>
            <w:r w:rsidRPr="006A1E3A">
              <w:t>–</w:t>
            </w:r>
          </w:p>
        </w:tc>
      </w:tr>
      <w:tr w:rsidR="006A1E3A" w14:paraId="11D30CA3" w14:textId="77777777" w:rsidTr="006A1E3A">
        <w:trPr>
          <w:cantSplit/>
        </w:trPr>
        <w:tc>
          <w:tcPr>
            <w:tcW w:w="1985" w:type="dxa"/>
            <w:tcBorders>
              <w:top w:val="single" w:sz="4" w:space="0" w:color="A6A6A6" w:themeColor="background1" w:themeShade="A6"/>
              <w:bottom w:val="single" w:sz="4" w:space="0" w:color="A6A6A6" w:themeColor="background1" w:themeShade="A6"/>
            </w:tcBorders>
          </w:tcPr>
          <w:p w14:paraId="56C6DEEB" w14:textId="77777777" w:rsidR="006A1E3A" w:rsidRPr="006A1E3A" w:rsidRDefault="006A1E3A" w:rsidP="006A1E3A">
            <w:pPr>
              <w:pStyle w:val="TableText"/>
            </w:pPr>
            <w:r w:rsidRPr="006A1E3A">
              <w:t>Whanganui</w:t>
            </w:r>
          </w:p>
        </w:tc>
        <w:tc>
          <w:tcPr>
            <w:tcW w:w="2031" w:type="dxa"/>
            <w:tcBorders>
              <w:top w:val="single" w:sz="4" w:space="0" w:color="A6A6A6" w:themeColor="background1" w:themeShade="A6"/>
              <w:bottom w:val="single" w:sz="4" w:space="0" w:color="A6A6A6" w:themeColor="background1" w:themeShade="A6"/>
            </w:tcBorders>
          </w:tcPr>
          <w:p w14:paraId="2662BC02" w14:textId="77777777" w:rsidR="006A1E3A" w:rsidRPr="006A1E3A" w:rsidRDefault="006A1E3A" w:rsidP="006A1E3A">
            <w:pPr>
              <w:pStyle w:val="TableText"/>
              <w:tabs>
                <w:tab w:val="decimal" w:pos="1139"/>
              </w:tabs>
            </w:pPr>
            <w:r w:rsidRPr="006A1E3A">
              <w:t>–</w:t>
            </w:r>
          </w:p>
        </w:tc>
        <w:tc>
          <w:tcPr>
            <w:tcW w:w="2032" w:type="dxa"/>
            <w:tcBorders>
              <w:top w:val="single" w:sz="4" w:space="0" w:color="A6A6A6" w:themeColor="background1" w:themeShade="A6"/>
              <w:bottom w:val="single" w:sz="4" w:space="0" w:color="A6A6A6" w:themeColor="background1" w:themeShade="A6"/>
            </w:tcBorders>
          </w:tcPr>
          <w:p w14:paraId="34D35C03" w14:textId="77777777" w:rsidR="006A1E3A" w:rsidRPr="006A1E3A" w:rsidRDefault="006A1E3A" w:rsidP="006A1E3A">
            <w:pPr>
              <w:pStyle w:val="TableText"/>
              <w:tabs>
                <w:tab w:val="decimal" w:pos="1172"/>
              </w:tabs>
            </w:pPr>
            <w:r w:rsidRPr="006A1E3A">
              <w:t>–</w:t>
            </w:r>
          </w:p>
        </w:tc>
        <w:tc>
          <w:tcPr>
            <w:tcW w:w="2032" w:type="dxa"/>
            <w:tcBorders>
              <w:top w:val="single" w:sz="4" w:space="0" w:color="A6A6A6" w:themeColor="background1" w:themeShade="A6"/>
              <w:bottom w:val="single" w:sz="4" w:space="0" w:color="A6A6A6" w:themeColor="background1" w:themeShade="A6"/>
            </w:tcBorders>
          </w:tcPr>
          <w:p w14:paraId="2B7DBD47" w14:textId="77777777" w:rsidR="006A1E3A" w:rsidRPr="006A1E3A" w:rsidRDefault="006A1E3A" w:rsidP="006A1E3A">
            <w:pPr>
              <w:pStyle w:val="TableText"/>
              <w:jc w:val="center"/>
            </w:pPr>
            <w:r w:rsidRPr="006A1E3A">
              <w:t>–</w:t>
            </w:r>
          </w:p>
        </w:tc>
      </w:tr>
      <w:tr w:rsidR="006A1E3A" w:rsidRPr="006A1E3A" w14:paraId="2FB50073" w14:textId="77777777" w:rsidTr="006A1E3A">
        <w:trPr>
          <w:cantSplit/>
        </w:trPr>
        <w:tc>
          <w:tcPr>
            <w:tcW w:w="1985" w:type="dxa"/>
            <w:tcBorders>
              <w:top w:val="single" w:sz="4" w:space="0" w:color="A6A6A6" w:themeColor="background1" w:themeShade="A6"/>
              <w:bottom w:val="single" w:sz="4" w:space="0" w:color="A6A6A6" w:themeColor="background1" w:themeShade="A6"/>
            </w:tcBorders>
          </w:tcPr>
          <w:p w14:paraId="68987366" w14:textId="77777777" w:rsidR="006A1E3A" w:rsidRPr="006A1E3A" w:rsidRDefault="006A1E3A" w:rsidP="006A1E3A">
            <w:pPr>
              <w:pStyle w:val="TableText"/>
              <w:rPr>
                <w:b/>
              </w:rPr>
            </w:pPr>
            <w:r w:rsidRPr="006A1E3A">
              <w:rPr>
                <w:b/>
              </w:rPr>
              <w:t>New Zealand</w:t>
            </w:r>
          </w:p>
        </w:tc>
        <w:tc>
          <w:tcPr>
            <w:tcW w:w="2031" w:type="dxa"/>
            <w:tcBorders>
              <w:top w:val="single" w:sz="4" w:space="0" w:color="A6A6A6" w:themeColor="background1" w:themeShade="A6"/>
              <w:bottom w:val="single" w:sz="4" w:space="0" w:color="A6A6A6" w:themeColor="background1" w:themeShade="A6"/>
            </w:tcBorders>
          </w:tcPr>
          <w:p w14:paraId="3B8FF402" w14:textId="77777777" w:rsidR="006A1E3A" w:rsidRPr="006A1E3A" w:rsidRDefault="006A1E3A" w:rsidP="006A1E3A">
            <w:pPr>
              <w:pStyle w:val="TableText"/>
              <w:tabs>
                <w:tab w:val="decimal" w:pos="1139"/>
              </w:tabs>
              <w:rPr>
                <w:b/>
              </w:rPr>
            </w:pPr>
            <w:r w:rsidRPr="006A1E3A">
              <w:rPr>
                <w:b/>
              </w:rPr>
              <w:t>106</w:t>
            </w:r>
          </w:p>
        </w:tc>
        <w:tc>
          <w:tcPr>
            <w:tcW w:w="2032" w:type="dxa"/>
            <w:tcBorders>
              <w:top w:val="single" w:sz="4" w:space="0" w:color="A6A6A6" w:themeColor="background1" w:themeShade="A6"/>
              <w:bottom w:val="single" w:sz="4" w:space="0" w:color="A6A6A6" w:themeColor="background1" w:themeShade="A6"/>
            </w:tcBorders>
          </w:tcPr>
          <w:p w14:paraId="1C90D668" w14:textId="77777777" w:rsidR="006A1E3A" w:rsidRPr="006A1E3A" w:rsidRDefault="006A1E3A" w:rsidP="006A1E3A">
            <w:pPr>
              <w:pStyle w:val="TableText"/>
              <w:tabs>
                <w:tab w:val="decimal" w:pos="1172"/>
              </w:tabs>
              <w:rPr>
                <w:b/>
              </w:rPr>
            </w:pPr>
            <w:r w:rsidRPr="006A1E3A">
              <w:rPr>
                <w:b/>
              </w:rPr>
              <w:t>1,137</w:t>
            </w:r>
          </w:p>
        </w:tc>
        <w:tc>
          <w:tcPr>
            <w:tcW w:w="2032" w:type="dxa"/>
            <w:tcBorders>
              <w:top w:val="single" w:sz="4" w:space="0" w:color="A6A6A6" w:themeColor="background1" w:themeShade="A6"/>
              <w:bottom w:val="single" w:sz="4" w:space="0" w:color="A6A6A6" w:themeColor="background1" w:themeShade="A6"/>
            </w:tcBorders>
          </w:tcPr>
          <w:p w14:paraId="7B7E19E9" w14:textId="77777777" w:rsidR="006A1E3A" w:rsidRPr="006A1E3A" w:rsidRDefault="006A1E3A" w:rsidP="006A1E3A">
            <w:pPr>
              <w:pStyle w:val="TableText"/>
              <w:jc w:val="center"/>
              <w:rPr>
                <w:b/>
              </w:rPr>
            </w:pPr>
            <w:r w:rsidRPr="006A1E3A">
              <w:rPr>
                <w:b/>
              </w:rPr>
              <w:t>6</w:t>
            </w:r>
          </w:p>
        </w:tc>
      </w:tr>
    </w:tbl>
    <w:p w14:paraId="316401A0" w14:textId="1843F39D" w:rsidR="00740DA6" w:rsidRPr="00EC5EF1" w:rsidRDefault="00740DA6" w:rsidP="006A1E3A">
      <w:pPr>
        <w:pStyle w:val="Note"/>
      </w:pPr>
      <w:r w:rsidRPr="00EC5EF1">
        <w:t>Notes: The data in this table cannot be reliably compared with the data in Table 17, as it relates to DHB of service rather than DHB of domicile.</w:t>
      </w:r>
    </w:p>
    <w:p w14:paraId="649F21E7" w14:textId="108CEF16" w:rsidR="00740DA6" w:rsidRPr="00EC5EF1" w:rsidRDefault="00740DA6" w:rsidP="00D61B93">
      <w:pPr>
        <w:pStyle w:val="Note"/>
      </w:pPr>
      <w:r w:rsidRPr="00EC5EF1">
        <w:t>A dash (–) indicates the DHB does not perform ECT. In this case, the DHB sends people to other DHBs for</w:t>
      </w:r>
      <w:r w:rsidR="00DE0BB2">
        <w:t xml:space="preserve"> </w:t>
      </w:r>
      <w:r w:rsidRPr="00EC5EF1">
        <w:t>treatment.</w:t>
      </w:r>
    </w:p>
    <w:p w14:paraId="47E47F66" w14:textId="073FBBCC" w:rsidR="00740DA6" w:rsidRPr="00EC5EF1" w:rsidRDefault="00740DA6" w:rsidP="00D61B93">
      <w:pPr>
        <w:pStyle w:val="Source"/>
      </w:pPr>
      <w:r w:rsidRPr="00EC5EF1">
        <w:t>Source: Manual data from DHBs (the Ministry of Health is currently unable to provide this data from PRIMHD)</w:t>
      </w:r>
    </w:p>
    <w:p w14:paraId="3A4ADF43" w14:textId="77777777" w:rsidR="00D61B93" w:rsidRPr="00EC5EF1" w:rsidRDefault="00D61B93" w:rsidP="00D61B93"/>
    <w:p w14:paraId="6CF0C51D" w14:textId="77777777" w:rsidR="00740DA6" w:rsidRPr="00EC5EF1" w:rsidRDefault="00740DA6" w:rsidP="00D61B93">
      <w:pPr>
        <w:pStyle w:val="Heading4"/>
      </w:pPr>
      <w:r w:rsidRPr="00EC5EF1">
        <w:lastRenderedPageBreak/>
        <w:t>Age and sex of patients treated with electroconvulsive therapy</w:t>
      </w:r>
    </w:p>
    <w:p w14:paraId="6BC6D880" w14:textId="4D97BC99" w:rsidR="00740DA6" w:rsidRPr="00EC5EF1" w:rsidRDefault="00740DA6" w:rsidP="00D61B93">
      <w:r w:rsidRPr="00EC5EF1">
        <w:t>Table 21 and Figure 42 present information on the age and sex of people treated with ECT in 2017. For this data, age group was determined by the individual’s age at the beginning of the reporting period. The majority of people (66 percent) treated with</w:t>
      </w:r>
      <w:r w:rsidR="00DE0BB2">
        <w:t xml:space="preserve"> </w:t>
      </w:r>
      <w:r w:rsidRPr="00EC5EF1">
        <w:t>ECT were over 50 years old in 2017.</w:t>
      </w:r>
    </w:p>
    <w:p w14:paraId="6563DE56" w14:textId="77777777" w:rsidR="00D61B93" w:rsidRDefault="00D61B93" w:rsidP="00D61B93"/>
    <w:p w14:paraId="466CA727" w14:textId="77777777" w:rsidR="00740DA6" w:rsidRPr="00EC5EF1" w:rsidRDefault="00740DA6" w:rsidP="00D61B93">
      <w:r w:rsidRPr="00EC5EF1">
        <w:t>In 2017, of the 265 people who received ECT treatment, 168 (almost 63 percent) were female and 97 (almost 37 percent) were male. The main reason for the sex difference is that more females present to mental health services with depressive disorders. This ratio is similar to that reported in other countries.</w:t>
      </w:r>
    </w:p>
    <w:p w14:paraId="5155585C" w14:textId="77777777" w:rsidR="00740DA6" w:rsidRPr="00EC5EF1" w:rsidRDefault="00740DA6" w:rsidP="00740DA6">
      <w:pPr>
        <w:spacing w:before="7"/>
        <w:rPr>
          <w:sz w:val="19"/>
        </w:rPr>
      </w:pPr>
    </w:p>
    <w:p w14:paraId="522BAF6A" w14:textId="33FFF0FA" w:rsidR="00740DA6" w:rsidRPr="00EC5EF1" w:rsidRDefault="00740DA6" w:rsidP="00475708">
      <w:pPr>
        <w:pStyle w:val="Table"/>
      </w:pPr>
      <w:bookmarkStart w:id="145" w:name="_Toc2845765"/>
      <w:r w:rsidRPr="00EC5EF1">
        <w:t>Table 21: Number of people treated with ECT, by age group and sex, 1 January to 31</w:t>
      </w:r>
      <w:r w:rsidR="00475708">
        <w:t> </w:t>
      </w:r>
      <w:r w:rsidRPr="00EC5EF1">
        <w:t>December 201</w:t>
      </w:r>
      <w:r w:rsidR="00E031E9">
        <w:t>7</w:t>
      </w:r>
      <w:bookmarkEnd w:id="145"/>
    </w:p>
    <w:tbl>
      <w:tblPr>
        <w:tblStyle w:val="TableGrid"/>
        <w:tblW w:w="5812" w:type="dxa"/>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843"/>
        <w:gridCol w:w="1323"/>
        <w:gridCol w:w="1323"/>
        <w:gridCol w:w="1323"/>
      </w:tblGrid>
      <w:tr w:rsidR="00D61B93" w:rsidRPr="00D61B93" w14:paraId="0953460B" w14:textId="77777777" w:rsidTr="008E4591">
        <w:trPr>
          <w:cantSplit/>
        </w:trPr>
        <w:tc>
          <w:tcPr>
            <w:tcW w:w="1843" w:type="dxa"/>
            <w:tcBorders>
              <w:top w:val="nil"/>
              <w:bottom w:val="nil"/>
            </w:tcBorders>
            <w:shd w:val="clear" w:color="auto" w:fill="D9D9D9" w:themeFill="background1" w:themeFillShade="D9"/>
          </w:tcPr>
          <w:p w14:paraId="08BFEBA2" w14:textId="77777777" w:rsidR="00D61B93" w:rsidRPr="00D61B93" w:rsidRDefault="00D61B93" w:rsidP="00D61B93">
            <w:pPr>
              <w:pStyle w:val="TableText"/>
              <w:rPr>
                <w:b/>
              </w:rPr>
            </w:pPr>
            <w:r w:rsidRPr="00D61B93">
              <w:rPr>
                <w:b/>
              </w:rPr>
              <w:t>Age group</w:t>
            </w:r>
          </w:p>
        </w:tc>
        <w:tc>
          <w:tcPr>
            <w:tcW w:w="1323" w:type="dxa"/>
            <w:tcBorders>
              <w:top w:val="nil"/>
              <w:bottom w:val="nil"/>
            </w:tcBorders>
            <w:shd w:val="clear" w:color="auto" w:fill="D9D9D9" w:themeFill="background1" w:themeFillShade="D9"/>
          </w:tcPr>
          <w:p w14:paraId="45BF6983" w14:textId="77777777" w:rsidR="00D61B93" w:rsidRPr="00D61B93" w:rsidRDefault="00D61B93" w:rsidP="008E4591">
            <w:pPr>
              <w:pStyle w:val="TableText"/>
              <w:jc w:val="center"/>
              <w:rPr>
                <w:b/>
              </w:rPr>
            </w:pPr>
            <w:r w:rsidRPr="00D61B93">
              <w:rPr>
                <w:b/>
              </w:rPr>
              <w:t>Female</w:t>
            </w:r>
          </w:p>
        </w:tc>
        <w:tc>
          <w:tcPr>
            <w:tcW w:w="1323" w:type="dxa"/>
            <w:tcBorders>
              <w:top w:val="nil"/>
              <w:bottom w:val="nil"/>
            </w:tcBorders>
            <w:shd w:val="clear" w:color="auto" w:fill="D9D9D9" w:themeFill="background1" w:themeFillShade="D9"/>
          </w:tcPr>
          <w:p w14:paraId="5B3FA140" w14:textId="77777777" w:rsidR="00D61B93" w:rsidRPr="00D61B93" w:rsidRDefault="00D61B93" w:rsidP="008E4591">
            <w:pPr>
              <w:pStyle w:val="TableText"/>
              <w:jc w:val="center"/>
              <w:rPr>
                <w:b/>
              </w:rPr>
            </w:pPr>
            <w:r w:rsidRPr="00D61B93">
              <w:rPr>
                <w:b/>
              </w:rPr>
              <w:t>Male</w:t>
            </w:r>
          </w:p>
        </w:tc>
        <w:tc>
          <w:tcPr>
            <w:tcW w:w="1323" w:type="dxa"/>
            <w:tcBorders>
              <w:top w:val="nil"/>
              <w:bottom w:val="nil"/>
            </w:tcBorders>
            <w:shd w:val="clear" w:color="auto" w:fill="D9D9D9" w:themeFill="background1" w:themeFillShade="D9"/>
          </w:tcPr>
          <w:p w14:paraId="331A0C36" w14:textId="77777777" w:rsidR="00D61B93" w:rsidRPr="00D61B93" w:rsidRDefault="00D61B93" w:rsidP="008E4591">
            <w:pPr>
              <w:pStyle w:val="TableText"/>
              <w:jc w:val="center"/>
              <w:rPr>
                <w:b/>
              </w:rPr>
            </w:pPr>
            <w:r w:rsidRPr="00D61B93">
              <w:rPr>
                <w:b/>
              </w:rPr>
              <w:t>Total</w:t>
            </w:r>
          </w:p>
        </w:tc>
      </w:tr>
      <w:tr w:rsidR="00D61B93" w:rsidRPr="00D61B93" w14:paraId="39F0B338" w14:textId="77777777" w:rsidTr="008E4591">
        <w:trPr>
          <w:cantSplit/>
        </w:trPr>
        <w:tc>
          <w:tcPr>
            <w:tcW w:w="1843" w:type="dxa"/>
            <w:tcBorders>
              <w:top w:val="nil"/>
            </w:tcBorders>
          </w:tcPr>
          <w:p w14:paraId="24A75962" w14:textId="1C51311D" w:rsidR="00D61B93" w:rsidRPr="00D61B93" w:rsidRDefault="00D61B93" w:rsidP="008E4591">
            <w:pPr>
              <w:pStyle w:val="TableText"/>
              <w:rPr>
                <w:u w:color="808285"/>
              </w:rPr>
            </w:pPr>
            <w:r w:rsidRPr="00D61B93">
              <w:rPr>
                <w:u w:color="808285"/>
              </w:rPr>
              <w:t>15–19</w:t>
            </w:r>
          </w:p>
        </w:tc>
        <w:tc>
          <w:tcPr>
            <w:tcW w:w="1323" w:type="dxa"/>
            <w:tcBorders>
              <w:top w:val="nil"/>
            </w:tcBorders>
          </w:tcPr>
          <w:p w14:paraId="431CC39E" w14:textId="77777777" w:rsidR="00D61B93" w:rsidRPr="00D61B93" w:rsidRDefault="00D61B93" w:rsidP="008E4591">
            <w:pPr>
              <w:pStyle w:val="TableText"/>
              <w:tabs>
                <w:tab w:val="decimal" w:pos="652"/>
              </w:tabs>
              <w:rPr>
                <w:u w:color="808285"/>
              </w:rPr>
            </w:pPr>
            <w:r w:rsidRPr="00D61B93">
              <w:rPr>
                <w:u w:color="808285"/>
              </w:rPr>
              <w:t>3</w:t>
            </w:r>
          </w:p>
        </w:tc>
        <w:tc>
          <w:tcPr>
            <w:tcW w:w="1323" w:type="dxa"/>
            <w:tcBorders>
              <w:top w:val="nil"/>
            </w:tcBorders>
          </w:tcPr>
          <w:p w14:paraId="41895506" w14:textId="77777777" w:rsidR="00D61B93" w:rsidRPr="00D61B93" w:rsidRDefault="00D61B93" w:rsidP="008E4591">
            <w:pPr>
              <w:pStyle w:val="TableText"/>
              <w:tabs>
                <w:tab w:val="decimal" w:pos="652"/>
              </w:tabs>
              <w:rPr>
                <w:u w:color="808285"/>
              </w:rPr>
            </w:pPr>
            <w:r w:rsidRPr="00D61B93">
              <w:rPr>
                <w:u w:color="808285"/>
              </w:rPr>
              <w:t>1</w:t>
            </w:r>
          </w:p>
        </w:tc>
        <w:tc>
          <w:tcPr>
            <w:tcW w:w="1323" w:type="dxa"/>
            <w:tcBorders>
              <w:top w:val="nil"/>
            </w:tcBorders>
          </w:tcPr>
          <w:p w14:paraId="4C8F8BBD" w14:textId="77777777" w:rsidR="00D61B93" w:rsidRPr="00D61B93" w:rsidRDefault="00D61B93" w:rsidP="008E4591">
            <w:pPr>
              <w:pStyle w:val="TableText"/>
              <w:tabs>
                <w:tab w:val="decimal" w:pos="652"/>
              </w:tabs>
              <w:rPr>
                <w:u w:color="808285"/>
              </w:rPr>
            </w:pPr>
            <w:r w:rsidRPr="00D61B93">
              <w:rPr>
                <w:u w:color="808285"/>
              </w:rPr>
              <w:t>4</w:t>
            </w:r>
          </w:p>
        </w:tc>
      </w:tr>
      <w:tr w:rsidR="00D61B93" w:rsidRPr="00D61B93" w14:paraId="7141A5DE" w14:textId="77777777" w:rsidTr="008E4591">
        <w:trPr>
          <w:cantSplit/>
        </w:trPr>
        <w:tc>
          <w:tcPr>
            <w:tcW w:w="1843" w:type="dxa"/>
          </w:tcPr>
          <w:p w14:paraId="621831D9" w14:textId="71D5F615" w:rsidR="00D61B93" w:rsidRPr="00D61B93" w:rsidRDefault="00D61B93" w:rsidP="008E4591">
            <w:pPr>
              <w:pStyle w:val="TableText"/>
              <w:rPr>
                <w:u w:color="808285"/>
              </w:rPr>
            </w:pPr>
            <w:r w:rsidRPr="00D61B93">
              <w:rPr>
                <w:u w:color="808285"/>
              </w:rPr>
              <w:t>20–24</w:t>
            </w:r>
          </w:p>
        </w:tc>
        <w:tc>
          <w:tcPr>
            <w:tcW w:w="1323" w:type="dxa"/>
          </w:tcPr>
          <w:p w14:paraId="553D4F1C" w14:textId="77777777" w:rsidR="00D61B93" w:rsidRPr="00D61B93" w:rsidRDefault="00D61B93" w:rsidP="008E4591">
            <w:pPr>
              <w:pStyle w:val="TableText"/>
              <w:tabs>
                <w:tab w:val="decimal" w:pos="652"/>
              </w:tabs>
              <w:rPr>
                <w:u w:color="808285"/>
              </w:rPr>
            </w:pPr>
            <w:r w:rsidRPr="00D61B93">
              <w:rPr>
                <w:u w:color="808285"/>
              </w:rPr>
              <w:t>5</w:t>
            </w:r>
          </w:p>
        </w:tc>
        <w:tc>
          <w:tcPr>
            <w:tcW w:w="1323" w:type="dxa"/>
          </w:tcPr>
          <w:p w14:paraId="2C10D9FD" w14:textId="77777777" w:rsidR="00D61B93" w:rsidRPr="00D61B93" w:rsidRDefault="00D61B93" w:rsidP="008E4591">
            <w:pPr>
              <w:pStyle w:val="TableText"/>
              <w:tabs>
                <w:tab w:val="decimal" w:pos="652"/>
              </w:tabs>
              <w:rPr>
                <w:u w:color="808285"/>
              </w:rPr>
            </w:pPr>
            <w:r w:rsidRPr="00D61B93">
              <w:rPr>
                <w:u w:color="808285"/>
              </w:rPr>
              <w:t>8</w:t>
            </w:r>
          </w:p>
        </w:tc>
        <w:tc>
          <w:tcPr>
            <w:tcW w:w="1323" w:type="dxa"/>
          </w:tcPr>
          <w:p w14:paraId="1D877935" w14:textId="77777777" w:rsidR="00D61B93" w:rsidRPr="00D61B93" w:rsidRDefault="00D61B93" w:rsidP="008E4591">
            <w:pPr>
              <w:pStyle w:val="TableText"/>
              <w:tabs>
                <w:tab w:val="decimal" w:pos="652"/>
              </w:tabs>
              <w:rPr>
                <w:u w:color="808285"/>
              </w:rPr>
            </w:pPr>
            <w:r w:rsidRPr="00D61B93">
              <w:rPr>
                <w:u w:color="808285"/>
              </w:rPr>
              <w:t>13</w:t>
            </w:r>
          </w:p>
        </w:tc>
      </w:tr>
      <w:tr w:rsidR="00D61B93" w:rsidRPr="00D61B93" w14:paraId="1B135BDD" w14:textId="77777777" w:rsidTr="008E4591">
        <w:trPr>
          <w:cantSplit/>
        </w:trPr>
        <w:tc>
          <w:tcPr>
            <w:tcW w:w="1843" w:type="dxa"/>
          </w:tcPr>
          <w:p w14:paraId="7E8517A7" w14:textId="384E6796" w:rsidR="00D61B93" w:rsidRPr="00D61B93" w:rsidRDefault="00D61B93" w:rsidP="008E4591">
            <w:pPr>
              <w:pStyle w:val="TableText"/>
              <w:rPr>
                <w:u w:color="808285"/>
              </w:rPr>
            </w:pPr>
            <w:r w:rsidRPr="00D61B93">
              <w:rPr>
                <w:u w:color="808285"/>
              </w:rPr>
              <w:t>25–29</w:t>
            </w:r>
          </w:p>
        </w:tc>
        <w:tc>
          <w:tcPr>
            <w:tcW w:w="1323" w:type="dxa"/>
          </w:tcPr>
          <w:p w14:paraId="52E951FC" w14:textId="77777777" w:rsidR="00D61B93" w:rsidRPr="00D61B93" w:rsidRDefault="00D61B93" w:rsidP="008E4591">
            <w:pPr>
              <w:pStyle w:val="TableText"/>
              <w:tabs>
                <w:tab w:val="decimal" w:pos="652"/>
              </w:tabs>
              <w:rPr>
                <w:u w:color="808285"/>
              </w:rPr>
            </w:pPr>
            <w:r w:rsidRPr="00D61B93">
              <w:rPr>
                <w:u w:color="808285"/>
              </w:rPr>
              <w:t>6</w:t>
            </w:r>
          </w:p>
        </w:tc>
        <w:tc>
          <w:tcPr>
            <w:tcW w:w="1323" w:type="dxa"/>
          </w:tcPr>
          <w:p w14:paraId="5BFB152D" w14:textId="77777777" w:rsidR="00D61B93" w:rsidRPr="00D61B93" w:rsidRDefault="00D61B93" w:rsidP="008E4591">
            <w:pPr>
              <w:pStyle w:val="TableText"/>
              <w:tabs>
                <w:tab w:val="decimal" w:pos="652"/>
              </w:tabs>
              <w:rPr>
                <w:u w:color="808285"/>
              </w:rPr>
            </w:pPr>
            <w:r w:rsidRPr="00D61B93">
              <w:rPr>
                <w:u w:color="808285"/>
              </w:rPr>
              <w:t>8</w:t>
            </w:r>
          </w:p>
        </w:tc>
        <w:tc>
          <w:tcPr>
            <w:tcW w:w="1323" w:type="dxa"/>
          </w:tcPr>
          <w:p w14:paraId="4A683703" w14:textId="77777777" w:rsidR="00D61B93" w:rsidRPr="00D61B93" w:rsidRDefault="00D61B93" w:rsidP="008E4591">
            <w:pPr>
              <w:pStyle w:val="TableText"/>
              <w:tabs>
                <w:tab w:val="decimal" w:pos="652"/>
              </w:tabs>
              <w:rPr>
                <w:u w:color="808285"/>
              </w:rPr>
            </w:pPr>
            <w:r w:rsidRPr="00D61B93">
              <w:rPr>
                <w:u w:color="808285"/>
              </w:rPr>
              <w:t>14</w:t>
            </w:r>
          </w:p>
        </w:tc>
      </w:tr>
      <w:tr w:rsidR="00D61B93" w:rsidRPr="00D61B93" w14:paraId="230DD975" w14:textId="77777777" w:rsidTr="008E4591">
        <w:trPr>
          <w:cantSplit/>
        </w:trPr>
        <w:tc>
          <w:tcPr>
            <w:tcW w:w="1843" w:type="dxa"/>
          </w:tcPr>
          <w:p w14:paraId="50B7E4BB" w14:textId="32E8A4CF" w:rsidR="00D61B93" w:rsidRPr="00D61B93" w:rsidRDefault="00D61B93" w:rsidP="008E4591">
            <w:pPr>
              <w:pStyle w:val="TableText"/>
              <w:rPr>
                <w:u w:color="808285"/>
              </w:rPr>
            </w:pPr>
            <w:r w:rsidRPr="00D61B93">
              <w:rPr>
                <w:u w:color="808285"/>
              </w:rPr>
              <w:t>30–34</w:t>
            </w:r>
          </w:p>
        </w:tc>
        <w:tc>
          <w:tcPr>
            <w:tcW w:w="1323" w:type="dxa"/>
          </w:tcPr>
          <w:p w14:paraId="39CEC3A8" w14:textId="77777777" w:rsidR="00D61B93" w:rsidRPr="00D61B93" w:rsidRDefault="00D61B93" w:rsidP="008E4591">
            <w:pPr>
              <w:pStyle w:val="TableText"/>
              <w:tabs>
                <w:tab w:val="decimal" w:pos="652"/>
              </w:tabs>
              <w:rPr>
                <w:u w:color="808285"/>
              </w:rPr>
            </w:pPr>
            <w:r w:rsidRPr="00D61B93">
              <w:rPr>
                <w:u w:color="808285"/>
              </w:rPr>
              <w:t>6</w:t>
            </w:r>
          </w:p>
        </w:tc>
        <w:tc>
          <w:tcPr>
            <w:tcW w:w="1323" w:type="dxa"/>
          </w:tcPr>
          <w:p w14:paraId="4C34E92F" w14:textId="77777777" w:rsidR="00D61B93" w:rsidRPr="00D61B93" w:rsidRDefault="00D61B93" w:rsidP="008E4591">
            <w:pPr>
              <w:pStyle w:val="TableText"/>
              <w:tabs>
                <w:tab w:val="decimal" w:pos="652"/>
              </w:tabs>
              <w:rPr>
                <w:u w:color="808285"/>
              </w:rPr>
            </w:pPr>
            <w:r w:rsidRPr="00D61B93">
              <w:rPr>
                <w:u w:color="808285"/>
              </w:rPr>
              <w:t>4</w:t>
            </w:r>
          </w:p>
        </w:tc>
        <w:tc>
          <w:tcPr>
            <w:tcW w:w="1323" w:type="dxa"/>
          </w:tcPr>
          <w:p w14:paraId="24E29228" w14:textId="77777777" w:rsidR="00D61B93" w:rsidRPr="00D61B93" w:rsidRDefault="00D61B93" w:rsidP="008E4591">
            <w:pPr>
              <w:pStyle w:val="TableText"/>
              <w:tabs>
                <w:tab w:val="decimal" w:pos="652"/>
              </w:tabs>
              <w:rPr>
                <w:u w:color="808285"/>
              </w:rPr>
            </w:pPr>
            <w:r w:rsidRPr="00D61B93">
              <w:rPr>
                <w:u w:color="808285"/>
              </w:rPr>
              <w:t>10</w:t>
            </w:r>
          </w:p>
        </w:tc>
      </w:tr>
      <w:tr w:rsidR="00D61B93" w:rsidRPr="00D61B93" w14:paraId="577D3116" w14:textId="77777777" w:rsidTr="008E4591">
        <w:trPr>
          <w:cantSplit/>
        </w:trPr>
        <w:tc>
          <w:tcPr>
            <w:tcW w:w="1843" w:type="dxa"/>
          </w:tcPr>
          <w:p w14:paraId="655C1792" w14:textId="22075F56" w:rsidR="00D61B93" w:rsidRPr="00D61B93" w:rsidRDefault="00D61B93" w:rsidP="008E4591">
            <w:pPr>
              <w:pStyle w:val="TableText"/>
              <w:rPr>
                <w:u w:color="808285"/>
              </w:rPr>
            </w:pPr>
            <w:r w:rsidRPr="00D61B93">
              <w:rPr>
                <w:u w:color="808285"/>
              </w:rPr>
              <w:t>35–39</w:t>
            </w:r>
          </w:p>
        </w:tc>
        <w:tc>
          <w:tcPr>
            <w:tcW w:w="1323" w:type="dxa"/>
          </w:tcPr>
          <w:p w14:paraId="1901337A" w14:textId="77777777" w:rsidR="00D61B93" w:rsidRPr="00D61B93" w:rsidRDefault="00D61B93" w:rsidP="008E4591">
            <w:pPr>
              <w:pStyle w:val="TableText"/>
              <w:tabs>
                <w:tab w:val="decimal" w:pos="652"/>
              </w:tabs>
              <w:rPr>
                <w:u w:color="808285"/>
              </w:rPr>
            </w:pPr>
            <w:r w:rsidRPr="00D61B93">
              <w:rPr>
                <w:u w:color="808285"/>
              </w:rPr>
              <w:t>15</w:t>
            </w:r>
          </w:p>
        </w:tc>
        <w:tc>
          <w:tcPr>
            <w:tcW w:w="1323" w:type="dxa"/>
          </w:tcPr>
          <w:p w14:paraId="5E209753" w14:textId="77777777" w:rsidR="00D61B93" w:rsidRPr="00D61B93" w:rsidRDefault="00D61B93" w:rsidP="008E4591">
            <w:pPr>
              <w:pStyle w:val="TableText"/>
              <w:tabs>
                <w:tab w:val="decimal" w:pos="652"/>
              </w:tabs>
              <w:rPr>
                <w:u w:color="808285"/>
              </w:rPr>
            </w:pPr>
            <w:r w:rsidRPr="00D61B93">
              <w:rPr>
                <w:u w:color="808285"/>
              </w:rPr>
              <w:t>3</w:t>
            </w:r>
          </w:p>
        </w:tc>
        <w:tc>
          <w:tcPr>
            <w:tcW w:w="1323" w:type="dxa"/>
          </w:tcPr>
          <w:p w14:paraId="235A3A59" w14:textId="77777777" w:rsidR="00D61B93" w:rsidRPr="00D61B93" w:rsidRDefault="00D61B93" w:rsidP="008E4591">
            <w:pPr>
              <w:pStyle w:val="TableText"/>
              <w:tabs>
                <w:tab w:val="decimal" w:pos="652"/>
              </w:tabs>
              <w:rPr>
                <w:u w:color="808285"/>
              </w:rPr>
            </w:pPr>
            <w:r w:rsidRPr="00D61B93">
              <w:rPr>
                <w:u w:color="808285"/>
              </w:rPr>
              <w:t>18</w:t>
            </w:r>
          </w:p>
        </w:tc>
      </w:tr>
      <w:tr w:rsidR="00D61B93" w:rsidRPr="00D61B93" w14:paraId="72055AF5" w14:textId="77777777" w:rsidTr="008E4591">
        <w:trPr>
          <w:cantSplit/>
        </w:trPr>
        <w:tc>
          <w:tcPr>
            <w:tcW w:w="1843" w:type="dxa"/>
          </w:tcPr>
          <w:p w14:paraId="78D10124" w14:textId="0FE11A52" w:rsidR="00D61B93" w:rsidRPr="00D61B93" w:rsidRDefault="00D61B93" w:rsidP="008E4591">
            <w:pPr>
              <w:pStyle w:val="TableText"/>
              <w:rPr>
                <w:u w:color="808285"/>
              </w:rPr>
            </w:pPr>
            <w:r w:rsidRPr="00D61B93">
              <w:rPr>
                <w:noProof/>
                <w:lang w:eastAsia="en-NZ"/>
              </w:rPr>
              <w:drawing>
                <wp:anchor distT="0" distB="0" distL="0" distR="0" simplePos="0" relativeHeight="252072960" behindDoc="0" locked="0" layoutInCell="1" allowOverlap="1" wp14:anchorId="79215B21" wp14:editId="0FB1FCC6">
                  <wp:simplePos x="0" y="0"/>
                  <wp:positionH relativeFrom="page">
                    <wp:posOffset>8060163</wp:posOffset>
                  </wp:positionH>
                  <wp:positionV relativeFrom="paragraph">
                    <wp:posOffset>62842</wp:posOffset>
                  </wp:positionV>
                  <wp:extent cx="155575" cy="155575"/>
                  <wp:effectExtent l="0" t="0" r="0" b="0"/>
                  <wp:wrapNone/>
                  <wp:docPr id="41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D61B93">
              <w:rPr>
                <w:u w:color="808285"/>
              </w:rPr>
              <w:t>40–44</w:t>
            </w:r>
          </w:p>
        </w:tc>
        <w:tc>
          <w:tcPr>
            <w:tcW w:w="1323" w:type="dxa"/>
          </w:tcPr>
          <w:p w14:paraId="0525AE5A" w14:textId="77777777" w:rsidR="00D61B93" w:rsidRPr="00D61B93" w:rsidRDefault="00D61B93" w:rsidP="008E4591">
            <w:pPr>
              <w:pStyle w:val="TableText"/>
              <w:tabs>
                <w:tab w:val="decimal" w:pos="652"/>
              </w:tabs>
              <w:rPr>
                <w:u w:color="808285"/>
              </w:rPr>
            </w:pPr>
            <w:r w:rsidRPr="00D61B93">
              <w:rPr>
                <w:u w:color="808285"/>
              </w:rPr>
              <w:t>9</w:t>
            </w:r>
          </w:p>
        </w:tc>
        <w:tc>
          <w:tcPr>
            <w:tcW w:w="1323" w:type="dxa"/>
          </w:tcPr>
          <w:p w14:paraId="119E784F" w14:textId="77777777" w:rsidR="00D61B93" w:rsidRPr="00D61B93" w:rsidRDefault="00D61B93" w:rsidP="008E4591">
            <w:pPr>
              <w:pStyle w:val="TableText"/>
              <w:tabs>
                <w:tab w:val="decimal" w:pos="652"/>
              </w:tabs>
              <w:rPr>
                <w:u w:color="808285"/>
              </w:rPr>
            </w:pPr>
            <w:r w:rsidRPr="00D61B93">
              <w:rPr>
                <w:u w:color="808285"/>
              </w:rPr>
              <w:t>6</w:t>
            </w:r>
          </w:p>
        </w:tc>
        <w:tc>
          <w:tcPr>
            <w:tcW w:w="1323" w:type="dxa"/>
          </w:tcPr>
          <w:p w14:paraId="077A185D" w14:textId="77777777" w:rsidR="00D61B93" w:rsidRPr="00D61B93" w:rsidRDefault="00D61B93" w:rsidP="008E4591">
            <w:pPr>
              <w:pStyle w:val="TableText"/>
              <w:tabs>
                <w:tab w:val="decimal" w:pos="652"/>
              </w:tabs>
              <w:rPr>
                <w:u w:color="808285"/>
              </w:rPr>
            </w:pPr>
            <w:r w:rsidRPr="00D61B93">
              <w:rPr>
                <w:u w:color="808285"/>
              </w:rPr>
              <w:t>15</w:t>
            </w:r>
          </w:p>
        </w:tc>
      </w:tr>
      <w:tr w:rsidR="00D61B93" w:rsidRPr="00D61B93" w14:paraId="44479A68" w14:textId="77777777" w:rsidTr="008E4591">
        <w:trPr>
          <w:cantSplit/>
        </w:trPr>
        <w:tc>
          <w:tcPr>
            <w:tcW w:w="1843" w:type="dxa"/>
          </w:tcPr>
          <w:p w14:paraId="527F6B87" w14:textId="49BB787B" w:rsidR="00D61B93" w:rsidRPr="00D61B93" w:rsidRDefault="00D61B93" w:rsidP="008E4591">
            <w:pPr>
              <w:pStyle w:val="TableText"/>
              <w:rPr>
                <w:u w:color="808285"/>
              </w:rPr>
            </w:pPr>
            <w:r w:rsidRPr="00D61B93">
              <w:rPr>
                <w:u w:color="808285"/>
              </w:rPr>
              <w:t>45–49</w:t>
            </w:r>
          </w:p>
        </w:tc>
        <w:tc>
          <w:tcPr>
            <w:tcW w:w="1323" w:type="dxa"/>
          </w:tcPr>
          <w:p w14:paraId="7D4D03EA" w14:textId="77777777" w:rsidR="00D61B93" w:rsidRPr="00D61B93" w:rsidRDefault="00D61B93" w:rsidP="008E4591">
            <w:pPr>
              <w:pStyle w:val="TableText"/>
              <w:tabs>
                <w:tab w:val="decimal" w:pos="652"/>
              </w:tabs>
              <w:rPr>
                <w:u w:color="808285"/>
              </w:rPr>
            </w:pPr>
            <w:r w:rsidRPr="00D61B93">
              <w:rPr>
                <w:u w:color="808285"/>
              </w:rPr>
              <w:t>12</w:t>
            </w:r>
          </w:p>
        </w:tc>
        <w:tc>
          <w:tcPr>
            <w:tcW w:w="1323" w:type="dxa"/>
          </w:tcPr>
          <w:p w14:paraId="0E9C1B1A" w14:textId="77777777" w:rsidR="00D61B93" w:rsidRPr="00D61B93" w:rsidRDefault="00D61B93" w:rsidP="008E4591">
            <w:pPr>
              <w:pStyle w:val="TableText"/>
              <w:tabs>
                <w:tab w:val="decimal" w:pos="652"/>
              </w:tabs>
              <w:rPr>
                <w:u w:color="808285"/>
              </w:rPr>
            </w:pPr>
            <w:r w:rsidRPr="00D61B93">
              <w:rPr>
                <w:u w:color="808285"/>
              </w:rPr>
              <w:t>5</w:t>
            </w:r>
          </w:p>
        </w:tc>
        <w:tc>
          <w:tcPr>
            <w:tcW w:w="1323" w:type="dxa"/>
          </w:tcPr>
          <w:p w14:paraId="15C867ED" w14:textId="77777777" w:rsidR="00D61B93" w:rsidRPr="00D61B93" w:rsidRDefault="00D61B93" w:rsidP="008E4591">
            <w:pPr>
              <w:pStyle w:val="TableText"/>
              <w:tabs>
                <w:tab w:val="decimal" w:pos="652"/>
              </w:tabs>
              <w:rPr>
                <w:u w:color="808285"/>
              </w:rPr>
            </w:pPr>
            <w:r w:rsidRPr="00D61B93">
              <w:rPr>
                <w:u w:color="808285"/>
              </w:rPr>
              <w:t>17</w:t>
            </w:r>
          </w:p>
        </w:tc>
      </w:tr>
      <w:tr w:rsidR="00D61B93" w:rsidRPr="00D61B93" w14:paraId="2E70EE4B" w14:textId="77777777" w:rsidTr="008E4591">
        <w:trPr>
          <w:cantSplit/>
        </w:trPr>
        <w:tc>
          <w:tcPr>
            <w:tcW w:w="1843" w:type="dxa"/>
          </w:tcPr>
          <w:p w14:paraId="09FB612D" w14:textId="3809E578" w:rsidR="00D61B93" w:rsidRPr="00D61B93" w:rsidRDefault="00D61B93" w:rsidP="008E4591">
            <w:pPr>
              <w:pStyle w:val="TableText"/>
              <w:rPr>
                <w:u w:color="808285"/>
              </w:rPr>
            </w:pPr>
            <w:r w:rsidRPr="00D61B93">
              <w:rPr>
                <w:u w:color="808285"/>
              </w:rPr>
              <w:t>50–54</w:t>
            </w:r>
          </w:p>
        </w:tc>
        <w:tc>
          <w:tcPr>
            <w:tcW w:w="1323" w:type="dxa"/>
          </w:tcPr>
          <w:p w14:paraId="0BCBA337" w14:textId="77777777" w:rsidR="00D61B93" w:rsidRPr="00D61B93" w:rsidRDefault="00D61B93" w:rsidP="008E4591">
            <w:pPr>
              <w:pStyle w:val="TableText"/>
              <w:tabs>
                <w:tab w:val="decimal" w:pos="652"/>
              </w:tabs>
              <w:rPr>
                <w:u w:color="808285"/>
              </w:rPr>
            </w:pPr>
            <w:r w:rsidRPr="00D61B93">
              <w:rPr>
                <w:u w:color="808285"/>
              </w:rPr>
              <w:t>22</w:t>
            </w:r>
          </w:p>
        </w:tc>
        <w:tc>
          <w:tcPr>
            <w:tcW w:w="1323" w:type="dxa"/>
          </w:tcPr>
          <w:p w14:paraId="1E411A5F" w14:textId="77777777" w:rsidR="00D61B93" w:rsidRPr="00D61B93" w:rsidRDefault="00D61B93" w:rsidP="008E4591">
            <w:pPr>
              <w:pStyle w:val="TableText"/>
              <w:tabs>
                <w:tab w:val="decimal" w:pos="652"/>
              </w:tabs>
              <w:rPr>
                <w:u w:color="808285"/>
              </w:rPr>
            </w:pPr>
            <w:r w:rsidRPr="00D61B93">
              <w:rPr>
                <w:u w:color="808285"/>
              </w:rPr>
              <w:t>8</w:t>
            </w:r>
          </w:p>
        </w:tc>
        <w:tc>
          <w:tcPr>
            <w:tcW w:w="1323" w:type="dxa"/>
          </w:tcPr>
          <w:p w14:paraId="429D7A7D" w14:textId="77777777" w:rsidR="00D61B93" w:rsidRPr="00D61B93" w:rsidRDefault="00D61B93" w:rsidP="008E4591">
            <w:pPr>
              <w:pStyle w:val="TableText"/>
              <w:tabs>
                <w:tab w:val="decimal" w:pos="652"/>
              </w:tabs>
              <w:rPr>
                <w:u w:color="808285"/>
              </w:rPr>
            </w:pPr>
            <w:r w:rsidRPr="00D61B93">
              <w:rPr>
                <w:u w:color="808285"/>
              </w:rPr>
              <w:t>30</w:t>
            </w:r>
          </w:p>
        </w:tc>
      </w:tr>
      <w:tr w:rsidR="00D61B93" w:rsidRPr="00D61B93" w14:paraId="48C19C76" w14:textId="77777777" w:rsidTr="008E4591">
        <w:trPr>
          <w:cantSplit/>
        </w:trPr>
        <w:tc>
          <w:tcPr>
            <w:tcW w:w="1843" w:type="dxa"/>
          </w:tcPr>
          <w:p w14:paraId="3D7287C4" w14:textId="6EB4FDD0" w:rsidR="00D61B93" w:rsidRPr="00D61B93" w:rsidRDefault="00D61B93" w:rsidP="008E4591">
            <w:pPr>
              <w:pStyle w:val="TableText"/>
              <w:rPr>
                <w:u w:color="808285"/>
              </w:rPr>
            </w:pPr>
            <w:r w:rsidRPr="00D61B93">
              <w:rPr>
                <w:u w:color="808285"/>
              </w:rPr>
              <w:t>55–59</w:t>
            </w:r>
          </w:p>
        </w:tc>
        <w:tc>
          <w:tcPr>
            <w:tcW w:w="1323" w:type="dxa"/>
          </w:tcPr>
          <w:p w14:paraId="6DCF3FD8" w14:textId="77777777" w:rsidR="00D61B93" w:rsidRPr="00D61B93" w:rsidRDefault="00D61B93" w:rsidP="008E4591">
            <w:pPr>
              <w:pStyle w:val="TableText"/>
              <w:tabs>
                <w:tab w:val="decimal" w:pos="652"/>
              </w:tabs>
              <w:rPr>
                <w:u w:color="808285"/>
              </w:rPr>
            </w:pPr>
            <w:r w:rsidRPr="00D61B93">
              <w:rPr>
                <w:u w:color="808285"/>
              </w:rPr>
              <w:t>11</w:t>
            </w:r>
          </w:p>
        </w:tc>
        <w:tc>
          <w:tcPr>
            <w:tcW w:w="1323" w:type="dxa"/>
          </w:tcPr>
          <w:p w14:paraId="42D132E9" w14:textId="77777777" w:rsidR="00D61B93" w:rsidRPr="00D61B93" w:rsidRDefault="00D61B93" w:rsidP="008E4591">
            <w:pPr>
              <w:pStyle w:val="TableText"/>
              <w:tabs>
                <w:tab w:val="decimal" w:pos="652"/>
              </w:tabs>
              <w:rPr>
                <w:u w:color="808285"/>
              </w:rPr>
            </w:pPr>
            <w:r w:rsidRPr="00D61B93">
              <w:rPr>
                <w:u w:color="808285"/>
              </w:rPr>
              <w:t>16</w:t>
            </w:r>
          </w:p>
        </w:tc>
        <w:tc>
          <w:tcPr>
            <w:tcW w:w="1323" w:type="dxa"/>
          </w:tcPr>
          <w:p w14:paraId="6E9AEEA2" w14:textId="77777777" w:rsidR="00D61B93" w:rsidRPr="00D61B93" w:rsidRDefault="00D61B93" w:rsidP="008E4591">
            <w:pPr>
              <w:pStyle w:val="TableText"/>
              <w:tabs>
                <w:tab w:val="decimal" w:pos="652"/>
              </w:tabs>
              <w:rPr>
                <w:u w:color="808285"/>
              </w:rPr>
            </w:pPr>
            <w:r w:rsidRPr="00D61B93">
              <w:rPr>
                <w:u w:color="808285"/>
              </w:rPr>
              <w:t>27</w:t>
            </w:r>
          </w:p>
        </w:tc>
      </w:tr>
      <w:tr w:rsidR="00D61B93" w:rsidRPr="00D61B93" w14:paraId="0751729D" w14:textId="77777777" w:rsidTr="008E4591">
        <w:trPr>
          <w:cantSplit/>
        </w:trPr>
        <w:tc>
          <w:tcPr>
            <w:tcW w:w="1843" w:type="dxa"/>
          </w:tcPr>
          <w:p w14:paraId="469C2C04" w14:textId="307A10DF" w:rsidR="00D61B93" w:rsidRPr="00D61B93" w:rsidRDefault="00D61B93" w:rsidP="008E4591">
            <w:pPr>
              <w:pStyle w:val="TableText"/>
              <w:rPr>
                <w:u w:color="808285"/>
              </w:rPr>
            </w:pPr>
            <w:r w:rsidRPr="00D61B93">
              <w:rPr>
                <w:u w:color="808285"/>
              </w:rPr>
              <w:t>60–64</w:t>
            </w:r>
          </w:p>
        </w:tc>
        <w:tc>
          <w:tcPr>
            <w:tcW w:w="1323" w:type="dxa"/>
          </w:tcPr>
          <w:p w14:paraId="7051646D" w14:textId="77777777" w:rsidR="00D61B93" w:rsidRPr="00D61B93" w:rsidRDefault="00D61B93" w:rsidP="008E4591">
            <w:pPr>
              <w:pStyle w:val="TableText"/>
              <w:tabs>
                <w:tab w:val="decimal" w:pos="652"/>
              </w:tabs>
              <w:rPr>
                <w:u w:color="808285"/>
              </w:rPr>
            </w:pPr>
            <w:r w:rsidRPr="00D61B93">
              <w:rPr>
                <w:u w:color="808285"/>
              </w:rPr>
              <w:t>18</w:t>
            </w:r>
          </w:p>
        </w:tc>
        <w:tc>
          <w:tcPr>
            <w:tcW w:w="1323" w:type="dxa"/>
          </w:tcPr>
          <w:p w14:paraId="7D8694AB" w14:textId="77777777" w:rsidR="00D61B93" w:rsidRPr="00D61B93" w:rsidRDefault="00D61B93" w:rsidP="008E4591">
            <w:pPr>
              <w:pStyle w:val="TableText"/>
              <w:tabs>
                <w:tab w:val="decimal" w:pos="652"/>
              </w:tabs>
              <w:rPr>
                <w:u w:color="808285"/>
              </w:rPr>
            </w:pPr>
            <w:r w:rsidRPr="00D61B93">
              <w:rPr>
                <w:u w:color="808285"/>
              </w:rPr>
              <w:t>12</w:t>
            </w:r>
          </w:p>
        </w:tc>
        <w:tc>
          <w:tcPr>
            <w:tcW w:w="1323" w:type="dxa"/>
          </w:tcPr>
          <w:p w14:paraId="2F0253B1" w14:textId="77777777" w:rsidR="00D61B93" w:rsidRPr="00D61B93" w:rsidRDefault="00D61B93" w:rsidP="008E4591">
            <w:pPr>
              <w:pStyle w:val="TableText"/>
              <w:tabs>
                <w:tab w:val="decimal" w:pos="652"/>
              </w:tabs>
              <w:rPr>
                <w:u w:color="808285"/>
              </w:rPr>
            </w:pPr>
            <w:r w:rsidRPr="00D61B93">
              <w:rPr>
                <w:u w:color="808285"/>
              </w:rPr>
              <w:t>30</w:t>
            </w:r>
          </w:p>
        </w:tc>
      </w:tr>
      <w:tr w:rsidR="00D61B93" w:rsidRPr="00D61B93" w14:paraId="0418E4F9" w14:textId="77777777" w:rsidTr="008E4591">
        <w:trPr>
          <w:cantSplit/>
        </w:trPr>
        <w:tc>
          <w:tcPr>
            <w:tcW w:w="1843" w:type="dxa"/>
          </w:tcPr>
          <w:p w14:paraId="5AA6A52F" w14:textId="55E5FBAC" w:rsidR="00D61B93" w:rsidRPr="00D61B93" w:rsidRDefault="00D61B93" w:rsidP="008E4591">
            <w:pPr>
              <w:pStyle w:val="TableText"/>
              <w:rPr>
                <w:u w:color="808285"/>
              </w:rPr>
            </w:pPr>
            <w:r w:rsidRPr="00D61B93">
              <w:rPr>
                <w:u w:color="808285"/>
              </w:rPr>
              <w:t>65–69</w:t>
            </w:r>
          </w:p>
        </w:tc>
        <w:tc>
          <w:tcPr>
            <w:tcW w:w="1323" w:type="dxa"/>
          </w:tcPr>
          <w:p w14:paraId="461BE619" w14:textId="77777777" w:rsidR="00D61B93" w:rsidRPr="00D61B93" w:rsidRDefault="00D61B93" w:rsidP="008E4591">
            <w:pPr>
              <w:pStyle w:val="TableText"/>
              <w:tabs>
                <w:tab w:val="decimal" w:pos="652"/>
              </w:tabs>
              <w:rPr>
                <w:u w:color="808285"/>
              </w:rPr>
            </w:pPr>
            <w:r w:rsidRPr="00D61B93">
              <w:rPr>
                <w:u w:color="808285"/>
              </w:rPr>
              <w:t>28</w:t>
            </w:r>
          </w:p>
        </w:tc>
        <w:tc>
          <w:tcPr>
            <w:tcW w:w="1323" w:type="dxa"/>
          </w:tcPr>
          <w:p w14:paraId="375727BF" w14:textId="77777777" w:rsidR="00D61B93" w:rsidRPr="00D61B93" w:rsidRDefault="00D61B93" w:rsidP="008E4591">
            <w:pPr>
              <w:pStyle w:val="TableText"/>
              <w:tabs>
                <w:tab w:val="decimal" w:pos="652"/>
              </w:tabs>
              <w:rPr>
                <w:u w:color="808285"/>
              </w:rPr>
            </w:pPr>
            <w:r w:rsidRPr="00D61B93">
              <w:rPr>
                <w:u w:color="808285"/>
              </w:rPr>
              <w:t>8</w:t>
            </w:r>
          </w:p>
        </w:tc>
        <w:tc>
          <w:tcPr>
            <w:tcW w:w="1323" w:type="dxa"/>
          </w:tcPr>
          <w:p w14:paraId="259C9BFC" w14:textId="77777777" w:rsidR="00D61B93" w:rsidRPr="00D61B93" w:rsidRDefault="00D61B93" w:rsidP="008E4591">
            <w:pPr>
              <w:pStyle w:val="TableText"/>
              <w:tabs>
                <w:tab w:val="decimal" w:pos="652"/>
              </w:tabs>
              <w:rPr>
                <w:u w:color="808285"/>
              </w:rPr>
            </w:pPr>
            <w:r w:rsidRPr="00D61B93">
              <w:rPr>
                <w:u w:color="808285"/>
              </w:rPr>
              <w:t>36</w:t>
            </w:r>
          </w:p>
        </w:tc>
      </w:tr>
      <w:tr w:rsidR="00D61B93" w:rsidRPr="00D61B93" w14:paraId="44C5A0EB" w14:textId="77777777" w:rsidTr="008E4591">
        <w:trPr>
          <w:cantSplit/>
        </w:trPr>
        <w:tc>
          <w:tcPr>
            <w:tcW w:w="1843" w:type="dxa"/>
          </w:tcPr>
          <w:p w14:paraId="4A14D071" w14:textId="72F4EC51" w:rsidR="00D61B93" w:rsidRPr="00D61B93" w:rsidRDefault="00D61B93" w:rsidP="008E4591">
            <w:pPr>
              <w:pStyle w:val="TableText"/>
              <w:rPr>
                <w:u w:color="808285"/>
              </w:rPr>
            </w:pPr>
            <w:r w:rsidRPr="00D61B93">
              <w:rPr>
                <w:u w:color="808285"/>
              </w:rPr>
              <w:t>70–74</w:t>
            </w:r>
          </w:p>
        </w:tc>
        <w:tc>
          <w:tcPr>
            <w:tcW w:w="1323" w:type="dxa"/>
          </w:tcPr>
          <w:p w14:paraId="1B8D4A6E" w14:textId="77777777" w:rsidR="00D61B93" w:rsidRPr="00D61B93" w:rsidRDefault="00D61B93" w:rsidP="008E4591">
            <w:pPr>
              <w:pStyle w:val="TableText"/>
              <w:tabs>
                <w:tab w:val="decimal" w:pos="652"/>
              </w:tabs>
              <w:rPr>
                <w:u w:color="808285"/>
              </w:rPr>
            </w:pPr>
            <w:r w:rsidRPr="00D61B93">
              <w:rPr>
                <w:u w:color="808285"/>
              </w:rPr>
              <w:t>13</w:t>
            </w:r>
          </w:p>
        </w:tc>
        <w:tc>
          <w:tcPr>
            <w:tcW w:w="1323" w:type="dxa"/>
          </w:tcPr>
          <w:p w14:paraId="166D2D76" w14:textId="77777777" w:rsidR="00D61B93" w:rsidRPr="00D61B93" w:rsidRDefault="00D61B93" w:rsidP="008E4591">
            <w:pPr>
              <w:pStyle w:val="TableText"/>
              <w:tabs>
                <w:tab w:val="decimal" w:pos="652"/>
              </w:tabs>
              <w:rPr>
                <w:u w:color="808285"/>
              </w:rPr>
            </w:pPr>
            <w:r w:rsidRPr="00D61B93">
              <w:rPr>
                <w:u w:color="808285"/>
              </w:rPr>
              <w:t>6</w:t>
            </w:r>
          </w:p>
        </w:tc>
        <w:tc>
          <w:tcPr>
            <w:tcW w:w="1323" w:type="dxa"/>
          </w:tcPr>
          <w:p w14:paraId="7575D6FD" w14:textId="77777777" w:rsidR="00D61B93" w:rsidRPr="00D61B93" w:rsidRDefault="00D61B93" w:rsidP="008E4591">
            <w:pPr>
              <w:pStyle w:val="TableText"/>
              <w:tabs>
                <w:tab w:val="decimal" w:pos="652"/>
              </w:tabs>
              <w:rPr>
                <w:u w:color="808285"/>
              </w:rPr>
            </w:pPr>
            <w:r w:rsidRPr="00D61B93">
              <w:rPr>
                <w:u w:color="808285"/>
              </w:rPr>
              <w:t>19</w:t>
            </w:r>
          </w:p>
        </w:tc>
      </w:tr>
      <w:tr w:rsidR="00D61B93" w:rsidRPr="00D61B93" w14:paraId="30CBA434" w14:textId="77777777" w:rsidTr="008E4591">
        <w:trPr>
          <w:cantSplit/>
        </w:trPr>
        <w:tc>
          <w:tcPr>
            <w:tcW w:w="1843" w:type="dxa"/>
          </w:tcPr>
          <w:p w14:paraId="6CBB3EB2" w14:textId="391AE2C7" w:rsidR="00D61B93" w:rsidRPr="00D61B93" w:rsidRDefault="00D61B93" w:rsidP="008E4591">
            <w:pPr>
              <w:pStyle w:val="TableText"/>
              <w:rPr>
                <w:u w:color="808285"/>
              </w:rPr>
            </w:pPr>
            <w:r w:rsidRPr="00D61B93">
              <w:rPr>
                <w:u w:color="808285"/>
              </w:rPr>
              <w:t>75–79</w:t>
            </w:r>
          </w:p>
        </w:tc>
        <w:tc>
          <w:tcPr>
            <w:tcW w:w="1323" w:type="dxa"/>
          </w:tcPr>
          <w:p w14:paraId="66611F02" w14:textId="77777777" w:rsidR="00D61B93" w:rsidRPr="00D61B93" w:rsidRDefault="00D61B93" w:rsidP="008E4591">
            <w:pPr>
              <w:pStyle w:val="TableText"/>
              <w:tabs>
                <w:tab w:val="decimal" w:pos="652"/>
              </w:tabs>
              <w:rPr>
                <w:u w:color="808285"/>
              </w:rPr>
            </w:pPr>
            <w:r w:rsidRPr="00D61B93">
              <w:rPr>
                <w:u w:color="808285"/>
              </w:rPr>
              <w:t>13</w:t>
            </w:r>
          </w:p>
        </w:tc>
        <w:tc>
          <w:tcPr>
            <w:tcW w:w="1323" w:type="dxa"/>
          </w:tcPr>
          <w:p w14:paraId="36EF8298" w14:textId="77777777" w:rsidR="00D61B93" w:rsidRPr="00D61B93" w:rsidRDefault="00D61B93" w:rsidP="008E4591">
            <w:pPr>
              <w:pStyle w:val="TableText"/>
              <w:tabs>
                <w:tab w:val="decimal" w:pos="652"/>
              </w:tabs>
              <w:rPr>
                <w:u w:color="808285"/>
              </w:rPr>
            </w:pPr>
            <w:r w:rsidRPr="00D61B93">
              <w:rPr>
                <w:u w:color="808285"/>
              </w:rPr>
              <w:t>6</w:t>
            </w:r>
          </w:p>
        </w:tc>
        <w:tc>
          <w:tcPr>
            <w:tcW w:w="1323" w:type="dxa"/>
          </w:tcPr>
          <w:p w14:paraId="1D71C628" w14:textId="77777777" w:rsidR="00D61B93" w:rsidRPr="00D61B93" w:rsidRDefault="00D61B93" w:rsidP="008E4591">
            <w:pPr>
              <w:pStyle w:val="TableText"/>
              <w:tabs>
                <w:tab w:val="decimal" w:pos="652"/>
              </w:tabs>
              <w:rPr>
                <w:u w:color="808285"/>
              </w:rPr>
            </w:pPr>
            <w:r w:rsidRPr="00D61B93">
              <w:rPr>
                <w:u w:color="808285"/>
              </w:rPr>
              <w:t>19</w:t>
            </w:r>
          </w:p>
        </w:tc>
      </w:tr>
      <w:tr w:rsidR="00D61B93" w:rsidRPr="00D61B93" w14:paraId="2D1B319E" w14:textId="77777777" w:rsidTr="008E4591">
        <w:trPr>
          <w:cantSplit/>
        </w:trPr>
        <w:tc>
          <w:tcPr>
            <w:tcW w:w="1843" w:type="dxa"/>
          </w:tcPr>
          <w:p w14:paraId="0F673729" w14:textId="577AAFCD" w:rsidR="00D61B93" w:rsidRPr="00D61B93" w:rsidRDefault="00D61B93" w:rsidP="008E4591">
            <w:pPr>
              <w:pStyle w:val="TableText"/>
              <w:rPr>
                <w:u w:color="808285"/>
              </w:rPr>
            </w:pPr>
            <w:r w:rsidRPr="00D61B93">
              <w:rPr>
                <w:u w:color="808285"/>
              </w:rPr>
              <w:t>80–84</w:t>
            </w:r>
          </w:p>
        </w:tc>
        <w:tc>
          <w:tcPr>
            <w:tcW w:w="1323" w:type="dxa"/>
          </w:tcPr>
          <w:p w14:paraId="05BBD253" w14:textId="77777777" w:rsidR="00D61B93" w:rsidRPr="00D61B93" w:rsidRDefault="00D61B93" w:rsidP="008E4591">
            <w:pPr>
              <w:pStyle w:val="TableText"/>
              <w:tabs>
                <w:tab w:val="decimal" w:pos="652"/>
              </w:tabs>
              <w:rPr>
                <w:u w:color="808285"/>
              </w:rPr>
            </w:pPr>
            <w:r w:rsidRPr="00D61B93">
              <w:rPr>
                <w:u w:color="808285"/>
              </w:rPr>
              <w:t>3</w:t>
            </w:r>
          </w:p>
        </w:tc>
        <w:tc>
          <w:tcPr>
            <w:tcW w:w="1323" w:type="dxa"/>
          </w:tcPr>
          <w:p w14:paraId="118076FF" w14:textId="77777777" w:rsidR="00D61B93" w:rsidRPr="00D61B93" w:rsidRDefault="00D61B93" w:rsidP="008E4591">
            <w:pPr>
              <w:pStyle w:val="TableText"/>
              <w:tabs>
                <w:tab w:val="decimal" w:pos="652"/>
              </w:tabs>
              <w:rPr>
                <w:u w:color="808285"/>
              </w:rPr>
            </w:pPr>
            <w:r w:rsidRPr="00D61B93">
              <w:rPr>
                <w:u w:color="808285"/>
              </w:rPr>
              <w:t>4</w:t>
            </w:r>
          </w:p>
        </w:tc>
        <w:tc>
          <w:tcPr>
            <w:tcW w:w="1323" w:type="dxa"/>
          </w:tcPr>
          <w:p w14:paraId="0861DB00" w14:textId="77777777" w:rsidR="00D61B93" w:rsidRPr="00D61B93" w:rsidRDefault="00D61B93" w:rsidP="008E4591">
            <w:pPr>
              <w:pStyle w:val="TableText"/>
              <w:tabs>
                <w:tab w:val="decimal" w:pos="652"/>
              </w:tabs>
              <w:rPr>
                <w:u w:color="808285"/>
              </w:rPr>
            </w:pPr>
            <w:r w:rsidRPr="00D61B93">
              <w:rPr>
                <w:u w:color="808285"/>
              </w:rPr>
              <w:t>7</w:t>
            </w:r>
          </w:p>
        </w:tc>
      </w:tr>
      <w:tr w:rsidR="00D61B93" w:rsidRPr="00D61B93" w14:paraId="2B7829DF" w14:textId="77777777" w:rsidTr="008E4591">
        <w:trPr>
          <w:cantSplit/>
        </w:trPr>
        <w:tc>
          <w:tcPr>
            <w:tcW w:w="1843" w:type="dxa"/>
          </w:tcPr>
          <w:p w14:paraId="074B5118" w14:textId="18B73E91" w:rsidR="00D61B93" w:rsidRPr="00D61B93" w:rsidRDefault="00D61B93" w:rsidP="008E4591">
            <w:pPr>
              <w:pStyle w:val="TableText"/>
              <w:rPr>
                <w:u w:color="808285"/>
              </w:rPr>
            </w:pPr>
            <w:r w:rsidRPr="00D61B93">
              <w:rPr>
                <w:u w:color="808285"/>
              </w:rPr>
              <w:t>85–89</w:t>
            </w:r>
          </w:p>
        </w:tc>
        <w:tc>
          <w:tcPr>
            <w:tcW w:w="1323" w:type="dxa"/>
          </w:tcPr>
          <w:p w14:paraId="6F72BF43" w14:textId="77777777" w:rsidR="00D61B93" w:rsidRPr="00D61B93" w:rsidRDefault="00D61B93" w:rsidP="008E4591">
            <w:pPr>
              <w:pStyle w:val="TableText"/>
              <w:tabs>
                <w:tab w:val="decimal" w:pos="652"/>
              </w:tabs>
              <w:rPr>
                <w:u w:color="808285"/>
              </w:rPr>
            </w:pPr>
            <w:r w:rsidRPr="00D61B93">
              <w:rPr>
                <w:u w:color="808285"/>
              </w:rPr>
              <w:t>3</w:t>
            </w:r>
          </w:p>
        </w:tc>
        <w:tc>
          <w:tcPr>
            <w:tcW w:w="1323" w:type="dxa"/>
          </w:tcPr>
          <w:p w14:paraId="20205A5D" w14:textId="77777777" w:rsidR="00D61B93" w:rsidRPr="00D61B93" w:rsidRDefault="00D61B93" w:rsidP="008E4591">
            <w:pPr>
              <w:pStyle w:val="TableText"/>
              <w:tabs>
                <w:tab w:val="decimal" w:pos="652"/>
              </w:tabs>
              <w:rPr>
                <w:u w:color="808285"/>
              </w:rPr>
            </w:pPr>
            <w:r w:rsidRPr="00D61B93">
              <w:rPr>
                <w:u w:color="808285"/>
              </w:rPr>
              <w:t>2</w:t>
            </w:r>
          </w:p>
        </w:tc>
        <w:tc>
          <w:tcPr>
            <w:tcW w:w="1323" w:type="dxa"/>
          </w:tcPr>
          <w:p w14:paraId="1437605A" w14:textId="77777777" w:rsidR="00D61B93" w:rsidRPr="00D61B93" w:rsidRDefault="00D61B93" w:rsidP="008E4591">
            <w:pPr>
              <w:pStyle w:val="TableText"/>
              <w:tabs>
                <w:tab w:val="decimal" w:pos="652"/>
              </w:tabs>
              <w:rPr>
                <w:u w:color="808285"/>
              </w:rPr>
            </w:pPr>
            <w:r w:rsidRPr="00D61B93">
              <w:rPr>
                <w:u w:color="808285"/>
              </w:rPr>
              <w:t>5</w:t>
            </w:r>
          </w:p>
        </w:tc>
      </w:tr>
      <w:tr w:rsidR="00D61B93" w:rsidRPr="00D61B93" w14:paraId="724EE2A5" w14:textId="77777777" w:rsidTr="008E4591">
        <w:trPr>
          <w:cantSplit/>
        </w:trPr>
        <w:tc>
          <w:tcPr>
            <w:tcW w:w="1843" w:type="dxa"/>
          </w:tcPr>
          <w:p w14:paraId="3BEB2D4C" w14:textId="48E7F427" w:rsidR="00D61B93" w:rsidRPr="00D61B93" w:rsidRDefault="00D61B93" w:rsidP="008E4591">
            <w:pPr>
              <w:pStyle w:val="TableText"/>
              <w:rPr>
                <w:u w:color="808285"/>
              </w:rPr>
            </w:pPr>
            <w:r w:rsidRPr="00D61B93">
              <w:rPr>
                <w:u w:color="808285"/>
              </w:rPr>
              <w:t>90–95</w:t>
            </w:r>
          </w:p>
        </w:tc>
        <w:tc>
          <w:tcPr>
            <w:tcW w:w="1323" w:type="dxa"/>
          </w:tcPr>
          <w:p w14:paraId="48359BEB" w14:textId="77777777" w:rsidR="00D61B93" w:rsidRPr="00D61B93" w:rsidRDefault="00D61B93" w:rsidP="008E4591">
            <w:pPr>
              <w:pStyle w:val="TableText"/>
              <w:tabs>
                <w:tab w:val="decimal" w:pos="652"/>
              </w:tabs>
              <w:rPr>
                <w:u w:color="808285"/>
              </w:rPr>
            </w:pPr>
            <w:r w:rsidRPr="00D61B93">
              <w:rPr>
                <w:u w:color="808285"/>
              </w:rPr>
              <w:t>1</w:t>
            </w:r>
          </w:p>
        </w:tc>
        <w:tc>
          <w:tcPr>
            <w:tcW w:w="1323" w:type="dxa"/>
          </w:tcPr>
          <w:p w14:paraId="4BAB6202" w14:textId="77777777" w:rsidR="00D61B93" w:rsidRPr="00D61B93" w:rsidRDefault="00D61B93" w:rsidP="008E4591">
            <w:pPr>
              <w:pStyle w:val="TableText"/>
              <w:tabs>
                <w:tab w:val="decimal" w:pos="652"/>
              </w:tabs>
              <w:rPr>
                <w:u w:color="808285"/>
              </w:rPr>
            </w:pPr>
            <w:r w:rsidRPr="00D61B93">
              <w:rPr>
                <w:u w:color="808285"/>
              </w:rPr>
              <w:t>0</w:t>
            </w:r>
          </w:p>
        </w:tc>
        <w:tc>
          <w:tcPr>
            <w:tcW w:w="1323" w:type="dxa"/>
          </w:tcPr>
          <w:p w14:paraId="08DBC630" w14:textId="77777777" w:rsidR="00D61B93" w:rsidRPr="00D61B93" w:rsidRDefault="00D61B93" w:rsidP="008E4591">
            <w:pPr>
              <w:pStyle w:val="TableText"/>
              <w:tabs>
                <w:tab w:val="decimal" w:pos="652"/>
              </w:tabs>
              <w:rPr>
                <w:u w:color="808285"/>
              </w:rPr>
            </w:pPr>
            <w:r w:rsidRPr="00D61B93">
              <w:rPr>
                <w:u w:color="808285"/>
              </w:rPr>
              <w:t>1</w:t>
            </w:r>
          </w:p>
        </w:tc>
      </w:tr>
      <w:tr w:rsidR="00D61B93" w:rsidRPr="008E4591" w14:paraId="3C27F1FE" w14:textId="77777777" w:rsidTr="008E4591">
        <w:trPr>
          <w:cantSplit/>
        </w:trPr>
        <w:tc>
          <w:tcPr>
            <w:tcW w:w="1843" w:type="dxa"/>
          </w:tcPr>
          <w:p w14:paraId="5759D185" w14:textId="058E4DD8" w:rsidR="00D61B93" w:rsidRPr="008E4591" w:rsidRDefault="00D61B93" w:rsidP="008E4591">
            <w:pPr>
              <w:pStyle w:val="TableText"/>
              <w:rPr>
                <w:b/>
                <w:u w:color="231F20"/>
              </w:rPr>
            </w:pPr>
            <w:r w:rsidRPr="008E4591">
              <w:rPr>
                <w:b/>
                <w:u w:color="231F20"/>
              </w:rPr>
              <w:t>Total</w:t>
            </w:r>
          </w:p>
        </w:tc>
        <w:tc>
          <w:tcPr>
            <w:tcW w:w="1323" w:type="dxa"/>
          </w:tcPr>
          <w:p w14:paraId="2BC7C5A4" w14:textId="77777777" w:rsidR="00D61B93" w:rsidRPr="008E4591" w:rsidRDefault="00D61B93" w:rsidP="008E4591">
            <w:pPr>
              <w:pStyle w:val="TableText"/>
              <w:tabs>
                <w:tab w:val="decimal" w:pos="652"/>
              </w:tabs>
              <w:rPr>
                <w:b/>
                <w:u w:color="231F20"/>
              </w:rPr>
            </w:pPr>
            <w:r w:rsidRPr="008E4591">
              <w:rPr>
                <w:b/>
                <w:u w:color="231F20"/>
              </w:rPr>
              <w:t>168</w:t>
            </w:r>
          </w:p>
        </w:tc>
        <w:tc>
          <w:tcPr>
            <w:tcW w:w="1323" w:type="dxa"/>
          </w:tcPr>
          <w:p w14:paraId="29F5F4C1" w14:textId="77777777" w:rsidR="00D61B93" w:rsidRPr="008E4591" w:rsidRDefault="00D61B93" w:rsidP="008E4591">
            <w:pPr>
              <w:pStyle w:val="TableText"/>
              <w:tabs>
                <w:tab w:val="decimal" w:pos="652"/>
              </w:tabs>
              <w:rPr>
                <w:b/>
                <w:u w:color="231F20"/>
              </w:rPr>
            </w:pPr>
            <w:r w:rsidRPr="008E4591">
              <w:rPr>
                <w:b/>
                <w:u w:color="231F20"/>
              </w:rPr>
              <w:t>97</w:t>
            </w:r>
          </w:p>
        </w:tc>
        <w:tc>
          <w:tcPr>
            <w:tcW w:w="1323" w:type="dxa"/>
          </w:tcPr>
          <w:p w14:paraId="5BBB5139" w14:textId="77777777" w:rsidR="00D61B93" w:rsidRPr="008E4591" w:rsidRDefault="00D61B93" w:rsidP="008E4591">
            <w:pPr>
              <w:pStyle w:val="TableText"/>
              <w:tabs>
                <w:tab w:val="decimal" w:pos="652"/>
              </w:tabs>
              <w:rPr>
                <w:b/>
              </w:rPr>
            </w:pPr>
            <w:r w:rsidRPr="008E4591">
              <w:rPr>
                <w:b/>
                <w:u w:color="231F20"/>
              </w:rPr>
              <w:t>265</w:t>
            </w:r>
          </w:p>
        </w:tc>
      </w:tr>
    </w:tbl>
    <w:p w14:paraId="3B6BD0EC" w14:textId="33142407" w:rsidR="00740DA6" w:rsidRPr="00EC5EF1" w:rsidRDefault="00740DA6" w:rsidP="008E4591">
      <w:pPr>
        <w:pStyle w:val="Source"/>
      </w:pPr>
      <w:r w:rsidRPr="00EC5EF1">
        <w:t>Source: PRIMHD data, extracted on 14 August 2018, except for Nelson Marlborough, Southern and Whanganui DHBs, which submitted data manually</w:t>
      </w:r>
    </w:p>
    <w:p w14:paraId="22BC17D1" w14:textId="77777777" w:rsidR="00740DA6" w:rsidRPr="00EC5EF1" w:rsidRDefault="00740DA6" w:rsidP="008E4591"/>
    <w:p w14:paraId="1EF36CEA" w14:textId="1BAC910F" w:rsidR="00740DA6" w:rsidRPr="00EC5EF1" w:rsidRDefault="00740DA6" w:rsidP="00475708">
      <w:pPr>
        <w:pStyle w:val="Figure"/>
      </w:pPr>
      <w:bookmarkStart w:id="146" w:name="_Toc2845744"/>
      <w:r w:rsidRPr="00EC5EF1">
        <w:lastRenderedPageBreak/>
        <w:t>Figure 42: Number of people treated with ECT, by age group and sex, 1 January to 31</w:t>
      </w:r>
      <w:r w:rsidR="00475708">
        <w:t> </w:t>
      </w:r>
      <w:r w:rsidRPr="00EC5EF1">
        <w:t>December 2017</w:t>
      </w:r>
      <w:bookmarkEnd w:id="146"/>
    </w:p>
    <w:p w14:paraId="584F491F" w14:textId="7BD5A42C" w:rsidR="00740DA6" w:rsidRPr="00475708" w:rsidRDefault="00B0271E" w:rsidP="00475708">
      <w:r>
        <w:rPr>
          <w:noProof/>
          <w:lang w:eastAsia="en-NZ"/>
        </w:rPr>
        <w:drawing>
          <wp:inline distT="0" distB="0" distL="0" distR="0" wp14:anchorId="4E0828F7" wp14:editId="7B8C7560">
            <wp:extent cx="5130165" cy="2588102"/>
            <wp:effectExtent l="0" t="0" r="0" b="3175"/>
            <wp:docPr id="57" name="Picture 57" title="Figure 42: Number of people treated with ECT, by age group and sex, 1 January to 31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130165" cy="2588102"/>
                    </a:xfrm>
                    <a:prstGeom prst="rect">
                      <a:avLst/>
                    </a:prstGeom>
                  </pic:spPr>
                </pic:pic>
              </a:graphicData>
            </a:graphic>
          </wp:inline>
        </w:drawing>
      </w:r>
    </w:p>
    <w:p w14:paraId="74B50765" w14:textId="26B6ECBF" w:rsidR="00740DA6" w:rsidRPr="00EC5EF1" w:rsidRDefault="00740DA6" w:rsidP="008E4591">
      <w:pPr>
        <w:pStyle w:val="Source"/>
      </w:pPr>
      <w:r w:rsidRPr="00EC5EF1">
        <w:t>Source: PRIMHD data, extracted on 14 August 2018, except for Nelson Marlborough, Southern and Whanganui DHBs, which submitted data manually</w:t>
      </w:r>
    </w:p>
    <w:p w14:paraId="5FE9A56D" w14:textId="77777777" w:rsidR="00740DA6" w:rsidRPr="00EC5EF1" w:rsidRDefault="00740DA6" w:rsidP="008E4591"/>
    <w:p w14:paraId="217C2AA1" w14:textId="77777777" w:rsidR="00740DA6" w:rsidRPr="00EC5EF1" w:rsidRDefault="00740DA6" w:rsidP="008E4591">
      <w:pPr>
        <w:pStyle w:val="Heading4"/>
      </w:pPr>
      <w:r w:rsidRPr="00EC5EF1">
        <w:t>Ethnicity of people treated with electroconvulsive therapy</w:t>
      </w:r>
    </w:p>
    <w:p w14:paraId="337C28C6" w14:textId="3E6041D6" w:rsidR="00740DA6" w:rsidRPr="00EC5EF1" w:rsidRDefault="00740DA6" w:rsidP="008E4591">
      <w:r w:rsidRPr="00EC5EF1">
        <w:rPr>
          <w:noProof/>
          <w:lang w:eastAsia="en-NZ"/>
        </w:rPr>
        <w:drawing>
          <wp:anchor distT="0" distB="0" distL="0" distR="0" simplePos="0" relativeHeight="251823104" behindDoc="0" locked="0" layoutInCell="1" allowOverlap="1" wp14:anchorId="5A7B239C" wp14:editId="0DCA8477">
            <wp:simplePos x="0" y="0"/>
            <wp:positionH relativeFrom="page">
              <wp:posOffset>8060163</wp:posOffset>
            </wp:positionH>
            <wp:positionV relativeFrom="paragraph">
              <wp:posOffset>352298</wp:posOffset>
            </wp:positionV>
            <wp:extent cx="155575" cy="155575"/>
            <wp:effectExtent l="0" t="0" r="0" b="0"/>
            <wp:wrapNone/>
            <wp:docPr id="42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Table 22 suggests that Asian, Māori and Pacific peoples are less likely to receive ECT than those of other ethnicities. However, the numbers involved are so small that it is not statistically appropriate to compare the percentages of people receiving ECT in each ethnic group with the proportion of each ethnic group in the total population of New Zealand.</w:t>
      </w:r>
    </w:p>
    <w:p w14:paraId="3D34F5F1" w14:textId="77777777" w:rsidR="00740DA6" w:rsidRPr="00EC5EF1" w:rsidRDefault="00740DA6" w:rsidP="008E4591"/>
    <w:p w14:paraId="33CBF95D" w14:textId="0FFC468A" w:rsidR="00740DA6" w:rsidRPr="00EC5EF1" w:rsidRDefault="00740DA6" w:rsidP="00475708">
      <w:pPr>
        <w:pStyle w:val="Table"/>
      </w:pPr>
      <w:bookmarkStart w:id="147" w:name="_Toc2845766"/>
      <w:r w:rsidRPr="00EC5EF1">
        <w:t>Table 22: Number of people treated with ECT, by ethnicity, 1 January to 31 December 2017</w:t>
      </w:r>
      <w:bookmarkEnd w:id="147"/>
    </w:p>
    <w:tbl>
      <w:tblPr>
        <w:tblStyle w:val="TableGrid"/>
        <w:tblW w:w="3261" w:type="dxa"/>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985"/>
        <w:gridCol w:w="1276"/>
      </w:tblGrid>
      <w:tr w:rsidR="008E4591" w:rsidRPr="008E4591" w14:paraId="48AF73D5" w14:textId="77777777" w:rsidTr="008E4591">
        <w:trPr>
          <w:cantSplit/>
        </w:trPr>
        <w:tc>
          <w:tcPr>
            <w:tcW w:w="1985" w:type="dxa"/>
            <w:tcBorders>
              <w:top w:val="nil"/>
              <w:bottom w:val="nil"/>
            </w:tcBorders>
            <w:shd w:val="clear" w:color="auto" w:fill="D9D9D9" w:themeFill="background1" w:themeFillShade="D9"/>
          </w:tcPr>
          <w:p w14:paraId="187B38F4" w14:textId="77777777" w:rsidR="008E4591" w:rsidRPr="008E4591" w:rsidRDefault="008E4591" w:rsidP="008E4591">
            <w:pPr>
              <w:pStyle w:val="TableText"/>
              <w:rPr>
                <w:b/>
              </w:rPr>
            </w:pPr>
            <w:r w:rsidRPr="008E4591">
              <w:rPr>
                <w:b/>
              </w:rPr>
              <w:t>Ethnicity</w:t>
            </w:r>
          </w:p>
        </w:tc>
        <w:tc>
          <w:tcPr>
            <w:tcW w:w="1276" w:type="dxa"/>
            <w:tcBorders>
              <w:top w:val="nil"/>
              <w:bottom w:val="nil"/>
            </w:tcBorders>
            <w:shd w:val="clear" w:color="auto" w:fill="D9D9D9" w:themeFill="background1" w:themeFillShade="D9"/>
          </w:tcPr>
          <w:p w14:paraId="4A44B3B8" w14:textId="77777777" w:rsidR="008E4591" w:rsidRPr="008E4591" w:rsidRDefault="008E4591" w:rsidP="008E4591">
            <w:pPr>
              <w:pStyle w:val="TableText"/>
              <w:jc w:val="center"/>
              <w:rPr>
                <w:b/>
              </w:rPr>
            </w:pPr>
            <w:r w:rsidRPr="008E4591">
              <w:rPr>
                <w:b/>
              </w:rPr>
              <w:t>Number</w:t>
            </w:r>
          </w:p>
        </w:tc>
      </w:tr>
      <w:tr w:rsidR="008E4591" w:rsidRPr="008E4591" w14:paraId="570804A5" w14:textId="77777777" w:rsidTr="008E4591">
        <w:trPr>
          <w:cantSplit/>
        </w:trPr>
        <w:tc>
          <w:tcPr>
            <w:tcW w:w="1985" w:type="dxa"/>
            <w:tcBorders>
              <w:top w:val="nil"/>
            </w:tcBorders>
          </w:tcPr>
          <w:p w14:paraId="51BED84E" w14:textId="4E94CB71" w:rsidR="008E4591" w:rsidRPr="008E4591" w:rsidRDefault="008E4591" w:rsidP="008E4591">
            <w:pPr>
              <w:pStyle w:val="TableText"/>
              <w:rPr>
                <w:u w:color="808285"/>
              </w:rPr>
            </w:pPr>
            <w:r w:rsidRPr="008E4591">
              <w:rPr>
                <w:u w:color="808285"/>
              </w:rPr>
              <w:t>Asian</w:t>
            </w:r>
          </w:p>
        </w:tc>
        <w:tc>
          <w:tcPr>
            <w:tcW w:w="1276" w:type="dxa"/>
            <w:tcBorders>
              <w:top w:val="nil"/>
            </w:tcBorders>
          </w:tcPr>
          <w:p w14:paraId="217D17D5" w14:textId="77777777" w:rsidR="008E4591" w:rsidRPr="008E4591" w:rsidRDefault="008E4591" w:rsidP="008E4591">
            <w:pPr>
              <w:pStyle w:val="TableText"/>
              <w:tabs>
                <w:tab w:val="decimal" w:pos="652"/>
              </w:tabs>
              <w:rPr>
                <w:u w:color="808285"/>
              </w:rPr>
            </w:pPr>
            <w:r w:rsidRPr="008E4591">
              <w:rPr>
                <w:u w:color="808285"/>
              </w:rPr>
              <w:t>14</w:t>
            </w:r>
          </w:p>
        </w:tc>
      </w:tr>
      <w:tr w:rsidR="008E4591" w:rsidRPr="008E4591" w14:paraId="52F65213" w14:textId="77777777" w:rsidTr="008E4591">
        <w:trPr>
          <w:cantSplit/>
        </w:trPr>
        <w:tc>
          <w:tcPr>
            <w:tcW w:w="1985" w:type="dxa"/>
          </w:tcPr>
          <w:p w14:paraId="69A7059B" w14:textId="3D4D8E1C" w:rsidR="008E4591" w:rsidRPr="008E4591" w:rsidRDefault="008E4591" w:rsidP="008E4591">
            <w:pPr>
              <w:pStyle w:val="TableText"/>
              <w:rPr>
                <w:u w:color="808285"/>
              </w:rPr>
            </w:pPr>
            <w:r w:rsidRPr="008E4591">
              <w:rPr>
                <w:u w:color="808285"/>
              </w:rPr>
              <w:t>Māori</w:t>
            </w:r>
          </w:p>
        </w:tc>
        <w:tc>
          <w:tcPr>
            <w:tcW w:w="1276" w:type="dxa"/>
          </w:tcPr>
          <w:p w14:paraId="478EF914" w14:textId="77777777" w:rsidR="008E4591" w:rsidRPr="008E4591" w:rsidRDefault="008E4591" w:rsidP="008E4591">
            <w:pPr>
              <w:pStyle w:val="TableText"/>
              <w:tabs>
                <w:tab w:val="decimal" w:pos="652"/>
              </w:tabs>
              <w:rPr>
                <w:u w:color="808285"/>
              </w:rPr>
            </w:pPr>
            <w:r w:rsidRPr="008E4591">
              <w:rPr>
                <w:u w:color="808285"/>
              </w:rPr>
              <w:t>28</w:t>
            </w:r>
          </w:p>
        </w:tc>
      </w:tr>
      <w:tr w:rsidR="008E4591" w:rsidRPr="008E4591" w14:paraId="350F74E0" w14:textId="77777777" w:rsidTr="008E4591">
        <w:trPr>
          <w:cantSplit/>
        </w:trPr>
        <w:tc>
          <w:tcPr>
            <w:tcW w:w="1985" w:type="dxa"/>
          </w:tcPr>
          <w:p w14:paraId="4EB78CA0" w14:textId="63519CC4" w:rsidR="008E4591" w:rsidRPr="008E4591" w:rsidRDefault="008E4591" w:rsidP="008E4591">
            <w:pPr>
              <w:pStyle w:val="TableText"/>
              <w:rPr>
                <w:u w:color="808285"/>
              </w:rPr>
            </w:pPr>
            <w:r w:rsidRPr="008E4591">
              <w:rPr>
                <w:u w:color="808285"/>
              </w:rPr>
              <w:t>Pacific</w:t>
            </w:r>
          </w:p>
        </w:tc>
        <w:tc>
          <w:tcPr>
            <w:tcW w:w="1276" w:type="dxa"/>
          </w:tcPr>
          <w:p w14:paraId="729ABB47" w14:textId="77777777" w:rsidR="008E4591" w:rsidRPr="008E4591" w:rsidRDefault="008E4591" w:rsidP="008E4591">
            <w:pPr>
              <w:pStyle w:val="TableText"/>
              <w:tabs>
                <w:tab w:val="decimal" w:pos="652"/>
              </w:tabs>
              <w:rPr>
                <w:u w:color="808285"/>
              </w:rPr>
            </w:pPr>
            <w:r w:rsidRPr="008E4591">
              <w:rPr>
                <w:u w:color="808285"/>
              </w:rPr>
              <w:t>11</w:t>
            </w:r>
          </w:p>
        </w:tc>
      </w:tr>
      <w:tr w:rsidR="008E4591" w:rsidRPr="008E4591" w14:paraId="66EFCAF5" w14:textId="77777777" w:rsidTr="008E4591">
        <w:trPr>
          <w:cantSplit/>
        </w:trPr>
        <w:tc>
          <w:tcPr>
            <w:tcW w:w="1985" w:type="dxa"/>
          </w:tcPr>
          <w:p w14:paraId="2D038660" w14:textId="4CF7E7D0" w:rsidR="008E4591" w:rsidRPr="008E4591" w:rsidRDefault="008E4591" w:rsidP="008E4591">
            <w:pPr>
              <w:pStyle w:val="TableText"/>
              <w:rPr>
                <w:u w:color="808285"/>
              </w:rPr>
            </w:pPr>
            <w:r w:rsidRPr="008E4591">
              <w:rPr>
                <w:u w:color="808285"/>
              </w:rPr>
              <w:t>Other</w:t>
            </w:r>
          </w:p>
        </w:tc>
        <w:tc>
          <w:tcPr>
            <w:tcW w:w="1276" w:type="dxa"/>
          </w:tcPr>
          <w:p w14:paraId="7B46D1E9" w14:textId="77777777" w:rsidR="008E4591" w:rsidRPr="008E4591" w:rsidRDefault="008E4591" w:rsidP="008E4591">
            <w:pPr>
              <w:pStyle w:val="TableText"/>
              <w:tabs>
                <w:tab w:val="decimal" w:pos="652"/>
              </w:tabs>
              <w:rPr>
                <w:u w:color="808285"/>
              </w:rPr>
            </w:pPr>
            <w:r w:rsidRPr="008E4591">
              <w:rPr>
                <w:u w:color="808285"/>
              </w:rPr>
              <w:t>212</w:t>
            </w:r>
          </w:p>
        </w:tc>
      </w:tr>
      <w:tr w:rsidR="008E4591" w:rsidRPr="008E4591" w14:paraId="045981DB" w14:textId="77777777" w:rsidTr="008E4591">
        <w:trPr>
          <w:cantSplit/>
        </w:trPr>
        <w:tc>
          <w:tcPr>
            <w:tcW w:w="1985" w:type="dxa"/>
          </w:tcPr>
          <w:p w14:paraId="184A07D3" w14:textId="5D8503E2" w:rsidR="008E4591" w:rsidRPr="008E4591" w:rsidRDefault="008E4591" w:rsidP="008E4591">
            <w:pPr>
              <w:pStyle w:val="TableText"/>
              <w:rPr>
                <w:b/>
                <w:u w:color="231F20"/>
              </w:rPr>
            </w:pPr>
            <w:r w:rsidRPr="008E4591">
              <w:rPr>
                <w:b/>
                <w:u w:color="231F20"/>
              </w:rPr>
              <w:t>Total</w:t>
            </w:r>
          </w:p>
        </w:tc>
        <w:tc>
          <w:tcPr>
            <w:tcW w:w="1276" w:type="dxa"/>
          </w:tcPr>
          <w:p w14:paraId="6B1AF5ED" w14:textId="77777777" w:rsidR="008E4591" w:rsidRPr="008E4591" w:rsidRDefault="008E4591" w:rsidP="008E4591">
            <w:pPr>
              <w:pStyle w:val="TableText"/>
              <w:tabs>
                <w:tab w:val="decimal" w:pos="652"/>
              </w:tabs>
              <w:rPr>
                <w:b/>
              </w:rPr>
            </w:pPr>
            <w:r w:rsidRPr="008E4591">
              <w:rPr>
                <w:b/>
                <w:u w:color="231F20"/>
              </w:rPr>
              <w:t>265</w:t>
            </w:r>
          </w:p>
        </w:tc>
      </w:tr>
    </w:tbl>
    <w:p w14:paraId="5502E985" w14:textId="52A52ACF" w:rsidR="00740DA6" w:rsidRPr="00EC5EF1" w:rsidRDefault="00740DA6" w:rsidP="008E4591">
      <w:pPr>
        <w:pStyle w:val="Source"/>
      </w:pPr>
      <w:r w:rsidRPr="00EC5EF1">
        <w:t>Source: PRIMHD data, extracted on 14 August 2018, except for Nelson Marlborough, Southern and Whanganui DHBs, which submitted data manually</w:t>
      </w:r>
    </w:p>
    <w:p w14:paraId="6852E2DF" w14:textId="77777777" w:rsidR="00740DA6" w:rsidRPr="00EC5EF1" w:rsidRDefault="00740DA6" w:rsidP="008E4591"/>
    <w:p w14:paraId="430C99F7" w14:textId="77777777" w:rsidR="00740DA6" w:rsidRPr="00EC5EF1" w:rsidRDefault="00740DA6" w:rsidP="00475708">
      <w:pPr>
        <w:pStyle w:val="Heading1"/>
      </w:pPr>
      <w:bookmarkStart w:id="148" w:name="_Toc2845688"/>
      <w:r w:rsidRPr="00EC5EF1">
        <w:lastRenderedPageBreak/>
        <w:t>References</w:t>
      </w:r>
      <w:bookmarkEnd w:id="148"/>
    </w:p>
    <w:p w14:paraId="557B66BB" w14:textId="77777777" w:rsidR="00740DA6" w:rsidRPr="00EC5EF1" w:rsidRDefault="00740DA6" w:rsidP="00193432">
      <w:pPr>
        <w:pStyle w:val="References"/>
      </w:pPr>
      <w:r w:rsidRPr="00EC5EF1">
        <w:t xml:space="preserve">American Psychiatric Association. 2001. </w:t>
      </w:r>
      <w:r w:rsidRPr="00193432">
        <w:rPr>
          <w:i/>
        </w:rPr>
        <w:t>The Practice of ECT: A task force report</w:t>
      </w:r>
      <w:r w:rsidRPr="00EC5EF1">
        <w:rPr>
          <w:rFonts w:ascii="Calibri"/>
          <w:i/>
        </w:rPr>
        <w:t xml:space="preserve"> </w:t>
      </w:r>
      <w:r w:rsidRPr="00EC5EF1">
        <w:t xml:space="preserve">(2nd </w:t>
      </w:r>
      <w:proofErr w:type="spellStart"/>
      <w:proofErr w:type="gramStart"/>
      <w:r w:rsidRPr="00EC5EF1">
        <w:t>ed</w:t>
      </w:r>
      <w:proofErr w:type="spellEnd"/>
      <w:proofErr w:type="gramEnd"/>
      <w:r w:rsidRPr="00EC5EF1">
        <w:t>). Washington, DC: American Psychiatric Association.</w:t>
      </w:r>
    </w:p>
    <w:p w14:paraId="7A20F124" w14:textId="252E5AB8" w:rsidR="00740DA6" w:rsidRPr="00EC5EF1" w:rsidRDefault="00740DA6" w:rsidP="00193432">
      <w:pPr>
        <w:pStyle w:val="References"/>
      </w:pPr>
      <w:r w:rsidRPr="00EC5EF1">
        <w:t xml:space="preserve">Associate Minister of Health. 2006. </w:t>
      </w:r>
      <w:r w:rsidRPr="00193432">
        <w:rPr>
          <w:i/>
        </w:rPr>
        <w:t>New Zealand Suicide Prevention Strategy</w:t>
      </w:r>
      <w:r w:rsidR="00193432">
        <w:rPr>
          <w:i/>
        </w:rPr>
        <w:br/>
      </w:r>
      <w:r w:rsidRPr="00193432">
        <w:rPr>
          <w:i/>
        </w:rPr>
        <w:t>2006–2016</w:t>
      </w:r>
      <w:r w:rsidRPr="00EC5EF1">
        <w:t>. Wellington: Ministry of Health.</w:t>
      </w:r>
    </w:p>
    <w:p w14:paraId="5CCFF0C8" w14:textId="07EBBA4D" w:rsidR="00740DA6" w:rsidRPr="00EC5EF1" w:rsidRDefault="00740DA6" w:rsidP="00193432">
      <w:pPr>
        <w:pStyle w:val="References"/>
      </w:pPr>
      <w:r w:rsidRPr="00EC5EF1">
        <w:t xml:space="preserve">Baker M. 2015. </w:t>
      </w:r>
      <w:r w:rsidRPr="00193432">
        <w:rPr>
          <w:i/>
        </w:rPr>
        <w:t xml:space="preserve">He Kai </w:t>
      </w:r>
      <w:proofErr w:type="spellStart"/>
      <w:r w:rsidRPr="00193432">
        <w:rPr>
          <w:i/>
        </w:rPr>
        <w:t>i</w:t>
      </w:r>
      <w:proofErr w:type="spellEnd"/>
      <w:r w:rsidRPr="00193432">
        <w:rPr>
          <w:i/>
        </w:rPr>
        <w:t xml:space="preserve"> </w:t>
      </w:r>
      <w:proofErr w:type="spellStart"/>
      <w:r w:rsidRPr="00193432">
        <w:rPr>
          <w:i/>
        </w:rPr>
        <w:t>nga</w:t>
      </w:r>
      <w:proofErr w:type="spellEnd"/>
      <w:r w:rsidRPr="00193432">
        <w:rPr>
          <w:i/>
        </w:rPr>
        <w:t xml:space="preserve"> </w:t>
      </w:r>
      <w:proofErr w:type="spellStart"/>
      <w:r w:rsidRPr="00193432">
        <w:rPr>
          <w:i/>
        </w:rPr>
        <w:t>Rangatira</w:t>
      </w:r>
      <w:proofErr w:type="spellEnd"/>
      <w:r w:rsidRPr="00193432">
        <w:rPr>
          <w:i/>
        </w:rPr>
        <w:t xml:space="preserve">: He korero o </w:t>
      </w:r>
      <w:proofErr w:type="spellStart"/>
      <w:r w:rsidRPr="00193432">
        <w:rPr>
          <w:i/>
        </w:rPr>
        <w:t>nga</w:t>
      </w:r>
      <w:proofErr w:type="spellEnd"/>
      <w:r w:rsidRPr="00193432">
        <w:rPr>
          <w:i/>
        </w:rPr>
        <w:t xml:space="preserve"> whānau </w:t>
      </w:r>
      <w:proofErr w:type="spellStart"/>
      <w:r w:rsidRPr="00193432">
        <w:rPr>
          <w:i/>
        </w:rPr>
        <w:t>whaiora</w:t>
      </w:r>
      <w:proofErr w:type="spellEnd"/>
      <w:r w:rsidRPr="00193432">
        <w:rPr>
          <w:i/>
        </w:rPr>
        <w:t>.</w:t>
      </w:r>
      <w:r w:rsidRPr="00EC5EF1">
        <w:t xml:space="preserve"> Wellington: </w:t>
      </w:r>
      <w:proofErr w:type="spellStart"/>
      <w:r w:rsidRPr="00EC5EF1">
        <w:t>Te</w:t>
      </w:r>
      <w:proofErr w:type="spellEnd"/>
      <w:r w:rsidR="00193432">
        <w:t> </w:t>
      </w:r>
      <w:r w:rsidRPr="00EC5EF1">
        <w:t xml:space="preserve">Rau </w:t>
      </w:r>
      <w:proofErr w:type="spellStart"/>
      <w:r w:rsidRPr="00EC5EF1">
        <w:t>Matatini</w:t>
      </w:r>
      <w:proofErr w:type="spellEnd"/>
      <w:r w:rsidRPr="00EC5EF1">
        <w:t xml:space="preserve"> Ltd.</w:t>
      </w:r>
    </w:p>
    <w:p w14:paraId="3055087E" w14:textId="77777777" w:rsidR="00740DA6" w:rsidRPr="00EC5EF1" w:rsidRDefault="00740DA6" w:rsidP="00193432">
      <w:pPr>
        <w:pStyle w:val="References"/>
      </w:pPr>
      <w:proofErr w:type="spellStart"/>
      <w:r w:rsidRPr="00EC5EF1">
        <w:t>Beautrais</w:t>
      </w:r>
      <w:proofErr w:type="spellEnd"/>
      <w:r w:rsidRPr="00EC5EF1">
        <w:t xml:space="preserve"> AL, Collings SCD, </w:t>
      </w:r>
      <w:proofErr w:type="spellStart"/>
      <w:r w:rsidRPr="00EC5EF1">
        <w:t>Ehrhardt</w:t>
      </w:r>
      <w:proofErr w:type="spellEnd"/>
      <w:r w:rsidRPr="00EC5EF1">
        <w:t xml:space="preserve"> P, et al. 2005. </w:t>
      </w:r>
      <w:r w:rsidRPr="00193432">
        <w:rPr>
          <w:i/>
        </w:rPr>
        <w:t>Suicide Prevention: A review of evidence of risk and protective factors, and points of effective intervention.</w:t>
      </w:r>
      <w:r w:rsidRPr="00EC5EF1">
        <w:t xml:space="preserve"> Wellington: Ministry of Health.</w:t>
      </w:r>
    </w:p>
    <w:p w14:paraId="49338976" w14:textId="3775E0BD" w:rsidR="00740DA6" w:rsidRPr="00EC5EF1" w:rsidRDefault="00740DA6" w:rsidP="00193432">
      <w:pPr>
        <w:pStyle w:val="References"/>
      </w:pPr>
      <w:r w:rsidRPr="00EC5EF1">
        <w:t xml:space="preserve">Cunningham R, </w:t>
      </w:r>
      <w:proofErr w:type="spellStart"/>
      <w:r w:rsidRPr="00EC5EF1">
        <w:t>Sarfati</w:t>
      </w:r>
      <w:proofErr w:type="spellEnd"/>
      <w:r w:rsidRPr="00EC5EF1">
        <w:t xml:space="preserve"> D, Peterson D, et al. 2014. Premature mortality in adults using New Zealand psychiatric services. </w:t>
      </w:r>
      <w:r w:rsidRPr="00193432">
        <w:rPr>
          <w:i/>
        </w:rPr>
        <w:t>New Zealand Medical Journal</w:t>
      </w:r>
      <w:r w:rsidRPr="00EC5EF1">
        <w:t xml:space="preserve"> 127(1394)</w:t>
      </w:r>
      <w:r w:rsidR="00193432">
        <w:t>:</w:t>
      </w:r>
      <w:r w:rsidRPr="00EC5EF1">
        <w:t xml:space="preserve"> 31–41.</w:t>
      </w:r>
    </w:p>
    <w:p w14:paraId="3C4F904D" w14:textId="48E5AC86" w:rsidR="00740DA6" w:rsidRPr="00EC5EF1" w:rsidRDefault="00740DA6" w:rsidP="00193432">
      <w:pPr>
        <w:pStyle w:val="References"/>
      </w:pPr>
      <w:r w:rsidRPr="00EC5EF1">
        <w:t>Elder H, Tapsell R. 2013. Māori and the Mental Health Act. In J Dawson and K Gledhill (</w:t>
      </w:r>
      <w:proofErr w:type="spellStart"/>
      <w:proofErr w:type="gramStart"/>
      <w:r w:rsidRPr="00EC5EF1">
        <w:t>eds</w:t>
      </w:r>
      <w:proofErr w:type="spellEnd"/>
      <w:proofErr w:type="gramEnd"/>
      <w:r w:rsidRPr="00EC5EF1">
        <w:t>).</w:t>
      </w:r>
      <w:r w:rsidR="00193432">
        <w:t xml:space="preserve"> </w:t>
      </w:r>
      <w:r w:rsidRPr="00193432">
        <w:rPr>
          <w:i/>
        </w:rPr>
        <w:t>New Zealand’s Mental Health Act in Practice</w:t>
      </w:r>
      <w:r w:rsidRPr="00EC5EF1">
        <w:t>. Wellington: Victoria University Press.</w:t>
      </w:r>
    </w:p>
    <w:p w14:paraId="535FBEE6" w14:textId="77777777" w:rsidR="00740DA6" w:rsidRPr="00EC5EF1" w:rsidRDefault="00740DA6" w:rsidP="00193432">
      <w:pPr>
        <w:pStyle w:val="References"/>
      </w:pPr>
      <w:r w:rsidRPr="00EC5EF1">
        <w:t xml:space="preserve">Elliott M. 2017. </w:t>
      </w:r>
      <w:r w:rsidRPr="00193432">
        <w:rPr>
          <w:i/>
        </w:rPr>
        <w:t xml:space="preserve">The People’s Mental Health Report: A crowdfunded and crowdsourced story- based inquiry into the public mental health system in </w:t>
      </w:r>
      <w:proofErr w:type="spellStart"/>
      <w:r w:rsidRPr="00193432">
        <w:rPr>
          <w:i/>
        </w:rPr>
        <w:t>Aotearoa</w:t>
      </w:r>
      <w:proofErr w:type="spellEnd"/>
      <w:r w:rsidRPr="00193432">
        <w:rPr>
          <w:i/>
        </w:rPr>
        <w:t xml:space="preserve"> New Zealand</w:t>
      </w:r>
      <w:r w:rsidRPr="00EC5EF1">
        <w:t xml:space="preserve">. Wellington: </w:t>
      </w:r>
      <w:proofErr w:type="spellStart"/>
      <w:r w:rsidRPr="00EC5EF1">
        <w:t>ActionStation</w:t>
      </w:r>
      <w:proofErr w:type="spellEnd"/>
      <w:r w:rsidRPr="00EC5EF1">
        <w:t xml:space="preserve"> </w:t>
      </w:r>
      <w:proofErr w:type="spellStart"/>
      <w:r w:rsidRPr="00EC5EF1">
        <w:t>Aotearoa</w:t>
      </w:r>
      <w:proofErr w:type="spellEnd"/>
      <w:r w:rsidRPr="00EC5EF1">
        <w:t xml:space="preserve">. URL: </w:t>
      </w:r>
      <w:hyperlink r:id="rId75">
        <w:r w:rsidRPr="00193432">
          <w:rPr>
            <w:rStyle w:val="Hyperlink"/>
          </w:rPr>
          <w:t>www.peoplesmentalhealthreport.com</w:t>
        </w:r>
        <w:r w:rsidRPr="00EC5EF1">
          <w:t xml:space="preserve"> </w:t>
        </w:r>
      </w:hyperlink>
      <w:r w:rsidRPr="00EC5EF1">
        <w:t>(accessed 30 November 2018).</w:t>
      </w:r>
    </w:p>
    <w:p w14:paraId="1B2B7119" w14:textId="787F4ED8" w:rsidR="00740DA6" w:rsidRPr="00EC5EF1" w:rsidRDefault="00740DA6" w:rsidP="00193432">
      <w:pPr>
        <w:pStyle w:val="References"/>
      </w:pPr>
      <w:r w:rsidRPr="00EC5EF1">
        <w:rPr>
          <w:noProof/>
          <w:lang w:eastAsia="en-NZ"/>
        </w:rPr>
        <w:drawing>
          <wp:anchor distT="0" distB="0" distL="0" distR="0" simplePos="0" relativeHeight="251825152" behindDoc="0" locked="0" layoutInCell="1" allowOverlap="1" wp14:anchorId="1AAF82C6" wp14:editId="4FBA0AE0">
            <wp:simplePos x="0" y="0"/>
            <wp:positionH relativeFrom="page">
              <wp:posOffset>8060163</wp:posOffset>
            </wp:positionH>
            <wp:positionV relativeFrom="paragraph">
              <wp:posOffset>42405</wp:posOffset>
            </wp:positionV>
            <wp:extent cx="155575" cy="155575"/>
            <wp:effectExtent l="0" t="0" r="0" b="0"/>
            <wp:wrapNone/>
            <wp:docPr id="42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 xml:space="preserve">Every-Palmer S, Barry-Walsh J, </w:t>
      </w:r>
      <w:proofErr w:type="spellStart"/>
      <w:r w:rsidRPr="00EC5EF1">
        <w:t>Pathé</w:t>
      </w:r>
      <w:proofErr w:type="spellEnd"/>
      <w:r w:rsidRPr="00EC5EF1">
        <w:t xml:space="preserve"> M. 2015. Harassment, stalking, threats and attacks targeting New Zealand politicians: A mental health issue. </w:t>
      </w:r>
      <w:r w:rsidRPr="00193432">
        <w:rPr>
          <w:i/>
        </w:rPr>
        <w:t>Australian</w:t>
      </w:r>
      <w:r w:rsidR="00DE0BB2" w:rsidRPr="00193432">
        <w:rPr>
          <w:i/>
        </w:rPr>
        <w:t xml:space="preserve"> </w:t>
      </w:r>
      <w:r w:rsidRPr="00193432">
        <w:rPr>
          <w:i/>
        </w:rPr>
        <w:t>&amp;</w:t>
      </w:r>
      <w:r w:rsidR="00DE0BB2" w:rsidRPr="00193432">
        <w:rPr>
          <w:i/>
        </w:rPr>
        <w:t xml:space="preserve"> </w:t>
      </w:r>
      <w:r w:rsidRPr="00193432">
        <w:rPr>
          <w:i/>
        </w:rPr>
        <w:t>New</w:t>
      </w:r>
      <w:r w:rsidR="00DE0BB2" w:rsidRPr="00193432">
        <w:rPr>
          <w:i/>
        </w:rPr>
        <w:t xml:space="preserve"> </w:t>
      </w:r>
      <w:r w:rsidRPr="00193432">
        <w:rPr>
          <w:i/>
        </w:rPr>
        <w:t>Zealand</w:t>
      </w:r>
      <w:r w:rsidR="00DE0BB2" w:rsidRPr="00193432">
        <w:rPr>
          <w:i/>
        </w:rPr>
        <w:t xml:space="preserve"> </w:t>
      </w:r>
      <w:r w:rsidRPr="00193432">
        <w:rPr>
          <w:i/>
        </w:rPr>
        <w:t>Journal</w:t>
      </w:r>
      <w:r w:rsidR="00DE0BB2" w:rsidRPr="00193432">
        <w:rPr>
          <w:i/>
        </w:rPr>
        <w:t xml:space="preserve"> </w:t>
      </w:r>
      <w:r w:rsidRPr="00193432">
        <w:rPr>
          <w:i/>
        </w:rPr>
        <w:t>of</w:t>
      </w:r>
      <w:r w:rsidR="00DE0BB2" w:rsidRPr="00193432">
        <w:rPr>
          <w:i/>
        </w:rPr>
        <w:t xml:space="preserve"> </w:t>
      </w:r>
      <w:r w:rsidRPr="00193432">
        <w:rPr>
          <w:i/>
        </w:rPr>
        <w:t>Psychiatry</w:t>
      </w:r>
      <w:r w:rsidR="00DE0BB2">
        <w:t xml:space="preserve"> </w:t>
      </w:r>
      <w:r w:rsidRPr="00EC5EF1">
        <w:t>49(7)</w:t>
      </w:r>
      <w:r w:rsidR="00193432">
        <w:t>:</w:t>
      </w:r>
      <w:r w:rsidRPr="00EC5EF1">
        <w:t xml:space="preserve"> 634–41.</w:t>
      </w:r>
    </w:p>
    <w:p w14:paraId="6C9E8301" w14:textId="77777777" w:rsidR="00740DA6" w:rsidRPr="00EC5EF1" w:rsidRDefault="00740DA6" w:rsidP="00193432">
      <w:pPr>
        <w:pStyle w:val="References"/>
      </w:pPr>
      <w:r w:rsidRPr="00EC5EF1">
        <w:t xml:space="preserve">HQSC. 2012. </w:t>
      </w:r>
      <w:r w:rsidRPr="00193432">
        <w:rPr>
          <w:i/>
        </w:rPr>
        <w:t>New Zealand Health and Disability Services – National Reportable Events Policy 2012</w:t>
      </w:r>
      <w:r w:rsidRPr="00EC5EF1">
        <w:t>. Wellington: Health Quality &amp; Safety Commission New Zealand.</w:t>
      </w:r>
    </w:p>
    <w:p w14:paraId="18149CAD" w14:textId="77777777" w:rsidR="00740DA6" w:rsidRPr="00EC5EF1" w:rsidRDefault="00740DA6" w:rsidP="00193432">
      <w:pPr>
        <w:pStyle w:val="References"/>
      </w:pPr>
      <w:proofErr w:type="spellStart"/>
      <w:r w:rsidRPr="00EC5EF1">
        <w:t>Huckshorn</w:t>
      </w:r>
      <w:proofErr w:type="spellEnd"/>
      <w:r w:rsidRPr="00EC5EF1">
        <w:t xml:space="preserve"> KA. 2005. </w:t>
      </w:r>
      <w:r w:rsidRPr="00193432">
        <w:rPr>
          <w:i/>
        </w:rPr>
        <w:t>Six Core Strategies to Reduce the Use of Seclusion and Restraint Planning Tool</w:t>
      </w:r>
      <w:r w:rsidRPr="00EC5EF1">
        <w:t>. Alexandria, VA: National Association of State Mental Health Program Directors.</w:t>
      </w:r>
    </w:p>
    <w:p w14:paraId="69CB4E1F" w14:textId="7F1A9382" w:rsidR="00740DA6" w:rsidRPr="00EC5EF1" w:rsidRDefault="00740DA6" w:rsidP="00193432">
      <w:pPr>
        <w:pStyle w:val="References"/>
      </w:pPr>
      <w:r w:rsidRPr="00EC5EF1">
        <w:t xml:space="preserve">Ministry of Health. 2004. </w:t>
      </w:r>
      <w:r w:rsidRPr="00193432">
        <w:rPr>
          <w:i/>
        </w:rPr>
        <w:t>Use of Electroconvulsive Therapy (ECT) in New Zealand: A</w:t>
      </w:r>
      <w:r w:rsidR="00193432">
        <w:rPr>
          <w:i/>
        </w:rPr>
        <w:t> </w:t>
      </w:r>
      <w:r w:rsidRPr="00193432">
        <w:rPr>
          <w:i/>
        </w:rPr>
        <w:t>review of efficacy, safety, and regulatory controls</w:t>
      </w:r>
      <w:r w:rsidRPr="00EC5EF1">
        <w:t>. Wellington: Ministry of Health.</w:t>
      </w:r>
    </w:p>
    <w:p w14:paraId="6553AE6A" w14:textId="5CB9285A" w:rsidR="00740DA6" w:rsidRPr="00193432" w:rsidRDefault="00740DA6" w:rsidP="00193432">
      <w:pPr>
        <w:pStyle w:val="References"/>
        <w:rPr>
          <w:i/>
        </w:rPr>
      </w:pPr>
      <w:r w:rsidRPr="00EC5EF1">
        <w:t xml:space="preserve">Ministry of Health. 2006. </w:t>
      </w:r>
      <w:r w:rsidRPr="00193432">
        <w:rPr>
          <w:i/>
        </w:rPr>
        <w:t>Review of the Application of Section 7A of the Mental Health</w:t>
      </w:r>
      <w:r w:rsidR="00193432">
        <w:t xml:space="preserve"> </w:t>
      </w:r>
      <w:r w:rsidRPr="00EC5EF1">
        <w:t>(Compulsory Assessment and Treatment) Act 1992. Wellington: Ministry of Health.</w:t>
      </w:r>
    </w:p>
    <w:p w14:paraId="56571616" w14:textId="77777777" w:rsidR="00740DA6" w:rsidRPr="00EC5EF1" w:rsidRDefault="00740DA6" w:rsidP="00193432">
      <w:pPr>
        <w:pStyle w:val="References"/>
      </w:pPr>
      <w:r w:rsidRPr="00EC5EF1">
        <w:t xml:space="preserve">Ministry of Health. 2007. </w:t>
      </w:r>
      <w:r w:rsidRPr="00193432">
        <w:rPr>
          <w:i/>
        </w:rPr>
        <w:t>National Guidelines: Interim methadone prescribing</w:t>
      </w:r>
      <w:r w:rsidRPr="00EC5EF1">
        <w:t>. Wellington: Ministry of Health.</w:t>
      </w:r>
    </w:p>
    <w:p w14:paraId="65F73450" w14:textId="77777777" w:rsidR="00740DA6" w:rsidRPr="00EC5EF1" w:rsidRDefault="00740DA6" w:rsidP="00193432">
      <w:pPr>
        <w:pStyle w:val="References"/>
      </w:pPr>
      <w:r w:rsidRPr="00EC5EF1">
        <w:t xml:space="preserve">Ministry of Health. 2009. </w:t>
      </w:r>
      <w:r w:rsidRPr="00193432">
        <w:rPr>
          <w:i/>
        </w:rPr>
        <w:t>Electroconvulsive Therapy (ECT) in New Zealand: What you and your family and whānau need to know</w:t>
      </w:r>
      <w:r w:rsidRPr="00EC5EF1">
        <w:t>. Wellington: Ministry of Health.</w:t>
      </w:r>
    </w:p>
    <w:p w14:paraId="579ED799" w14:textId="77777777" w:rsidR="00740DA6" w:rsidRPr="00EC5EF1" w:rsidRDefault="00740DA6" w:rsidP="00193432">
      <w:pPr>
        <w:pStyle w:val="References"/>
      </w:pPr>
      <w:r w:rsidRPr="00EC5EF1">
        <w:t xml:space="preserve">Ministry of Health. 2010. </w:t>
      </w:r>
      <w:r w:rsidRPr="00193432">
        <w:rPr>
          <w:i/>
        </w:rPr>
        <w:t>Seclusion under the Mental Health (Compulsory Assessment and Treatment) Act 1992</w:t>
      </w:r>
      <w:r w:rsidRPr="00EC5EF1">
        <w:t>. Wellington: Ministry of Health.</w:t>
      </w:r>
    </w:p>
    <w:p w14:paraId="03C1F010" w14:textId="77777777" w:rsidR="00740DA6" w:rsidRPr="00EC5EF1" w:rsidRDefault="00740DA6" w:rsidP="00193432">
      <w:pPr>
        <w:pStyle w:val="References"/>
      </w:pPr>
      <w:r w:rsidRPr="00EC5EF1">
        <w:t xml:space="preserve">Ministry of Health. 2012a. </w:t>
      </w:r>
      <w:r w:rsidRPr="00193432">
        <w:rPr>
          <w:i/>
        </w:rPr>
        <w:t>Guidelines for the Role and Function of Directors of Area Mental Health Services</w:t>
      </w:r>
      <w:r w:rsidRPr="00EC5EF1">
        <w:t>. Wellington: Ministry of Health.</w:t>
      </w:r>
    </w:p>
    <w:p w14:paraId="4223435E" w14:textId="77777777" w:rsidR="00740DA6" w:rsidRPr="00EC5EF1" w:rsidRDefault="00740DA6" w:rsidP="00193432">
      <w:pPr>
        <w:pStyle w:val="References"/>
      </w:pPr>
      <w:r w:rsidRPr="00EC5EF1">
        <w:lastRenderedPageBreak/>
        <w:t xml:space="preserve">Ministry of Health. 2012b. </w:t>
      </w:r>
      <w:r w:rsidRPr="00193432">
        <w:rPr>
          <w:i/>
        </w:rPr>
        <w:t>Guidelines for the Role and Function of District Inspectors Appointed under the Mental Health (Compulsory Assessment and Treatment) Act 1992</w:t>
      </w:r>
      <w:r w:rsidRPr="00EC5EF1">
        <w:t>. Wellington: Ministry of Health.</w:t>
      </w:r>
    </w:p>
    <w:p w14:paraId="5DDC57C5" w14:textId="77777777" w:rsidR="00740DA6" w:rsidRPr="00EC5EF1" w:rsidRDefault="00740DA6" w:rsidP="00193432">
      <w:pPr>
        <w:pStyle w:val="References"/>
      </w:pPr>
      <w:r w:rsidRPr="00EC5EF1">
        <w:t xml:space="preserve">Ministry of Health. 2012c. </w:t>
      </w:r>
      <w:r w:rsidRPr="00193432">
        <w:rPr>
          <w:i/>
        </w:rPr>
        <w:t>Guidelines for the Role and Function of Duly Authorised Officers under the Mental Health Act 1992</w:t>
      </w:r>
      <w:r w:rsidRPr="00EC5EF1">
        <w:t>. Wellington: Ministry of Health.</w:t>
      </w:r>
    </w:p>
    <w:p w14:paraId="73B6F440" w14:textId="77777777" w:rsidR="00740DA6" w:rsidRPr="00EC5EF1" w:rsidRDefault="00740DA6" w:rsidP="00193432">
      <w:pPr>
        <w:pStyle w:val="References"/>
      </w:pPr>
      <w:r w:rsidRPr="00EC5EF1">
        <w:t xml:space="preserve">Ministry of Health. 2012d. </w:t>
      </w:r>
      <w:r w:rsidRPr="00193432">
        <w:rPr>
          <w:i/>
        </w:rPr>
        <w:t>Guidelines to the Mental Health (Compulsory Assessment and Treatment) Act 1992</w:t>
      </w:r>
      <w:r w:rsidRPr="00EC5EF1">
        <w:t>. Wellington: Ministry of Health.</w:t>
      </w:r>
    </w:p>
    <w:p w14:paraId="4CC520B4" w14:textId="77777777" w:rsidR="00740DA6" w:rsidRPr="00EC5EF1" w:rsidRDefault="00740DA6" w:rsidP="00193432">
      <w:pPr>
        <w:pStyle w:val="References"/>
      </w:pPr>
      <w:r w:rsidRPr="00EC5EF1">
        <w:t xml:space="preserve">Ministry of Health. 2012e. </w:t>
      </w:r>
      <w:r w:rsidRPr="00193432">
        <w:rPr>
          <w:i/>
        </w:rPr>
        <w:t>Rising to the Challenge: The Mental Health and Addiction Service Development Plan 2012–2017</w:t>
      </w:r>
      <w:r w:rsidRPr="00EC5EF1">
        <w:t>. Wellington: Ministry of Health.</w:t>
      </w:r>
    </w:p>
    <w:p w14:paraId="41847122" w14:textId="464DE4E7" w:rsidR="00740DA6" w:rsidRPr="00EC5EF1" w:rsidRDefault="00740DA6" w:rsidP="00193432">
      <w:pPr>
        <w:pStyle w:val="References"/>
      </w:pPr>
      <w:r w:rsidRPr="00EC5EF1">
        <w:t xml:space="preserve">Ministry of Health. 2013a. </w:t>
      </w:r>
      <w:r w:rsidRPr="00193432">
        <w:rPr>
          <w:i/>
        </w:rPr>
        <w:t>New</w:t>
      </w:r>
      <w:r w:rsidR="00DE0BB2" w:rsidRPr="00193432">
        <w:rPr>
          <w:i/>
        </w:rPr>
        <w:t xml:space="preserve"> </w:t>
      </w:r>
      <w:r w:rsidRPr="00193432">
        <w:rPr>
          <w:i/>
        </w:rPr>
        <w:t>Zealand</w:t>
      </w:r>
      <w:r w:rsidR="00DE0BB2" w:rsidRPr="00193432">
        <w:rPr>
          <w:i/>
        </w:rPr>
        <w:t xml:space="preserve"> </w:t>
      </w:r>
      <w:r w:rsidRPr="00193432">
        <w:rPr>
          <w:i/>
        </w:rPr>
        <w:t>Suicide</w:t>
      </w:r>
      <w:r w:rsidR="00DE0BB2" w:rsidRPr="00193432">
        <w:rPr>
          <w:i/>
        </w:rPr>
        <w:t xml:space="preserve"> </w:t>
      </w:r>
      <w:r w:rsidRPr="00193432">
        <w:rPr>
          <w:i/>
        </w:rPr>
        <w:t>Prevention</w:t>
      </w:r>
      <w:r w:rsidR="00DE0BB2" w:rsidRPr="00193432">
        <w:rPr>
          <w:i/>
        </w:rPr>
        <w:t xml:space="preserve"> </w:t>
      </w:r>
      <w:r w:rsidRPr="00193432">
        <w:rPr>
          <w:i/>
        </w:rPr>
        <w:t>Action</w:t>
      </w:r>
      <w:r w:rsidR="00DE0BB2" w:rsidRPr="00193432">
        <w:rPr>
          <w:i/>
        </w:rPr>
        <w:t xml:space="preserve"> </w:t>
      </w:r>
      <w:r w:rsidRPr="00193432">
        <w:rPr>
          <w:i/>
        </w:rPr>
        <w:t>Plan</w:t>
      </w:r>
      <w:r w:rsidR="00DE0BB2" w:rsidRPr="00193432">
        <w:rPr>
          <w:i/>
        </w:rPr>
        <w:t xml:space="preserve"> </w:t>
      </w:r>
      <w:r w:rsidRPr="00193432">
        <w:rPr>
          <w:i/>
        </w:rPr>
        <w:t>2013–2016</w:t>
      </w:r>
      <w:r w:rsidRPr="00EC5EF1">
        <w:t xml:space="preserve">. Wellington: Ministry of Health. URL: </w:t>
      </w:r>
      <w:hyperlink r:id="rId76">
        <w:r w:rsidRPr="00193432">
          <w:rPr>
            <w:b/>
          </w:rPr>
          <w:t>www.health.govt.nz/publication/new-zealand-suicide-</w:t>
        </w:r>
      </w:hyperlink>
      <w:r w:rsidRPr="00193432">
        <w:rPr>
          <w:b/>
        </w:rPr>
        <w:t>prevention-action-plan-2013-2016</w:t>
      </w:r>
      <w:r w:rsidRPr="00EC5EF1">
        <w:t xml:space="preserve"> (accessed 6 December 2018).</w:t>
      </w:r>
    </w:p>
    <w:p w14:paraId="10F4F3BB" w14:textId="35535473" w:rsidR="00740DA6" w:rsidRPr="00EC5EF1" w:rsidRDefault="00740DA6" w:rsidP="00193432">
      <w:pPr>
        <w:pStyle w:val="References"/>
      </w:pPr>
      <w:r w:rsidRPr="00EC5EF1">
        <w:t xml:space="preserve">Ministry of Health. 2013b. </w:t>
      </w:r>
      <w:r w:rsidRPr="00193432">
        <w:rPr>
          <w:i/>
        </w:rPr>
        <w:t>PRIMHD: Mental health data</w:t>
      </w:r>
      <w:r w:rsidRPr="00EC5EF1">
        <w:t xml:space="preserve">. URL: </w:t>
      </w:r>
      <w:hyperlink r:id="rId77">
        <w:r w:rsidRPr="00193432">
          <w:rPr>
            <w:rStyle w:val="Hyperlink"/>
          </w:rPr>
          <w:t>www.health.govt.nz/nz-</w:t>
        </w:r>
      </w:hyperlink>
      <w:r w:rsidRPr="00193432">
        <w:rPr>
          <w:rStyle w:val="Hyperlink"/>
        </w:rPr>
        <w:t>health-statistics/national-collections-and-surveys/collections/primhd-mental-health-data</w:t>
      </w:r>
      <w:r w:rsidRPr="00EC5EF1">
        <w:t xml:space="preserve"> (accessed 8 September 2017).</w:t>
      </w:r>
    </w:p>
    <w:p w14:paraId="20370043" w14:textId="77777777" w:rsidR="00740DA6" w:rsidRPr="00EC5EF1" w:rsidRDefault="00740DA6" w:rsidP="00193432">
      <w:pPr>
        <w:pStyle w:val="References"/>
      </w:pPr>
      <w:r w:rsidRPr="00EC5EF1">
        <w:t xml:space="preserve">Ministry of Health. 2014a. </w:t>
      </w:r>
      <w:r w:rsidRPr="00193432">
        <w:rPr>
          <w:i/>
        </w:rPr>
        <w:t>New Zealand Practice Guidelines for Opioid Substitution Treatment</w:t>
      </w:r>
      <w:r w:rsidRPr="00EC5EF1">
        <w:t>. Wellington: Ministry of Health.</w:t>
      </w:r>
    </w:p>
    <w:p w14:paraId="7911CE12" w14:textId="58DB9425" w:rsidR="00740DA6" w:rsidRPr="00EC5EF1" w:rsidRDefault="00740DA6" w:rsidP="00193432">
      <w:pPr>
        <w:pStyle w:val="References"/>
      </w:pPr>
      <w:r w:rsidRPr="00EC5EF1">
        <w:t xml:space="preserve">Ministry of Health. 2014b. </w:t>
      </w:r>
      <w:r w:rsidRPr="00193432">
        <w:rPr>
          <w:i/>
        </w:rPr>
        <w:t>Specialist Opioid Substitution Treatment (OST) Service Audit and Review Tool</w:t>
      </w:r>
      <w:r w:rsidRPr="00EC5EF1">
        <w:rPr>
          <w:rFonts w:ascii="Calibri"/>
          <w:i/>
        </w:rPr>
        <w:t xml:space="preserve">. </w:t>
      </w:r>
      <w:r w:rsidRPr="00EC5EF1">
        <w:t xml:space="preserve">Wellington: Ministry of Health. URL: </w:t>
      </w:r>
      <w:hyperlink r:id="rId78">
        <w:r w:rsidRPr="00193432">
          <w:rPr>
            <w:rStyle w:val="Hyperlink"/>
          </w:rPr>
          <w:t>www.health.govt.nz/publication/specialist-</w:t>
        </w:r>
      </w:hyperlink>
      <w:r w:rsidRPr="00193432">
        <w:rPr>
          <w:rStyle w:val="Hyperlink"/>
        </w:rPr>
        <w:t>opioid-substitution-treatment-ost-service-audit-and-review-tool</w:t>
      </w:r>
      <w:r w:rsidRPr="00EC5EF1">
        <w:t xml:space="preserve"> (accessed 5 December 2018).</w:t>
      </w:r>
    </w:p>
    <w:p w14:paraId="3B1B9089" w14:textId="77777777" w:rsidR="00740DA6" w:rsidRPr="00EC5EF1" w:rsidRDefault="00740DA6" w:rsidP="00193432">
      <w:pPr>
        <w:pStyle w:val="References"/>
      </w:pPr>
      <w:r w:rsidRPr="00EC5EF1">
        <w:t xml:space="preserve">Ministry of Health. 2015a. </w:t>
      </w:r>
      <w:r w:rsidRPr="00193432">
        <w:rPr>
          <w:i/>
        </w:rPr>
        <w:t>Living Well with Diabetes: A plan for people at high risk of or living with diabetes 2015–2020</w:t>
      </w:r>
      <w:r w:rsidRPr="00EC5EF1">
        <w:t>. Wellington: Ministry of Health.</w:t>
      </w:r>
    </w:p>
    <w:p w14:paraId="1AC7148E" w14:textId="7B779DE8" w:rsidR="00740DA6" w:rsidRPr="00EC5EF1" w:rsidRDefault="00740DA6" w:rsidP="00193432">
      <w:pPr>
        <w:pStyle w:val="References"/>
      </w:pPr>
      <w:r w:rsidRPr="00EC5EF1">
        <w:t xml:space="preserve">Ministry of Health. 2015b. </w:t>
      </w:r>
      <w:r w:rsidRPr="00193432">
        <w:rPr>
          <w:i/>
        </w:rPr>
        <w:t>Suicide Facts: Deaths and intentional self-harm hospitalisations</w:t>
      </w:r>
      <w:r w:rsidR="00193432" w:rsidRPr="00193432">
        <w:rPr>
          <w:i/>
        </w:rPr>
        <w:t xml:space="preserve"> </w:t>
      </w:r>
      <w:r w:rsidRPr="00193432">
        <w:rPr>
          <w:i/>
        </w:rPr>
        <w:t>2012</w:t>
      </w:r>
      <w:r w:rsidRPr="00EC5EF1">
        <w:t>. Wellington: Ministry of Health.</w:t>
      </w:r>
    </w:p>
    <w:p w14:paraId="626C564A" w14:textId="77777777" w:rsidR="00740DA6" w:rsidRPr="00EC5EF1" w:rsidRDefault="00740DA6" w:rsidP="00193432">
      <w:pPr>
        <w:pStyle w:val="References"/>
      </w:pPr>
      <w:r w:rsidRPr="00EC5EF1">
        <w:t xml:space="preserve">Ministry of Health. 2017a. </w:t>
      </w:r>
      <w:r w:rsidRPr="00193432">
        <w:rPr>
          <w:i/>
        </w:rPr>
        <w:t>A Strategy to Prevent Suicide in New Zealand: Draft for public consultation</w:t>
      </w:r>
      <w:r w:rsidRPr="00EC5EF1">
        <w:t>. Wellington: Ministry of Health.</w:t>
      </w:r>
    </w:p>
    <w:p w14:paraId="71373264" w14:textId="36F1CCE3" w:rsidR="00740DA6" w:rsidRPr="00EC5EF1" w:rsidRDefault="00740DA6" w:rsidP="00193432">
      <w:pPr>
        <w:pStyle w:val="References"/>
      </w:pPr>
      <w:r w:rsidRPr="00EC5EF1">
        <w:rPr>
          <w:noProof/>
          <w:lang w:eastAsia="en-NZ"/>
        </w:rPr>
        <w:drawing>
          <wp:anchor distT="0" distB="0" distL="0" distR="0" simplePos="0" relativeHeight="251827200" behindDoc="0" locked="0" layoutInCell="1" allowOverlap="1" wp14:anchorId="4916CBBD" wp14:editId="48337E0C">
            <wp:simplePos x="0" y="0"/>
            <wp:positionH relativeFrom="page">
              <wp:posOffset>8060163</wp:posOffset>
            </wp:positionH>
            <wp:positionV relativeFrom="paragraph">
              <wp:posOffset>327721</wp:posOffset>
            </wp:positionV>
            <wp:extent cx="155575" cy="155575"/>
            <wp:effectExtent l="0" t="0" r="0" b="0"/>
            <wp:wrapNone/>
            <wp:docPr id="42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 xml:space="preserve">Ministry of Health. 2017b. </w:t>
      </w:r>
      <w:r w:rsidRPr="00193432">
        <w:rPr>
          <w:i/>
        </w:rPr>
        <w:t>Special Patients and Restricted Patients: Guidelines for Regional Forensic Mental Health Services.</w:t>
      </w:r>
      <w:r w:rsidRPr="00EC5EF1">
        <w:t xml:space="preserve"> Wellington: Ministry of Health. URL: </w:t>
      </w:r>
      <w:hyperlink r:id="rId79">
        <w:r w:rsidRPr="00193432">
          <w:rPr>
            <w:rStyle w:val="Hyperlink"/>
          </w:rPr>
          <w:t>www.health.govt.nz/</w:t>
        </w:r>
      </w:hyperlink>
      <w:r w:rsidRPr="00193432">
        <w:rPr>
          <w:rStyle w:val="Hyperlink"/>
        </w:rPr>
        <w:t xml:space="preserve"> publication/special-patients-and-restricted-patients-guidelines-regional-forensic-mental-health-services</w:t>
      </w:r>
      <w:r w:rsidRPr="00EC5EF1">
        <w:t xml:space="preserve"> (accessed 3 December 2018).</w:t>
      </w:r>
    </w:p>
    <w:p w14:paraId="6D951A8A" w14:textId="77777777" w:rsidR="00740DA6" w:rsidRPr="00EC5EF1" w:rsidRDefault="00740DA6" w:rsidP="00193432">
      <w:pPr>
        <w:pStyle w:val="References"/>
      </w:pPr>
      <w:r w:rsidRPr="00EC5EF1">
        <w:t xml:space="preserve">Ministry of Health. 2018a. </w:t>
      </w:r>
      <w:r w:rsidRPr="00193432">
        <w:rPr>
          <w:i/>
        </w:rPr>
        <w:t>Cardiovascular Disease Risk Assessment and Management for Primary Care</w:t>
      </w:r>
      <w:r w:rsidRPr="00EC5EF1">
        <w:t>. Wellington: Ministry of Health.</w:t>
      </w:r>
    </w:p>
    <w:p w14:paraId="0C2815D9" w14:textId="77777777" w:rsidR="00740DA6" w:rsidRPr="00EC5EF1" w:rsidRDefault="00740DA6" w:rsidP="00193432">
      <w:pPr>
        <w:pStyle w:val="References"/>
      </w:pPr>
      <w:r w:rsidRPr="00EC5EF1">
        <w:t xml:space="preserve">Ministry of Health. 2018b. </w:t>
      </w:r>
      <w:r w:rsidRPr="00193432">
        <w:rPr>
          <w:i/>
        </w:rPr>
        <w:t>Mental Health and Addiction Workforce Action Plan 2017–2021</w:t>
      </w:r>
      <w:r w:rsidRPr="00EC5EF1">
        <w:rPr>
          <w:rFonts w:ascii="Calibri" w:hAnsi="Calibri"/>
          <w:i/>
        </w:rPr>
        <w:t xml:space="preserve"> </w:t>
      </w:r>
      <w:r w:rsidRPr="00EC5EF1">
        <w:t xml:space="preserve">(2nd </w:t>
      </w:r>
      <w:proofErr w:type="spellStart"/>
      <w:r w:rsidRPr="00EC5EF1">
        <w:t>edn</w:t>
      </w:r>
      <w:proofErr w:type="spellEnd"/>
      <w:r w:rsidRPr="00EC5EF1">
        <w:t xml:space="preserve">). Wellington: Ministry of Health. URL: </w:t>
      </w:r>
      <w:hyperlink r:id="rId80">
        <w:r w:rsidRPr="00193432">
          <w:rPr>
            <w:rStyle w:val="Hyperlink"/>
          </w:rPr>
          <w:t>www.health.govt.nz/publication/mental-health-</w:t>
        </w:r>
      </w:hyperlink>
      <w:r w:rsidRPr="00193432">
        <w:rPr>
          <w:rStyle w:val="Hyperlink"/>
        </w:rPr>
        <w:t xml:space="preserve"> and-addiction-workforce-action-plan-2017-2021</w:t>
      </w:r>
      <w:r w:rsidRPr="00EC5EF1">
        <w:t xml:space="preserve"> (accessed 3 December 2018).</w:t>
      </w:r>
    </w:p>
    <w:p w14:paraId="78DAE717" w14:textId="77777777" w:rsidR="00740DA6" w:rsidRPr="00EC5EF1" w:rsidRDefault="00740DA6" w:rsidP="00193432">
      <w:pPr>
        <w:pStyle w:val="References"/>
      </w:pPr>
      <w:r w:rsidRPr="00EC5EF1">
        <w:t xml:space="preserve">Ministry of Health. 2018c. </w:t>
      </w:r>
      <w:r w:rsidRPr="00193432">
        <w:rPr>
          <w:i/>
        </w:rPr>
        <w:t>Night Safety Procedures: Transitional Guideline</w:t>
      </w:r>
      <w:r w:rsidRPr="00EC5EF1">
        <w:t xml:space="preserve">. Wellington: Ministry of Health. URL: </w:t>
      </w:r>
      <w:hyperlink r:id="rId81">
        <w:r w:rsidRPr="00193432">
          <w:rPr>
            <w:rStyle w:val="Hyperlink"/>
          </w:rPr>
          <w:t>www.health.govt.nz/publication/night-safety-procedures-</w:t>
        </w:r>
      </w:hyperlink>
      <w:r w:rsidRPr="00193432">
        <w:rPr>
          <w:rStyle w:val="Hyperlink"/>
        </w:rPr>
        <w:t xml:space="preserve"> transitional-guideline</w:t>
      </w:r>
      <w:r w:rsidRPr="00EC5EF1">
        <w:t xml:space="preserve"> (accessed 3 December 2018).</w:t>
      </w:r>
    </w:p>
    <w:p w14:paraId="00E06594" w14:textId="77777777" w:rsidR="00740DA6" w:rsidRPr="00EC5EF1" w:rsidRDefault="00740DA6" w:rsidP="00193432">
      <w:pPr>
        <w:pStyle w:val="References"/>
      </w:pPr>
      <w:r w:rsidRPr="00EC5EF1">
        <w:lastRenderedPageBreak/>
        <w:t xml:space="preserve">New Zealand Law Commission. 2010. </w:t>
      </w:r>
      <w:r w:rsidRPr="00193432">
        <w:rPr>
          <w:i/>
        </w:rPr>
        <w:t>Mental Impairment Decision-making and the Insanity Defence</w:t>
      </w:r>
      <w:r w:rsidRPr="00EC5EF1">
        <w:rPr>
          <w:rFonts w:ascii="Calibri"/>
          <w:i/>
        </w:rPr>
        <w:t xml:space="preserve">. </w:t>
      </w:r>
      <w:r w:rsidRPr="00EC5EF1">
        <w:t>Wellington: New Zealand Law Commission.</w:t>
      </w:r>
    </w:p>
    <w:p w14:paraId="3BA59AEF" w14:textId="77777777" w:rsidR="00740DA6" w:rsidRPr="00EC5EF1" w:rsidRDefault="00740DA6" w:rsidP="00193432">
      <w:pPr>
        <w:pStyle w:val="References"/>
      </w:pPr>
      <w:r w:rsidRPr="00EC5EF1">
        <w:t xml:space="preserve">New Zealand Law Commission. 2012. </w:t>
      </w:r>
      <w:r w:rsidRPr="00193432">
        <w:rPr>
          <w:i/>
        </w:rPr>
        <w:t>Compulsory Treatment for Substance Dependence: A review of the Alcoholism and Drug Addiction Act 1966</w:t>
      </w:r>
      <w:r w:rsidRPr="00EC5EF1">
        <w:t>. Wellington: New Zealand Law Commission.</w:t>
      </w:r>
    </w:p>
    <w:p w14:paraId="5B359731" w14:textId="5287074A" w:rsidR="00740DA6" w:rsidRPr="00EC5EF1" w:rsidRDefault="00740DA6" w:rsidP="00193432">
      <w:pPr>
        <w:pStyle w:val="References"/>
      </w:pPr>
      <w:r w:rsidRPr="00EC5EF1">
        <w:t xml:space="preserve">OAG. 2017. </w:t>
      </w:r>
      <w:r w:rsidRPr="00193432">
        <w:rPr>
          <w:i/>
        </w:rPr>
        <w:t>Mental Health: Effectiveness of the planning to discharge people from hospital</w:t>
      </w:r>
      <w:r w:rsidRPr="00EC5EF1">
        <w:rPr>
          <w:rFonts w:ascii="Calibri"/>
          <w:i/>
        </w:rPr>
        <w:t xml:space="preserve">. </w:t>
      </w:r>
      <w:r w:rsidRPr="00EC5EF1">
        <w:t xml:space="preserve">Wellington: Office of the Auditor-General. URL: </w:t>
      </w:r>
      <w:hyperlink r:id="rId82">
        <w:r w:rsidRPr="00193432">
          <w:rPr>
            <w:rStyle w:val="Hyperlink"/>
          </w:rPr>
          <w:t>www.oag.govt.nz/2017/mental-health/</w:t>
        </w:r>
      </w:hyperlink>
      <w:r w:rsidRPr="00193432">
        <w:rPr>
          <w:rStyle w:val="Hyperlink"/>
        </w:rPr>
        <w:t>docs/mental-health.pdf/view</w:t>
      </w:r>
      <w:r w:rsidRPr="00EC5EF1">
        <w:t xml:space="preserve"> (accessed 3</w:t>
      </w:r>
      <w:r w:rsidR="00193432">
        <w:t> </w:t>
      </w:r>
      <w:r w:rsidRPr="00EC5EF1">
        <w:t>December 2018).</w:t>
      </w:r>
    </w:p>
    <w:p w14:paraId="31F62C56" w14:textId="125B687A" w:rsidR="00740DA6" w:rsidRPr="00EC5EF1" w:rsidRDefault="00740DA6" w:rsidP="00193432">
      <w:pPr>
        <w:pStyle w:val="References"/>
      </w:pPr>
      <w:r w:rsidRPr="00EC5EF1">
        <w:t>Oakley Browne MA, Wells JE, Scott KM (</w:t>
      </w:r>
      <w:proofErr w:type="spellStart"/>
      <w:proofErr w:type="gramStart"/>
      <w:r w:rsidRPr="00EC5EF1">
        <w:t>eds</w:t>
      </w:r>
      <w:proofErr w:type="spellEnd"/>
      <w:proofErr w:type="gramEnd"/>
      <w:r w:rsidRPr="00EC5EF1">
        <w:t xml:space="preserve">). 2006. </w:t>
      </w:r>
      <w:proofErr w:type="spellStart"/>
      <w:r w:rsidRPr="00193432">
        <w:rPr>
          <w:i/>
        </w:rPr>
        <w:t>Te</w:t>
      </w:r>
      <w:proofErr w:type="spellEnd"/>
      <w:r w:rsidRPr="00193432">
        <w:rPr>
          <w:i/>
        </w:rPr>
        <w:t xml:space="preserve"> Rau </w:t>
      </w:r>
      <w:proofErr w:type="spellStart"/>
      <w:r w:rsidRPr="00193432">
        <w:rPr>
          <w:i/>
        </w:rPr>
        <w:t>Hinengaro</w:t>
      </w:r>
      <w:proofErr w:type="spellEnd"/>
      <w:r w:rsidRPr="00193432">
        <w:rPr>
          <w:i/>
        </w:rPr>
        <w:t>: The New Zealand Mental</w:t>
      </w:r>
      <w:r w:rsidR="00DE0BB2" w:rsidRPr="00193432">
        <w:rPr>
          <w:i/>
        </w:rPr>
        <w:t xml:space="preserve"> </w:t>
      </w:r>
      <w:r w:rsidRPr="00193432">
        <w:rPr>
          <w:i/>
        </w:rPr>
        <w:t>Health</w:t>
      </w:r>
      <w:r w:rsidR="00DE0BB2" w:rsidRPr="00193432">
        <w:rPr>
          <w:i/>
        </w:rPr>
        <w:t xml:space="preserve"> </w:t>
      </w:r>
      <w:r w:rsidRPr="00193432">
        <w:rPr>
          <w:i/>
        </w:rPr>
        <w:t>Survey</w:t>
      </w:r>
      <w:r w:rsidRPr="00EC5EF1">
        <w:t>. Wellington: Ministry of Health.</w:t>
      </w:r>
    </w:p>
    <w:p w14:paraId="575220EC" w14:textId="6A355AA3" w:rsidR="00740DA6" w:rsidRPr="00EC5EF1" w:rsidRDefault="00740DA6" w:rsidP="00193432">
      <w:pPr>
        <w:pStyle w:val="References"/>
      </w:pPr>
      <w:r w:rsidRPr="00EC5EF1">
        <w:t xml:space="preserve">Office for Disability Issues. 2015. </w:t>
      </w:r>
      <w:r w:rsidRPr="00193432">
        <w:rPr>
          <w:i/>
        </w:rPr>
        <w:t>Disability Action Plan 2014–2018: Update 2015: Cross-government priorities to improve disabled people’s ability to participate and contribute to</w:t>
      </w:r>
      <w:r w:rsidR="00193432">
        <w:rPr>
          <w:i/>
        </w:rPr>
        <w:t xml:space="preserve"> </w:t>
      </w:r>
      <w:r w:rsidRPr="00193432">
        <w:rPr>
          <w:i/>
        </w:rPr>
        <w:t>New Zealand</w:t>
      </w:r>
      <w:r w:rsidRPr="00EC5EF1">
        <w:t xml:space="preserve">. Wellington: Office for Disability Issues. URL: </w:t>
      </w:r>
      <w:hyperlink r:id="rId83">
        <w:r w:rsidRPr="00193432">
          <w:rPr>
            <w:rStyle w:val="Hyperlink"/>
          </w:rPr>
          <w:t>www.odi.govt.nz/nz-disability-</w:t>
        </w:r>
      </w:hyperlink>
      <w:r w:rsidRPr="00193432">
        <w:rPr>
          <w:rStyle w:val="Hyperlink"/>
        </w:rPr>
        <w:t>strategy/disability-action-plan/disability-action-plan-2014-2018-update-2015/</w:t>
      </w:r>
      <w:r w:rsidR="00DE0BB2">
        <w:t xml:space="preserve"> </w:t>
      </w:r>
      <w:r w:rsidRPr="00EC5EF1">
        <w:t>(accessed 3</w:t>
      </w:r>
      <w:r w:rsidR="00193432">
        <w:t xml:space="preserve"> </w:t>
      </w:r>
      <w:r w:rsidRPr="00EC5EF1">
        <w:t>December 2018).</w:t>
      </w:r>
    </w:p>
    <w:p w14:paraId="04C5D10F" w14:textId="77777777" w:rsidR="00740DA6" w:rsidRPr="00EC5EF1" w:rsidRDefault="00740DA6" w:rsidP="00193432">
      <w:pPr>
        <w:pStyle w:val="References"/>
      </w:pPr>
      <w:r w:rsidRPr="00EC5EF1">
        <w:t xml:space="preserve">Standards New Zealand. 2008a. </w:t>
      </w:r>
      <w:r w:rsidRPr="00193432">
        <w:rPr>
          <w:i/>
        </w:rPr>
        <w:t>Health and Disability Services (General) Standard</w:t>
      </w:r>
      <w:r w:rsidRPr="00EC5EF1">
        <w:t>. Wellington: Standards Council.</w:t>
      </w:r>
    </w:p>
    <w:p w14:paraId="33F1DF54" w14:textId="77777777" w:rsidR="00740DA6" w:rsidRPr="00EC5EF1" w:rsidRDefault="00740DA6" w:rsidP="00193432">
      <w:pPr>
        <w:pStyle w:val="References"/>
      </w:pPr>
      <w:r w:rsidRPr="00EC5EF1">
        <w:t xml:space="preserve">Standards New Zealand. 2008b. </w:t>
      </w:r>
      <w:r w:rsidRPr="00193432">
        <w:rPr>
          <w:i/>
        </w:rPr>
        <w:t>Health and Disability Services (Restraint Minimisation and Safe Practices) Standards</w:t>
      </w:r>
      <w:r w:rsidRPr="00EC5EF1">
        <w:t>. Wellington: Standards Council.</w:t>
      </w:r>
    </w:p>
    <w:p w14:paraId="611159CD" w14:textId="7D761755" w:rsidR="00740DA6" w:rsidRPr="00EC5EF1" w:rsidRDefault="00740DA6" w:rsidP="00193432">
      <w:pPr>
        <w:pStyle w:val="References"/>
      </w:pPr>
      <w:r w:rsidRPr="00EC5EF1">
        <w:t xml:space="preserve">Simon RJ, </w:t>
      </w:r>
      <w:proofErr w:type="spellStart"/>
      <w:r w:rsidRPr="00EC5EF1">
        <w:t>Ahn</w:t>
      </w:r>
      <w:proofErr w:type="spellEnd"/>
      <w:r w:rsidRPr="00EC5EF1">
        <w:t xml:space="preserve">-Redding H. 2006. </w:t>
      </w:r>
      <w:r w:rsidRPr="00193432">
        <w:rPr>
          <w:i/>
        </w:rPr>
        <w:t xml:space="preserve">The Insanity </w:t>
      </w:r>
      <w:proofErr w:type="spellStart"/>
      <w:r w:rsidRPr="00193432">
        <w:rPr>
          <w:i/>
        </w:rPr>
        <w:t>Defense</w:t>
      </w:r>
      <w:proofErr w:type="spellEnd"/>
      <w:r w:rsidRPr="00193432">
        <w:rPr>
          <w:i/>
        </w:rPr>
        <w:t>, the World Over</w:t>
      </w:r>
      <w:r w:rsidRPr="00EC5EF1">
        <w:t>. Lanham, Maryland: Rowman &amp; Littlefield.</w:t>
      </w:r>
    </w:p>
    <w:p w14:paraId="62CC419B" w14:textId="5F4C7538" w:rsidR="00740DA6" w:rsidRPr="00EC5EF1" w:rsidRDefault="00740DA6" w:rsidP="00193432">
      <w:pPr>
        <w:pStyle w:val="References"/>
      </w:pPr>
      <w:r w:rsidRPr="00EC5EF1">
        <w:t xml:space="preserve">Suicide Mortality Review Committee. 2016a. </w:t>
      </w:r>
      <w:proofErr w:type="spellStart"/>
      <w:r w:rsidRPr="00193432">
        <w:rPr>
          <w:i/>
        </w:rPr>
        <w:t>Ngā</w:t>
      </w:r>
      <w:proofErr w:type="spellEnd"/>
      <w:r w:rsidRPr="00193432">
        <w:rPr>
          <w:i/>
        </w:rPr>
        <w:t xml:space="preserve"> </w:t>
      </w:r>
      <w:proofErr w:type="spellStart"/>
      <w:r w:rsidRPr="00193432">
        <w:rPr>
          <w:i/>
        </w:rPr>
        <w:t>Rāhui</w:t>
      </w:r>
      <w:proofErr w:type="spellEnd"/>
      <w:r w:rsidRPr="00193432">
        <w:rPr>
          <w:i/>
        </w:rPr>
        <w:t xml:space="preserve"> </w:t>
      </w:r>
      <w:proofErr w:type="spellStart"/>
      <w:r w:rsidRPr="00193432">
        <w:rPr>
          <w:i/>
        </w:rPr>
        <w:t>Hau</w:t>
      </w:r>
      <w:proofErr w:type="spellEnd"/>
      <w:r w:rsidRPr="00193432">
        <w:rPr>
          <w:i/>
        </w:rPr>
        <w:t xml:space="preserve"> Kura: Suicide Mortality Review Committee</w:t>
      </w:r>
      <w:r w:rsidR="00DE0BB2" w:rsidRPr="00193432">
        <w:rPr>
          <w:i/>
        </w:rPr>
        <w:t xml:space="preserve"> </w:t>
      </w:r>
      <w:r w:rsidRPr="00193432">
        <w:rPr>
          <w:i/>
        </w:rPr>
        <w:t>Feasibility</w:t>
      </w:r>
      <w:r w:rsidR="00DE0BB2" w:rsidRPr="00193432">
        <w:rPr>
          <w:i/>
        </w:rPr>
        <w:t xml:space="preserve"> </w:t>
      </w:r>
      <w:r w:rsidRPr="00193432">
        <w:rPr>
          <w:i/>
        </w:rPr>
        <w:t>Study 2014–15</w:t>
      </w:r>
      <w:r w:rsidRPr="00EC5EF1">
        <w:t>. Wellington: Suicide Mortality Review Committee.</w:t>
      </w:r>
      <w:r w:rsidR="00193432">
        <w:t xml:space="preserve"> </w:t>
      </w:r>
      <w:r w:rsidRPr="00EC5EF1">
        <w:t xml:space="preserve">URL: </w:t>
      </w:r>
      <w:hyperlink r:id="rId84">
        <w:r w:rsidRPr="00193432">
          <w:rPr>
            <w:rStyle w:val="Hyperlink"/>
          </w:rPr>
          <w:t>www.hqsc.govt.nz/our-programmes/mrc/sumrc/publications-and-resources/</w:t>
        </w:r>
      </w:hyperlink>
      <w:r w:rsidRPr="00193432">
        <w:rPr>
          <w:rStyle w:val="Hyperlink"/>
        </w:rPr>
        <w:t>publication/2471</w:t>
      </w:r>
      <w:r w:rsidRPr="00EC5EF1">
        <w:t xml:space="preserve"> (accessed 5 December 2018).</w:t>
      </w:r>
    </w:p>
    <w:p w14:paraId="1DDD7528" w14:textId="7D18A5C8" w:rsidR="00740DA6" w:rsidRPr="00EC5EF1" w:rsidRDefault="00740DA6" w:rsidP="00193432">
      <w:pPr>
        <w:pStyle w:val="References"/>
      </w:pPr>
      <w:r w:rsidRPr="00EC5EF1">
        <w:t xml:space="preserve">Suicide Mortality Review Committee. 2016b. </w:t>
      </w:r>
      <w:proofErr w:type="spellStart"/>
      <w:r w:rsidRPr="00193432">
        <w:rPr>
          <w:i/>
        </w:rPr>
        <w:t>Ngā</w:t>
      </w:r>
      <w:proofErr w:type="spellEnd"/>
      <w:r w:rsidRPr="00193432">
        <w:rPr>
          <w:i/>
        </w:rPr>
        <w:t xml:space="preserve"> </w:t>
      </w:r>
      <w:proofErr w:type="spellStart"/>
      <w:r w:rsidRPr="00193432">
        <w:rPr>
          <w:i/>
        </w:rPr>
        <w:t>Rāhui</w:t>
      </w:r>
      <w:proofErr w:type="spellEnd"/>
      <w:r w:rsidRPr="00193432">
        <w:rPr>
          <w:i/>
        </w:rPr>
        <w:t xml:space="preserve"> </w:t>
      </w:r>
      <w:proofErr w:type="spellStart"/>
      <w:r w:rsidRPr="00193432">
        <w:rPr>
          <w:i/>
        </w:rPr>
        <w:t>Hau</w:t>
      </w:r>
      <w:proofErr w:type="spellEnd"/>
      <w:r w:rsidRPr="00193432">
        <w:rPr>
          <w:i/>
        </w:rPr>
        <w:t xml:space="preserve"> Kura: Suicide Mortality Review Committee Feasibility Study 2014–15. Report to the Ministry of Health, 31 May</w:t>
      </w:r>
      <w:r w:rsidR="00193432">
        <w:rPr>
          <w:i/>
        </w:rPr>
        <w:t xml:space="preserve"> </w:t>
      </w:r>
      <w:r w:rsidRPr="00193432">
        <w:rPr>
          <w:i/>
        </w:rPr>
        <w:t>2016</w:t>
      </w:r>
      <w:r w:rsidRPr="00EC5EF1">
        <w:t xml:space="preserve">. Wellington: Suicide Mortality Review Committee. URL: </w:t>
      </w:r>
      <w:hyperlink r:id="rId85">
        <w:r w:rsidRPr="00193432">
          <w:rPr>
            <w:rStyle w:val="Hyperlink"/>
          </w:rPr>
          <w:t>www.hqsc.govt.nz/our-</w:t>
        </w:r>
      </w:hyperlink>
      <w:r w:rsidRPr="00193432">
        <w:rPr>
          <w:rStyle w:val="Hyperlink"/>
        </w:rPr>
        <w:t xml:space="preserve"> programmes/</w:t>
      </w:r>
      <w:proofErr w:type="spellStart"/>
      <w:r w:rsidRPr="00193432">
        <w:rPr>
          <w:rStyle w:val="Hyperlink"/>
        </w:rPr>
        <w:t>mrc</w:t>
      </w:r>
      <w:proofErr w:type="spellEnd"/>
      <w:r w:rsidRPr="00193432">
        <w:rPr>
          <w:rStyle w:val="Hyperlink"/>
        </w:rPr>
        <w:t>/</w:t>
      </w:r>
      <w:proofErr w:type="spellStart"/>
      <w:r w:rsidRPr="00193432">
        <w:rPr>
          <w:rStyle w:val="Hyperlink"/>
        </w:rPr>
        <w:t>sumrc</w:t>
      </w:r>
      <w:proofErr w:type="spellEnd"/>
      <w:r w:rsidRPr="00193432">
        <w:rPr>
          <w:rStyle w:val="Hyperlink"/>
        </w:rPr>
        <w:t>/publications-and-resources/publication/2471</w:t>
      </w:r>
      <w:r w:rsidR="00DE0BB2">
        <w:t xml:space="preserve"> </w:t>
      </w:r>
      <w:r w:rsidRPr="00EC5EF1">
        <w:t>(accessed</w:t>
      </w:r>
      <w:r w:rsidR="00DE0BB2">
        <w:t xml:space="preserve"> </w:t>
      </w:r>
      <w:r w:rsidRPr="00EC5EF1">
        <w:t>5</w:t>
      </w:r>
      <w:r w:rsidR="00193432">
        <w:t xml:space="preserve"> </w:t>
      </w:r>
      <w:r w:rsidRPr="00EC5EF1">
        <w:t>December 2018).</w:t>
      </w:r>
    </w:p>
    <w:p w14:paraId="53E44776" w14:textId="7A777317" w:rsidR="00740DA6" w:rsidRPr="00EC5EF1" w:rsidRDefault="00740DA6" w:rsidP="00193432">
      <w:pPr>
        <w:pStyle w:val="References"/>
      </w:pPr>
      <w:r w:rsidRPr="00EC5EF1">
        <w:rPr>
          <w:noProof/>
          <w:lang w:eastAsia="en-NZ"/>
        </w:rPr>
        <w:drawing>
          <wp:anchor distT="0" distB="0" distL="0" distR="0" simplePos="0" relativeHeight="251829248" behindDoc="0" locked="0" layoutInCell="1" allowOverlap="1" wp14:anchorId="5C6A0C2D" wp14:editId="5387264D">
            <wp:simplePos x="0" y="0"/>
            <wp:positionH relativeFrom="page">
              <wp:posOffset>8060163</wp:posOffset>
            </wp:positionH>
            <wp:positionV relativeFrom="paragraph">
              <wp:posOffset>521148</wp:posOffset>
            </wp:positionV>
            <wp:extent cx="155575" cy="155575"/>
            <wp:effectExtent l="0" t="0" r="0" b="0"/>
            <wp:wrapNone/>
            <wp:docPr id="43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33.png"/>
                    <pic:cNvPicPr/>
                  </pic:nvPicPr>
                  <pic:blipFill>
                    <a:blip r:embed="rId26" cstate="print"/>
                    <a:stretch>
                      <a:fillRect/>
                    </a:stretch>
                  </pic:blipFill>
                  <pic:spPr>
                    <a:xfrm>
                      <a:off x="0" y="0"/>
                      <a:ext cx="155575" cy="155575"/>
                    </a:xfrm>
                    <a:prstGeom prst="rect">
                      <a:avLst/>
                    </a:prstGeom>
                  </pic:spPr>
                </pic:pic>
              </a:graphicData>
            </a:graphic>
          </wp:anchor>
        </w:drawing>
      </w:r>
      <w:proofErr w:type="spellStart"/>
      <w:r w:rsidRPr="00EC5EF1">
        <w:t>Superu</w:t>
      </w:r>
      <w:proofErr w:type="spellEnd"/>
      <w:r w:rsidRPr="00EC5EF1">
        <w:t xml:space="preserve">. 2016. </w:t>
      </w:r>
      <w:r w:rsidRPr="00193432">
        <w:rPr>
          <w:i/>
        </w:rPr>
        <w:t>The Prime Minister’s Youth Mental Health Project: Summative evaluation report</w:t>
      </w:r>
      <w:r w:rsidRPr="00EC5EF1">
        <w:t xml:space="preserve">. Wellington: Social Policy Evaluation and Research Unit. URL: </w:t>
      </w:r>
      <w:hyperlink r:id="rId86">
        <w:r w:rsidRPr="00193432">
          <w:rPr>
            <w:rStyle w:val="Hyperlink"/>
          </w:rPr>
          <w:t>http://superu.govt.nz/ymh</w:t>
        </w:r>
      </w:hyperlink>
      <w:r w:rsidRPr="00EC5EF1">
        <w:t xml:space="preserve"> (accessed 30 November 2018).</w:t>
      </w:r>
    </w:p>
    <w:p w14:paraId="77966217" w14:textId="77777777" w:rsidR="00740DA6" w:rsidRDefault="00740DA6" w:rsidP="00193432">
      <w:pPr>
        <w:pStyle w:val="References"/>
      </w:pPr>
      <w:proofErr w:type="spellStart"/>
      <w:r w:rsidRPr="00EC5EF1">
        <w:t>Te</w:t>
      </w:r>
      <w:proofErr w:type="spellEnd"/>
      <w:r w:rsidRPr="00EC5EF1">
        <w:t xml:space="preserve"> </w:t>
      </w:r>
      <w:proofErr w:type="spellStart"/>
      <w:r w:rsidRPr="00EC5EF1">
        <w:t>Pou</w:t>
      </w:r>
      <w:proofErr w:type="spellEnd"/>
      <w:r w:rsidRPr="00EC5EF1">
        <w:t xml:space="preserve"> o </w:t>
      </w:r>
      <w:proofErr w:type="spellStart"/>
      <w:r w:rsidRPr="00EC5EF1">
        <w:t>Te</w:t>
      </w:r>
      <w:proofErr w:type="spellEnd"/>
      <w:r w:rsidRPr="00EC5EF1">
        <w:t xml:space="preserve"> </w:t>
      </w:r>
      <w:proofErr w:type="spellStart"/>
      <w:r w:rsidRPr="00EC5EF1">
        <w:t>Whakaaro</w:t>
      </w:r>
      <w:proofErr w:type="spellEnd"/>
      <w:r w:rsidRPr="00EC5EF1">
        <w:t xml:space="preserve"> Nui. 2014. Auckland: </w:t>
      </w:r>
      <w:proofErr w:type="spellStart"/>
      <w:r w:rsidRPr="00EC5EF1">
        <w:t>Te</w:t>
      </w:r>
      <w:proofErr w:type="spellEnd"/>
      <w:r w:rsidRPr="00EC5EF1">
        <w:t xml:space="preserve"> </w:t>
      </w:r>
      <w:proofErr w:type="spellStart"/>
      <w:r w:rsidRPr="00EC5EF1">
        <w:t>Pou</w:t>
      </w:r>
      <w:proofErr w:type="spellEnd"/>
      <w:r w:rsidRPr="00EC5EF1">
        <w:t>.</w:t>
      </w:r>
    </w:p>
    <w:p w14:paraId="7AD2207D" w14:textId="77777777" w:rsidR="000A634B" w:rsidRPr="00EC5EF1" w:rsidRDefault="000A634B" w:rsidP="000A634B"/>
    <w:p w14:paraId="32F3D9FC" w14:textId="73BB8AB3" w:rsidR="00740DA6" w:rsidRPr="00EC5EF1" w:rsidRDefault="00740DA6" w:rsidP="00475708">
      <w:pPr>
        <w:pStyle w:val="Heading1"/>
      </w:pPr>
      <w:bookmarkStart w:id="149" w:name="_Toc2845689"/>
      <w:r w:rsidRPr="00EC5EF1">
        <w:lastRenderedPageBreak/>
        <w:t>Appendix 1:</w:t>
      </w:r>
      <w:r w:rsidR="00475708">
        <w:t xml:space="preserve"> </w:t>
      </w:r>
      <w:r w:rsidRPr="00EC5EF1">
        <w:t>Key databases and caveats</w:t>
      </w:r>
      <w:bookmarkEnd w:id="149"/>
    </w:p>
    <w:p w14:paraId="6B4F817C" w14:textId="77777777" w:rsidR="00740DA6" w:rsidRPr="00EC5EF1" w:rsidRDefault="00740DA6" w:rsidP="000A634B">
      <w:pPr>
        <w:pStyle w:val="Heading2"/>
      </w:pPr>
      <w:bookmarkStart w:id="150" w:name="_Toc1985481"/>
      <w:bookmarkStart w:id="151" w:name="_Toc2845690"/>
      <w:r w:rsidRPr="00EC5EF1">
        <w:t>The Programme for the Integration of Mental Health Data</w:t>
      </w:r>
      <w:bookmarkEnd w:id="150"/>
      <w:bookmarkEnd w:id="151"/>
    </w:p>
    <w:p w14:paraId="6427680F" w14:textId="02D53603" w:rsidR="00740DA6" w:rsidRPr="00EC5EF1" w:rsidRDefault="00740DA6" w:rsidP="000A634B">
      <w:r w:rsidRPr="00EC5EF1">
        <w:rPr>
          <w:noProof/>
          <w:lang w:eastAsia="en-NZ"/>
        </w:rPr>
        <w:drawing>
          <wp:anchor distT="0" distB="0" distL="0" distR="0" simplePos="0" relativeHeight="251831296" behindDoc="0" locked="0" layoutInCell="1" allowOverlap="1" wp14:anchorId="67FE0607" wp14:editId="4885C2FE">
            <wp:simplePos x="0" y="0"/>
            <wp:positionH relativeFrom="page">
              <wp:posOffset>8060163</wp:posOffset>
            </wp:positionH>
            <wp:positionV relativeFrom="paragraph">
              <wp:posOffset>1471181</wp:posOffset>
            </wp:positionV>
            <wp:extent cx="155575" cy="155575"/>
            <wp:effectExtent l="0" t="0" r="0" b="0"/>
            <wp:wrapNone/>
            <wp:docPr id="43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The Programme for the Integration of Mental Health Data, or PRIMHD (pronounced ‘primed’), is the Ministry of Health’s (the Ministry’s) national collection for mental</w:t>
      </w:r>
      <w:r w:rsidR="00DE0BB2">
        <w:t xml:space="preserve"> </w:t>
      </w:r>
      <w:r w:rsidRPr="00EC5EF1">
        <w:t>health and addiction service activity and outcome data for mental health consumers. PRIMHD data is used to report on what services are being provided, who is providing the services, and what outcomes are being achieved for health consumers across New Zealand’s mental health sector. These reports enable mental health and addiction service providers to carry out better service planning and decision-making at the local, regional and national levels (Ministry of Health 2013b). PRIMHD reports are invaluable for facilitating important conversations and debates about mental health issues in</w:t>
      </w:r>
      <w:r w:rsidR="00DE0BB2">
        <w:t xml:space="preserve"> </w:t>
      </w:r>
      <w:r w:rsidRPr="00EC5EF1">
        <w:t>New Zealand.</w:t>
      </w:r>
    </w:p>
    <w:p w14:paraId="1BE30964" w14:textId="77777777" w:rsidR="000A634B" w:rsidRDefault="000A634B" w:rsidP="000A634B"/>
    <w:p w14:paraId="56CFE496" w14:textId="77777777" w:rsidR="00740DA6" w:rsidRPr="00EC5EF1" w:rsidRDefault="00740DA6" w:rsidP="000A634B">
      <w:r w:rsidRPr="00EC5EF1">
        <w:t>In 2008, it became mandatory for district health boards (DHBs) to report to PRIMHD. In addition, from this date, an increasing number of non-governmental organisations (NGOs) began reporting to the PRIMHD database. As of December 2017, 204 NGOs were reporting to PRIMHD.</w:t>
      </w:r>
    </w:p>
    <w:p w14:paraId="6FEC0390" w14:textId="77777777" w:rsidR="000A634B" w:rsidRDefault="000A634B" w:rsidP="000A634B"/>
    <w:p w14:paraId="00811FDE" w14:textId="77777777" w:rsidR="00740DA6" w:rsidRPr="00EC5EF1" w:rsidRDefault="00740DA6" w:rsidP="000A634B">
      <w:r w:rsidRPr="00EC5EF1">
        <w:t>Because of both its recent introduction and the enormous complexities of creating and maintaining a national data collection, the following caveats need to be kept in mind when reviewing statistics generated using PRIMHD data.</w:t>
      </w:r>
    </w:p>
    <w:p w14:paraId="74B04529" w14:textId="77777777" w:rsidR="00740DA6" w:rsidRPr="00EC5EF1" w:rsidRDefault="00740DA6" w:rsidP="000A634B">
      <w:pPr>
        <w:pStyle w:val="Bullet"/>
      </w:pPr>
      <w:r w:rsidRPr="00EC5EF1">
        <w:t>Shifts or patterns in the data after 2008 may reflect the gradual adaptation of service providers to the PRIMHD system, in addition to, or instead of, any trend in mental health service use or consumer outcomes.</w:t>
      </w:r>
    </w:p>
    <w:p w14:paraId="295A3AF8" w14:textId="77777777" w:rsidR="00740DA6" w:rsidRPr="00EC5EF1" w:rsidRDefault="00740DA6" w:rsidP="000A634B">
      <w:pPr>
        <w:pStyle w:val="Bullet"/>
      </w:pPr>
      <w:r w:rsidRPr="00EC5EF1">
        <w:t>PRIMHD is a living data collection that continues to be revised and updated as data reporting processes are improved. For this reason, previously published data may be liable to amendments.</w:t>
      </w:r>
    </w:p>
    <w:p w14:paraId="059511E4" w14:textId="77777777" w:rsidR="00740DA6" w:rsidRPr="00EC5EF1" w:rsidRDefault="00740DA6" w:rsidP="000A634B">
      <w:pPr>
        <w:pStyle w:val="Bullet"/>
      </w:pPr>
      <w:r w:rsidRPr="00EC5EF1">
        <w:t>Statistical variance between services may reflect different models of practice and different consumer populations. However, inter-service variance may also result from differences in data entry processes and information management.</w:t>
      </w:r>
    </w:p>
    <w:p w14:paraId="0E8AE26F" w14:textId="4E3D33D7" w:rsidR="00740DA6" w:rsidRPr="00EC5EF1" w:rsidRDefault="00740DA6" w:rsidP="000A634B">
      <w:pPr>
        <w:pStyle w:val="Bullet"/>
      </w:pPr>
      <w:r w:rsidRPr="00EC5EF1">
        <w:t>To function as a national collection, PRIMHD requires integration with a wide range of person management systems across hundreds of unique service providers.</w:t>
      </w:r>
      <w:r w:rsidR="000A634B">
        <w:t xml:space="preserve"> </w:t>
      </w:r>
      <w:r w:rsidRPr="00EC5EF1">
        <w:t>As the services adjust to PRIMHD, it is expected that the quality of the data will improve.</w:t>
      </w:r>
    </w:p>
    <w:p w14:paraId="0A671CA7" w14:textId="3B77ADFA" w:rsidR="00740DA6" w:rsidRPr="00EC5EF1" w:rsidRDefault="00740DA6" w:rsidP="000A634B">
      <w:pPr>
        <w:pStyle w:val="Bullet"/>
        <w:keepLines/>
      </w:pPr>
      <w:r w:rsidRPr="00EC5EF1">
        <w:lastRenderedPageBreak/>
        <w:t>The quality and accuracy of statistical reporting relies on consistent, correct and timely data entry by the services that report to PRIMHD. The Ministry is actively engaged in an ongoing project to review and improve the data quality of PRIMHD.</w:t>
      </w:r>
      <w:r w:rsidR="000A634B">
        <w:t xml:space="preserve"> </w:t>
      </w:r>
      <w:r w:rsidRPr="00EC5EF1">
        <w:t>This project is considered a priority given the importance of mental health data in providing information about mental health consumption and outcomes, and in generating conversations and public debate about how to improve mental health care for New Zealanders.</w:t>
      </w:r>
    </w:p>
    <w:p w14:paraId="30C2F2BC" w14:textId="77777777" w:rsidR="00740DA6" w:rsidRPr="00EC5EF1" w:rsidRDefault="00740DA6" w:rsidP="000A634B">
      <w:pPr>
        <w:pStyle w:val="Bullet"/>
      </w:pPr>
      <w:r w:rsidRPr="00EC5EF1">
        <w:t>To demonstrate how data can vary over time, Table A1 presents the rate ratio of Māori to non-Māori subject to a compulsory treatment order (section 29) under the Mental Health Act, by DHB, from 2013 to 2017.</w:t>
      </w:r>
    </w:p>
    <w:p w14:paraId="41E6D563" w14:textId="77777777" w:rsidR="00740DA6" w:rsidRPr="00EC5EF1" w:rsidRDefault="00740DA6" w:rsidP="000A634B"/>
    <w:p w14:paraId="245C4464" w14:textId="2A31B37E" w:rsidR="00740DA6" w:rsidRPr="00EC5EF1" w:rsidRDefault="00740DA6" w:rsidP="00475708">
      <w:pPr>
        <w:pStyle w:val="Table"/>
      </w:pPr>
      <w:bookmarkStart w:id="152" w:name="_Toc2845767"/>
      <w:r w:rsidRPr="00EC5EF1">
        <w:t>Table A1: Rate ratio Māori to non-Māori subject to a compulsory treatment order (section</w:t>
      </w:r>
      <w:r w:rsidR="00475708">
        <w:t xml:space="preserve"> </w:t>
      </w:r>
      <w:r w:rsidRPr="00EC5EF1">
        <w:t>29) under the Mental Health Act, by DHB, 2013–2017</w:t>
      </w:r>
      <w:bookmarkEnd w:id="152"/>
    </w:p>
    <w:p w14:paraId="02B86BE6" w14:textId="630F28F8" w:rsidR="00740DA6" w:rsidRPr="00EC5EF1" w:rsidRDefault="00740DA6" w:rsidP="00740DA6">
      <w:pPr>
        <w:spacing w:line="20" w:lineRule="exact"/>
        <w:ind w:left="2285"/>
        <w:rPr>
          <w:rFonts w:ascii="Arial Black"/>
          <w:sz w:val="2"/>
        </w:rPr>
      </w:pPr>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687"/>
        <w:gridCol w:w="1078"/>
        <w:gridCol w:w="1079"/>
        <w:gridCol w:w="1078"/>
        <w:gridCol w:w="1079"/>
        <w:gridCol w:w="1079"/>
      </w:tblGrid>
      <w:tr w:rsidR="000A634B" w:rsidRPr="000A634B" w14:paraId="3FD678B7" w14:textId="77777777" w:rsidTr="000A634B">
        <w:trPr>
          <w:cantSplit/>
        </w:trPr>
        <w:tc>
          <w:tcPr>
            <w:tcW w:w="2687" w:type="dxa"/>
            <w:vMerge w:val="restart"/>
            <w:tcBorders>
              <w:top w:val="nil"/>
              <w:bottom w:val="nil"/>
            </w:tcBorders>
            <w:shd w:val="clear" w:color="auto" w:fill="D9D9D9" w:themeFill="background1" w:themeFillShade="D9"/>
          </w:tcPr>
          <w:p w14:paraId="178568EA" w14:textId="68226DE1" w:rsidR="000A634B" w:rsidRPr="000A634B" w:rsidRDefault="000A634B" w:rsidP="000A634B">
            <w:pPr>
              <w:pStyle w:val="TableText"/>
              <w:rPr>
                <w:b/>
              </w:rPr>
            </w:pPr>
            <w:r w:rsidRPr="000A634B">
              <w:rPr>
                <w:b/>
              </w:rPr>
              <w:t>Year</w:t>
            </w:r>
          </w:p>
        </w:tc>
        <w:tc>
          <w:tcPr>
            <w:tcW w:w="5393" w:type="dxa"/>
            <w:gridSpan w:val="5"/>
            <w:tcBorders>
              <w:top w:val="nil"/>
              <w:bottom w:val="nil"/>
            </w:tcBorders>
            <w:shd w:val="clear" w:color="auto" w:fill="D9D9D9" w:themeFill="background1" w:themeFillShade="D9"/>
          </w:tcPr>
          <w:p w14:paraId="2A52A6D1" w14:textId="74B2A9DB" w:rsidR="000A634B" w:rsidRPr="000A634B" w:rsidRDefault="000A634B" w:rsidP="000A634B">
            <w:pPr>
              <w:pStyle w:val="TableText"/>
              <w:jc w:val="center"/>
              <w:rPr>
                <w:b/>
              </w:rPr>
            </w:pPr>
            <w:r w:rsidRPr="000A634B">
              <w:rPr>
                <w:b/>
              </w:rPr>
              <w:t>Rate ratio (</w:t>
            </w:r>
            <w:proofErr w:type="spellStart"/>
            <w:r w:rsidRPr="000A634B">
              <w:rPr>
                <w:b/>
              </w:rPr>
              <w:t>Māori:non-Māori</w:t>
            </w:r>
            <w:proofErr w:type="spellEnd"/>
            <w:r w:rsidRPr="000A634B">
              <w:rPr>
                <w:b/>
              </w:rPr>
              <w:t>)</w:t>
            </w:r>
          </w:p>
        </w:tc>
      </w:tr>
      <w:tr w:rsidR="000A634B" w:rsidRPr="000A634B" w14:paraId="76A8876B" w14:textId="77777777" w:rsidTr="000A634B">
        <w:trPr>
          <w:cantSplit/>
        </w:trPr>
        <w:tc>
          <w:tcPr>
            <w:tcW w:w="2687" w:type="dxa"/>
            <w:vMerge/>
            <w:tcBorders>
              <w:top w:val="nil"/>
              <w:bottom w:val="nil"/>
            </w:tcBorders>
            <w:shd w:val="clear" w:color="auto" w:fill="D9D9D9" w:themeFill="background1" w:themeFillShade="D9"/>
          </w:tcPr>
          <w:p w14:paraId="1CB0ABD0" w14:textId="20834CB5" w:rsidR="000A634B" w:rsidRPr="000A634B" w:rsidRDefault="000A634B" w:rsidP="000A634B">
            <w:pPr>
              <w:pStyle w:val="TableText"/>
              <w:rPr>
                <w:b/>
              </w:rPr>
            </w:pPr>
          </w:p>
        </w:tc>
        <w:tc>
          <w:tcPr>
            <w:tcW w:w="1078" w:type="dxa"/>
            <w:tcBorders>
              <w:top w:val="nil"/>
              <w:bottom w:val="nil"/>
            </w:tcBorders>
            <w:shd w:val="clear" w:color="auto" w:fill="D9D9D9" w:themeFill="background1" w:themeFillShade="D9"/>
          </w:tcPr>
          <w:p w14:paraId="40BC0B87" w14:textId="77777777" w:rsidR="000A634B" w:rsidRPr="000A634B" w:rsidRDefault="000A634B" w:rsidP="000A634B">
            <w:pPr>
              <w:pStyle w:val="TableText"/>
              <w:spacing w:before="0"/>
              <w:jc w:val="center"/>
              <w:rPr>
                <w:b/>
              </w:rPr>
            </w:pPr>
            <w:r w:rsidRPr="000A634B">
              <w:rPr>
                <w:b/>
              </w:rPr>
              <w:t>2013</w:t>
            </w:r>
          </w:p>
        </w:tc>
        <w:tc>
          <w:tcPr>
            <w:tcW w:w="1079" w:type="dxa"/>
            <w:tcBorders>
              <w:top w:val="nil"/>
              <w:bottom w:val="nil"/>
            </w:tcBorders>
            <w:shd w:val="clear" w:color="auto" w:fill="D9D9D9" w:themeFill="background1" w:themeFillShade="D9"/>
          </w:tcPr>
          <w:p w14:paraId="09130008" w14:textId="77777777" w:rsidR="000A634B" w:rsidRPr="000A634B" w:rsidRDefault="000A634B" w:rsidP="000A634B">
            <w:pPr>
              <w:pStyle w:val="TableText"/>
              <w:spacing w:before="0"/>
              <w:jc w:val="center"/>
              <w:rPr>
                <w:b/>
              </w:rPr>
            </w:pPr>
            <w:r w:rsidRPr="000A634B">
              <w:rPr>
                <w:b/>
              </w:rPr>
              <w:t>2014</w:t>
            </w:r>
          </w:p>
        </w:tc>
        <w:tc>
          <w:tcPr>
            <w:tcW w:w="1078" w:type="dxa"/>
            <w:tcBorders>
              <w:top w:val="nil"/>
              <w:bottom w:val="nil"/>
            </w:tcBorders>
            <w:shd w:val="clear" w:color="auto" w:fill="D9D9D9" w:themeFill="background1" w:themeFillShade="D9"/>
          </w:tcPr>
          <w:p w14:paraId="38F4D90C" w14:textId="77777777" w:rsidR="000A634B" w:rsidRPr="000A634B" w:rsidRDefault="000A634B" w:rsidP="000A634B">
            <w:pPr>
              <w:pStyle w:val="TableText"/>
              <w:spacing w:before="0"/>
              <w:jc w:val="center"/>
              <w:rPr>
                <w:b/>
              </w:rPr>
            </w:pPr>
            <w:r w:rsidRPr="000A634B">
              <w:rPr>
                <w:b/>
              </w:rPr>
              <w:t>2015</w:t>
            </w:r>
          </w:p>
        </w:tc>
        <w:tc>
          <w:tcPr>
            <w:tcW w:w="1079" w:type="dxa"/>
            <w:tcBorders>
              <w:top w:val="nil"/>
              <w:bottom w:val="nil"/>
            </w:tcBorders>
            <w:shd w:val="clear" w:color="auto" w:fill="D9D9D9" w:themeFill="background1" w:themeFillShade="D9"/>
          </w:tcPr>
          <w:p w14:paraId="2437664C" w14:textId="77777777" w:rsidR="000A634B" w:rsidRPr="000A634B" w:rsidRDefault="000A634B" w:rsidP="000A634B">
            <w:pPr>
              <w:pStyle w:val="TableText"/>
              <w:spacing w:before="0"/>
              <w:jc w:val="center"/>
              <w:rPr>
                <w:b/>
              </w:rPr>
            </w:pPr>
            <w:r w:rsidRPr="000A634B">
              <w:rPr>
                <w:b/>
              </w:rPr>
              <w:t>2016</w:t>
            </w:r>
          </w:p>
        </w:tc>
        <w:tc>
          <w:tcPr>
            <w:tcW w:w="1079" w:type="dxa"/>
            <w:tcBorders>
              <w:top w:val="nil"/>
              <w:bottom w:val="nil"/>
            </w:tcBorders>
            <w:shd w:val="clear" w:color="auto" w:fill="D9D9D9" w:themeFill="background1" w:themeFillShade="D9"/>
          </w:tcPr>
          <w:p w14:paraId="7C5C2947" w14:textId="77777777" w:rsidR="000A634B" w:rsidRPr="000A634B" w:rsidRDefault="000A634B" w:rsidP="000A634B">
            <w:pPr>
              <w:pStyle w:val="TableText"/>
              <w:spacing w:before="0"/>
              <w:jc w:val="center"/>
              <w:rPr>
                <w:b/>
              </w:rPr>
            </w:pPr>
            <w:r w:rsidRPr="000A634B">
              <w:rPr>
                <w:b/>
              </w:rPr>
              <w:t>2017</w:t>
            </w:r>
          </w:p>
        </w:tc>
      </w:tr>
      <w:tr w:rsidR="00740DA6" w:rsidRPr="00EC5EF1" w14:paraId="04D0AF3C" w14:textId="77777777" w:rsidTr="000A634B">
        <w:trPr>
          <w:cantSplit/>
        </w:trPr>
        <w:tc>
          <w:tcPr>
            <w:tcW w:w="2687" w:type="dxa"/>
            <w:tcBorders>
              <w:top w:val="nil"/>
            </w:tcBorders>
          </w:tcPr>
          <w:p w14:paraId="3A60132D" w14:textId="77777777" w:rsidR="00740DA6" w:rsidRPr="00EC5EF1" w:rsidRDefault="00740DA6" w:rsidP="000A634B">
            <w:pPr>
              <w:pStyle w:val="TableText"/>
            </w:pPr>
            <w:r w:rsidRPr="00EC5EF1">
              <w:t>Annual reports</w:t>
            </w:r>
          </w:p>
        </w:tc>
        <w:tc>
          <w:tcPr>
            <w:tcW w:w="1078" w:type="dxa"/>
            <w:tcBorders>
              <w:top w:val="nil"/>
            </w:tcBorders>
          </w:tcPr>
          <w:p w14:paraId="12CC7034" w14:textId="77777777" w:rsidR="00740DA6" w:rsidRPr="00EC5EF1" w:rsidRDefault="00740DA6" w:rsidP="000A634B">
            <w:pPr>
              <w:pStyle w:val="TableText"/>
              <w:jc w:val="center"/>
            </w:pPr>
            <w:r w:rsidRPr="00EC5EF1">
              <w:t>2.9</w:t>
            </w:r>
          </w:p>
        </w:tc>
        <w:tc>
          <w:tcPr>
            <w:tcW w:w="1079" w:type="dxa"/>
            <w:tcBorders>
              <w:top w:val="nil"/>
            </w:tcBorders>
          </w:tcPr>
          <w:p w14:paraId="47F93FF9" w14:textId="77777777" w:rsidR="00740DA6" w:rsidRPr="00EC5EF1" w:rsidRDefault="00740DA6" w:rsidP="000A634B">
            <w:pPr>
              <w:pStyle w:val="TableText"/>
              <w:jc w:val="center"/>
            </w:pPr>
            <w:r w:rsidRPr="00EC5EF1">
              <w:t>2.9</w:t>
            </w:r>
          </w:p>
        </w:tc>
        <w:tc>
          <w:tcPr>
            <w:tcW w:w="1078" w:type="dxa"/>
            <w:tcBorders>
              <w:top w:val="nil"/>
            </w:tcBorders>
          </w:tcPr>
          <w:p w14:paraId="40181F6E" w14:textId="77777777" w:rsidR="00740DA6" w:rsidRPr="00EC5EF1" w:rsidRDefault="00740DA6" w:rsidP="000A634B">
            <w:pPr>
              <w:pStyle w:val="TableText"/>
              <w:jc w:val="center"/>
            </w:pPr>
            <w:r w:rsidRPr="00EC5EF1">
              <w:t>3.6</w:t>
            </w:r>
          </w:p>
        </w:tc>
        <w:tc>
          <w:tcPr>
            <w:tcW w:w="1079" w:type="dxa"/>
            <w:tcBorders>
              <w:top w:val="nil"/>
            </w:tcBorders>
          </w:tcPr>
          <w:p w14:paraId="787A8EFB" w14:textId="77777777" w:rsidR="00740DA6" w:rsidRPr="00EC5EF1" w:rsidRDefault="00740DA6" w:rsidP="000A634B">
            <w:pPr>
              <w:pStyle w:val="TableText"/>
              <w:jc w:val="center"/>
            </w:pPr>
            <w:r w:rsidRPr="00EC5EF1">
              <w:t>3.6</w:t>
            </w:r>
          </w:p>
        </w:tc>
        <w:tc>
          <w:tcPr>
            <w:tcW w:w="1079" w:type="dxa"/>
            <w:tcBorders>
              <w:top w:val="nil"/>
            </w:tcBorders>
          </w:tcPr>
          <w:p w14:paraId="10CC3317" w14:textId="77777777" w:rsidR="00740DA6" w:rsidRPr="00EC5EF1" w:rsidRDefault="00740DA6" w:rsidP="000A634B">
            <w:pPr>
              <w:pStyle w:val="TableText"/>
              <w:jc w:val="center"/>
            </w:pPr>
            <w:r w:rsidRPr="00EC5EF1">
              <w:t>3.9</w:t>
            </w:r>
          </w:p>
        </w:tc>
      </w:tr>
      <w:tr w:rsidR="00740DA6" w:rsidRPr="00EC5EF1" w14:paraId="0DD9B36C" w14:textId="77777777" w:rsidTr="000A634B">
        <w:trPr>
          <w:cantSplit/>
        </w:trPr>
        <w:tc>
          <w:tcPr>
            <w:tcW w:w="2687" w:type="dxa"/>
          </w:tcPr>
          <w:p w14:paraId="54DF34E9" w14:textId="77777777" w:rsidR="00740DA6" w:rsidRPr="00EC5EF1" w:rsidRDefault="00740DA6" w:rsidP="000A634B">
            <w:pPr>
              <w:pStyle w:val="TableText"/>
            </w:pPr>
            <w:r w:rsidRPr="00EC5EF1">
              <w:t>Retrospective extraction</w:t>
            </w:r>
          </w:p>
        </w:tc>
        <w:tc>
          <w:tcPr>
            <w:tcW w:w="1078" w:type="dxa"/>
          </w:tcPr>
          <w:p w14:paraId="11FDBD9E" w14:textId="77777777" w:rsidR="00740DA6" w:rsidRPr="00EC5EF1" w:rsidRDefault="00740DA6" w:rsidP="000A634B">
            <w:pPr>
              <w:pStyle w:val="TableText"/>
              <w:jc w:val="center"/>
            </w:pPr>
            <w:r w:rsidRPr="00EC5EF1">
              <w:t>3.9</w:t>
            </w:r>
          </w:p>
        </w:tc>
        <w:tc>
          <w:tcPr>
            <w:tcW w:w="1079" w:type="dxa"/>
          </w:tcPr>
          <w:p w14:paraId="4E600A40" w14:textId="77777777" w:rsidR="00740DA6" w:rsidRPr="00EC5EF1" w:rsidRDefault="00740DA6" w:rsidP="000A634B">
            <w:pPr>
              <w:pStyle w:val="TableText"/>
              <w:jc w:val="center"/>
            </w:pPr>
            <w:r w:rsidRPr="00EC5EF1">
              <w:t>3.9</w:t>
            </w:r>
          </w:p>
        </w:tc>
        <w:tc>
          <w:tcPr>
            <w:tcW w:w="1078" w:type="dxa"/>
          </w:tcPr>
          <w:p w14:paraId="55760766" w14:textId="77777777" w:rsidR="00740DA6" w:rsidRPr="00EC5EF1" w:rsidRDefault="00740DA6" w:rsidP="000A634B">
            <w:pPr>
              <w:pStyle w:val="TableText"/>
              <w:jc w:val="center"/>
            </w:pPr>
            <w:r w:rsidRPr="00EC5EF1">
              <w:t>4.0</w:t>
            </w:r>
          </w:p>
        </w:tc>
        <w:tc>
          <w:tcPr>
            <w:tcW w:w="1079" w:type="dxa"/>
          </w:tcPr>
          <w:p w14:paraId="2C06BF34" w14:textId="77777777" w:rsidR="00740DA6" w:rsidRPr="00EC5EF1" w:rsidRDefault="00740DA6" w:rsidP="000A634B">
            <w:pPr>
              <w:pStyle w:val="TableText"/>
              <w:jc w:val="center"/>
            </w:pPr>
            <w:r w:rsidRPr="00EC5EF1">
              <w:t>3.9</w:t>
            </w:r>
          </w:p>
        </w:tc>
        <w:tc>
          <w:tcPr>
            <w:tcW w:w="1079" w:type="dxa"/>
          </w:tcPr>
          <w:p w14:paraId="19E1FDFE" w14:textId="77777777" w:rsidR="00740DA6" w:rsidRPr="00EC5EF1" w:rsidRDefault="00740DA6" w:rsidP="000A634B">
            <w:pPr>
              <w:pStyle w:val="TableText"/>
              <w:jc w:val="center"/>
            </w:pPr>
            <w:r w:rsidRPr="00EC5EF1">
              <w:t>3.9</w:t>
            </w:r>
          </w:p>
        </w:tc>
      </w:tr>
    </w:tbl>
    <w:p w14:paraId="73C4E7E9" w14:textId="77777777" w:rsidR="00740DA6" w:rsidRPr="00EC5EF1" w:rsidRDefault="00740DA6" w:rsidP="000A634B">
      <w:pPr>
        <w:pStyle w:val="Source"/>
      </w:pPr>
      <w:r w:rsidRPr="00EC5EF1">
        <w:t>Source: PRIMHD data, extracted on 27 September 2018</w:t>
      </w:r>
    </w:p>
    <w:p w14:paraId="3E680FD0" w14:textId="77777777" w:rsidR="000A634B" w:rsidRDefault="000A634B" w:rsidP="000A634B"/>
    <w:p w14:paraId="6401BFE4" w14:textId="4E966311" w:rsidR="00740DA6" w:rsidRPr="00EC5EF1" w:rsidRDefault="00740DA6" w:rsidP="000A634B">
      <w:r w:rsidRPr="00EC5EF1">
        <w:rPr>
          <w:noProof/>
          <w:lang w:eastAsia="en-NZ"/>
        </w:rPr>
        <w:drawing>
          <wp:anchor distT="0" distB="0" distL="0" distR="0" simplePos="0" relativeHeight="251833344" behindDoc="0" locked="0" layoutInCell="1" allowOverlap="1" wp14:anchorId="5D792D80" wp14:editId="7A635704">
            <wp:simplePos x="0" y="0"/>
            <wp:positionH relativeFrom="page">
              <wp:posOffset>8060163</wp:posOffset>
            </wp:positionH>
            <wp:positionV relativeFrom="paragraph">
              <wp:posOffset>656674</wp:posOffset>
            </wp:positionV>
            <wp:extent cx="155575" cy="155575"/>
            <wp:effectExtent l="0" t="0" r="0" b="0"/>
            <wp:wrapNone/>
            <wp:docPr id="44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Taken from the 2013 to the 2017 annual reports, it appears the rate ratio between Māori and non-Māori has increased by 1 point. However, because PRIMHD is changeable and data are being improved constantly, this could result in the difference of the rate ratio between what was extracted in previous reports compared with what</w:t>
      </w:r>
      <w:r w:rsidR="00DE0BB2">
        <w:t xml:space="preserve"> </w:t>
      </w:r>
      <w:r w:rsidRPr="00EC5EF1">
        <w:t>is seen for those periods now.</w:t>
      </w:r>
    </w:p>
    <w:p w14:paraId="393375A1" w14:textId="77777777" w:rsidR="000A634B" w:rsidRDefault="000A634B" w:rsidP="000A634B"/>
    <w:p w14:paraId="322B7D8C" w14:textId="77777777" w:rsidR="00740DA6" w:rsidRDefault="00740DA6" w:rsidP="000A634B">
      <w:r w:rsidRPr="00EC5EF1">
        <w:t>Further, legal status reporting and most PRIMHD reporting prioritises the ethnicity recorded for the National Health Index (NHI) rather than the ethnicity recorded against the person at the time of an event. If people have subsequently recorded Māori as an additional ethnicity on their NHI when previously they just recorded New Zealand European, they will be recorded as Māori on all ethnicity reports extracted after that change was made. This happens constantly as people engage more with health services and more information is collected. In 2017, ethnicity was taken from primary health organisation (PHO) records and combined with the NHI – resulting in approximately 10,000 additional Māori nationwide.</w:t>
      </w:r>
    </w:p>
    <w:p w14:paraId="06347DE1" w14:textId="77777777" w:rsidR="000A634B" w:rsidRPr="00EC5EF1" w:rsidRDefault="000A634B" w:rsidP="000A634B"/>
    <w:p w14:paraId="497C3708" w14:textId="77777777" w:rsidR="00740DA6" w:rsidRPr="00EC5EF1" w:rsidRDefault="00740DA6" w:rsidP="00A7521E">
      <w:pPr>
        <w:pStyle w:val="Heading2"/>
      </w:pPr>
      <w:bookmarkStart w:id="153" w:name="_Toc1985482"/>
      <w:bookmarkStart w:id="154" w:name="_Toc2845691"/>
      <w:r w:rsidRPr="00EC5EF1">
        <w:t>The Alcohol and Drug Outcomes Measure</w:t>
      </w:r>
      <w:bookmarkEnd w:id="153"/>
      <w:bookmarkEnd w:id="154"/>
    </w:p>
    <w:p w14:paraId="73005525" w14:textId="40E7C257" w:rsidR="00740DA6" w:rsidRPr="00EC5EF1" w:rsidRDefault="00740DA6" w:rsidP="00A7521E">
      <w:pPr>
        <w:keepNext/>
      </w:pPr>
      <w:r w:rsidRPr="00EC5EF1">
        <w:t>In July 2015, the Alcohol and Drug Outcome Measure (ADOM) was mandated for use in community outpatient settings. It is a validated, New Zealand-designed</w:t>
      </w:r>
      <w:r w:rsidR="00A7521E">
        <w:t xml:space="preserve"> </w:t>
      </w:r>
      <w:r w:rsidRPr="00EC5EF1">
        <w:t xml:space="preserve">outcome, </w:t>
      </w:r>
      <w:r w:rsidRPr="00EC5EF1">
        <w:lastRenderedPageBreak/>
        <w:t>measuring alcohol and other drug use, lifestyle and wellbeing, and recovery satisfaction.</w:t>
      </w:r>
    </w:p>
    <w:p w14:paraId="16174BFD" w14:textId="77777777" w:rsidR="00A7521E" w:rsidRDefault="00A7521E" w:rsidP="00A7521E">
      <w:pPr>
        <w:keepNext/>
      </w:pPr>
    </w:p>
    <w:p w14:paraId="6ECF660C" w14:textId="77777777" w:rsidR="00740DA6" w:rsidRPr="00EC5EF1" w:rsidRDefault="00740DA6" w:rsidP="00A7521E">
      <w:r w:rsidRPr="00EC5EF1">
        <w:t>In 2017, there was a noticeable increase in the uptake of ADOM and aggregated reports using ADOM data. Of the 20 DHBs required to use and report on ADOM in community settings, 15 (75 percent) are now reporting to PRIMHD, and 85 percent of the NGOs are also doing so. These organisations comprise over 220 teams.</w:t>
      </w:r>
    </w:p>
    <w:p w14:paraId="258AD312" w14:textId="77777777" w:rsidR="00740DA6" w:rsidRPr="00EC5EF1" w:rsidRDefault="00740DA6" w:rsidP="00A7521E"/>
    <w:p w14:paraId="53245E2E" w14:textId="77777777" w:rsidR="00740DA6" w:rsidRPr="00EC5EF1" w:rsidRDefault="00740DA6" w:rsidP="00A7521E">
      <w:r w:rsidRPr="00EC5EF1">
        <w:t xml:space="preserve">Aggregated reports of the </w:t>
      </w:r>
      <w:proofErr w:type="spellStart"/>
      <w:r w:rsidRPr="00EC5EF1">
        <w:t>Te</w:t>
      </w:r>
      <w:proofErr w:type="spellEnd"/>
      <w:r w:rsidRPr="00EC5EF1">
        <w:t xml:space="preserve"> </w:t>
      </w:r>
      <w:proofErr w:type="spellStart"/>
      <w:r w:rsidRPr="00EC5EF1">
        <w:t>Pou</w:t>
      </w:r>
      <w:proofErr w:type="spellEnd"/>
      <w:r w:rsidRPr="00EC5EF1">
        <w:t xml:space="preserve"> o </w:t>
      </w:r>
      <w:proofErr w:type="spellStart"/>
      <w:r w:rsidRPr="00EC5EF1">
        <w:t>te</w:t>
      </w:r>
      <w:proofErr w:type="spellEnd"/>
      <w:r w:rsidRPr="00EC5EF1">
        <w:t xml:space="preserve"> </w:t>
      </w:r>
      <w:proofErr w:type="spellStart"/>
      <w:r w:rsidRPr="00EC5EF1">
        <w:t>Whakaaro</w:t>
      </w:r>
      <w:proofErr w:type="spellEnd"/>
      <w:r w:rsidRPr="00EC5EF1">
        <w:t xml:space="preserve"> Nui (</w:t>
      </w:r>
      <w:proofErr w:type="spellStart"/>
      <w:r w:rsidRPr="00EC5EF1">
        <w:t>Te</w:t>
      </w:r>
      <w:proofErr w:type="spellEnd"/>
      <w:r w:rsidRPr="00EC5EF1">
        <w:t xml:space="preserve"> </w:t>
      </w:r>
      <w:proofErr w:type="spellStart"/>
      <w:r w:rsidRPr="00EC5EF1">
        <w:t>Pou</w:t>
      </w:r>
      <w:proofErr w:type="spellEnd"/>
      <w:r w:rsidRPr="00EC5EF1">
        <w:t>) website have been well received, and statistics have been used in presentations, at conferences and anecdotally for local service improvement around New Zealand.</w:t>
      </w:r>
    </w:p>
    <w:p w14:paraId="0A066159" w14:textId="77777777" w:rsidR="00A7521E" w:rsidRDefault="00A7521E" w:rsidP="00A7521E"/>
    <w:p w14:paraId="353DEC45" w14:textId="223DD0DA" w:rsidR="00740DA6" w:rsidRPr="00EC5EF1" w:rsidRDefault="00740DA6" w:rsidP="00A7521E">
      <w:r w:rsidRPr="00EC5EF1">
        <w:t>The end of 2017 saw discussion around using ADOM in peer support and translating ADOM into other languages, both to be followed up on in 2018.</w:t>
      </w:r>
    </w:p>
    <w:p w14:paraId="239DD993" w14:textId="77777777" w:rsidR="00740DA6" w:rsidRPr="00EC5EF1" w:rsidRDefault="00740DA6" w:rsidP="00A7521E"/>
    <w:p w14:paraId="2811FE5F" w14:textId="0A0FD8EB" w:rsidR="00740DA6" w:rsidRPr="00EC5EF1" w:rsidRDefault="00740DA6" w:rsidP="00A15127">
      <w:pPr>
        <w:pStyle w:val="Heading1"/>
      </w:pPr>
      <w:bookmarkStart w:id="155" w:name="_TOC_250001"/>
      <w:bookmarkStart w:id="156" w:name="_Toc2845692"/>
      <w:r w:rsidRPr="00EC5EF1">
        <w:lastRenderedPageBreak/>
        <w:t>Appendix 2</w:t>
      </w:r>
      <w:proofErr w:type="gramStart"/>
      <w:r w:rsidRPr="00EC5EF1">
        <w:t>:</w:t>
      </w:r>
      <w:proofErr w:type="gramEnd"/>
      <w:r w:rsidR="00475708">
        <w:br/>
      </w:r>
      <w:r w:rsidRPr="00EC5EF1">
        <w:t xml:space="preserve">Additional </w:t>
      </w:r>
      <w:bookmarkEnd w:id="155"/>
      <w:r w:rsidRPr="00EC5EF1">
        <w:t>statistics</w:t>
      </w:r>
      <w:bookmarkEnd w:id="156"/>
    </w:p>
    <w:p w14:paraId="55585C6D" w14:textId="77777777" w:rsidR="00740DA6" w:rsidRPr="00EC5EF1" w:rsidRDefault="00740DA6" w:rsidP="00A15127">
      <w:pPr>
        <w:pStyle w:val="Heading2"/>
      </w:pPr>
      <w:bookmarkStart w:id="157" w:name="_Toc1985484"/>
      <w:bookmarkStart w:id="158" w:name="_Toc2845693"/>
      <w:r w:rsidRPr="00EC5EF1">
        <w:t>The Mental Health Review Tribunal</w:t>
      </w:r>
      <w:bookmarkEnd w:id="157"/>
      <w:bookmarkEnd w:id="158"/>
    </w:p>
    <w:p w14:paraId="2BCFEB6E" w14:textId="4AB2BA89" w:rsidR="00740DA6" w:rsidRPr="00EC5EF1" w:rsidRDefault="00740DA6" w:rsidP="00A15127">
      <w:r w:rsidRPr="00EC5EF1">
        <w:t>During the year ended 30 June 2017, the Mental Health Review Tribunal (the Tribunal) received 139 applications under the Mental Health (Compulsory Assessment</w:t>
      </w:r>
      <w:r w:rsidR="00A15127">
        <w:t xml:space="preserve"> </w:t>
      </w:r>
      <w:r w:rsidRPr="00EC5EF1">
        <w:t>and Treatment) Act 1992 (the Mental Health Act). Table A2 presents the types of applications received (by governing section of the Act) and the outcomes of these applications.</w:t>
      </w:r>
    </w:p>
    <w:p w14:paraId="6287A98F" w14:textId="77777777" w:rsidR="00740DA6" w:rsidRPr="00EC5EF1" w:rsidRDefault="00740DA6" w:rsidP="00A15127"/>
    <w:p w14:paraId="0980C18C" w14:textId="77777777" w:rsidR="00740DA6" w:rsidRDefault="00740DA6" w:rsidP="00475708">
      <w:pPr>
        <w:pStyle w:val="Table"/>
      </w:pPr>
      <w:bookmarkStart w:id="159" w:name="_Toc2845768"/>
      <w:r w:rsidRPr="00EC5EF1">
        <w:t>Table A2: Outcome of the Mental Health Act applications received by the Mental Health Review Tribunal, 1 July 2016 to 30 June 2017</w:t>
      </w:r>
      <w:bookmarkEnd w:id="159"/>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977"/>
        <w:gridCol w:w="1020"/>
        <w:gridCol w:w="1021"/>
        <w:gridCol w:w="1020"/>
        <w:gridCol w:w="1021"/>
        <w:gridCol w:w="1021"/>
      </w:tblGrid>
      <w:tr w:rsidR="00A24BDC" w:rsidRPr="00A24BDC" w14:paraId="607D995F" w14:textId="77777777" w:rsidTr="00A24BDC">
        <w:trPr>
          <w:cantSplit/>
        </w:trPr>
        <w:tc>
          <w:tcPr>
            <w:tcW w:w="2977" w:type="dxa"/>
            <w:tcBorders>
              <w:top w:val="nil"/>
              <w:bottom w:val="nil"/>
            </w:tcBorders>
            <w:shd w:val="clear" w:color="auto" w:fill="D9D9D9" w:themeFill="background1" w:themeFillShade="D9"/>
          </w:tcPr>
          <w:p w14:paraId="35A23328" w14:textId="7A5058D7" w:rsidR="00A24BDC" w:rsidRPr="00A24BDC" w:rsidRDefault="00A24BDC" w:rsidP="00A24BDC">
            <w:pPr>
              <w:pStyle w:val="TableText"/>
              <w:rPr>
                <w:b/>
              </w:rPr>
            </w:pPr>
            <w:r w:rsidRPr="00A24BDC">
              <w:rPr>
                <w:b/>
              </w:rPr>
              <w:t>Outcome</w:t>
            </w:r>
          </w:p>
        </w:tc>
        <w:tc>
          <w:tcPr>
            <w:tcW w:w="1020" w:type="dxa"/>
            <w:tcBorders>
              <w:top w:val="nil"/>
              <w:bottom w:val="nil"/>
            </w:tcBorders>
            <w:shd w:val="clear" w:color="auto" w:fill="D9D9D9" w:themeFill="background1" w:themeFillShade="D9"/>
          </w:tcPr>
          <w:p w14:paraId="2A915615" w14:textId="52DA9D0C" w:rsidR="00A24BDC" w:rsidRPr="00A24BDC" w:rsidRDefault="00A24BDC" w:rsidP="00A24BDC">
            <w:pPr>
              <w:pStyle w:val="TableText"/>
              <w:jc w:val="center"/>
              <w:rPr>
                <w:b/>
              </w:rPr>
            </w:pPr>
            <w:r w:rsidRPr="00A24BDC">
              <w:rPr>
                <w:b/>
              </w:rPr>
              <w:t>Section</w:t>
            </w:r>
            <w:r>
              <w:rPr>
                <w:b/>
              </w:rPr>
              <w:br/>
            </w:r>
            <w:r w:rsidRPr="00A24BDC">
              <w:rPr>
                <w:b/>
              </w:rPr>
              <w:t>79</w:t>
            </w:r>
          </w:p>
        </w:tc>
        <w:tc>
          <w:tcPr>
            <w:tcW w:w="1021" w:type="dxa"/>
            <w:tcBorders>
              <w:top w:val="nil"/>
              <w:bottom w:val="nil"/>
            </w:tcBorders>
            <w:shd w:val="clear" w:color="auto" w:fill="D9D9D9" w:themeFill="background1" w:themeFillShade="D9"/>
          </w:tcPr>
          <w:p w14:paraId="24A02139" w14:textId="3467D461" w:rsidR="00A24BDC" w:rsidRPr="00A24BDC" w:rsidRDefault="00A24BDC" w:rsidP="00A24BDC">
            <w:pPr>
              <w:pStyle w:val="TableText"/>
              <w:jc w:val="center"/>
              <w:rPr>
                <w:b/>
              </w:rPr>
            </w:pPr>
            <w:r w:rsidRPr="00A24BDC">
              <w:rPr>
                <w:b/>
              </w:rPr>
              <w:t>Section</w:t>
            </w:r>
            <w:r>
              <w:rPr>
                <w:b/>
              </w:rPr>
              <w:br/>
            </w:r>
            <w:r w:rsidRPr="00A24BDC">
              <w:rPr>
                <w:b/>
              </w:rPr>
              <w:t>80</w:t>
            </w:r>
          </w:p>
        </w:tc>
        <w:tc>
          <w:tcPr>
            <w:tcW w:w="1020" w:type="dxa"/>
            <w:tcBorders>
              <w:top w:val="nil"/>
              <w:bottom w:val="nil"/>
            </w:tcBorders>
            <w:shd w:val="clear" w:color="auto" w:fill="D9D9D9" w:themeFill="background1" w:themeFillShade="D9"/>
          </w:tcPr>
          <w:p w14:paraId="2E274706" w14:textId="7BFAF03D" w:rsidR="00A24BDC" w:rsidRPr="00A24BDC" w:rsidRDefault="00A24BDC" w:rsidP="00A24BDC">
            <w:pPr>
              <w:pStyle w:val="TableText"/>
              <w:jc w:val="center"/>
              <w:rPr>
                <w:b/>
              </w:rPr>
            </w:pPr>
            <w:r w:rsidRPr="00A24BDC">
              <w:rPr>
                <w:b/>
              </w:rPr>
              <w:t>Section</w:t>
            </w:r>
            <w:r>
              <w:rPr>
                <w:b/>
              </w:rPr>
              <w:br/>
            </w:r>
            <w:r w:rsidRPr="00A24BDC">
              <w:rPr>
                <w:b/>
              </w:rPr>
              <w:t>81</w:t>
            </w:r>
          </w:p>
        </w:tc>
        <w:tc>
          <w:tcPr>
            <w:tcW w:w="1021" w:type="dxa"/>
            <w:tcBorders>
              <w:top w:val="nil"/>
              <w:bottom w:val="nil"/>
            </w:tcBorders>
            <w:shd w:val="clear" w:color="auto" w:fill="D9D9D9" w:themeFill="background1" w:themeFillShade="D9"/>
          </w:tcPr>
          <w:p w14:paraId="33DC7750" w14:textId="65DCAF28" w:rsidR="00A24BDC" w:rsidRPr="00A24BDC" w:rsidRDefault="00A24BDC" w:rsidP="00A24BDC">
            <w:pPr>
              <w:pStyle w:val="TableText"/>
              <w:jc w:val="center"/>
              <w:rPr>
                <w:b/>
              </w:rPr>
            </w:pPr>
            <w:r w:rsidRPr="00A24BDC">
              <w:rPr>
                <w:b/>
              </w:rPr>
              <w:t>Section</w:t>
            </w:r>
            <w:r>
              <w:rPr>
                <w:b/>
              </w:rPr>
              <w:br/>
            </w:r>
            <w:r w:rsidRPr="00A24BDC">
              <w:rPr>
                <w:b/>
              </w:rPr>
              <w:t>75</w:t>
            </w:r>
          </w:p>
        </w:tc>
        <w:tc>
          <w:tcPr>
            <w:tcW w:w="1021" w:type="dxa"/>
            <w:tcBorders>
              <w:top w:val="nil"/>
              <w:bottom w:val="nil"/>
            </w:tcBorders>
            <w:shd w:val="clear" w:color="auto" w:fill="D9D9D9" w:themeFill="background1" w:themeFillShade="D9"/>
          </w:tcPr>
          <w:p w14:paraId="2BDA1281" w14:textId="4A673FDA" w:rsidR="00A24BDC" w:rsidRPr="00A24BDC" w:rsidRDefault="00A24BDC" w:rsidP="00A24BDC">
            <w:pPr>
              <w:pStyle w:val="TableText"/>
              <w:jc w:val="center"/>
              <w:rPr>
                <w:b/>
              </w:rPr>
            </w:pPr>
            <w:r w:rsidRPr="00A24BDC">
              <w:rPr>
                <w:b/>
              </w:rPr>
              <w:t>Total</w:t>
            </w:r>
          </w:p>
        </w:tc>
      </w:tr>
      <w:tr w:rsidR="00A24BDC" w:rsidRPr="00EC5EF1" w14:paraId="4B116458" w14:textId="77777777" w:rsidTr="00A24BDC">
        <w:trPr>
          <w:cantSplit/>
        </w:trPr>
        <w:tc>
          <w:tcPr>
            <w:tcW w:w="2977" w:type="dxa"/>
            <w:tcBorders>
              <w:top w:val="nil"/>
            </w:tcBorders>
          </w:tcPr>
          <w:p w14:paraId="13D07560" w14:textId="760961F6" w:rsidR="00A24BDC" w:rsidRPr="00A24BDC" w:rsidRDefault="00A24BDC" w:rsidP="00A24BDC">
            <w:pPr>
              <w:pStyle w:val="TableText"/>
            </w:pPr>
            <w:r w:rsidRPr="00A24BDC">
              <w:t>Deemed ineligible</w:t>
            </w:r>
          </w:p>
        </w:tc>
        <w:tc>
          <w:tcPr>
            <w:tcW w:w="1020" w:type="dxa"/>
            <w:tcBorders>
              <w:top w:val="nil"/>
            </w:tcBorders>
          </w:tcPr>
          <w:p w14:paraId="3F338EBC" w14:textId="61001D6A" w:rsidR="00A24BDC" w:rsidRPr="00A24BDC" w:rsidRDefault="00A24BDC" w:rsidP="00A24BDC">
            <w:pPr>
              <w:pStyle w:val="TableText"/>
              <w:tabs>
                <w:tab w:val="decimal" w:pos="553"/>
              </w:tabs>
            </w:pPr>
            <w:r w:rsidRPr="00A24BDC">
              <w:t>11</w:t>
            </w:r>
          </w:p>
        </w:tc>
        <w:tc>
          <w:tcPr>
            <w:tcW w:w="1021" w:type="dxa"/>
            <w:tcBorders>
              <w:top w:val="nil"/>
            </w:tcBorders>
          </w:tcPr>
          <w:p w14:paraId="37F7983E" w14:textId="5C755FDF" w:rsidR="00A24BDC" w:rsidRPr="00A24BDC" w:rsidRDefault="00A24BDC" w:rsidP="00A24BDC">
            <w:pPr>
              <w:pStyle w:val="TableText"/>
              <w:jc w:val="center"/>
            </w:pPr>
            <w:r w:rsidRPr="00A24BDC">
              <w:t>0</w:t>
            </w:r>
          </w:p>
        </w:tc>
        <w:tc>
          <w:tcPr>
            <w:tcW w:w="1020" w:type="dxa"/>
            <w:tcBorders>
              <w:top w:val="nil"/>
            </w:tcBorders>
          </w:tcPr>
          <w:p w14:paraId="3098431D" w14:textId="1DEBCB3A" w:rsidR="00A24BDC" w:rsidRPr="00A24BDC" w:rsidRDefault="00A24BDC" w:rsidP="00A24BDC">
            <w:pPr>
              <w:pStyle w:val="TableText"/>
              <w:jc w:val="center"/>
            </w:pPr>
            <w:r w:rsidRPr="00A24BDC">
              <w:t>0</w:t>
            </w:r>
          </w:p>
        </w:tc>
        <w:tc>
          <w:tcPr>
            <w:tcW w:w="1021" w:type="dxa"/>
            <w:tcBorders>
              <w:top w:val="nil"/>
            </w:tcBorders>
          </w:tcPr>
          <w:p w14:paraId="5C53790A" w14:textId="79E0220B" w:rsidR="00A24BDC" w:rsidRPr="00A24BDC" w:rsidRDefault="00A24BDC" w:rsidP="00A24BDC">
            <w:pPr>
              <w:pStyle w:val="TableText"/>
              <w:jc w:val="center"/>
            </w:pPr>
            <w:r w:rsidRPr="00A24BDC">
              <w:t>0</w:t>
            </w:r>
          </w:p>
        </w:tc>
        <w:tc>
          <w:tcPr>
            <w:tcW w:w="1021" w:type="dxa"/>
            <w:tcBorders>
              <w:top w:val="nil"/>
            </w:tcBorders>
          </w:tcPr>
          <w:p w14:paraId="095755BE" w14:textId="2687061F" w:rsidR="00A24BDC" w:rsidRPr="00A24BDC" w:rsidRDefault="00A24BDC" w:rsidP="00A24BDC">
            <w:pPr>
              <w:pStyle w:val="TableText"/>
              <w:tabs>
                <w:tab w:val="decimal" w:pos="594"/>
              </w:tabs>
            </w:pPr>
            <w:r w:rsidRPr="00A24BDC">
              <w:t>11</w:t>
            </w:r>
          </w:p>
        </w:tc>
      </w:tr>
      <w:tr w:rsidR="00A24BDC" w:rsidRPr="00EC5EF1" w14:paraId="15E83D02" w14:textId="77777777" w:rsidTr="00A24BDC">
        <w:trPr>
          <w:cantSplit/>
        </w:trPr>
        <w:tc>
          <w:tcPr>
            <w:tcW w:w="2977" w:type="dxa"/>
          </w:tcPr>
          <w:p w14:paraId="52459E45" w14:textId="25028BFC" w:rsidR="00A24BDC" w:rsidRPr="00A24BDC" w:rsidRDefault="00A24BDC" w:rsidP="00A24BDC">
            <w:pPr>
              <w:pStyle w:val="TableText"/>
            </w:pPr>
            <w:r w:rsidRPr="00A24BDC">
              <w:t>Withdrawn</w:t>
            </w:r>
          </w:p>
        </w:tc>
        <w:tc>
          <w:tcPr>
            <w:tcW w:w="1020" w:type="dxa"/>
          </w:tcPr>
          <w:p w14:paraId="53D5AFA2" w14:textId="6DC10947" w:rsidR="00A24BDC" w:rsidRPr="00A24BDC" w:rsidRDefault="00A24BDC" w:rsidP="00A24BDC">
            <w:pPr>
              <w:pStyle w:val="TableText"/>
              <w:tabs>
                <w:tab w:val="decimal" w:pos="553"/>
              </w:tabs>
            </w:pPr>
            <w:r w:rsidRPr="00A24BDC">
              <w:t>55</w:t>
            </w:r>
          </w:p>
        </w:tc>
        <w:tc>
          <w:tcPr>
            <w:tcW w:w="1021" w:type="dxa"/>
          </w:tcPr>
          <w:p w14:paraId="47BFA947" w14:textId="218DD49E" w:rsidR="00A24BDC" w:rsidRPr="00A24BDC" w:rsidRDefault="00A24BDC" w:rsidP="00A24BDC">
            <w:pPr>
              <w:pStyle w:val="TableText"/>
              <w:jc w:val="center"/>
            </w:pPr>
            <w:r w:rsidRPr="00A24BDC">
              <w:t>4</w:t>
            </w:r>
          </w:p>
        </w:tc>
        <w:tc>
          <w:tcPr>
            <w:tcW w:w="1020" w:type="dxa"/>
          </w:tcPr>
          <w:p w14:paraId="1ECDD0F4" w14:textId="5922738F" w:rsidR="00A24BDC" w:rsidRPr="00A24BDC" w:rsidRDefault="00A24BDC" w:rsidP="00A24BDC">
            <w:pPr>
              <w:pStyle w:val="TableText"/>
              <w:jc w:val="center"/>
            </w:pPr>
            <w:r w:rsidRPr="00A24BDC">
              <w:t>0</w:t>
            </w:r>
          </w:p>
        </w:tc>
        <w:tc>
          <w:tcPr>
            <w:tcW w:w="1021" w:type="dxa"/>
          </w:tcPr>
          <w:p w14:paraId="58D5D10B" w14:textId="19B81DB4" w:rsidR="00A24BDC" w:rsidRPr="00A24BDC" w:rsidRDefault="00A24BDC" w:rsidP="00A24BDC">
            <w:pPr>
              <w:pStyle w:val="TableText"/>
              <w:jc w:val="center"/>
            </w:pPr>
            <w:r w:rsidRPr="00A24BDC">
              <w:t>0</w:t>
            </w:r>
          </w:p>
        </w:tc>
        <w:tc>
          <w:tcPr>
            <w:tcW w:w="1021" w:type="dxa"/>
          </w:tcPr>
          <w:p w14:paraId="1DC179E0" w14:textId="47583352" w:rsidR="00A24BDC" w:rsidRPr="00A24BDC" w:rsidRDefault="00A24BDC" w:rsidP="00A24BDC">
            <w:pPr>
              <w:pStyle w:val="TableText"/>
              <w:tabs>
                <w:tab w:val="decimal" w:pos="594"/>
              </w:tabs>
            </w:pPr>
            <w:r w:rsidRPr="00A24BDC">
              <w:t>59</w:t>
            </w:r>
          </w:p>
        </w:tc>
      </w:tr>
      <w:tr w:rsidR="00A24BDC" w:rsidRPr="00EC5EF1" w14:paraId="7B91D8E9" w14:textId="77777777" w:rsidTr="00A24BDC">
        <w:trPr>
          <w:cantSplit/>
        </w:trPr>
        <w:tc>
          <w:tcPr>
            <w:tcW w:w="2977" w:type="dxa"/>
          </w:tcPr>
          <w:p w14:paraId="50A3181B" w14:textId="253B5A75" w:rsidR="00A24BDC" w:rsidRPr="00A24BDC" w:rsidRDefault="00A24BDC" w:rsidP="00A24BDC">
            <w:pPr>
              <w:pStyle w:val="TableText"/>
            </w:pPr>
            <w:r w:rsidRPr="00A24BDC">
              <w:t>Held over to the next report year</w:t>
            </w:r>
          </w:p>
        </w:tc>
        <w:tc>
          <w:tcPr>
            <w:tcW w:w="1020" w:type="dxa"/>
          </w:tcPr>
          <w:p w14:paraId="1BE097E1" w14:textId="7109FF10" w:rsidR="00A24BDC" w:rsidRPr="00A24BDC" w:rsidRDefault="00A24BDC" w:rsidP="00A24BDC">
            <w:pPr>
              <w:pStyle w:val="TableText"/>
              <w:tabs>
                <w:tab w:val="decimal" w:pos="553"/>
              </w:tabs>
            </w:pPr>
            <w:r w:rsidRPr="00A24BDC">
              <w:t>6</w:t>
            </w:r>
          </w:p>
        </w:tc>
        <w:tc>
          <w:tcPr>
            <w:tcW w:w="1021" w:type="dxa"/>
          </w:tcPr>
          <w:p w14:paraId="122F64F0" w14:textId="278AEA5F" w:rsidR="00A24BDC" w:rsidRPr="00A24BDC" w:rsidRDefault="00A24BDC" w:rsidP="00A24BDC">
            <w:pPr>
              <w:pStyle w:val="TableText"/>
              <w:jc w:val="center"/>
            </w:pPr>
            <w:r w:rsidRPr="00A24BDC">
              <w:t>0</w:t>
            </w:r>
          </w:p>
        </w:tc>
        <w:tc>
          <w:tcPr>
            <w:tcW w:w="1020" w:type="dxa"/>
          </w:tcPr>
          <w:p w14:paraId="3F4008A1" w14:textId="174E0506" w:rsidR="00A24BDC" w:rsidRPr="00A24BDC" w:rsidRDefault="00A24BDC" w:rsidP="00A24BDC">
            <w:pPr>
              <w:pStyle w:val="TableText"/>
              <w:jc w:val="center"/>
            </w:pPr>
            <w:r w:rsidRPr="00A24BDC">
              <w:t>0</w:t>
            </w:r>
          </w:p>
        </w:tc>
        <w:tc>
          <w:tcPr>
            <w:tcW w:w="1021" w:type="dxa"/>
          </w:tcPr>
          <w:p w14:paraId="1697E03B" w14:textId="272367BC" w:rsidR="00A24BDC" w:rsidRPr="00A24BDC" w:rsidRDefault="00A24BDC" w:rsidP="00A24BDC">
            <w:pPr>
              <w:pStyle w:val="TableText"/>
              <w:jc w:val="center"/>
            </w:pPr>
            <w:r w:rsidRPr="00A24BDC">
              <w:t>0</w:t>
            </w:r>
          </w:p>
        </w:tc>
        <w:tc>
          <w:tcPr>
            <w:tcW w:w="1021" w:type="dxa"/>
          </w:tcPr>
          <w:p w14:paraId="5B8205CF" w14:textId="144F65C0" w:rsidR="00A24BDC" w:rsidRPr="00A24BDC" w:rsidRDefault="00A24BDC" w:rsidP="00A24BDC">
            <w:pPr>
              <w:pStyle w:val="TableText"/>
              <w:tabs>
                <w:tab w:val="decimal" w:pos="594"/>
              </w:tabs>
            </w:pPr>
            <w:r w:rsidRPr="00A24BDC">
              <w:t>6</w:t>
            </w:r>
          </w:p>
        </w:tc>
      </w:tr>
      <w:tr w:rsidR="00A24BDC" w:rsidRPr="00EC5EF1" w14:paraId="42AAE0FF" w14:textId="77777777" w:rsidTr="00A24BDC">
        <w:trPr>
          <w:cantSplit/>
        </w:trPr>
        <w:tc>
          <w:tcPr>
            <w:tcW w:w="2977" w:type="dxa"/>
          </w:tcPr>
          <w:p w14:paraId="6101CF91" w14:textId="3086647D" w:rsidR="00A24BDC" w:rsidRPr="00A24BDC" w:rsidRDefault="00A24BDC" w:rsidP="00A24BDC">
            <w:pPr>
              <w:pStyle w:val="TableText"/>
            </w:pPr>
            <w:r w:rsidRPr="00A24BDC">
              <w:t>Heard in the report year</w:t>
            </w:r>
          </w:p>
        </w:tc>
        <w:tc>
          <w:tcPr>
            <w:tcW w:w="1020" w:type="dxa"/>
          </w:tcPr>
          <w:p w14:paraId="1D84DC33" w14:textId="2EC9DEB0" w:rsidR="00A24BDC" w:rsidRPr="00A24BDC" w:rsidRDefault="00A24BDC" w:rsidP="00A24BDC">
            <w:pPr>
              <w:pStyle w:val="TableText"/>
              <w:tabs>
                <w:tab w:val="decimal" w:pos="553"/>
              </w:tabs>
            </w:pPr>
            <w:r w:rsidRPr="00A24BDC">
              <w:t>60</w:t>
            </w:r>
          </w:p>
        </w:tc>
        <w:tc>
          <w:tcPr>
            <w:tcW w:w="1021" w:type="dxa"/>
          </w:tcPr>
          <w:p w14:paraId="0D0040EF" w14:textId="1170C029" w:rsidR="00A24BDC" w:rsidRPr="00A24BDC" w:rsidRDefault="00A24BDC" w:rsidP="00A24BDC">
            <w:pPr>
              <w:pStyle w:val="TableText"/>
              <w:jc w:val="center"/>
            </w:pPr>
            <w:r w:rsidRPr="00A24BDC">
              <w:t>3</w:t>
            </w:r>
          </w:p>
        </w:tc>
        <w:tc>
          <w:tcPr>
            <w:tcW w:w="1020" w:type="dxa"/>
          </w:tcPr>
          <w:p w14:paraId="5DC7D156" w14:textId="2D889D8B" w:rsidR="00A24BDC" w:rsidRPr="00A24BDC" w:rsidRDefault="00A24BDC" w:rsidP="00A24BDC">
            <w:pPr>
              <w:pStyle w:val="TableText"/>
              <w:jc w:val="center"/>
            </w:pPr>
            <w:r w:rsidRPr="00A24BDC">
              <w:t>0</w:t>
            </w:r>
          </w:p>
        </w:tc>
        <w:tc>
          <w:tcPr>
            <w:tcW w:w="1021" w:type="dxa"/>
          </w:tcPr>
          <w:p w14:paraId="55B6B924" w14:textId="6D109D42" w:rsidR="00A24BDC" w:rsidRPr="00A24BDC" w:rsidRDefault="00A24BDC" w:rsidP="00A24BDC">
            <w:pPr>
              <w:pStyle w:val="TableText"/>
              <w:jc w:val="center"/>
            </w:pPr>
            <w:r w:rsidRPr="00A24BDC">
              <w:t>0</w:t>
            </w:r>
          </w:p>
        </w:tc>
        <w:tc>
          <w:tcPr>
            <w:tcW w:w="1021" w:type="dxa"/>
          </w:tcPr>
          <w:p w14:paraId="5DE97F4E" w14:textId="316DDCEC" w:rsidR="00A24BDC" w:rsidRPr="00A24BDC" w:rsidRDefault="00A24BDC" w:rsidP="00A24BDC">
            <w:pPr>
              <w:pStyle w:val="TableText"/>
              <w:tabs>
                <w:tab w:val="decimal" w:pos="594"/>
              </w:tabs>
            </w:pPr>
            <w:r w:rsidRPr="00A24BDC">
              <w:t>63</w:t>
            </w:r>
          </w:p>
        </w:tc>
      </w:tr>
      <w:tr w:rsidR="00A24BDC" w:rsidRPr="00A24BDC" w14:paraId="587B05C8" w14:textId="77777777" w:rsidTr="00A24BDC">
        <w:trPr>
          <w:cantSplit/>
        </w:trPr>
        <w:tc>
          <w:tcPr>
            <w:tcW w:w="2977" w:type="dxa"/>
          </w:tcPr>
          <w:p w14:paraId="7BD857A8" w14:textId="0299BC9A" w:rsidR="00A24BDC" w:rsidRPr="00A24BDC" w:rsidRDefault="00A24BDC" w:rsidP="00A24BDC">
            <w:pPr>
              <w:pStyle w:val="TableText"/>
              <w:rPr>
                <w:b/>
              </w:rPr>
            </w:pPr>
            <w:r w:rsidRPr="00A24BDC">
              <w:rPr>
                <w:b/>
              </w:rPr>
              <w:t>Total</w:t>
            </w:r>
          </w:p>
        </w:tc>
        <w:tc>
          <w:tcPr>
            <w:tcW w:w="1020" w:type="dxa"/>
          </w:tcPr>
          <w:p w14:paraId="35A7BE7E" w14:textId="5EE5057C" w:rsidR="00A24BDC" w:rsidRPr="00A24BDC" w:rsidRDefault="00A24BDC" w:rsidP="00A24BDC">
            <w:pPr>
              <w:pStyle w:val="TableText"/>
              <w:tabs>
                <w:tab w:val="decimal" w:pos="553"/>
              </w:tabs>
              <w:rPr>
                <w:b/>
              </w:rPr>
            </w:pPr>
            <w:r w:rsidRPr="00A24BDC">
              <w:rPr>
                <w:b/>
              </w:rPr>
              <w:t>132</w:t>
            </w:r>
          </w:p>
        </w:tc>
        <w:tc>
          <w:tcPr>
            <w:tcW w:w="1021" w:type="dxa"/>
          </w:tcPr>
          <w:p w14:paraId="7F43C85A" w14:textId="13103FF7" w:rsidR="00A24BDC" w:rsidRPr="00A24BDC" w:rsidRDefault="00A24BDC" w:rsidP="00A24BDC">
            <w:pPr>
              <w:pStyle w:val="TableText"/>
              <w:jc w:val="center"/>
              <w:rPr>
                <w:b/>
              </w:rPr>
            </w:pPr>
            <w:r w:rsidRPr="00A24BDC">
              <w:rPr>
                <w:b/>
              </w:rPr>
              <w:t>7</w:t>
            </w:r>
          </w:p>
        </w:tc>
        <w:tc>
          <w:tcPr>
            <w:tcW w:w="1020" w:type="dxa"/>
          </w:tcPr>
          <w:p w14:paraId="666A2A11" w14:textId="7172B002" w:rsidR="00A24BDC" w:rsidRPr="00A24BDC" w:rsidRDefault="00A24BDC" w:rsidP="00A24BDC">
            <w:pPr>
              <w:pStyle w:val="TableText"/>
              <w:jc w:val="center"/>
              <w:rPr>
                <w:b/>
              </w:rPr>
            </w:pPr>
            <w:r w:rsidRPr="00A24BDC">
              <w:rPr>
                <w:b/>
              </w:rPr>
              <w:t>0</w:t>
            </w:r>
          </w:p>
        </w:tc>
        <w:tc>
          <w:tcPr>
            <w:tcW w:w="1021" w:type="dxa"/>
          </w:tcPr>
          <w:p w14:paraId="11DCB44E" w14:textId="57D72F4A" w:rsidR="00A24BDC" w:rsidRPr="00A24BDC" w:rsidRDefault="00A24BDC" w:rsidP="00A24BDC">
            <w:pPr>
              <w:pStyle w:val="TableText"/>
              <w:jc w:val="center"/>
              <w:rPr>
                <w:b/>
              </w:rPr>
            </w:pPr>
            <w:r w:rsidRPr="00A24BDC">
              <w:rPr>
                <w:b/>
              </w:rPr>
              <w:t>0</w:t>
            </w:r>
          </w:p>
        </w:tc>
        <w:tc>
          <w:tcPr>
            <w:tcW w:w="1021" w:type="dxa"/>
          </w:tcPr>
          <w:p w14:paraId="5AFDDDEA" w14:textId="753E1FBE" w:rsidR="00A24BDC" w:rsidRPr="00A24BDC" w:rsidRDefault="00A24BDC" w:rsidP="00A24BDC">
            <w:pPr>
              <w:pStyle w:val="TableText"/>
              <w:tabs>
                <w:tab w:val="decimal" w:pos="594"/>
              </w:tabs>
              <w:rPr>
                <w:b/>
              </w:rPr>
            </w:pPr>
            <w:r w:rsidRPr="00A24BDC">
              <w:rPr>
                <w:b/>
              </w:rPr>
              <w:t>139</w:t>
            </w:r>
          </w:p>
        </w:tc>
      </w:tr>
    </w:tbl>
    <w:p w14:paraId="7A53ED30" w14:textId="5E386D18" w:rsidR="00740DA6" w:rsidRPr="00EC5EF1" w:rsidRDefault="00740DA6" w:rsidP="00A15127">
      <w:pPr>
        <w:pStyle w:val="Source"/>
      </w:pPr>
      <w:r w:rsidRPr="00EC5EF1">
        <w:t>Source: Annual report of the Mental Health Review Tribunal, 1 July 2016 to 30 June 2017</w:t>
      </w:r>
    </w:p>
    <w:p w14:paraId="2B96D406" w14:textId="77777777" w:rsidR="00A15127" w:rsidRDefault="00A15127" w:rsidP="00A15127">
      <w:pPr>
        <w:rPr>
          <w:sz w:val="22"/>
        </w:rPr>
      </w:pPr>
    </w:p>
    <w:p w14:paraId="00BF33B7" w14:textId="569A80F3" w:rsidR="00740DA6" w:rsidRPr="00EC5EF1" w:rsidRDefault="00740DA6" w:rsidP="00A15127">
      <w:r w:rsidRPr="00EC5EF1">
        <w:rPr>
          <w:sz w:val="22"/>
        </w:rPr>
        <w:t>D</w:t>
      </w:r>
      <w:r w:rsidRPr="00EC5EF1">
        <w:t>uring the year ended 30 June 2017, the Tribunal heard 62 applications under section</w:t>
      </w:r>
      <w:r w:rsidR="00A24BDC">
        <w:t> </w:t>
      </w:r>
      <w:r w:rsidRPr="00EC5EF1">
        <w:t>79 of the Mental Health Act. Table A3 presents the results of those cases.</w:t>
      </w:r>
    </w:p>
    <w:p w14:paraId="422FAEE6" w14:textId="77777777" w:rsidR="00740DA6" w:rsidRPr="00EC5EF1" w:rsidRDefault="00740DA6" w:rsidP="00A15127"/>
    <w:p w14:paraId="3A5588F8" w14:textId="77777777" w:rsidR="00740DA6" w:rsidRDefault="00740DA6" w:rsidP="00475708">
      <w:pPr>
        <w:pStyle w:val="Table"/>
      </w:pPr>
      <w:bookmarkStart w:id="160" w:name="_Toc2845769"/>
      <w:r w:rsidRPr="00EC5EF1">
        <w:t>Table A3: Results of inquiries under section 79 of the Mental Health Act held by the Mental Health Review Tribunal, 1 July 2016 to 30 June 2017</w:t>
      </w:r>
      <w:bookmarkEnd w:id="160"/>
    </w:p>
    <w:tbl>
      <w:tblPr>
        <w:tblW w:w="5529"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4395"/>
        <w:gridCol w:w="1134"/>
      </w:tblGrid>
      <w:tr w:rsidR="00A24BDC" w:rsidRPr="00A24BDC" w14:paraId="0F076B05" w14:textId="77777777" w:rsidTr="00A24BDC">
        <w:trPr>
          <w:cantSplit/>
        </w:trPr>
        <w:tc>
          <w:tcPr>
            <w:tcW w:w="4395" w:type="dxa"/>
            <w:tcBorders>
              <w:top w:val="nil"/>
              <w:bottom w:val="nil"/>
            </w:tcBorders>
            <w:shd w:val="clear" w:color="auto" w:fill="D9D9D9" w:themeFill="background1" w:themeFillShade="D9"/>
          </w:tcPr>
          <w:p w14:paraId="0F7ACB2B" w14:textId="01AF3EBB" w:rsidR="00A24BDC" w:rsidRPr="00A24BDC" w:rsidRDefault="00A24BDC" w:rsidP="00F72074">
            <w:pPr>
              <w:pStyle w:val="TableText"/>
              <w:rPr>
                <w:b/>
              </w:rPr>
            </w:pPr>
            <w:r>
              <w:rPr>
                <w:b/>
              </w:rPr>
              <w:t>Result</w:t>
            </w:r>
          </w:p>
        </w:tc>
        <w:tc>
          <w:tcPr>
            <w:tcW w:w="1134" w:type="dxa"/>
            <w:tcBorders>
              <w:top w:val="nil"/>
              <w:bottom w:val="nil"/>
            </w:tcBorders>
            <w:shd w:val="clear" w:color="auto" w:fill="D9D9D9" w:themeFill="background1" w:themeFillShade="D9"/>
          </w:tcPr>
          <w:p w14:paraId="74D0F301" w14:textId="3B062AA8" w:rsidR="00A24BDC" w:rsidRPr="00A24BDC" w:rsidRDefault="00A24BDC" w:rsidP="00F72074">
            <w:pPr>
              <w:pStyle w:val="TableText"/>
              <w:jc w:val="center"/>
              <w:rPr>
                <w:b/>
              </w:rPr>
            </w:pPr>
            <w:r>
              <w:rPr>
                <w:b/>
              </w:rPr>
              <w:t>Number</w:t>
            </w:r>
          </w:p>
        </w:tc>
      </w:tr>
      <w:tr w:rsidR="00A24BDC" w:rsidRPr="00A24BDC" w14:paraId="07926A6F" w14:textId="77777777" w:rsidTr="00A24BDC">
        <w:trPr>
          <w:cantSplit/>
        </w:trPr>
        <w:tc>
          <w:tcPr>
            <w:tcW w:w="4395" w:type="dxa"/>
            <w:tcBorders>
              <w:top w:val="nil"/>
            </w:tcBorders>
          </w:tcPr>
          <w:p w14:paraId="2AA169D2" w14:textId="3EA6614D" w:rsidR="00A24BDC" w:rsidRPr="00A24BDC" w:rsidRDefault="00A24BDC" w:rsidP="00F72074">
            <w:pPr>
              <w:pStyle w:val="TableText"/>
            </w:pPr>
            <w:r w:rsidRPr="00A24BDC">
              <w:rPr>
                <w:u w:color="808285"/>
              </w:rPr>
              <w:t>Not fit to be released from compulsory status</w:t>
            </w:r>
          </w:p>
        </w:tc>
        <w:tc>
          <w:tcPr>
            <w:tcW w:w="1134" w:type="dxa"/>
            <w:tcBorders>
              <w:top w:val="nil"/>
            </w:tcBorders>
          </w:tcPr>
          <w:p w14:paraId="0D657050" w14:textId="1EA82EDB" w:rsidR="00A24BDC" w:rsidRPr="00A24BDC" w:rsidRDefault="00A24BDC" w:rsidP="00A24BDC">
            <w:pPr>
              <w:pStyle w:val="TableText"/>
              <w:tabs>
                <w:tab w:val="decimal" w:pos="651"/>
              </w:tabs>
            </w:pPr>
            <w:r w:rsidRPr="00A24BDC">
              <w:rPr>
                <w:u w:color="808285"/>
              </w:rPr>
              <w:t>63</w:t>
            </w:r>
          </w:p>
        </w:tc>
      </w:tr>
      <w:tr w:rsidR="00A24BDC" w:rsidRPr="00A24BDC" w14:paraId="148C4910" w14:textId="77777777" w:rsidTr="00A24BDC">
        <w:trPr>
          <w:cantSplit/>
        </w:trPr>
        <w:tc>
          <w:tcPr>
            <w:tcW w:w="4395" w:type="dxa"/>
          </w:tcPr>
          <w:p w14:paraId="1709CEBD" w14:textId="0FEF9EB8" w:rsidR="00A24BDC" w:rsidRPr="00A24BDC" w:rsidRDefault="00A24BDC" w:rsidP="00A24BDC">
            <w:pPr>
              <w:pStyle w:val="TableText"/>
            </w:pPr>
            <w:r w:rsidRPr="00A24BDC">
              <w:rPr>
                <w:u w:color="808285"/>
              </w:rPr>
              <w:t>Fit to be released from compulsory status</w:t>
            </w:r>
          </w:p>
        </w:tc>
        <w:tc>
          <w:tcPr>
            <w:tcW w:w="1134" w:type="dxa"/>
          </w:tcPr>
          <w:p w14:paraId="6E4CD4CA" w14:textId="351A5B54" w:rsidR="00A24BDC" w:rsidRPr="00A24BDC" w:rsidRDefault="00A24BDC" w:rsidP="00A24BDC">
            <w:pPr>
              <w:pStyle w:val="TableText"/>
              <w:tabs>
                <w:tab w:val="decimal" w:pos="651"/>
              </w:tabs>
            </w:pPr>
            <w:r w:rsidRPr="00A24BDC">
              <w:rPr>
                <w:u w:color="808285"/>
              </w:rPr>
              <w:t>6</w:t>
            </w:r>
          </w:p>
        </w:tc>
      </w:tr>
      <w:tr w:rsidR="00A24BDC" w:rsidRPr="00A24BDC" w14:paraId="473EBB97" w14:textId="77777777" w:rsidTr="00A24BDC">
        <w:trPr>
          <w:cantSplit/>
        </w:trPr>
        <w:tc>
          <w:tcPr>
            <w:tcW w:w="4395" w:type="dxa"/>
          </w:tcPr>
          <w:p w14:paraId="17B9C640" w14:textId="76A8A0DA" w:rsidR="00A24BDC" w:rsidRPr="00A24BDC" w:rsidRDefault="00A24BDC" w:rsidP="00F72074">
            <w:pPr>
              <w:pStyle w:val="TableText"/>
              <w:rPr>
                <w:b/>
              </w:rPr>
            </w:pPr>
            <w:r w:rsidRPr="00A24BDC">
              <w:rPr>
                <w:b/>
                <w:u w:color="231F20"/>
              </w:rPr>
              <w:t>Total</w:t>
            </w:r>
          </w:p>
        </w:tc>
        <w:tc>
          <w:tcPr>
            <w:tcW w:w="1134" w:type="dxa"/>
          </w:tcPr>
          <w:p w14:paraId="4CF7532D" w14:textId="0CDABD8C" w:rsidR="00A24BDC" w:rsidRPr="00A24BDC" w:rsidRDefault="00A24BDC" w:rsidP="00A24BDC">
            <w:pPr>
              <w:pStyle w:val="TableText"/>
              <w:tabs>
                <w:tab w:val="decimal" w:pos="651"/>
              </w:tabs>
              <w:rPr>
                <w:b/>
              </w:rPr>
            </w:pPr>
            <w:r w:rsidRPr="00A24BDC">
              <w:rPr>
                <w:b/>
                <w:u w:color="231F20"/>
              </w:rPr>
              <w:t>69</w:t>
            </w:r>
          </w:p>
        </w:tc>
      </w:tr>
    </w:tbl>
    <w:p w14:paraId="4D36A62D" w14:textId="3E2FCB40" w:rsidR="00740DA6" w:rsidRPr="00EC5EF1" w:rsidRDefault="00740DA6" w:rsidP="00740DA6">
      <w:pPr>
        <w:spacing w:line="20" w:lineRule="exact"/>
        <w:ind w:left="2285"/>
        <w:rPr>
          <w:rFonts w:ascii="Tahoma"/>
          <w:sz w:val="2"/>
        </w:rPr>
      </w:pPr>
    </w:p>
    <w:p w14:paraId="258D5214" w14:textId="77777777" w:rsidR="00740DA6" w:rsidRPr="00EC5EF1" w:rsidRDefault="00740DA6" w:rsidP="00A15127">
      <w:pPr>
        <w:pStyle w:val="Source"/>
      </w:pPr>
      <w:r w:rsidRPr="00EC5EF1">
        <w:t>Source: Annual report of the Mental Health Review Tribunal, 1 July 2016 to 30 June 2017</w:t>
      </w:r>
    </w:p>
    <w:p w14:paraId="399298D7" w14:textId="77777777" w:rsidR="00740DA6" w:rsidRPr="00EC5EF1" w:rsidRDefault="00740DA6" w:rsidP="00A15127"/>
    <w:p w14:paraId="485F2206" w14:textId="77777777" w:rsidR="00740DA6" w:rsidRPr="00EC5EF1" w:rsidRDefault="00740DA6" w:rsidP="00A15127">
      <w:r w:rsidRPr="00EC5EF1">
        <w:t>Table A4 shows the ethnicity of the 115 people for whom ethnicity was identified in an application to the Tribunal in the year ended 30 June 2017.</w:t>
      </w:r>
    </w:p>
    <w:p w14:paraId="04A92BA1" w14:textId="77777777" w:rsidR="00740DA6" w:rsidRPr="00EC5EF1" w:rsidRDefault="00740DA6" w:rsidP="00A15127"/>
    <w:p w14:paraId="68FB8518" w14:textId="7F26FA29" w:rsidR="00740DA6" w:rsidRDefault="00740DA6" w:rsidP="00475708">
      <w:pPr>
        <w:pStyle w:val="Table"/>
      </w:pPr>
      <w:bookmarkStart w:id="161" w:name="_Toc2845770"/>
      <w:r w:rsidRPr="00EC5EF1">
        <w:lastRenderedPageBreak/>
        <w:t>Table A4: Ethnicity of people who identified their ethnicity in Mental Health Review Tribunal applications, 1 July 2016 to 30 June 2017</w:t>
      </w:r>
      <w:bookmarkEnd w:id="161"/>
    </w:p>
    <w:tbl>
      <w:tblPr>
        <w:tblW w:w="567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835"/>
        <w:gridCol w:w="1417"/>
        <w:gridCol w:w="1418"/>
      </w:tblGrid>
      <w:tr w:rsidR="00A24BDC" w:rsidRPr="00A24BDC" w14:paraId="0B194C9E" w14:textId="77777777" w:rsidTr="00A24BDC">
        <w:trPr>
          <w:cantSplit/>
        </w:trPr>
        <w:tc>
          <w:tcPr>
            <w:tcW w:w="2835" w:type="dxa"/>
            <w:tcBorders>
              <w:top w:val="nil"/>
              <w:bottom w:val="nil"/>
            </w:tcBorders>
            <w:shd w:val="clear" w:color="auto" w:fill="D9D9D9" w:themeFill="background1" w:themeFillShade="D9"/>
          </w:tcPr>
          <w:p w14:paraId="4566BCC4" w14:textId="7009EEF4" w:rsidR="00A24BDC" w:rsidRPr="00A24BDC" w:rsidRDefault="00A24BDC" w:rsidP="00A24BDC">
            <w:pPr>
              <w:pStyle w:val="TableText"/>
              <w:keepNext/>
              <w:rPr>
                <w:b/>
              </w:rPr>
            </w:pPr>
            <w:r w:rsidRPr="00A24BDC">
              <w:rPr>
                <w:b/>
              </w:rPr>
              <w:t>Ethnicity</w:t>
            </w:r>
          </w:p>
        </w:tc>
        <w:tc>
          <w:tcPr>
            <w:tcW w:w="1417" w:type="dxa"/>
            <w:tcBorders>
              <w:top w:val="nil"/>
              <w:bottom w:val="nil"/>
            </w:tcBorders>
            <w:shd w:val="clear" w:color="auto" w:fill="D9D9D9" w:themeFill="background1" w:themeFillShade="D9"/>
          </w:tcPr>
          <w:p w14:paraId="11647696" w14:textId="74FCD496" w:rsidR="00A24BDC" w:rsidRPr="00A24BDC" w:rsidRDefault="00A24BDC" w:rsidP="00A24BDC">
            <w:pPr>
              <w:pStyle w:val="TableText"/>
              <w:keepNext/>
              <w:jc w:val="center"/>
              <w:rPr>
                <w:b/>
              </w:rPr>
            </w:pPr>
            <w:r w:rsidRPr="00A24BDC">
              <w:rPr>
                <w:b/>
              </w:rPr>
              <w:t>Number</w:t>
            </w:r>
          </w:p>
        </w:tc>
        <w:tc>
          <w:tcPr>
            <w:tcW w:w="1418" w:type="dxa"/>
            <w:tcBorders>
              <w:top w:val="nil"/>
              <w:bottom w:val="nil"/>
            </w:tcBorders>
            <w:shd w:val="clear" w:color="auto" w:fill="D9D9D9" w:themeFill="background1" w:themeFillShade="D9"/>
          </w:tcPr>
          <w:p w14:paraId="562601A0" w14:textId="28E6FEB5" w:rsidR="00A24BDC" w:rsidRPr="00A24BDC" w:rsidRDefault="00A24BDC" w:rsidP="00A24BDC">
            <w:pPr>
              <w:pStyle w:val="TableText"/>
              <w:keepNext/>
              <w:jc w:val="center"/>
              <w:rPr>
                <w:b/>
              </w:rPr>
            </w:pPr>
            <w:r w:rsidRPr="00A24BDC">
              <w:rPr>
                <w:b/>
              </w:rPr>
              <w:t>Percent</w:t>
            </w:r>
          </w:p>
        </w:tc>
      </w:tr>
      <w:tr w:rsidR="00A24BDC" w:rsidRPr="00A24BDC" w14:paraId="40E65ABC" w14:textId="77777777" w:rsidTr="00A24BDC">
        <w:trPr>
          <w:cantSplit/>
        </w:trPr>
        <w:tc>
          <w:tcPr>
            <w:tcW w:w="2835" w:type="dxa"/>
            <w:tcBorders>
              <w:top w:val="nil"/>
            </w:tcBorders>
          </w:tcPr>
          <w:p w14:paraId="7DEEFE17" w14:textId="16870EA5" w:rsidR="00A24BDC" w:rsidRPr="00A24BDC" w:rsidRDefault="00A24BDC" w:rsidP="00A24BDC">
            <w:pPr>
              <w:pStyle w:val="TableText"/>
            </w:pPr>
            <w:r w:rsidRPr="00A24BDC">
              <w:rPr>
                <w:u w:color="231F20"/>
              </w:rPr>
              <w:t>New Zealand European</w:t>
            </w:r>
          </w:p>
        </w:tc>
        <w:tc>
          <w:tcPr>
            <w:tcW w:w="1417" w:type="dxa"/>
            <w:tcBorders>
              <w:top w:val="nil"/>
            </w:tcBorders>
          </w:tcPr>
          <w:p w14:paraId="5496C31F" w14:textId="227484EA" w:rsidR="00A24BDC" w:rsidRPr="00A24BDC" w:rsidRDefault="00A24BDC" w:rsidP="00A24BDC">
            <w:pPr>
              <w:pStyle w:val="TableText"/>
              <w:tabs>
                <w:tab w:val="decimal" w:pos="747"/>
              </w:tabs>
            </w:pPr>
            <w:r w:rsidRPr="00A24BDC">
              <w:rPr>
                <w:u w:color="231F20"/>
              </w:rPr>
              <w:t>81</w:t>
            </w:r>
          </w:p>
        </w:tc>
        <w:tc>
          <w:tcPr>
            <w:tcW w:w="1418" w:type="dxa"/>
            <w:tcBorders>
              <w:top w:val="nil"/>
            </w:tcBorders>
          </w:tcPr>
          <w:p w14:paraId="36C86563" w14:textId="40C6407E" w:rsidR="00A24BDC" w:rsidRPr="00A24BDC" w:rsidRDefault="00A24BDC" w:rsidP="00A24BDC">
            <w:pPr>
              <w:pStyle w:val="TableText"/>
              <w:tabs>
                <w:tab w:val="decimal" w:pos="653"/>
              </w:tabs>
            </w:pPr>
            <w:r w:rsidRPr="00A24BDC">
              <w:rPr>
                <w:u w:color="231F20"/>
              </w:rPr>
              <w:t>58%</w:t>
            </w:r>
          </w:p>
        </w:tc>
      </w:tr>
      <w:tr w:rsidR="00A24BDC" w:rsidRPr="00A24BDC" w14:paraId="053813FE" w14:textId="77777777" w:rsidTr="00A24BDC">
        <w:trPr>
          <w:cantSplit/>
        </w:trPr>
        <w:tc>
          <w:tcPr>
            <w:tcW w:w="2835" w:type="dxa"/>
          </w:tcPr>
          <w:p w14:paraId="6033BAFB" w14:textId="56499553" w:rsidR="00A24BDC" w:rsidRPr="00A24BDC" w:rsidRDefault="00A24BDC" w:rsidP="00A24BDC">
            <w:pPr>
              <w:pStyle w:val="TableText"/>
            </w:pPr>
            <w:r w:rsidRPr="00A24BDC">
              <w:rPr>
                <w:u w:color="231F20"/>
              </w:rPr>
              <w:t>Māori</w:t>
            </w:r>
          </w:p>
        </w:tc>
        <w:tc>
          <w:tcPr>
            <w:tcW w:w="1417" w:type="dxa"/>
          </w:tcPr>
          <w:p w14:paraId="3B992379" w14:textId="6B1BD999" w:rsidR="00A24BDC" w:rsidRPr="00A24BDC" w:rsidRDefault="00A24BDC" w:rsidP="00A24BDC">
            <w:pPr>
              <w:pStyle w:val="TableText"/>
              <w:tabs>
                <w:tab w:val="decimal" w:pos="747"/>
              </w:tabs>
            </w:pPr>
            <w:r w:rsidRPr="00A24BDC">
              <w:rPr>
                <w:u w:color="231F20"/>
              </w:rPr>
              <w:t>26</w:t>
            </w:r>
          </w:p>
        </w:tc>
        <w:tc>
          <w:tcPr>
            <w:tcW w:w="1418" w:type="dxa"/>
          </w:tcPr>
          <w:p w14:paraId="7CF2AF32" w14:textId="10A4FA58" w:rsidR="00A24BDC" w:rsidRPr="00A24BDC" w:rsidRDefault="00A24BDC" w:rsidP="00A24BDC">
            <w:pPr>
              <w:pStyle w:val="TableText"/>
              <w:tabs>
                <w:tab w:val="decimal" w:pos="653"/>
              </w:tabs>
            </w:pPr>
            <w:r w:rsidRPr="00A24BDC">
              <w:rPr>
                <w:u w:color="231F20"/>
              </w:rPr>
              <w:t>19%</w:t>
            </w:r>
          </w:p>
        </w:tc>
      </w:tr>
      <w:tr w:rsidR="00A24BDC" w:rsidRPr="00A24BDC" w14:paraId="04D4C05C" w14:textId="77777777" w:rsidTr="00A24BDC">
        <w:trPr>
          <w:cantSplit/>
        </w:trPr>
        <w:tc>
          <w:tcPr>
            <w:tcW w:w="2835" w:type="dxa"/>
          </w:tcPr>
          <w:p w14:paraId="5363B04B" w14:textId="5FF272A2" w:rsidR="00A24BDC" w:rsidRPr="00A24BDC" w:rsidRDefault="00A24BDC" w:rsidP="00A24BDC">
            <w:pPr>
              <w:pStyle w:val="TableText"/>
            </w:pPr>
            <w:r w:rsidRPr="00A24BDC">
              <w:rPr>
                <w:u w:color="231F20"/>
              </w:rPr>
              <w:t>Pacific</w:t>
            </w:r>
          </w:p>
        </w:tc>
        <w:tc>
          <w:tcPr>
            <w:tcW w:w="1417" w:type="dxa"/>
          </w:tcPr>
          <w:p w14:paraId="326F0FDA" w14:textId="2677C58F" w:rsidR="00A24BDC" w:rsidRPr="00A24BDC" w:rsidRDefault="00A24BDC" w:rsidP="00A24BDC">
            <w:pPr>
              <w:pStyle w:val="TableText"/>
              <w:tabs>
                <w:tab w:val="decimal" w:pos="747"/>
              </w:tabs>
            </w:pPr>
            <w:r w:rsidRPr="00A24BDC">
              <w:rPr>
                <w:u w:color="231F20"/>
              </w:rPr>
              <w:t>8</w:t>
            </w:r>
          </w:p>
        </w:tc>
        <w:tc>
          <w:tcPr>
            <w:tcW w:w="1418" w:type="dxa"/>
          </w:tcPr>
          <w:p w14:paraId="69BFF988" w14:textId="2424A9E8" w:rsidR="00A24BDC" w:rsidRPr="00A24BDC" w:rsidRDefault="00A24BDC" w:rsidP="00A24BDC">
            <w:pPr>
              <w:pStyle w:val="TableText"/>
              <w:tabs>
                <w:tab w:val="decimal" w:pos="653"/>
              </w:tabs>
            </w:pPr>
            <w:r w:rsidRPr="00A24BDC">
              <w:rPr>
                <w:u w:color="231F20"/>
              </w:rPr>
              <w:t>6%</w:t>
            </w:r>
          </w:p>
        </w:tc>
      </w:tr>
      <w:tr w:rsidR="00A24BDC" w:rsidRPr="00A24BDC" w14:paraId="45566B8A" w14:textId="77777777" w:rsidTr="00A24BDC">
        <w:trPr>
          <w:cantSplit/>
        </w:trPr>
        <w:tc>
          <w:tcPr>
            <w:tcW w:w="2835" w:type="dxa"/>
          </w:tcPr>
          <w:p w14:paraId="70E436C0" w14:textId="732496C0" w:rsidR="00A24BDC" w:rsidRPr="00A24BDC" w:rsidRDefault="00A24BDC" w:rsidP="00A24BDC">
            <w:pPr>
              <w:pStyle w:val="TableText"/>
              <w:rPr>
                <w:b/>
              </w:rPr>
            </w:pPr>
            <w:r w:rsidRPr="00A24BDC">
              <w:rPr>
                <w:u w:color="231F20"/>
              </w:rPr>
              <w:t>Asian</w:t>
            </w:r>
          </w:p>
        </w:tc>
        <w:tc>
          <w:tcPr>
            <w:tcW w:w="1417" w:type="dxa"/>
          </w:tcPr>
          <w:p w14:paraId="7E155FD4" w14:textId="5BE2C5E8" w:rsidR="00A24BDC" w:rsidRPr="00A24BDC" w:rsidRDefault="00A24BDC" w:rsidP="00A24BDC">
            <w:pPr>
              <w:pStyle w:val="TableText"/>
              <w:tabs>
                <w:tab w:val="decimal" w:pos="747"/>
              </w:tabs>
              <w:rPr>
                <w:b/>
              </w:rPr>
            </w:pPr>
            <w:r w:rsidRPr="00A24BDC">
              <w:rPr>
                <w:u w:color="231F20"/>
              </w:rPr>
              <w:t>3</w:t>
            </w:r>
          </w:p>
        </w:tc>
        <w:tc>
          <w:tcPr>
            <w:tcW w:w="1418" w:type="dxa"/>
          </w:tcPr>
          <w:p w14:paraId="150A406E" w14:textId="2D96FC01" w:rsidR="00A24BDC" w:rsidRPr="00A24BDC" w:rsidRDefault="00A24BDC" w:rsidP="00A24BDC">
            <w:pPr>
              <w:pStyle w:val="TableText"/>
              <w:tabs>
                <w:tab w:val="decimal" w:pos="653"/>
              </w:tabs>
              <w:rPr>
                <w:b/>
              </w:rPr>
            </w:pPr>
            <w:r w:rsidRPr="00A24BDC">
              <w:rPr>
                <w:u w:color="231F20"/>
              </w:rPr>
              <w:t>2%</w:t>
            </w:r>
          </w:p>
        </w:tc>
      </w:tr>
      <w:tr w:rsidR="00A24BDC" w:rsidRPr="00A24BDC" w14:paraId="3ADFD962" w14:textId="77777777" w:rsidTr="00A24BDC">
        <w:trPr>
          <w:cantSplit/>
        </w:trPr>
        <w:tc>
          <w:tcPr>
            <w:tcW w:w="2835" w:type="dxa"/>
          </w:tcPr>
          <w:p w14:paraId="545F3398" w14:textId="5DB84526" w:rsidR="00A24BDC" w:rsidRPr="00A24BDC" w:rsidRDefault="00A24BDC" w:rsidP="00A24BDC">
            <w:pPr>
              <w:pStyle w:val="TableText"/>
              <w:rPr>
                <w:u w:color="231F20"/>
              </w:rPr>
            </w:pPr>
            <w:r w:rsidRPr="00A24BDC">
              <w:rPr>
                <w:u w:color="231F20"/>
              </w:rPr>
              <w:t>Other</w:t>
            </w:r>
          </w:p>
        </w:tc>
        <w:tc>
          <w:tcPr>
            <w:tcW w:w="1417" w:type="dxa"/>
          </w:tcPr>
          <w:p w14:paraId="634B4248" w14:textId="25CF2FA6" w:rsidR="00A24BDC" w:rsidRPr="00A24BDC" w:rsidRDefault="00A24BDC" w:rsidP="00A24BDC">
            <w:pPr>
              <w:pStyle w:val="TableText"/>
              <w:tabs>
                <w:tab w:val="decimal" w:pos="747"/>
              </w:tabs>
              <w:rPr>
                <w:b/>
              </w:rPr>
            </w:pPr>
            <w:r w:rsidRPr="00A24BDC">
              <w:rPr>
                <w:u w:color="231F20"/>
              </w:rPr>
              <w:t>10</w:t>
            </w:r>
          </w:p>
        </w:tc>
        <w:tc>
          <w:tcPr>
            <w:tcW w:w="1418" w:type="dxa"/>
          </w:tcPr>
          <w:p w14:paraId="593AABDB" w14:textId="144E7A39" w:rsidR="00A24BDC" w:rsidRPr="00A24BDC" w:rsidRDefault="00A24BDC" w:rsidP="00A24BDC">
            <w:pPr>
              <w:pStyle w:val="TableText"/>
              <w:tabs>
                <w:tab w:val="decimal" w:pos="653"/>
              </w:tabs>
              <w:rPr>
                <w:b/>
              </w:rPr>
            </w:pPr>
            <w:r w:rsidRPr="00A24BDC">
              <w:rPr>
                <w:u w:color="231F20"/>
              </w:rPr>
              <w:t>7%</w:t>
            </w:r>
          </w:p>
        </w:tc>
      </w:tr>
      <w:tr w:rsidR="00A24BDC" w:rsidRPr="00A24BDC" w14:paraId="3C681125" w14:textId="77777777" w:rsidTr="00A24BDC">
        <w:trPr>
          <w:cantSplit/>
        </w:trPr>
        <w:tc>
          <w:tcPr>
            <w:tcW w:w="2835" w:type="dxa"/>
          </w:tcPr>
          <w:p w14:paraId="3E6582B9" w14:textId="0141B753" w:rsidR="00A24BDC" w:rsidRPr="00A24BDC" w:rsidRDefault="00A24BDC" w:rsidP="00A24BDC">
            <w:pPr>
              <w:pStyle w:val="TableText"/>
              <w:rPr>
                <w:u w:color="231F20"/>
              </w:rPr>
            </w:pPr>
            <w:r w:rsidRPr="00A24BDC">
              <w:rPr>
                <w:u w:color="231F20"/>
              </w:rPr>
              <w:t>Unknown</w:t>
            </w:r>
          </w:p>
        </w:tc>
        <w:tc>
          <w:tcPr>
            <w:tcW w:w="1417" w:type="dxa"/>
          </w:tcPr>
          <w:p w14:paraId="5754D97C" w14:textId="1863A908" w:rsidR="00A24BDC" w:rsidRPr="00A24BDC" w:rsidRDefault="00A24BDC" w:rsidP="00A24BDC">
            <w:pPr>
              <w:pStyle w:val="TableText"/>
              <w:tabs>
                <w:tab w:val="decimal" w:pos="747"/>
              </w:tabs>
              <w:rPr>
                <w:b/>
              </w:rPr>
            </w:pPr>
            <w:r w:rsidRPr="00A24BDC">
              <w:rPr>
                <w:u w:color="231F20"/>
              </w:rPr>
              <w:t>11</w:t>
            </w:r>
          </w:p>
        </w:tc>
        <w:tc>
          <w:tcPr>
            <w:tcW w:w="1418" w:type="dxa"/>
          </w:tcPr>
          <w:p w14:paraId="6D284190" w14:textId="21B3979A" w:rsidR="00A24BDC" w:rsidRPr="00A24BDC" w:rsidRDefault="00A24BDC" w:rsidP="00A24BDC">
            <w:pPr>
              <w:pStyle w:val="TableText"/>
              <w:tabs>
                <w:tab w:val="decimal" w:pos="653"/>
              </w:tabs>
              <w:rPr>
                <w:b/>
              </w:rPr>
            </w:pPr>
            <w:r w:rsidRPr="00A24BDC">
              <w:rPr>
                <w:u w:color="231F20"/>
              </w:rPr>
              <w:t>8%</w:t>
            </w:r>
          </w:p>
        </w:tc>
      </w:tr>
      <w:tr w:rsidR="00A24BDC" w:rsidRPr="00A24BDC" w14:paraId="20B56B42" w14:textId="77777777" w:rsidTr="00A24BDC">
        <w:trPr>
          <w:cantSplit/>
        </w:trPr>
        <w:tc>
          <w:tcPr>
            <w:tcW w:w="2835" w:type="dxa"/>
          </w:tcPr>
          <w:p w14:paraId="78834E98" w14:textId="51228993" w:rsidR="00A24BDC" w:rsidRPr="00A24BDC" w:rsidRDefault="00A24BDC" w:rsidP="00A24BDC">
            <w:pPr>
              <w:pStyle w:val="TableText"/>
              <w:rPr>
                <w:b/>
                <w:sz w:val="20"/>
                <w:u w:val="single" w:color="231F20"/>
              </w:rPr>
            </w:pPr>
            <w:r w:rsidRPr="00A24BDC">
              <w:rPr>
                <w:b/>
                <w:u w:color="231F20"/>
              </w:rPr>
              <w:t>Total</w:t>
            </w:r>
          </w:p>
        </w:tc>
        <w:tc>
          <w:tcPr>
            <w:tcW w:w="1417" w:type="dxa"/>
          </w:tcPr>
          <w:p w14:paraId="606B1310" w14:textId="073C80A4" w:rsidR="00A24BDC" w:rsidRPr="00A24BDC" w:rsidRDefault="00A24BDC" w:rsidP="00A24BDC">
            <w:pPr>
              <w:pStyle w:val="TableText"/>
              <w:tabs>
                <w:tab w:val="decimal" w:pos="747"/>
              </w:tabs>
              <w:rPr>
                <w:b/>
                <w:sz w:val="20"/>
                <w:u w:val="single" w:color="231F20"/>
              </w:rPr>
            </w:pPr>
            <w:r w:rsidRPr="00A24BDC">
              <w:rPr>
                <w:b/>
                <w:u w:color="231F20"/>
              </w:rPr>
              <w:t>139</w:t>
            </w:r>
          </w:p>
        </w:tc>
        <w:tc>
          <w:tcPr>
            <w:tcW w:w="1418" w:type="dxa"/>
          </w:tcPr>
          <w:p w14:paraId="06C723CF" w14:textId="371FBD9D" w:rsidR="00A24BDC" w:rsidRPr="00A24BDC" w:rsidRDefault="00A24BDC" w:rsidP="00A24BDC">
            <w:pPr>
              <w:pStyle w:val="TableText"/>
              <w:tabs>
                <w:tab w:val="decimal" w:pos="653"/>
              </w:tabs>
              <w:rPr>
                <w:b/>
                <w:sz w:val="20"/>
                <w:u w:val="single" w:color="231F20"/>
              </w:rPr>
            </w:pPr>
            <w:r w:rsidRPr="00A24BDC">
              <w:rPr>
                <w:b/>
                <w:u w:color="231F20"/>
              </w:rPr>
              <w:t>100%</w:t>
            </w:r>
          </w:p>
        </w:tc>
      </w:tr>
    </w:tbl>
    <w:p w14:paraId="3A890711" w14:textId="77777777" w:rsidR="00740DA6" w:rsidRPr="00EC5EF1" w:rsidRDefault="00740DA6" w:rsidP="00A15127">
      <w:pPr>
        <w:pStyle w:val="Source"/>
      </w:pPr>
      <w:r w:rsidRPr="00EC5EF1">
        <w:t>Source: Annual report of the Mental Health Review Tribunal, 1 July 2016 to 30 June 2017</w:t>
      </w:r>
    </w:p>
    <w:p w14:paraId="5450A440" w14:textId="77777777" w:rsidR="00A15127" w:rsidRDefault="00A15127" w:rsidP="00A15127"/>
    <w:p w14:paraId="0F74502F" w14:textId="011AA94B" w:rsidR="00740DA6" w:rsidRPr="00EC5EF1" w:rsidRDefault="00740DA6" w:rsidP="00A15127">
      <w:r w:rsidRPr="00EC5EF1">
        <w:t>Of the 139 Mental Health Act applications the Tribunal received during the year ended 30</w:t>
      </w:r>
      <w:r w:rsidR="00A15127">
        <w:t> </w:t>
      </w:r>
      <w:r w:rsidRPr="00EC5EF1">
        <w:t>June 2017, 84 (60 percent) were from males and 55 (40 percent) from females.</w:t>
      </w:r>
      <w:r w:rsidR="00A15127">
        <w:t xml:space="preserve"> </w:t>
      </w:r>
      <w:r w:rsidRPr="00EC5EF1">
        <w:t>Table</w:t>
      </w:r>
      <w:r w:rsidR="00A15127">
        <w:t> </w:t>
      </w:r>
      <w:r w:rsidRPr="00EC5EF1">
        <w:t>A5 presents these figures broken down by application subject.</w:t>
      </w:r>
    </w:p>
    <w:p w14:paraId="7C34CD59" w14:textId="77777777" w:rsidR="00740DA6" w:rsidRPr="00EC5EF1" w:rsidRDefault="00740DA6" w:rsidP="00A15127"/>
    <w:p w14:paraId="10B6CAF8" w14:textId="52A96139" w:rsidR="00740DA6" w:rsidRDefault="00740DA6" w:rsidP="00475708">
      <w:pPr>
        <w:pStyle w:val="Table"/>
      </w:pPr>
      <w:bookmarkStart w:id="162" w:name="_Toc2845771"/>
      <w:r w:rsidRPr="00EC5EF1">
        <w:rPr>
          <w:noProof/>
          <w:lang w:eastAsia="en-NZ"/>
        </w:rPr>
        <w:drawing>
          <wp:anchor distT="0" distB="0" distL="0" distR="0" simplePos="0" relativeHeight="251839488" behindDoc="0" locked="0" layoutInCell="1" allowOverlap="1" wp14:anchorId="73415E33" wp14:editId="4703B999">
            <wp:simplePos x="0" y="0"/>
            <wp:positionH relativeFrom="page">
              <wp:posOffset>8060163</wp:posOffset>
            </wp:positionH>
            <wp:positionV relativeFrom="paragraph">
              <wp:posOffset>169672</wp:posOffset>
            </wp:positionV>
            <wp:extent cx="155575" cy="155575"/>
            <wp:effectExtent l="0" t="0" r="0" b="0"/>
            <wp:wrapNone/>
            <wp:docPr id="45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Table A5: Sex of people making Mental Health Review Tribunal applications, 1 July 2016 to 30 June 2017</w:t>
      </w:r>
      <w:bookmarkEnd w:id="162"/>
    </w:p>
    <w:tbl>
      <w:tblPr>
        <w:tblW w:w="6521"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552"/>
        <w:gridCol w:w="1790"/>
        <w:gridCol w:w="1045"/>
        <w:gridCol w:w="1134"/>
      </w:tblGrid>
      <w:tr w:rsidR="00A24BDC" w:rsidRPr="00822198" w14:paraId="6235CEB2" w14:textId="77777777" w:rsidTr="00822198">
        <w:trPr>
          <w:cantSplit/>
        </w:trPr>
        <w:tc>
          <w:tcPr>
            <w:tcW w:w="2552" w:type="dxa"/>
            <w:tcBorders>
              <w:top w:val="nil"/>
              <w:bottom w:val="nil"/>
            </w:tcBorders>
            <w:shd w:val="clear" w:color="auto" w:fill="D9D9D9" w:themeFill="background1" w:themeFillShade="D9"/>
          </w:tcPr>
          <w:p w14:paraId="2C37092A" w14:textId="7C277C0A" w:rsidR="00A24BDC" w:rsidRPr="00822198" w:rsidRDefault="00A24BDC" w:rsidP="00F72074">
            <w:pPr>
              <w:pStyle w:val="TableText"/>
              <w:rPr>
                <w:b/>
              </w:rPr>
            </w:pPr>
            <w:r w:rsidRPr="00822198">
              <w:rPr>
                <w:b/>
              </w:rPr>
              <w:t>Subject of application</w:t>
            </w:r>
          </w:p>
        </w:tc>
        <w:tc>
          <w:tcPr>
            <w:tcW w:w="1790" w:type="dxa"/>
            <w:tcBorders>
              <w:top w:val="nil"/>
              <w:bottom w:val="nil"/>
            </w:tcBorders>
            <w:shd w:val="clear" w:color="auto" w:fill="D9D9D9" w:themeFill="background1" w:themeFillShade="D9"/>
          </w:tcPr>
          <w:p w14:paraId="566749CD" w14:textId="11CE92A8" w:rsidR="00A24BDC" w:rsidRPr="00822198" w:rsidRDefault="00A24BDC" w:rsidP="00F72074">
            <w:pPr>
              <w:pStyle w:val="TableText"/>
              <w:jc w:val="center"/>
              <w:rPr>
                <w:b/>
              </w:rPr>
            </w:pPr>
            <w:r w:rsidRPr="00822198">
              <w:rPr>
                <w:b/>
              </w:rPr>
              <w:t>Total number (percentage)</w:t>
            </w:r>
          </w:p>
        </w:tc>
        <w:tc>
          <w:tcPr>
            <w:tcW w:w="1045" w:type="dxa"/>
            <w:tcBorders>
              <w:top w:val="nil"/>
              <w:bottom w:val="nil"/>
            </w:tcBorders>
            <w:shd w:val="clear" w:color="auto" w:fill="D9D9D9" w:themeFill="background1" w:themeFillShade="D9"/>
          </w:tcPr>
          <w:p w14:paraId="53872A7E" w14:textId="3CDCF6A5" w:rsidR="00A24BDC" w:rsidRPr="00822198" w:rsidRDefault="00A24BDC" w:rsidP="00822198">
            <w:pPr>
              <w:pStyle w:val="TableText"/>
              <w:rPr>
                <w:b/>
              </w:rPr>
            </w:pPr>
            <w:r w:rsidRPr="00822198">
              <w:rPr>
                <w:b/>
              </w:rPr>
              <w:t>Sex</w:t>
            </w:r>
          </w:p>
        </w:tc>
        <w:tc>
          <w:tcPr>
            <w:tcW w:w="1134" w:type="dxa"/>
            <w:tcBorders>
              <w:top w:val="nil"/>
              <w:bottom w:val="nil"/>
            </w:tcBorders>
            <w:shd w:val="clear" w:color="auto" w:fill="D9D9D9" w:themeFill="background1" w:themeFillShade="D9"/>
          </w:tcPr>
          <w:p w14:paraId="037608A2" w14:textId="7F96BAA1" w:rsidR="00A24BDC" w:rsidRPr="00822198" w:rsidRDefault="00A24BDC" w:rsidP="00F72074">
            <w:pPr>
              <w:pStyle w:val="TableText"/>
              <w:jc w:val="center"/>
              <w:rPr>
                <w:b/>
              </w:rPr>
            </w:pPr>
            <w:r w:rsidRPr="00822198">
              <w:rPr>
                <w:b/>
              </w:rPr>
              <w:t>Number</w:t>
            </w:r>
          </w:p>
        </w:tc>
      </w:tr>
      <w:tr w:rsidR="00822198" w:rsidRPr="00A24BDC" w14:paraId="6BE3B35B" w14:textId="77777777" w:rsidTr="00822198">
        <w:trPr>
          <w:cantSplit/>
        </w:trPr>
        <w:tc>
          <w:tcPr>
            <w:tcW w:w="2552" w:type="dxa"/>
            <w:vMerge w:val="restart"/>
            <w:tcBorders>
              <w:top w:val="nil"/>
            </w:tcBorders>
          </w:tcPr>
          <w:p w14:paraId="45476412" w14:textId="03EEF9F4" w:rsidR="00822198" w:rsidRPr="00A24BDC" w:rsidRDefault="00822198" w:rsidP="00F72074">
            <w:pPr>
              <w:pStyle w:val="TableText"/>
            </w:pPr>
            <w:r w:rsidRPr="00EC5EF1">
              <w:t>Community treatment order</w:t>
            </w:r>
          </w:p>
        </w:tc>
        <w:tc>
          <w:tcPr>
            <w:tcW w:w="1790" w:type="dxa"/>
            <w:vMerge w:val="restart"/>
            <w:tcBorders>
              <w:top w:val="nil"/>
            </w:tcBorders>
          </w:tcPr>
          <w:p w14:paraId="5ED6E579" w14:textId="01F7A93C" w:rsidR="00822198" w:rsidRPr="00A24BDC" w:rsidRDefault="00822198" w:rsidP="006B4EFA">
            <w:pPr>
              <w:pStyle w:val="TableText"/>
              <w:tabs>
                <w:tab w:val="decimal" w:pos="793"/>
              </w:tabs>
            </w:pPr>
            <w:r w:rsidRPr="00EC5EF1">
              <w:t>111 (80%)</w:t>
            </w:r>
          </w:p>
        </w:tc>
        <w:tc>
          <w:tcPr>
            <w:tcW w:w="1045" w:type="dxa"/>
            <w:tcBorders>
              <w:top w:val="nil"/>
              <w:bottom w:val="nil"/>
            </w:tcBorders>
          </w:tcPr>
          <w:p w14:paraId="752E321D" w14:textId="152420FE" w:rsidR="00822198" w:rsidRPr="00A24BDC" w:rsidRDefault="00822198" w:rsidP="00822198">
            <w:pPr>
              <w:pStyle w:val="TableText"/>
            </w:pPr>
            <w:r w:rsidRPr="00EC5EF1">
              <w:t>Female</w:t>
            </w:r>
          </w:p>
        </w:tc>
        <w:tc>
          <w:tcPr>
            <w:tcW w:w="1134" w:type="dxa"/>
            <w:tcBorders>
              <w:top w:val="nil"/>
              <w:bottom w:val="nil"/>
            </w:tcBorders>
          </w:tcPr>
          <w:p w14:paraId="0845769A" w14:textId="5482A8B9" w:rsidR="00822198" w:rsidRPr="00A24BDC" w:rsidRDefault="00822198" w:rsidP="00822198">
            <w:pPr>
              <w:pStyle w:val="TableText"/>
              <w:tabs>
                <w:tab w:val="decimal" w:pos="669"/>
              </w:tabs>
            </w:pPr>
            <w:r w:rsidRPr="00EC5EF1">
              <w:t>44</w:t>
            </w:r>
          </w:p>
        </w:tc>
      </w:tr>
      <w:tr w:rsidR="00822198" w:rsidRPr="00A24BDC" w14:paraId="624C0696" w14:textId="77777777" w:rsidTr="00822198">
        <w:trPr>
          <w:cantSplit/>
        </w:trPr>
        <w:tc>
          <w:tcPr>
            <w:tcW w:w="2552" w:type="dxa"/>
            <w:vMerge/>
          </w:tcPr>
          <w:p w14:paraId="196499DB" w14:textId="628BF40B" w:rsidR="00822198" w:rsidRPr="00A24BDC" w:rsidRDefault="00822198" w:rsidP="00822198">
            <w:pPr>
              <w:pStyle w:val="TableText"/>
              <w:spacing w:before="0"/>
            </w:pPr>
          </w:p>
        </w:tc>
        <w:tc>
          <w:tcPr>
            <w:tcW w:w="1790" w:type="dxa"/>
            <w:vMerge/>
          </w:tcPr>
          <w:p w14:paraId="436F1A56" w14:textId="3ADD9AE4" w:rsidR="00822198" w:rsidRPr="00A24BDC" w:rsidRDefault="00822198" w:rsidP="006B4EFA">
            <w:pPr>
              <w:pStyle w:val="TableText"/>
              <w:tabs>
                <w:tab w:val="decimal" w:pos="793"/>
              </w:tabs>
              <w:spacing w:before="0"/>
            </w:pPr>
          </w:p>
        </w:tc>
        <w:tc>
          <w:tcPr>
            <w:tcW w:w="1045" w:type="dxa"/>
            <w:tcBorders>
              <w:top w:val="nil"/>
            </w:tcBorders>
          </w:tcPr>
          <w:p w14:paraId="18521C6D" w14:textId="26125A9D" w:rsidR="00822198" w:rsidRPr="00A24BDC" w:rsidRDefault="00822198" w:rsidP="00822198">
            <w:pPr>
              <w:pStyle w:val="TableText"/>
              <w:spacing w:before="0"/>
            </w:pPr>
            <w:r w:rsidRPr="00EC5EF1">
              <w:t>Male</w:t>
            </w:r>
          </w:p>
        </w:tc>
        <w:tc>
          <w:tcPr>
            <w:tcW w:w="1134" w:type="dxa"/>
            <w:tcBorders>
              <w:top w:val="nil"/>
            </w:tcBorders>
          </w:tcPr>
          <w:p w14:paraId="21194A81" w14:textId="338FB32D" w:rsidR="00822198" w:rsidRPr="00A24BDC" w:rsidRDefault="00822198" w:rsidP="00822198">
            <w:pPr>
              <w:pStyle w:val="TableText"/>
              <w:tabs>
                <w:tab w:val="decimal" w:pos="669"/>
              </w:tabs>
              <w:spacing w:before="0"/>
            </w:pPr>
            <w:r w:rsidRPr="00EC5EF1">
              <w:t>67</w:t>
            </w:r>
          </w:p>
        </w:tc>
      </w:tr>
      <w:tr w:rsidR="00822198" w:rsidRPr="00A24BDC" w14:paraId="1A793326" w14:textId="77777777" w:rsidTr="00822198">
        <w:trPr>
          <w:cantSplit/>
        </w:trPr>
        <w:tc>
          <w:tcPr>
            <w:tcW w:w="2552" w:type="dxa"/>
            <w:vMerge w:val="restart"/>
          </w:tcPr>
          <w:p w14:paraId="19A58C86" w14:textId="292AF534" w:rsidR="00822198" w:rsidRPr="00A24BDC" w:rsidRDefault="00822198" w:rsidP="00F72074">
            <w:pPr>
              <w:pStyle w:val="TableText"/>
            </w:pPr>
            <w:r w:rsidRPr="00EC5EF1">
              <w:t>Inpatient treatment order</w:t>
            </w:r>
          </w:p>
        </w:tc>
        <w:tc>
          <w:tcPr>
            <w:tcW w:w="1790" w:type="dxa"/>
            <w:vMerge w:val="restart"/>
          </w:tcPr>
          <w:p w14:paraId="7F0CB6F5" w14:textId="700DA042" w:rsidR="00822198" w:rsidRPr="00A24BDC" w:rsidRDefault="00822198" w:rsidP="006B4EFA">
            <w:pPr>
              <w:pStyle w:val="TableText"/>
              <w:tabs>
                <w:tab w:val="decimal" w:pos="793"/>
              </w:tabs>
            </w:pPr>
            <w:r w:rsidRPr="00EC5EF1">
              <w:t>21 (15%)</w:t>
            </w:r>
          </w:p>
        </w:tc>
        <w:tc>
          <w:tcPr>
            <w:tcW w:w="1045" w:type="dxa"/>
            <w:tcBorders>
              <w:bottom w:val="nil"/>
            </w:tcBorders>
          </w:tcPr>
          <w:p w14:paraId="25D3E3BF" w14:textId="55C9F20C" w:rsidR="00822198" w:rsidRPr="00A24BDC" w:rsidRDefault="00822198" w:rsidP="00822198">
            <w:pPr>
              <w:pStyle w:val="TableText"/>
            </w:pPr>
            <w:r w:rsidRPr="00EC5EF1">
              <w:t>Female</w:t>
            </w:r>
          </w:p>
        </w:tc>
        <w:tc>
          <w:tcPr>
            <w:tcW w:w="1134" w:type="dxa"/>
            <w:tcBorders>
              <w:bottom w:val="nil"/>
            </w:tcBorders>
          </w:tcPr>
          <w:p w14:paraId="4CD4CAE9" w14:textId="2AD98364" w:rsidR="00822198" w:rsidRPr="00A24BDC" w:rsidRDefault="00822198" w:rsidP="00822198">
            <w:pPr>
              <w:pStyle w:val="TableText"/>
              <w:tabs>
                <w:tab w:val="decimal" w:pos="669"/>
              </w:tabs>
            </w:pPr>
            <w:r w:rsidRPr="00EC5EF1">
              <w:t>11</w:t>
            </w:r>
          </w:p>
        </w:tc>
      </w:tr>
      <w:tr w:rsidR="00822198" w:rsidRPr="00A24BDC" w14:paraId="4794B0DC" w14:textId="77777777" w:rsidTr="00822198">
        <w:trPr>
          <w:cantSplit/>
        </w:trPr>
        <w:tc>
          <w:tcPr>
            <w:tcW w:w="2552" w:type="dxa"/>
            <w:vMerge/>
          </w:tcPr>
          <w:p w14:paraId="36ABFEDD" w14:textId="21F0C30C" w:rsidR="00822198" w:rsidRPr="00A24BDC" w:rsidRDefault="00822198" w:rsidP="00822198">
            <w:pPr>
              <w:pStyle w:val="TableText"/>
              <w:spacing w:before="0"/>
            </w:pPr>
          </w:p>
        </w:tc>
        <w:tc>
          <w:tcPr>
            <w:tcW w:w="1790" w:type="dxa"/>
            <w:vMerge/>
          </w:tcPr>
          <w:p w14:paraId="7F5D37C0" w14:textId="15E58A21" w:rsidR="00822198" w:rsidRPr="00A24BDC" w:rsidRDefault="00822198" w:rsidP="006B4EFA">
            <w:pPr>
              <w:pStyle w:val="TableText"/>
              <w:tabs>
                <w:tab w:val="decimal" w:pos="793"/>
              </w:tabs>
              <w:spacing w:before="0"/>
            </w:pPr>
          </w:p>
        </w:tc>
        <w:tc>
          <w:tcPr>
            <w:tcW w:w="1045" w:type="dxa"/>
            <w:tcBorders>
              <w:top w:val="nil"/>
            </w:tcBorders>
          </w:tcPr>
          <w:p w14:paraId="3630CE4A" w14:textId="3F5789C1" w:rsidR="00822198" w:rsidRPr="00A24BDC" w:rsidRDefault="00822198" w:rsidP="00822198">
            <w:pPr>
              <w:pStyle w:val="TableText"/>
              <w:spacing w:before="0"/>
            </w:pPr>
            <w:r w:rsidRPr="00EC5EF1">
              <w:t>Male</w:t>
            </w:r>
          </w:p>
        </w:tc>
        <w:tc>
          <w:tcPr>
            <w:tcW w:w="1134" w:type="dxa"/>
            <w:tcBorders>
              <w:top w:val="nil"/>
            </w:tcBorders>
          </w:tcPr>
          <w:p w14:paraId="0966CB5F" w14:textId="75925616" w:rsidR="00822198" w:rsidRPr="00A24BDC" w:rsidRDefault="00822198" w:rsidP="00822198">
            <w:pPr>
              <w:pStyle w:val="TableText"/>
              <w:tabs>
                <w:tab w:val="decimal" w:pos="669"/>
              </w:tabs>
              <w:spacing w:before="0"/>
            </w:pPr>
            <w:r w:rsidRPr="00EC5EF1">
              <w:t>10</w:t>
            </w:r>
          </w:p>
        </w:tc>
      </w:tr>
      <w:tr w:rsidR="00822198" w:rsidRPr="00A24BDC" w14:paraId="117649E4" w14:textId="77777777" w:rsidTr="00822198">
        <w:trPr>
          <w:cantSplit/>
        </w:trPr>
        <w:tc>
          <w:tcPr>
            <w:tcW w:w="2552" w:type="dxa"/>
            <w:vMerge w:val="restart"/>
          </w:tcPr>
          <w:p w14:paraId="2E51CE5A" w14:textId="1C4C9153" w:rsidR="00822198" w:rsidRPr="00A24BDC" w:rsidRDefault="00822198" w:rsidP="00F72074">
            <w:pPr>
              <w:pStyle w:val="TableText"/>
              <w:rPr>
                <w:b/>
              </w:rPr>
            </w:pPr>
            <w:r w:rsidRPr="00EC5EF1">
              <w:t>Special patient order</w:t>
            </w:r>
          </w:p>
        </w:tc>
        <w:tc>
          <w:tcPr>
            <w:tcW w:w="1790" w:type="dxa"/>
            <w:vMerge w:val="restart"/>
          </w:tcPr>
          <w:p w14:paraId="136611CA" w14:textId="406FD952" w:rsidR="00822198" w:rsidRPr="00A24BDC" w:rsidRDefault="00822198" w:rsidP="006B4EFA">
            <w:pPr>
              <w:pStyle w:val="TableText"/>
              <w:tabs>
                <w:tab w:val="decimal" w:pos="793"/>
              </w:tabs>
              <w:rPr>
                <w:b/>
              </w:rPr>
            </w:pPr>
            <w:r w:rsidRPr="00EC5EF1">
              <w:t>7 (5%)</w:t>
            </w:r>
          </w:p>
        </w:tc>
        <w:tc>
          <w:tcPr>
            <w:tcW w:w="1045" w:type="dxa"/>
            <w:tcBorders>
              <w:bottom w:val="nil"/>
            </w:tcBorders>
          </w:tcPr>
          <w:p w14:paraId="4DC5239C" w14:textId="1DF0F329" w:rsidR="00822198" w:rsidRPr="00A24BDC" w:rsidRDefault="00822198" w:rsidP="00822198">
            <w:pPr>
              <w:pStyle w:val="TableText"/>
              <w:rPr>
                <w:b/>
              </w:rPr>
            </w:pPr>
            <w:r w:rsidRPr="00EC5EF1">
              <w:t>Female</w:t>
            </w:r>
          </w:p>
        </w:tc>
        <w:tc>
          <w:tcPr>
            <w:tcW w:w="1134" w:type="dxa"/>
            <w:tcBorders>
              <w:bottom w:val="nil"/>
            </w:tcBorders>
          </w:tcPr>
          <w:p w14:paraId="1EF3FE7A" w14:textId="09FD8421" w:rsidR="00822198" w:rsidRPr="00A24BDC" w:rsidRDefault="00822198" w:rsidP="00822198">
            <w:pPr>
              <w:pStyle w:val="TableText"/>
              <w:tabs>
                <w:tab w:val="decimal" w:pos="669"/>
              </w:tabs>
              <w:rPr>
                <w:b/>
              </w:rPr>
            </w:pPr>
            <w:r w:rsidRPr="00EC5EF1">
              <w:t>0</w:t>
            </w:r>
          </w:p>
        </w:tc>
      </w:tr>
      <w:tr w:rsidR="00822198" w:rsidRPr="00A24BDC" w14:paraId="6FCB477D" w14:textId="77777777" w:rsidTr="00822198">
        <w:trPr>
          <w:cantSplit/>
        </w:trPr>
        <w:tc>
          <w:tcPr>
            <w:tcW w:w="2552" w:type="dxa"/>
            <w:vMerge/>
          </w:tcPr>
          <w:p w14:paraId="455029C2" w14:textId="77777777" w:rsidR="00822198" w:rsidRPr="00EC5EF1" w:rsidRDefault="00822198" w:rsidP="00822198">
            <w:pPr>
              <w:pStyle w:val="TableText"/>
              <w:spacing w:before="0"/>
            </w:pPr>
          </w:p>
        </w:tc>
        <w:tc>
          <w:tcPr>
            <w:tcW w:w="1790" w:type="dxa"/>
            <w:vMerge/>
          </w:tcPr>
          <w:p w14:paraId="2F5EBE96" w14:textId="77777777" w:rsidR="00822198" w:rsidRPr="00EC5EF1" w:rsidRDefault="00822198" w:rsidP="006B4EFA">
            <w:pPr>
              <w:pStyle w:val="TableText"/>
              <w:tabs>
                <w:tab w:val="decimal" w:pos="793"/>
              </w:tabs>
              <w:spacing w:before="0"/>
            </w:pPr>
          </w:p>
        </w:tc>
        <w:tc>
          <w:tcPr>
            <w:tcW w:w="1045" w:type="dxa"/>
            <w:tcBorders>
              <w:top w:val="nil"/>
            </w:tcBorders>
          </w:tcPr>
          <w:p w14:paraId="60C2426D" w14:textId="64827693" w:rsidR="00822198" w:rsidRPr="00EC5EF1" w:rsidRDefault="00822198" w:rsidP="00822198">
            <w:pPr>
              <w:pStyle w:val="TableText"/>
              <w:spacing w:before="0"/>
            </w:pPr>
            <w:r w:rsidRPr="00EC5EF1">
              <w:t>Male</w:t>
            </w:r>
          </w:p>
        </w:tc>
        <w:tc>
          <w:tcPr>
            <w:tcW w:w="1134" w:type="dxa"/>
            <w:tcBorders>
              <w:top w:val="nil"/>
            </w:tcBorders>
          </w:tcPr>
          <w:p w14:paraId="177B49CF" w14:textId="5DC29C4F" w:rsidR="00822198" w:rsidRPr="00A24BDC" w:rsidRDefault="00822198" w:rsidP="00822198">
            <w:pPr>
              <w:pStyle w:val="TableText"/>
              <w:tabs>
                <w:tab w:val="decimal" w:pos="669"/>
              </w:tabs>
              <w:spacing w:before="0"/>
              <w:rPr>
                <w:b/>
              </w:rPr>
            </w:pPr>
            <w:r w:rsidRPr="00EC5EF1">
              <w:t>7</w:t>
            </w:r>
          </w:p>
        </w:tc>
      </w:tr>
      <w:tr w:rsidR="00822198" w:rsidRPr="00A24BDC" w14:paraId="043F45DA" w14:textId="77777777" w:rsidTr="00822198">
        <w:trPr>
          <w:cantSplit/>
        </w:trPr>
        <w:tc>
          <w:tcPr>
            <w:tcW w:w="2552" w:type="dxa"/>
            <w:vMerge w:val="restart"/>
          </w:tcPr>
          <w:p w14:paraId="58475A9E" w14:textId="355CA9E3" w:rsidR="00822198" w:rsidRPr="00EC5EF1" w:rsidRDefault="00822198" w:rsidP="00F72074">
            <w:pPr>
              <w:pStyle w:val="TableText"/>
            </w:pPr>
            <w:r w:rsidRPr="00EC5EF1">
              <w:t>Restricted person order</w:t>
            </w:r>
          </w:p>
        </w:tc>
        <w:tc>
          <w:tcPr>
            <w:tcW w:w="1790" w:type="dxa"/>
            <w:vMerge w:val="restart"/>
          </w:tcPr>
          <w:p w14:paraId="446C3ABC" w14:textId="3EEE494C" w:rsidR="00822198" w:rsidRPr="00EC5EF1" w:rsidRDefault="00822198" w:rsidP="006B4EFA">
            <w:pPr>
              <w:pStyle w:val="TableText"/>
              <w:tabs>
                <w:tab w:val="decimal" w:pos="793"/>
              </w:tabs>
            </w:pPr>
            <w:r w:rsidRPr="00EC5EF1">
              <w:t>0 (0%)</w:t>
            </w:r>
          </w:p>
        </w:tc>
        <w:tc>
          <w:tcPr>
            <w:tcW w:w="1045" w:type="dxa"/>
            <w:tcBorders>
              <w:bottom w:val="nil"/>
            </w:tcBorders>
          </w:tcPr>
          <w:p w14:paraId="07162840" w14:textId="4B1FCF01" w:rsidR="00822198" w:rsidRPr="00EC5EF1" w:rsidRDefault="00822198" w:rsidP="00822198">
            <w:pPr>
              <w:pStyle w:val="TableText"/>
            </w:pPr>
            <w:r w:rsidRPr="00EC5EF1">
              <w:t>Female</w:t>
            </w:r>
          </w:p>
        </w:tc>
        <w:tc>
          <w:tcPr>
            <w:tcW w:w="1134" w:type="dxa"/>
            <w:tcBorders>
              <w:bottom w:val="nil"/>
            </w:tcBorders>
          </w:tcPr>
          <w:p w14:paraId="7812CC94" w14:textId="43A03A53" w:rsidR="00822198" w:rsidRPr="00EC5EF1" w:rsidRDefault="00822198" w:rsidP="00822198">
            <w:pPr>
              <w:pStyle w:val="TableText"/>
              <w:tabs>
                <w:tab w:val="decimal" w:pos="669"/>
              </w:tabs>
            </w:pPr>
            <w:r w:rsidRPr="00EC5EF1">
              <w:t>0</w:t>
            </w:r>
          </w:p>
        </w:tc>
      </w:tr>
      <w:tr w:rsidR="00822198" w:rsidRPr="00A24BDC" w14:paraId="7506EA37" w14:textId="77777777" w:rsidTr="00822198">
        <w:trPr>
          <w:cantSplit/>
        </w:trPr>
        <w:tc>
          <w:tcPr>
            <w:tcW w:w="2552" w:type="dxa"/>
            <w:vMerge/>
          </w:tcPr>
          <w:p w14:paraId="1E7D78F9" w14:textId="77777777" w:rsidR="00822198" w:rsidRPr="00EC5EF1" w:rsidRDefault="00822198" w:rsidP="00822198">
            <w:pPr>
              <w:pStyle w:val="TableText"/>
              <w:spacing w:before="0"/>
            </w:pPr>
          </w:p>
        </w:tc>
        <w:tc>
          <w:tcPr>
            <w:tcW w:w="1790" w:type="dxa"/>
            <w:vMerge/>
          </w:tcPr>
          <w:p w14:paraId="4E969FFA" w14:textId="77777777" w:rsidR="00822198" w:rsidRPr="00EC5EF1" w:rsidRDefault="00822198" w:rsidP="00822198">
            <w:pPr>
              <w:pStyle w:val="TableText"/>
              <w:tabs>
                <w:tab w:val="decimal" w:pos="553"/>
              </w:tabs>
              <w:spacing w:before="0"/>
            </w:pPr>
          </w:p>
        </w:tc>
        <w:tc>
          <w:tcPr>
            <w:tcW w:w="1045" w:type="dxa"/>
            <w:tcBorders>
              <w:top w:val="nil"/>
            </w:tcBorders>
          </w:tcPr>
          <w:p w14:paraId="03842A84" w14:textId="74EA57F1" w:rsidR="00822198" w:rsidRPr="00EC5EF1" w:rsidRDefault="00822198" w:rsidP="00822198">
            <w:pPr>
              <w:pStyle w:val="TableText"/>
              <w:spacing w:before="0"/>
            </w:pPr>
            <w:r w:rsidRPr="00EC5EF1">
              <w:t>Male</w:t>
            </w:r>
          </w:p>
        </w:tc>
        <w:tc>
          <w:tcPr>
            <w:tcW w:w="1134" w:type="dxa"/>
            <w:tcBorders>
              <w:top w:val="nil"/>
            </w:tcBorders>
          </w:tcPr>
          <w:p w14:paraId="005FC4A0" w14:textId="5D3CB7ED" w:rsidR="00822198" w:rsidRPr="00EC5EF1" w:rsidRDefault="00822198" w:rsidP="00822198">
            <w:pPr>
              <w:pStyle w:val="TableText"/>
              <w:tabs>
                <w:tab w:val="decimal" w:pos="669"/>
              </w:tabs>
              <w:spacing w:before="0"/>
            </w:pPr>
            <w:r w:rsidRPr="00EC5EF1">
              <w:t>0</w:t>
            </w:r>
          </w:p>
        </w:tc>
      </w:tr>
    </w:tbl>
    <w:p w14:paraId="0D23DCD6" w14:textId="77777777" w:rsidR="00740DA6" w:rsidRPr="00EC5EF1" w:rsidRDefault="00740DA6" w:rsidP="00A15127">
      <w:pPr>
        <w:pStyle w:val="Source"/>
      </w:pPr>
      <w:r w:rsidRPr="00EC5EF1">
        <w:t>Source: Annual report of the Mental Health Review Tribunal, 1 July 2016 to 30 June 2017</w:t>
      </w:r>
    </w:p>
    <w:p w14:paraId="33DBC1A1" w14:textId="77777777" w:rsidR="00740DA6" w:rsidRPr="00EC5EF1" w:rsidRDefault="00740DA6" w:rsidP="00A15127"/>
    <w:p w14:paraId="7A804760" w14:textId="77777777" w:rsidR="00740DA6" w:rsidRPr="00EC5EF1" w:rsidRDefault="00740DA6" w:rsidP="00A15127">
      <w:pPr>
        <w:pStyle w:val="Heading2"/>
      </w:pPr>
      <w:bookmarkStart w:id="163" w:name="_Toc1985485"/>
      <w:bookmarkStart w:id="164" w:name="_Toc2845694"/>
      <w:r w:rsidRPr="00EC5EF1">
        <w:lastRenderedPageBreak/>
        <w:t>Ministry of Justice statistics</w:t>
      </w:r>
      <w:bookmarkEnd w:id="163"/>
      <w:bookmarkEnd w:id="164"/>
    </w:p>
    <w:p w14:paraId="263F1D38" w14:textId="77777777" w:rsidR="00740DA6" w:rsidRPr="00EC5EF1" w:rsidRDefault="00740DA6" w:rsidP="006B4EFA">
      <w:pPr>
        <w:keepNext/>
      </w:pPr>
      <w:r w:rsidRPr="00EC5EF1">
        <w:t>Table A6 presents data on applications for a compulsory treatment order from 2004 to 2017. Table A7 shows the types of orders granted over the same period.</w:t>
      </w:r>
    </w:p>
    <w:p w14:paraId="5E50C42F" w14:textId="77777777" w:rsidR="00740DA6" w:rsidRPr="00EC5EF1" w:rsidRDefault="00740DA6" w:rsidP="006B4EFA">
      <w:pPr>
        <w:keepNext/>
      </w:pPr>
    </w:p>
    <w:p w14:paraId="5B832CEB" w14:textId="546615B2" w:rsidR="00740DA6" w:rsidRDefault="00740DA6" w:rsidP="00475708">
      <w:pPr>
        <w:pStyle w:val="Table"/>
      </w:pPr>
      <w:bookmarkStart w:id="165" w:name="_Toc2845772"/>
      <w:r w:rsidRPr="00EC5EF1">
        <w:t>Table A6: Applications for compulsory treatment orders (or extensions), 2004–2017</w:t>
      </w:r>
      <w:bookmarkEnd w:id="165"/>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709"/>
        <w:gridCol w:w="1474"/>
        <w:gridCol w:w="1474"/>
        <w:gridCol w:w="1474"/>
        <w:gridCol w:w="1474"/>
        <w:gridCol w:w="1475"/>
      </w:tblGrid>
      <w:tr w:rsidR="003F6632" w:rsidRPr="003F6632" w14:paraId="51EA3089" w14:textId="77777777" w:rsidTr="003F6632">
        <w:trPr>
          <w:cantSplit/>
        </w:trPr>
        <w:tc>
          <w:tcPr>
            <w:tcW w:w="709" w:type="dxa"/>
            <w:tcBorders>
              <w:top w:val="nil"/>
              <w:bottom w:val="nil"/>
            </w:tcBorders>
            <w:shd w:val="clear" w:color="auto" w:fill="D9D9D9" w:themeFill="background1" w:themeFillShade="D9"/>
          </w:tcPr>
          <w:p w14:paraId="2BA430FC" w14:textId="64787887" w:rsidR="003F6632" w:rsidRPr="003F6632" w:rsidRDefault="003F6632" w:rsidP="003F6632">
            <w:pPr>
              <w:pStyle w:val="TableText"/>
              <w:keepNext/>
              <w:rPr>
                <w:b/>
              </w:rPr>
            </w:pPr>
            <w:r w:rsidRPr="003F6632">
              <w:rPr>
                <w:b/>
              </w:rPr>
              <w:t>Year</w:t>
            </w:r>
          </w:p>
        </w:tc>
        <w:tc>
          <w:tcPr>
            <w:tcW w:w="1474" w:type="dxa"/>
            <w:tcBorders>
              <w:top w:val="nil"/>
              <w:bottom w:val="nil"/>
            </w:tcBorders>
            <w:shd w:val="clear" w:color="auto" w:fill="D9D9D9" w:themeFill="background1" w:themeFillShade="D9"/>
          </w:tcPr>
          <w:p w14:paraId="54F80E49" w14:textId="7CB4C8AD" w:rsidR="003F6632" w:rsidRPr="003F6632" w:rsidRDefault="003F6632" w:rsidP="003F6632">
            <w:pPr>
              <w:pStyle w:val="TableText"/>
              <w:keepNext/>
              <w:jc w:val="center"/>
              <w:rPr>
                <w:b/>
              </w:rPr>
            </w:pPr>
            <w:r w:rsidRPr="003F6632">
              <w:rPr>
                <w:b/>
              </w:rPr>
              <w:t>Number of applications for a CTO, or extension to a CTO</w:t>
            </w:r>
          </w:p>
        </w:tc>
        <w:tc>
          <w:tcPr>
            <w:tcW w:w="1474" w:type="dxa"/>
            <w:tcBorders>
              <w:top w:val="nil"/>
              <w:bottom w:val="nil"/>
            </w:tcBorders>
            <w:shd w:val="clear" w:color="auto" w:fill="D9D9D9" w:themeFill="background1" w:themeFillShade="D9"/>
          </w:tcPr>
          <w:p w14:paraId="4B48DF16" w14:textId="3E839BCB" w:rsidR="003F6632" w:rsidRPr="003F6632" w:rsidRDefault="003F6632" w:rsidP="003F6632">
            <w:pPr>
              <w:pStyle w:val="TableText"/>
              <w:keepNext/>
              <w:jc w:val="center"/>
              <w:rPr>
                <w:b/>
              </w:rPr>
            </w:pPr>
            <w:r w:rsidRPr="003F6632">
              <w:rPr>
                <w:b/>
              </w:rPr>
              <w:t>Number of applications granted or granted with consent</w:t>
            </w:r>
          </w:p>
        </w:tc>
        <w:tc>
          <w:tcPr>
            <w:tcW w:w="1474" w:type="dxa"/>
            <w:tcBorders>
              <w:top w:val="nil"/>
              <w:bottom w:val="nil"/>
            </w:tcBorders>
            <w:shd w:val="clear" w:color="auto" w:fill="D9D9D9" w:themeFill="background1" w:themeFillShade="D9"/>
          </w:tcPr>
          <w:p w14:paraId="45A31D4B" w14:textId="59FC99D4" w:rsidR="003F6632" w:rsidRPr="003F6632" w:rsidRDefault="003F6632" w:rsidP="003F6632">
            <w:pPr>
              <w:pStyle w:val="TableText"/>
              <w:keepNext/>
              <w:jc w:val="center"/>
              <w:rPr>
                <w:b/>
              </w:rPr>
            </w:pPr>
            <w:r w:rsidRPr="003F6632">
              <w:rPr>
                <w:b/>
              </w:rPr>
              <w:t>Number of applications dismissed or struck out</w:t>
            </w:r>
          </w:p>
        </w:tc>
        <w:tc>
          <w:tcPr>
            <w:tcW w:w="1474" w:type="dxa"/>
            <w:tcBorders>
              <w:top w:val="nil"/>
              <w:bottom w:val="nil"/>
            </w:tcBorders>
            <w:shd w:val="clear" w:color="auto" w:fill="D9D9D9" w:themeFill="background1" w:themeFillShade="D9"/>
          </w:tcPr>
          <w:p w14:paraId="1DA798F8" w14:textId="7BE32742" w:rsidR="003F6632" w:rsidRPr="003F6632" w:rsidRDefault="003F6632" w:rsidP="003F6632">
            <w:pPr>
              <w:pStyle w:val="TableText"/>
              <w:keepNext/>
              <w:jc w:val="center"/>
              <w:rPr>
                <w:b/>
              </w:rPr>
            </w:pPr>
            <w:r w:rsidRPr="003F6632">
              <w:rPr>
                <w:b/>
              </w:rPr>
              <w:t>Number of applications withdrawn, lapsed or discontinued</w:t>
            </w:r>
          </w:p>
        </w:tc>
        <w:tc>
          <w:tcPr>
            <w:tcW w:w="1475" w:type="dxa"/>
            <w:tcBorders>
              <w:top w:val="nil"/>
              <w:bottom w:val="nil"/>
            </w:tcBorders>
            <w:shd w:val="clear" w:color="auto" w:fill="D9D9D9" w:themeFill="background1" w:themeFillShade="D9"/>
          </w:tcPr>
          <w:p w14:paraId="41A429F3" w14:textId="03EF92B2" w:rsidR="003F6632" w:rsidRPr="003F6632" w:rsidRDefault="003F6632" w:rsidP="003F6632">
            <w:pPr>
              <w:pStyle w:val="TableText"/>
              <w:keepNext/>
              <w:jc w:val="center"/>
              <w:rPr>
                <w:b/>
              </w:rPr>
            </w:pPr>
            <w:r w:rsidRPr="003F6632">
              <w:rPr>
                <w:b/>
              </w:rPr>
              <w:t>Number of applications transferred to the High Court</w:t>
            </w:r>
          </w:p>
        </w:tc>
      </w:tr>
      <w:tr w:rsidR="003F6632" w:rsidRPr="00A24BDC" w14:paraId="2A786859" w14:textId="77777777" w:rsidTr="003F6632">
        <w:trPr>
          <w:cantSplit/>
        </w:trPr>
        <w:tc>
          <w:tcPr>
            <w:tcW w:w="709" w:type="dxa"/>
            <w:tcBorders>
              <w:top w:val="nil"/>
            </w:tcBorders>
          </w:tcPr>
          <w:p w14:paraId="2054C8C5" w14:textId="52B140B9" w:rsidR="003F6632" w:rsidRPr="00A24BDC" w:rsidRDefault="003F6632" w:rsidP="003F6632">
            <w:pPr>
              <w:pStyle w:val="TableText"/>
            </w:pPr>
            <w:r>
              <w:rPr>
                <w:w w:val="105"/>
              </w:rPr>
              <w:t>2004</w:t>
            </w:r>
          </w:p>
        </w:tc>
        <w:tc>
          <w:tcPr>
            <w:tcW w:w="1474" w:type="dxa"/>
            <w:tcBorders>
              <w:top w:val="nil"/>
            </w:tcBorders>
          </w:tcPr>
          <w:p w14:paraId="6FA6EE9A" w14:textId="750CDAFC" w:rsidR="003F6632" w:rsidRPr="00A24BDC" w:rsidRDefault="003F6632" w:rsidP="003F6632">
            <w:pPr>
              <w:pStyle w:val="TableText"/>
              <w:tabs>
                <w:tab w:val="decimal" w:pos="553"/>
              </w:tabs>
              <w:jc w:val="center"/>
            </w:pPr>
            <w:r>
              <w:t>4,443</w:t>
            </w:r>
          </w:p>
        </w:tc>
        <w:tc>
          <w:tcPr>
            <w:tcW w:w="1474" w:type="dxa"/>
            <w:tcBorders>
              <w:top w:val="nil"/>
            </w:tcBorders>
          </w:tcPr>
          <w:p w14:paraId="721C7D42" w14:textId="0939F754" w:rsidR="003F6632" w:rsidRPr="00A24BDC" w:rsidRDefault="003F6632" w:rsidP="003F6632">
            <w:pPr>
              <w:pStyle w:val="TableText"/>
              <w:jc w:val="center"/>
            </w:pPr>
            <w:r>
              <w:t>3,863</w:t>
            </w:r>
          </w:p>
        </w:tc>
        <w:tc>
          <w:tcPr>
            <w:tcW w:w="1474" w:type="dxa"/>
            <w:tcBorders>
              <w:top w:val="nil"/>
            </w:tcBorders>
          </w:tcPr>
          <w:p w14:paraId="49FE3BCC" w14:textId="0FD1F5B6" w:rsidR="003F6632" w:rsidRPr="00A24BDC" w:rsidRDefault="003F6632" w:rsidP="003F6632">
            <w:pPr>
              <w:pStyle w:val="TableText"/>
              <w:tabs>
                <w:tab w:val="decimal" w:pos="907"/>
              </w:tabs>
            </w:pPr>
            <w:r>
              <w:t>100</w:t>
            </w:r>
          </w:p>
        </w:tc>
        <w:tc>
          <w:tcPr>
            <w:tcW w:w="1474" w:type="dxa"/>
            <w:tcBorders>
              <w:top w:val="nil"/>
            </w:tcBorders>
          </w:tcPr>
          <w:p w14:paraId="3948CD76" w14:textId="04CBF055" w:rsidR="003F6632" w:rsidRPr="00A24BDC" w:rsidRDefault="003F6632" w:rsidP="003F6632">
            <w:pPr>
              <w:pStyle w:val="TableText"/>
              <w:jc w:val="center"/>
            </w:pPr>
            <w:r>
              <w:t>460</w:t>
            </w:r>
          </w:p>
        </w:tc>
        <w:tc>
          <w:tcPr>
            <w:tcW w:w="1475" w:type="dxa"/>
            <w:tcBorders>
              <w:top w:val="nil"/>
            </w:tcBorders>
          </w:tcPr>
          <w:p w14:paraId="38FF053B" w14:textId="18DB6858" w:rsidR="003F6632" w:rsidRPr="00A24BDC" w:rsidRDefault="003F6632" w:rsidP="00F72074">
            <w:pPr>
              <w:pStyle w:val="TableText"/>
              <w:tabs>
                <w:tab w:val="decimal" w:pos="594"/>
              </w:tabs>
            </w:pPr>
            <w:r>
              <w:rPr>
                <w:w w:val="102"/>
              </w:rPr>
              <w:t>0</w:t>
            </w:r>
          </w:p>
        </w:tc>
      </w:tr>
      <w:tr w:rsidR="003F6632" w:rsidRPr="00A24BDC" w14:paraId="6F49380C" w14:textId="77777777" w:rsidTr="003F6632">
        <w:trPr>
          <w:cantSplit/>
        </w:trPr>
        <w:tc>
          <w:tcPr>
            <w:tcW w:w="709" w:type="dxa"/>
          </w:tcPr>
          <w:p w14:paraId="6847F5D9" w14:textId="1ECF9C9C" w:rsidR="003F6632" w:rsidRPr="00A24BDC" w:rsidRDefault="003F6632" w:rsidP="003F6632">
            <w:pPr>
              <w:pStyle w:val="TableText"/>
            </w:pPr>
            <w:r>
              <w:rPr>
                <w:w w:val="105"/>
              </w:rPr>
              <w:t>2005</w:t>
            </w:r>
          </w:p>
        </w:tc>
        <w:tc>
          <w:tcPr>
            <w:tcW w:w="1474" w:type="dxa"/>
          </w:tcPr>
          <w:p w14:paraId="2BAF65AB" w14:textId="1DB7DB33" w:rsidR="003F6632" w:rsidRPr="00A24BDC" w:rsidRDefault="003F6632" w:rsidP="003F6632">
            <w:pPr>
              <w:pStyle w:val="TableText"/>
              <w:tabs>
                <w:tab w:val="decimal" w:pos="553"/>
              </w:tabs>
              <w:jc w:val="center"/>
            </w:pPr>
            <w:r>
              <w:t>4,298</w:t>
            </w:r>
          </w:p>
        </w:tc>
        <w:tc>
          <w:tcPr>
            <w:tcW w:w="1474" w:type="dxa"/>
          </w:tcPr>
          <w:p w14:paraId="02DC10D0" w14:textId="3160F4CB" w:rsidR="003F6632" w:rsidRPr="00A24BDC" w:rsidRDefault="003F6632" w:rsidP="003F6632">
            <w:pPr>
              <w:pStyle w:val="TableText"/>
              <w:jc w:val="center"/>
            </w:pPr>
            <w:r>
              <w:t>3,682</w:t>
            </w:r>
          </w:p>
        </w:tc>
        <w:tc>
          <w:tcPr>
            <w:tcW w:w="1474" w:type="dxa"/>
          </w:tcPr>
          <w:p w14:paraId="4F7DBE2C" w14:textId="6F9BCB3D" w:rsidR="003F6632" w:rsidRPr="00A24BDC" w:rsidRDefault="003F6632" w:rsidP="003F6632">
            <w:pPr>
              <w:pStyle w:val="TableText"/>
              <w:tabs>
                <w:tab w:val="decimal" w:pos="907"/>
              </w:tabs>
            </w:pPr>
            <w:r>
              <w:t>100</w:t>
            </w:r>
          </w:p>
        </w:tc>
        <w:tc>
          <w:tcPr>
            <w:tcW w:w="1474" w:type="dxa"/>
          </w:tcPr>
          <w:p w14:paraId="25F58A2F" w14:textId="46D0C58A" w:rsidR="003F6632" w:rsidRPr="00A24BDC" w:rsidRDefault="003F6632" w:rsidP="003F6632">
            <w:pPr>
              <w:pStyle w:val="TableText"/>
              <w:jc w:val="center"/>
            </w:pPr>
            <w:r>
              <w:t>520</w:t>
            </w:r>
          </w:p>
        </w:tc>
        <w:tc>
          <w:tcPr>
            <w:tcW w:w="1475" w:type="dxa"/>
          </w:tcPr>
          <w:p w14:paraId="57C302A4" w14:textId="343EBBDB" w:rsidR="003F6632" w:rsidRPr="00A24BDC" w:rsidRDefault="003F6632" w:rsidP="00F72074">
            <w:pPr>
              <w:pStyle w:val="TableText"/>
              <w:tabs>
                <w:tab w:val="decimal" w:pos="594"/>
              </w:tabs>
            </w:pPr>
            <w:r>
              <w:rPr>
                <w:w w:val="102"/>
              </w:rPr>
              <w:t>0</w:t>
            </w:r>
          </w:p>
        </w:tc>
      </w:tr>
      <w:tr w:rsidR="003F6632" w:rsidRPr="00A24BDC" w14:paraId="7E32631C" w14:textId="77777777" w:rsidTr="003F6632">
        <w:trPr>
          <w:cantSplit/>
        </w:trPr>
        <w:tc>
          <w:tcPr>
            <w:tcW w:w="709" w:type="dxa"/>
          </w:tcPr>
          <w:p w14:paraId="66F828D5" w14:textId="52372C01" w:rsidR="003F6632" w:rsidRPr="00A24BDC" w:rsidRDefault="003F6632" w:rsidP="003F6632">
            <w:pPr>
              <w:pStyle w:val="TableText"/>
            </w:pPr>
            <w:r>
              <w:rPr>
                <w:w w:val="105"/>
              </w:rPr>
              <w:t>2006</w:t>
            </w:r>
          </w:p>
        </w:tc>
        <w:tc>
          <w:tcPr>
            <w:tcW w:w="1474" w:type="dxa"/>
          </w:tcPr>
          <w:p w14:paraId="5943529D" w14:textId="299FF948" w:rsidR="003F6632" w:rsidRPr="00A24BDC" w:rsidRDefault="003F6632" w:rsidP="003F6632">
            <w:pPr>
              <w:pStyle w:val="TableText"/>
              <w:tabs>
                <w:tab w:val="decimal" w:pos="553"/>
              </w:tabs>
              <w:jc w:val="center"/>
            </w:pPr>
            <w:r>
              <w:t>4,254</w:t>
            </w:r>
          </w:p>
        </w:tc>
        <w:tc>
          <w:tcPr>
            <w:tcW w:w="1474" w:type="dxa"/>
          </w:tcPr>
          <w:p w14:paraId="06C525B5" w14:textId="792B0D9A" w:rsidR="003F6632" w:rsidRPr="00A24BDC" w:rsidRDefault="003F6632" w:rsidP="003F6632">
            <w:pPr>
              <w:pStyle w:val="TableText"/>
              <w:jc w:val="center"/>
            </w:pPr>
            <w:r>
              <w:t>3,643</w:t>
            </w:r>
          </w:p>
        </w:tc>
        <w:tc>
          <w:tcPr>
            <w:tcW w:w="1474" w:type="dxa"/>
          </w:tcPr>
          <w:p w14:paraId="54444DF8" w14:textId="03B5D3F8" w:rsidR="003F6632" w:rsidRPr="00A24BDC" w:rsidRDefault="003F6632" w:rsidP="003F6632">
            <w:pPr>
              <w:pStyle w:val="TableText"/>
              <w:tabs>
                <w:tab w:val="decimal" w:pos="907"/>
              </w:tabs>
            </w:pPr>
            <w:r>
              <w:t>109</w:t>
            </w:r>
          </w:p>
        </w:tc>
        <w:tc>
          <w:tcPr>
            <w:tcW w:w="1474" w:type="dxa"/>
          </w:tcPr>
          <w:p w14:paraId="5B700C4B" w14:textId="719190B5" w:rsidR="003F6632" w:rsidRPr="00A24BDC" w:rsidRDefault="003F6632" w:rsidP="003F6632">
            <w:pPr>
              <w:pStyle w:val="TableText"/>
              <w:jc w:val="center"/>
            </w:pPr>
            <w:r>
              <w:t>515</w:t>
            </w:r>
          </w:p>
        </w:tc>
        <w:tc>
          <w:tcPr>
            <w:tcW w:w="1475" w:type="dxa"/>
          </w:tcPr>
          <w:p w14:paraId="749473FB" w14:textId="65B989C3" w:rsidR="003F6632" w:rsidRPr="00A24BDC" w:rsidRDefault="003F6632" w:rsidP="00F72074">
            <w:pPr>
              <w:pStyle w:val="TableText"/>
              <w:tabs>
                <w:tab w:val="decimal" w:pos="594"/>
              </w:tabs>
            </w:pPr>
            <w:r>
              <w:rPr>
                <w:w w:val="102"/>
              </w:rPr>
              <w:t>1</w:t>
            </w:r>
          </w:p>
        </w:tc>
      </w:tr>
      <w:tr w:rsidR="003F6632" w:rsidRPr="00A24BDC" w14:paraId="208C74FC" w14:textId="77777777" w:rsidTr="003F6632">
        <w:trPr>
          <w:cantSplit/>
        </w:trPr>
        <w:tc>
          <w:tcPr>
            <w:tcW w:w="709" w:type="dxa"/>
          </w:tcPr>
          <w:p w14:paraId="6E111DD5" w14:textId="786951C2" w:rsidR="003F6632" w:rsidRPr="00A24BDC" w:rsidRDefault="003F6632" w:rsidP="003F6632">
            <w:pPr>
              <w:pStyle w:val="TableText"/>
            </w:pPr>
            <w:r>
              <w:rPr>
                <w:w w:val="105"/>
              </w:rPr>
              <w:t>2007</w:t>
            </w:r>
          </w:p>
        </w:tc>
        <w:tc>
          <w:tcPr>
            <w:tcW w:w="1474" w:type="dxa"/>
          </w:tcPr>
          <w:p w14:paraId="21B26D8A" w14:textId="7B726FCA" w:rsidR="003F6632" w:rsidRPr="00A24BDC" w:rsidRDefault="003F6632" w:rsidP="003F6632">
            <w:pPr>
              <w:pStyle w:val="TableText"/>
              <w:tabs>
                <w:tab w:val="decimal" w:pos="553"/>
              </w:tabs>
              <w:jc w:val="center"/>
            </w:pPr>
            <w:r>
              <w:t>4,535</w:t>
            </w:r>
          </w:p>
        </w:tc>
        <w:tc>
          <w:tcPr>
            <w:tcW w:w="1474" w:type="dxa"/>
          </w:tcPr>
          <w:p w14:paraId="55211608" w14:textId="7037A35F" w:rsidR="003F6632" w:rsidRPr="00A24BDC" w:rsidRDefault="003F6632" w:rsidP="003F6632">
            <w:pPr>
              <w:pStyle w:val="TableText"/>
              <w:jc w:val="center"/>
            </w:pPr>
            <w:r>
              <w:t>3,916</w:t>
            </w:r>
          </w:p>
        </w:tc>
        <w:tc>
          <w:tcPr>
            <w:tcW w:w="1474" w:type="dxa"/>
          </w:tcPr>
          <w:p w14:paraId="71571502" w14:textId="2183719E" w:rsidR="003F6632" w:rsidRPr="00A24BDC" w:rsidRDefault="003F6632" w:rsidP="003F6632">
            <w:pPr>
              <w:pStyle w:val="TableText"/>
              <w:tabs>
                <w:tab w:val="decimal" w:pos="907"/>
              </w:tabs>
            </w:pPr>
            <w:r>
              <w:t>99</w:t>
            </w:r>
          </w:p>
        </w:tc>
        <w:tc>
          <w:tcPr>
            <w:tcW w:w="1474" w:type="dxa"/>
          </w:tcPr>
          <w:p w14:paraId="34CDE158" w14:textId="4AAA88D9" w:rsidR="003F6632" w:rsidRPr="00A24BDC" w:rsidRDefault="003F6632" w:rsidP="003F6632">
            <w:pPr>
              <w:pStyle w:val="TableText"/>
              <w:jc w:val="center"/>
            </w:pPr>
            <w:r>
              <w:t>542</w:t>
            </w:r>
          </w:p>
        </w:tc>
        <w:tc>
          <w:tcPr>
            <w:tcW w:w="1475" w:type="dxa"/>
          </w:tcPr>
          <w:p w14:paraId="594AAAEF" w14:textId="19E6E971" w:rsidR="003F6632" w:rsidRPr="00A24BDC" w:rsidRDefault="003F6632" w:rsidP="00F72074">
            <w:pPr>
              <w:pStyle w:val="TableText"/>
              <w:tabs>
                <w:tab w:val="decimal" w:pos="594"/>
              </w:tabs>
            </w:pPr>
            <w:r>
              <w:rPr>
                <w:w w:val="102"/>
              </w:rPr>
              <w:t>0</w:t>
            </w:r>
          </w:p>
        </w:tc>
      </w:tr>
      <w:tr w:rsidR="003F6632" w:rsidRPr="00A24BDC" w14:paraId="75CC67AF" w14:textId="77777777" w:rsidTr="003F6632">
        <w:trPr>
          <w:cantSplit/>
        </w:trPr>
        <w:tc>
          <w:tcPr>
            <w:tcW w:w="709" w:type="dxa"/>
          </w:tcPr>
          <w:p w14:paraId="47709913" w14:textId="0B50CD7E" w:rsidR="003F6632" w:rsidRPr="00A24BDC" w:rsidRDefault="003F6632" w:rsidP="003F6632">
            <w:pPr>
              <w:pStyle w:val="TableText"/>
              <w:rPr>
                <w:b/>
              </w:rPr>
            </w:pPr>
            <w:r>
              <w:rPr>
                <w:w w:val="105"/>
              </w:rPr>
              <w:t>2008</w:t>
            </w:r>
          </w:p>
        </w:tc>
        <w:tc>
          <w:tcPr>
            <w:tcW w:w="1474" w:type="dxa"/>
          </w:tcPr>
          <w:p w14:paraId="45AD4A37" w14:textId="35E81A63" w:rsidR="003F6632" w:rsidRPr="00A24BDC" w:rsidRDefault="003F6632" w:rsidP="003F6632">
            <w:pPr>
              <w:pStyle w:val="TableText"/>
              <w:tabs>
                <w:tab w:val="decimal" w:pos="553"/>
              </w:tabs>
              <w:jc w:val="center"/>
              <w:rPr>
                <w:b/>
              </w:rPr>
            </w:pPr>
            <w:r>
              <w:t>4,633</w:t>
            </w:r>
          </w:p>
        </w:tc>
        <w:tc>
          <w:tcPr>
            <w:tcW w:w="1474" w:type="dxa"/>
          </w:tcPr>
          <w:p w14:paraId="2404F16E" w14:textId="244929F9" w:rsidR="003F6632" w:rsidRPr="00A24BDC" w:rsidRDefault="003F6632" w:rsidP="003F6632">
            <w:pPr>
              <w:pStyle w:val="TableText"/>
              <w:jc w:val="center"/>
              <w:rPr>
                <w:b/>
              </w:rPr>
            </w:pPr>
            <w:r>
              <w:t>3,969</w:t>
            </w:r>
          </w:p>
        </w:tc>
        <w:tc>
          <w:tcPr>
            <w:tcW w:w="1474" w:type="dxa"/>
          </w:tcPr>
          <w:p w14:paraId="6CAECD71" w14:textId="25DBFF6A" w:rsidR="003F6632" w:rsidRPr="00A24BDC" w:rsidRDefault="003F6632" w:rsidP="003F6632">
            <w:pPr>
              <w:pStyle w:val="TableText"/>
              <w:tabs>
                <w:tab w:val="decimal" w:pos="907"/>
              </w:tabs>
              <w:rPr>
                <w:b/>
              </w:rPr>
            </w:pPr>
            <w:r>
              <w:t>103</w:t>
            </w:r>
          </w:p>
        </w:tc>
        <w:tc>
          <w:tcPr>
            <w:tcW w:w="1474" w:type="dxa"/>
          </w:tcPr>
          <w:p w14:paraId="090C6902" w14:textId="03E243B4" w:rsidR="003F6632" w:rsidRPr="00A24BDC" w:rsidRDefault="003F6632" w:rsidP="003F6632">
            <w:pPr>
              <w:pStyle w:val="TableText"/>
              <w:jc w:val="center"/>
              <w:rPr>
                <w:b/>
              </w:rPr>
            </w:pPr>
            <w:r>
              <w:t>485</w:t>
            </w:r>
          </w:p>
        </w:tc>
        <w:tc>
          <w:tcPr>
            <w:tcW w:w="1475" w:type="dxa"/>
          </w:tcPr>
          <w:p w14:paraId="3C251611" w14:textId="4A96413B" w:rsidR="003F6632" w:rsidRPr="00A24BDC" w:rsidRDefault="003F6632" w:rsidP="00F72074">
            <w:pPr>
              <w:pStyle w:val="TableText"/>
              <w:tabs>
                <w:tab w:val="decimal" w:pos="594"/>
              </w:tabs>
              <w:rPr>
                <w:b/>
              </w:rPr>
            </w:pPr>
            <w:r>
              <w:rPr>
                <w:w w:val="102"/>
              </w:rPr>
              <w:t>0</w:t>
            </w:r>
          </w:p>
        </w:tc>
      </w:tr>
      <w:tr w:rsidR="003F6632" w:rsidRPr="00A24BDC" w14:paraId="678ED196" w14:textId="77777777" w:rsidTr="003F6632">
        <w:trPr>
          <w:cantSplit/>
        </w:trPr>
        <w:tc>
          <w:tcPr>
            <w:tcW w:w="709" w:type="dxa"/>
          </w:tcPr>
          <w:p w14:paraId="46228649" w14:textId="6D0B64D8" w:rsidR="003F6632" w:rsidRDefault="003F6632" w:rsidP="003F6632">
            <w:pPr>
              <w:pStyle w:val="TableText"/>
              <w:rPr>
                <w:w w:val="105"/>
              </w:rPr>
            </w:pPr>
            <w:r>
              <w:rPr>
                <w:w w:val="105"/>
              </w:rPr>
              <w:t>2009</w:t>
            </w:r>
          </w:p>
        </w:tc>
        <w:tc>
          <w:tcPr>
            <w:tcW w:w="1474" w:type="dxa"/>
          </w:tcPr>
          <w:p w14:paraId="35866F5E" w14:textId="6928AE40" w:rsidR="003F6632" w:rsidRDefault="003F6632" w:rsidP="003F6632">
            <w:pPr>
              <w:pStyle w:val="TableText"/>
              <w:tabs>
                <w:tab w:val="decimal" w:pos="553"/>
              </w:tabs>
              <w:jc w:val="center"/>
            </w:pPr>
            <w:r>
              <w:t>4,562</w:t>
            </w:r>
          </w:p>
        </w:tc>
        <w:tc>
          <w:tcPr>
            <w:tcW w:w="1474" w:type="dxa"/>
          </w:tcPr>
          <w:p w14:paraId="016B429E" w14:textId="58B1A9C9" w:rsidR="003F6632" w:rsidRDefault="003F6632" w:rsidP="003F6632">
            <w:pPr>
              <w:pStyle w:val="TableText"/>
              <w:jc w:val="center"/>
            </w:pPr>
            <w:r>
              <w:t>4,038</w:t>
            </w:r>
          </w:p>
        </w:tc>
        <w:tc>
          <w:tcPr>
            <w:tcW w:w="1474" w:type="dxa"/>
          </w:tcPr>
          <w:p w14:paraId="0AE7563B" w14:textId="32CB6A5F" w:rsidR="003F6632" w:rsidRDefault="003F6632" w:rsidP="003F6632">
            <w:pPr>
              <w:pStyle w:val="TableText"/>
              <w:tabs>
                <w:tab w:val="decimal" w:pos="907"/>
              </w:tabs>
            </w:pPr>
            <w:r>
              <w:t>54</w:t>
            </w:r>
          </w:p>
        </w:tc>
        <w:tc>
          <w:tcPr>
            <w:tcW w:w="1474" w:type="dxa"/>
          </w:tcPr>
          <w:p w14:paraId="67E3DD10" w14:textId="40BC9CFF" w:rsidR="003F6632" w:rsidRDefault="003F6632" w:rsidP="003F6632">
            <w:pPr>
              <w:pStyle w:val="TableText"/>
              <w:jc w:val="center"/>
            </w:pPr>
            <w:r>
              <w:t>494</w:t>
            </w:r>
          </w:p>
        </w:tc>
        <w:tc>
          <w:tcPr>
            <w:tcW w:w="1475" w:type="dxa"/>
          </w:tcPr>
          <w:p w14:paraId="2BA4AD08" w14:textId="01516295" w:rsidR="003F6632" w:rsidRPr="00A24BDC" w:rsidRDefault="003F6632" w:rsidP="00F72074">
            <w:pPr>
              <w:pStyle w:val="TableText"/>
              <w:tabs>
                <w:tab w:val="decimal" w:pos="594"/>
              </w:tabs>
              <w:rPr>
                <w:b/>
              </w:rPr>
            </w:pPr>
            <w:r>
              <w:rPr>
                <w:w w:val="102"/>
              </w:rPr>
              <w:t>0</w:t>
            </w:r>
          </w:p>
        </w:tc>
      </w:tr>
      <w:tr w:rsidR="003F6632" w:rsidRPr="00A24BDC" w14:paraId="23D28903" w14:textId="77777777" w:rsidTr="003F6632">
        <w:trPr>
          <w:cantSplit/>
        </w:trPr>
        <w:tc>
          <w:tcPr>
            <w:tcW w:w="709" w:type="dxa"/>
          </w:tcPr>
          <w:p w14:paraId="21385406" w14:textId="5EDF0C3C" w:rsidR="003F6632" w:rsidRDefault="003F6632" w:rsidP="003F6632">
            <w:pPr>
              <w:pStyle w:val="TableText"/>
              <w:rPr>
                <w:w w:val="105"/>
              </w:rPr>
            </w:pPr>
            <w:r>
              <w:rPr>
                <w:w w:val="105"/>
              </w:rPr>
              <w:t>2010</w:t>
            </w:r>
          </w:p>
        </w:tc>
        <w:tc>
          <w:tcPr>
            <w:tcW w:w="1474" w:type="dxa"/>
          </w:tcPr>
          <w:p w14:paraId="08FC2C7F" w14:textId="2DE532F7" w:rsidR="003F6632" w:rsidRDefault="003F6632" w:rsidP="003F6632">
            <w:pPr>
              <w:pStyle w:val="TableText"/>
              <w:tabs>
                <w:tab w:val="decimal" w:pos="553"/>
              </w:tabs>
              <w:jc w:val="center"/>
            </w:pPr>
            <w:r>
              <w:t>4,783</w:t>
            </w:r>
          </w:p>
        </w:tc>
        <w:tc>
          <w:tcPr>
            <w:tcW w:w="1474" w:type="dxa"/>
          </w:tcPr>
          <w:p w14:paraId="4D43AE19" w14:textId="4CE0E70D" w:rsidR="003F6632" w:rsidRDefault="003F6632" w:rsidP="003F6632">
            <w:pPr>
              <w:pStyle w:val="TableText"/>
              <w:jc w:val="center"/>
            </w:pPr>
            <w:r>
              <w:t>4,156</w:t>
            </w:r>
          </w:p>
        </w:tc>
        <w:tc>
          <w:tcPr>
            <w:tcW w:w="1474" w:type="dxa"/>
          </w:tcPr>
          <w:p w14:paraId="387AC422" w14:textId="6B0CB5D6" w:rsidR="003F6632" w:rsidRDefault="003F6632" w:rsidP="003F6632">
            <w:pPr>
              <w:pStyle w:val="TableText"/>
              <w:tabs>
                <w:tab w:val="decimal" w:pos="907"/>
              </w:tabs>
            </w:pPr>
            <w:r>
              <w:t>74</w:t>
            </w:r>
          </w:p>
        </w:tc>
        <w:tc>
          <w:tcPr>
            <w:tcW w:w="1474" w:type="dxa"/>
          </w:tcPr>
          <w:p w14:paraId="58C31807" w14:textId="61A8C3F5" w:rsidR="003F6632" w:rsidRDefault="003F6632" w:rsidP="003F6632">
            <w:pPr>
              <w:pStyle w:val="TableText"/>
              <w:jc w:val="center"/>
            </w:pPr>
            <w:r>
              <w:t>523</w:t>
            </w:r>
          </w:p>
        </w:tc>
        <w:tc>
          <w:tcPr>
            <w:tcW w:w="1475" w:type="dxa"/>
          </w:tcPr>
          <w:p w14:paraId="4F7DAFEA" w14:textId="2A3FA20E" w:rsidR="003F6632" w:rsidRPr="00A24BDC" w:rsidRDefault="003F6632" w:rsidP="00F72074">
            <w:pPr>
              <w:pStyle w:val="TableText"/>
              <w:tabs>
                <w:tab w:val="decimal" w:pos="594"/>
              </w:tabs>
              <w:rPr>
                <w:b/>
              </w:rPr>
            </w:pPr>
            <w:r>
              <w:rPr>
                <w:w w:val="102"/>
              </w:rPr>
              <w:t>1</w:t>
            </w:r>
          </w:p>
        </w:tc>
      </w:tr>
      <w:tr w:rsidR="003F6632" w:rsidRPr="00A24BDC" w14:paraId="29F3B0C4" w14:textId="77777777" w:rsidTr="003F6632">
        <w:trPr>
          <w:cantSplit/>
        </w:trPr>
        <w:tc>
          <w:tcPr>
            <w:tcW w:w="709" w:type="dxa"/>
          </w:tcPr>
          <w:p w14:paraId="07B7D0CC" w14:textId="04D11FC1" w:rsidR="003F6632" w:rsidRDefault="003F6632" w:rsidP="003F6632">
            <w:pPr>
              <w:pStyle w:val="TableText"/>
              <w:rPr>
                <w:w w:val="105"/>
              </w:rPr>
            </w:pPr>
            <w:r>
              <w:rPr>
                <w:w w:val="105"/>
              </w:rPr>
              <w:t>2011</w:t>
            </w:r>
          </w:p>
        </w:tc>
        <w:tc>
          <w:tcPr>
            <w:tcW w:w="1474" w:type="dxa"/>
          </w:tcPr>
          <w:p w14:paraId="31D1C40E" w14:textId="65BBECB4" w:rsidR="003F6632" w:rsidRDefault="003F6632" w:rsidP="003F6632">
            <w:pPr>
              <w:pStyle w:val="TableText"/>
              <w:tabs>
                <w:tab w:val="decimal" w:pos="553"/>
              </w:tabs>
              <w:jc w:val="center"/>
            </w:pPr>
            <w:r>
              <w:t>4,781</w:t>
            </w:r>
          </w:p>
        </w:tc>
        <w:tc>
          <w:tcPr>
            <w:tcW w:w="1474" w:type="dxa"/>
          </w:tcPr>
          <w:p w14:paraId="575B0B6D" w14:textId="75749B11" w:rsidR="003F6632" w:rsidRDefault="003F6632" w:rsidP="003F6632">
            <w:pPr>
              <w:pStyle w:val="TableText"/>
              <w:jc w:val="center"/>
            </w:pPr>
            <w:r>
              <w:t>4,215</w:t>
            </w:r>
          </w:p>
        </w:tc>
        <w:tc>
          <w:tcPr>
            <w:tcW w:w="1474" w:type="dxa"/>
          </w:tcPr>
          <w:p w14:paraId="5AD2333B" w14:textId="156DC7AD" w:rsidR="003F6632" w:rsidRDefault="003F6632" w:rsidP="003F6632">
            <w:pPr>
              <w:pStyle w:val="TableText"/>
              <w:tabs>
                <w:tab w:val="decimal" w:pos="907"/>
              </w:tabs>
            </w:pPr>
            <w:r>
              <w:t>70</w:t>
            </w:r>
          </w:p>
        </w:tc>
        <w:tc>
          <w:tcPr>
            <w:tcW w:w="1474" w:type="dxa"/>
          </w:tcPr>
          <w:p w14:paraId="4D044815" w14:textId="2F91EBED" w:rsidR="003F6632" w:rsidRDefault="003F6632" w:rsidP="003F6632">
            <w:pPr>
              <w:pStyle w:val="TableText"/>
              <w:jc w:val="center"/>
            </w:pPr>
            <w:r>
              <w:t>516</w:t>
            </w:r>
          </w:p>
        </w:tc>
        <w:tc>
          <w:tcPr>
            <w:tcW w:w="1475" w:type="dxa"/>
          </w:tcPr>
          <w:p w14:paraId="384E2BD1" w14:textId="6638C834" w:rsidR="003F6632" w:rsidRPr="00A24BDC" w:rsidRDefault="003F6632" w:rsidP="00F72074">
            <w:pPr>
              <w:pStyle w:val="TableText"/>
              <w:tabs>
                <w:tab w:val="decimal" w:pos="594"/>
              </w:tabs>
              <w:rPr>
                <w:b/>
              </w:rPr>
            </w:pPr>
            <w:r>
              <w:rPr>
                <w:w w:val="102"/>
              </w:rPr>
              <w:t>0</w:t>
            </w:r>
          </w:p>
        </w:tc>
      </w:tr>
      <w:tr w:rsidR="003F6632" w:rsidRPr="00A24BDC" w14:paraId="4A8DA787" w14:textId="77777777" w:rsidTr="003F6632">
        <w:trPr>
          <w:cantSplit/>
        </w:trPr>
        <w:tc>
          <w:tcPr>
            <w:tcW w:w="709" w:type="dxa"/>
          </w:tcPr>
          <w:p w14:paraId="15847F9A" w14:textId="3760CCEC" w:rsidR="003F6632" w:rsidRDefault="003F6632" w:rsidP="003F6632">
            <w:pPr>
              <w:pStyle w:val="TableText"/>
              <w:rPr>
                <w:w w:val="105"/>
              </w:rPr>
            </w:pPr>
            <w:r>
              <w:rPr>
                <w:w w:val="105"/>
              </w:rPr>
              <w:t>2012</w:t>
            </w:r>
          </w:p>
        </w:tc>
        <w:tc>
          <w:tcPr>
            <w:tcW w:w="1474" w:type="dxa"/>
          </w:tcPr>
          <w:p w14:paraId="171FFA02" w14:textId="17A23C46" w:rsidR="003F6632" w:rsidRDefault="003F6632" w:rsidP="003F6632">
            <w:pPr>
              <w:pStyle w:val="TableText"/>
              <w:tabs>
                <w:tab w:val="decimal" w:pos="553"/>
              </w:tabs>
              <w:jc w:val="center"/>
            </w:pPr>
            <w:r>
              <w:t>4,885</w:t>
            </w:r>
          </w:p>
        </w:tc>
        <w:tc>
          <w:tcPr>
            <w:tcW w:w="1474" w:type="dxa"/>
          </w:tcPr>
          <w:p w14:paraId="40C6E802" w14:textId="45EF084B" w:rsidR="003F6632" w:rsidRDefault="003F6632" w:rsidP="003F6632">
            <w:pPr>
              <w:pStyle w:val="TableText"/>
              <w:jc w:val="center"/>
            </w:pPr>
            <w:r>
              <w:t>4,343</w:t>
            </w:r>
          </w:p>
        </w:tc>
        <w:tc>
          <w:tcPr>
            <w:tcW w:w="1474" w:type="dxa"/>
          </w:tcPr>
          <w:p w14:paraId="29BF60EE" w14:textId="7E1E0E4B" w:rsidR="003F6632" w:rsidRDefault="003F6632" w:rsidP="003F6632">
            <w:pPr>
              <w:pStyle w:val="TableText"/>
              <w:tabs>
                <w:tab w:val="decimal" w:pos="907"/>
              </w:tabs>
            </w:pPr>
            <w:r>
              <w:t>71</w:t>
            </w:r>
          </w:p>
        </w:tc>
        <w:tc>
          <w:tcPr>
            <w:tcW w:w="1474" w:type="dxa"/>
          </w:tcPr>
          <w:p w14:paraId="2DF659E3" w14:textId="62174669" w:rsidR="003F6632" w:rsidRDefault="003F6632" w:rsidP="003F6632">
            <w:pPr>
              <w:pStyle w:val="TableText"/>
              <w:jc w:val="center"/>
            </w:pPr>
            <w:r>
              <w:t>443</w:t>
            </w:r>
          </w:p>
        </w:tc>
        <w:tc>
          <w:tcPr>
            <w:tcW w:w="1475" w:type="dxa"/>
          </w:tcPr>
          <w:p w14:paraId="5EE3219F" w14:textId="2B65656C" w:rsidR="003F6632" w:rsidRPr="00A24BDC" w:rsidRDefault="003F6632" w:rsidP="00F72074">
            <w:pPr>
              <w:pStyle w:val="TableText"/>
              <w:tabs>
                <w:tab w:val="decimal" w:pos="594"/>
              </w:tabs>
              <w:rPr>
                <w:b/>
              </w:rPr>
            </w:pPr>
            <w:r>
              <w:rPr>
                <w:w w:val="102"/>
              </w:rPr>
              <w:t>0</w:t>
            </w:r>
          </w:p>
        </w:tc>
      </w:tr>
      <w:tr w:rsidR="003F6632" w:rsidRPr="00A24BDC" w14:paraId="12966CF5" w14:textId="77777777" w:rsidTr="003F6632">
        <w:trPr>
          <w:cantSplit/>
        </w:trPr>
        <w:tc>
          <w:tcPr>
            <w:tcW w:w="709" w:type="dxa"/>
          </w:tcPr>
          <w:p w14:paraId="3387BA60" w14:textId="2FDEA32F" w:rsidR="003F6632" w:rsidRDefault="003F6632" w:rsidP="003F6632">
            <w:pPr>
              <w:pStyle w:val="TableText"/>
              <w:rPr>
                <w:w w:val="105"/>
              </w:rPr>
            </w:pPr>
            <w:r>
              <w:rPr>
                <w:w w:val="105"/>
              </w:rPr>
              <w:t>2013</w:t>
            </w:r>
          </w:p>
        </w:tc>
        <w:tc>
          <w:tcPr>
            <w:tcW w:w="1474" w:type="dxa"/>
          </w:tcPr>
          <w:p w14:paraId="7905C3D9" w14:textId="0B27140D" w:rsidR="003F6632" w:rsidRDefault="003F6632" w:rsidP="003F6632">
            <w:pPr>
              <w:pStyle w:val="TableText"/>
              <w:tabs>
                <w:tab w:val="decimal" w:pos="553"/>
              </w:tabs>
              <w:jc w:val="center"/>
            </w:pPr>
            <w:r>
              <w:t>5,062</w:t>
            </w:r>
          </w:p>
        </w:tc>
        <w:tc>
          <w:tcPr>
            <w:tcW w:w="1474" w:type="dxa"/>
          </w:tcPr>
          <w:p w14:paraId="6D3746E7" w14:textId="7538DF42" w:rsidR="003F6632" w:rsidRDefault="003F6632" w:rsidP="003F6632">
            <w:pPr>
              <w:pStyle w:val="TableText"/>
              <w:jc w:val="center"/>
            </w:pPr>
            <w:r>
              <w:t>4,607</w:t>
            </w:r>
          </w:p>
        </w:tc>
        <w:tc>
          <w:tcPr>
            <w:tcW w:w="1474" w:type="dxa"/>
          </w:tcPr>
          <w:p w14:paraId="7CA7FB7C" w14:textId="21D9CB15" w:rsidR="003F6632" w:rsidRDefault="003F6632" w:rsidP="003F6632">
            <w:pPr>
              <w:pStyle w:val="TableText"/>
              <w:tabs>
                <w:tab w:val="decimal" w:pos="907"/>
              </w:tabs>
            </w:pPr>
            <w:r>
              <w:t>68</w:t>
            </w:r>
          </w:p>
        </w:tc>
        <w:tc>
          <w:tcPr>
            <w:tcW w:w="1474" w:type="dxa"/>
          </w:tcPr>
          <w:p w14:paraId="5367AFB8" w14:textId="3B50B1E1" w:rsidR="003F6632" w:rsidRDefault="003F6632" w:rsidP="003F6632">
            <w:pPr>
              <w:pStyle w:val="TableText"/>
              <w:jc w:val="center"/>
            </w:pPr>
            <w:r>
              <w:t>411</w:t>
            </w:r>
          </w:p>
        </w:tc>
        <w:tc>
          <w:tcPr>
            <w:tcW w:w="1475" w:type="dxa"/>
          </w:tcPr>
          <w:p w14:paraId="4BCD006F" w14:textId="6BF09907" w:rsidR="003F6632" w:rsidRPr="00A24BDC" w:rsidRDefault="003F6632" w:rsidP="00F72074">
            <w:pPr>
              <w:pStyle w:val="TableText"/>
              <w:tabs>
                <w:tab w:val="decimal" w:pos="594"/>
              </w:tabs>
              <w:rPr>
                <w:b/>
              </w:rPr>
            </w:pPr>
            <w:r>
              <w:rPr>
                <w:w w:val="102"/>
              </w:rPr>
              <w:t>0</w:t>
            </w:r>
          </w:p>
        </w:tc>
      </w:tr>
      <w:tr w:rsidR="003F6632" w:rsidRPr="00A24BDC" w14:paraId="32254047" w14:textId="77777777" w:rsidTr="003F6632">
        <w:trPr>
          <w:cantSplit/>
        </w:trPr>
        <w:tc>
          <w:tcPr>
            <w:tcW w:w="709" w:type="dxa"/>
          </w:tcPr>
          <w:p w14:paraId="540D5A3E" w14:textId="5A1FC486" w:rsidR="003F6632" w:rsidRDefault="003F6632" w:rsidP="003F6632">
            <w:pPr>
              <w:pStyle w:val="TableText"/>
              <w:rPr>
                <w:w w:val="105"/>
              </w:rPr>
            </w:pPr>
            <w:r>
              <w:rPr>
                <w:w w:val="105"/>
              </w:rPr>
              <w:t>2014</w:t>
            </w:r>
          </w:p>
        </w:tc>
        <w:tc>
          <w:tcPr>
            <w:tcW w:w="1474" w:type="dxa"/>
          </w:tcPr>
          <w:p w14:paraId="1F4BDFBB" w14:textId="0FC335A1" w:rsidR="003F6632" w:rsidRDefault="003F6632" w:rsidP="003F6632">
            <w:pPr>
              <w:pStyle w:val="TableText"/>
              <w:tabs>
                <w:tab w:val="decimal" w:pos="553"/>
              </w:tabs>
              <w:jc w:val="center"/>
            </w:pPr>
            <w:r>
              <w:t>5,227</w:t>
            </w:r>
          </w:p>
        </w:tc>
        <w:tc>
          <w:tcPr>
            <w:tcW w:w="1474" w:type="dxa"/>
          </w:tcPr>
          <w:p w14:paraId="3CD2CF4B" w14:textId="4EED1902" w:rsidR="003F6632" w:rsidRDefault="003F6632" w:rsidP="003F6632">
            <w:pPr>
              <w:pStyle w:val="TableText"/>
              <w:jc w:val="center"/>
            </w:pPr>
            <w:r>
              <w:t>4,632</w:t>
            </w:r>
          </w:p>
        </w:tc>
        <w:tc>
          <w:tcPr>
            <w:tcW w:w="1474" w:type="dxa"/>
          </w:tcPr>
          <w:p w14:paraId="7E673939" w14:textId="78E5526A" w:rsidR="003F6632" w:rsidRDefault="003F6632" w:rsidP="003F6632">
            <w:pPr>
              <w:pStyle w:val="TableText"/>
              <w:tabs>
                <w:tab w:val="decimal" w:pos="907"/>
              </w:tabs>
            </w:pPr>
            <w:r>
              <w:t>47</w:t>
            </w:r>
          </w:p>
        </w:tc>
        <w:tc>
          <w:tcPr>
            <w:tcW w:w="1474" w:type="dxa"/>
          </w:tcPr>
          <w:p w14:paraId="590B3CC3" w14:textId="1097B3E8" w:rsidR="003F6632" w:rsidRDefault="003F6632" w:rsidP="003F6632">
            <w:pPr>
              <w:pStyle w:val="TableText"/>
              <w:jc w:val="center"/>
            </w:pPr>
            <w:r>
              <w:t>575</w:t>
            </w:r>
          </w:p>
        </w:tc>
        <w:tc>
          <w:tcPr>
            <w:tcW w:w="1475" w:type="dxa"/>
          </w:tcPr>
          <w:p w14:paraId="1F26E4D3" w14:textId="082B959C" w:rsidR="003F6632" w:rsidRPr="00A24BDC" w:rsidRDefault="003F6632" w:rsidP="00F72074">
            <w:pPr>
              <w:pStyle w:val="TableText"/>
              <w:tabs>
                <w:tab w:val="decimal" w:pos="594"/>
              </w:tabs>
              <w:rPr>
                <w:b/>
              </w:rPr>
            </w:pPr>
            <w:r>
              <w:rPr>
                <w:w w:val="102"/>
              </w:rPr>
              <w:t>0</w:t>
            </w:r>
          </w:p>
        </w:tc>
      </w:tr>
      <w:tr w:rsidR="003F6632" w:rsidRPr="00A24BDC" w14:paraId="0AF8F408" w14:textId="77777777" w:rsidTr="003F6632">
        <w:trPr>
          <w:cantSplit/>
        </w:trPr>
        <w:tc>
          <w:tcPr>
            <w:tcW w:w="709" w:type="dxa"/>
          </w:tcPr>
          <w:p w14:paraId="26A31B1C" w14:textId="0BB67D6C" w:rsidR="003F6632" w:rsidRDefault="003F6632" w:rsidP="003F6632">
            <w:pPr>
              <w:pStyle w:val="TableText"/>
              <w:rPr>
                <w:w w:val="105"/>
              </w:rPr>
            </w:pPr>
            <w:r>
              <w:rPr>
                <w:w w:val="105"/>
              </w:rPr>
              <w:t>2015</w:t>
            </w:r>
          </w:p>
        </w:tc>
        <w:tc>
          <w:tcPr>
            <w:tcW w:w="1474" w:type="dxa"/>
          </w:tcPr>
          <w:p w14:paraId="5A53CC66" w14:textId="72F659A5" w:rsidR="003F6632" w:rsidRDefault="003F6632" w:rsidP="003F6632">
            <w:pPr>
              <w:pStyle w:val="TableText"/>
              <w:tabs>
                <w:tab w:val="decimal" w:pos="553"/>
              </w:tabs>
              <w:jc w:val="center"/>
            </w:pPr>
            <w:r>
              <w:t>5,368</w:t>
            </w:r>
          </w:p>
        </w:tc>
        <w:tc>
          <w:tcPr>
            <w:tcW w:w="1474" w:type="dxa"/>
          </w:tcPr>
          <w:p w14:paraId="5BD54CFB" w14:textId="6FD9FEBB" w:rsidR="003F6632" w:rsidRDefault="003F6632" w:rsidP="003F6632">
            <w:pPr>
              <w:pStyle w:val="TableText"/>
              <w:jc w:val="center"/>
            </w:pPr>
            <w:r>
              <w:t>4,748</w:t>
            </w:r>
          </w:p>
        </w:tc>
        <w:tc>
          <w:tcPr>
            <w:tcW w:w="1474" w:type="dxa"/>
          </w:tcPr>
          <w:p w14:paraId="20F7108D" w14:textId="190E4C70" w:rsidR="003F6632" w:rsidRDefault="003F6632" w:rsidP="003F6632">
            <w:pPr>
              <w:pStyle w:val="TableText"/>
              <w:tabs>
                <w:tab w:val="decimal" w:pos="907"/>
              </w:tabs>
            </w:pPr>
            <w:r>
              <w:t>52</w:t>
            </w:r>
          </w:p>
        </w:tc>
        <w:tc>
          <w:tcPr>
            <w:tcW w:w="1474" w:type="dxa"/>
          </w:tcPr>
          <w:p w14:paraId="4142C31F" w14:textId="54972BF2" w:rsidR="003F6632" w:rsidRDefault="003F6632" w:rsidP="003F6632">
            <w:pPr>
              <w:pStyle w:val="TableText"/>
              <w:jc w:val="center"/>
            </w:pPr>
            <w:r>
              <w:t>550</w:t>
            </w:r>
          </w:p>
        </w:tc>
        <w:tc>
          <w:tcPr>
            <w:tcW w:w="1475" w:type="dxa"/>
          </w:tcPr>
          <w:p w14:paraId="39444432" w14:textId="0B174316" w:rsidR="003F6632" w:rsidRPr="00A24BDC" w:rsidRDefault="003F6632" w:rsidP="00F72074">
            <w:pPr>
              <w:pStyle w:val="TableText"/>
              <w:tabs>
                <w:tab w:val="decimal" w:pos="594"/>
              </w:tabs>
              <w:rPr>
                <w:b/>
              </w:rPr>
            </w:pPr>
            <w:r>
              <w:rPr>
                <w:w w:val="102"/>
              </w:rPr>
              <w:t>0</w:t>
            </w:r>
          </w:p>
        </w:tc>
      </w:tr>
      <w:tr w:rsidR="003F6632" w:rsidRPr="00A24BDC" w14:paraId="1100B0B3" w14:textId="77777777" w:rsidTr="003F6632">
        <w:trPr>
          <w:cantSplit/>
        </w:trPr>
        <w:tc>
          <w:tcPr>
            <w:tcW w:w="709" w:type="dxa"/>
          </w:tcPr>
          <w:p w14:paraId="3D40843C" w14:textId="3D787493" w:rsidR="003F6632" w:rsidRDefault="003F6632" w:rsidP="003F6632">
            <w:pPr>
              <w:pStyle w:val="TableText"/>
              <w:rPr>
                <w:w w:val="105"/>
              </w:rPr>
            </w:pPr>
            <w:r>
              <w:rPr>
                <w:w w:val="105"/>
              </w:rPr>
              <w:t>2016</w:t>
            </w:r>
          </w:p>
        </w:tc>
        <w:tc>
          <w:tcPr>
            <w:tcW w:w="1474" w:type="dxa"/>
          </w:tcPr>
          <w:p w14:paraId="6F1DC7F6" w14:textId="511D0E02" w:rsidR="003F6632" w:rsidRDefault="003F6632" w:rsidP="003F6632">
            <w:pPr>
              <w:pStyle w:val="TableText"/>
              <w:tabs>
                <w:tab w:val="decimal" w:pos="553"/>
              </w:tabs>
              <w:jc w:val="center"/>
            </w:pPr>
            <w:r>
              <w:t>5,601</w:t>
            </w:r>
          </w:p>
        </w:tc>
        <w:tc>
          <w:tcPr>
            <w:tcW w:w="1474" w:type="dxa"/>
          </w:tcPr>
          <w:p w14:paraId="648D2439" w14:textId="62AF3E10" w:rsidR="003F6632" w:rsidRDefault="003F6632" w:rsidP="003F6632">
            <w:pPr>
              <w:pStyle w:val="TableText"/>
              <w:jc w:val="center"/>
            </w:pPr>
            <w:r>
              <w:t>4,924</w:t>
            </w:r>
          </w:p>
        </w:tc>
        <w:tc>
          <w:tcPr>
            <w:tcW w:w="1474" w:type="dxa"/>
          </w:tcPr>
          <w:p w14:paraId="15B3824A" w14:textId="77ECD5C2" w:rsidR="003F6632" w:rsidRDefault="003F6632" w:rsidP="003F6632">
            <w:pPr>
              <w:pStyle w:val="TableText"/>
              <w:tabs>
                <w:tab w:val="decimal" w:pos="907"/>
              </w:tabs>
            </w:pPr>
            <w:r>
              <w:t>70</w:t>
            </w:r>
          </w:p>
        </w:tc>
        <w:tc>
          <w:tcPr>
            <w:tcW w:w="1474" w:type="dxa"/>
          </w:tcPr>
          <w:p w14:paraId="229A13B9" w14:textId="53D16D89" w:rsidR="003F6632" w:rsidRDefault="003F6632" w:rsidP="003F6632">
            <w:pPr>
              <w:pStyle w:val="TableText"/>
              <w:jc w:val="center"/>
            </w:pPr>
            <w:r>
              <w:t>544</w:t>
            </w:r>
          </w:p>
        </w:tc>
        <w:tc>
          <w:tcPr>
            <w:tcW w:w="1475" w:type="dxa"/>
          </w:tcPr>
          <w:p w14:paraId="0BF35496" w14:textId="2463F690" w:rsidR="003F6632" w:rsidRDefault="003F6632" w:rsidP="00F72074">
            <w:pPr>
              <w:pStyle w:val="TableText"/>
              <w:tabs>
                <w:tab w:val="decimal" w:pos="594"/>
              </w:tabs>
              <w:rPr>
                <w:w w:val="102"/>
              </w:rPr>
            </w:pPr>
            <w:r>
              <w:rPr>
                <w:w w:val="102"/>
              </w:rPr>
              <w:t>0</w:t>
            </w:r>
          </w:p>
        </w:tc>
      </w:tr>
    </w:tbl>
    <w:p w14:paraId="525F1826" w14:textId="77777777" w:rsidR="00740DA6" w:rsidRPr="00EC5EF1" w:rsidRDefault="00740DA6" w:rsidP="00A15127">
      <w:pPr>
        <w:pStyle w:val="Note"/>
      </w:pPr>
      <w:r w:rsidRPr="00EC5EF1">
        <w:t>Notes: The table presents applications that had been processed at the time of data extraction on 12 June 2018. The year is determined by the final outcome date.</w:t>
      </w:r>
    </w:p>
    <w:p w14:paraId="252E4F69" w14:textId="77777777" w:rsidR="00740DA6" w:rsidRPr="00EC5EF1" w:rsidRDefault="00740DA6" w:rsidP="00A15127">
      <w:pPr>
        <w:pStyle w:val="Note"/>
      </w:pPr>
      <w:r w:rsidRPr="00EC5EF1">
        <w:t>CTO = Compulsory treatment order.</w:t>
      </w:r>
    </w:p>
    <w:p w14:paraId="7CA92E4E" w14:textId="77777777" w:rsidR="00740DA6" w:rsidRPr="00EC5EF1" w:rsidRDefault="00740DA6" w:rsidP="00A15127">
      <w:pPr>
        <w:pStyle w:val="Note"/>
      </w:pPr>
      <w:r w:rsidRPr="00EC5EF1">
        <w:t>The case management system (CMS) is a live operational database. Figures are subject to minor changes at any time.</w:t>
      </w:r>
    </w:p>
    <w:p w14:paraId="01626B43" w14:textId="256835B8" w:rsidR="00740DA6" w:rsidRPr="00EC5EF1" w:rsidRDefault="00740DA6" w:rsidP="00A15127">
      <w:pPr>
        <w:pStyle w:val="Source"/>
      </w:pPr>
      <w:r w:rsidRPr="00EC5EF1">
        <w:t>Source: Ministry of Justice Integrated Sector Intelligence System, which uses data entered into the CMS</w:t>
      </w:r>
    </w:p>
    <w:p w14:paraId="37B9A5CF" w14:textId="77777777" w:rsidR="00740DA6" w:rsidRPr="00EC5EF1" w:rsidRDefault="00740DA6" w:rsidP="00A15127"/>
    <w:p w14:paraId="22068DB0" w14:textId="4993A60B" w:rsidR="00740DA6" w:rsidRPr="00EC5EF1" w:rsidRDefault="00740DA6" w:rsidP="00475708">
      <w:pPr>
        <w:pStyle w:val="Table"/>
      </w:pPr>
      <w:bookmarkStart w:id="166" w:name="_Toc2845773"/>
      <w:r w:rsidRPr="00EC5EF1">
        <w:lastRenderedPageBreak/>
        <w:t>Table A7: Types of compulsory treatment orders made on granted applications, 2004–201</w:t>
      </w:r>
      <w:r w:rsidR="00E031E9">
        <w:t>7</w:t>
      </w:r>
      <w:bookmarkEnd w:id="166"/>
    </w:p>
    <w:tbl>
      <w:tblPr>
        <w:tblStyle w:val="TableGrid"/>
        <w:tblW w:w="8295" w:type="dxa"/>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709"/>
        <w:gridCol w:w="1418"/>
        <w:gridCol w:w="1417"/>
        <w:gridCol w:w="1418"/>
        <w:gridCol w:w="1984"/>
        <w:gridCol w:w="1349"/>
      </w:tblGrid>
      <w:tr w:rsidR="003F6632" w:rsidRPr="003F6632" w14:paraId="3FABCCA6" w14:textId="77777777" w:rsidTr="003F6632">
        <w:trPr>
          <w:cantSplit/>
        </w:trPr>
        <w:tc>
          <w:tcPr>
            <w:tcW w:w="709" w:type="dxa"/>
            <w:tcBorders>
              <w:top w:val="nil"/>
              <w:bottom w:val="nil"/>
            </w:tcBorders>
            <w:shd w:val="clear" w:color="auto" w:fill="D9D9D9" w:themeFill="background1" w:themeFillShade="D9"/>
          </w:tcPr>
          <w:p w14:paraId="3D1CA170" w14:textId="77777777" w:rsidR="003F6632" w:rsidRPr="003F6632" w:rsidRDefault="003F6632" w:rsidP="003F6632">
            <w:pPr>
              <w:pStyle w:val="TableText"/>
              <w:keepNext/>
              <w:rPr>
                <w:b/>
              </w:rPr>
            </w:pPr>
            <w:r w:rsidRPr="003F6632">
              <w:rPr>
                <w:b/>
              </w:rPr>
              <w:t>Year</w:t>
            </w:r>
          </w:p>
        </w:tc>
        <w:tc>
          <w:tcPr>
            <w:tcW w:w="1418" w:type="dxa"/>
            <w:tcBorders>
              <w:top w:val="nil"/>
              <w:bottom w:val="nil"/>
            </w:tcBorders>
            <w:shd w:val="clear" w:color="auto" w:fill="D9D9D9" w:themeFill="background1" w:themeFillShade="D9"/>
          </w:tcPr>
          <w:p w14:paraId="0E6A0A2D" w14:textId="77777777" w:rsidR="003F6632" w:rsidRPr="003F6632" w:rsidRDefault="003F6632" w:rsidP="003F6632">
            <w:pPr>
              <w:pStyle w:val="TableText"/>
              <w:keepNext/>
              <w:jc w:val="center"/>
              <w:rPr>
                <w:b/>
              </w:rPr>
            </w:pPr>
            <w:r w:rsidRPr="003F6632">
              <w:rPr>
                <w:b/>
              </w:rPr>
              <w:t>Number of granted applications for orders</w:t>
            </w:r>
          </w:p>
        </w:tc>
        <w:tc>
          <w:tcPr>
            <w:tcW w:w="1417" w:type="dxa"/>
            <w:tcBorders>
              <w:top w:val="nil"/>
              <w:bottom w:val="nil"/>
            </w:tcBorders>
            <w:shd w:val="clear" w:color="auto" w:fill="D9D9D9" w:themeFill="background1" w:themeFillShade="D9"/>
          </w:tcPr>
          <w:p w14:paraId="15151493" w14:textId="77777777" w:rsidR="003F6632" w:rsidRPr="003F6632" w:rsidRDefault="003F6632" w:rsidP="003F6632">
            <w:pPr>
              <w:pStyle w:val="TableText"/>
              <w:keepNext/>
              <w:jc w:val="center"/>
              <w:rPr>
                <w:b/>
              </w:rPr>
            </w:pPr>
            <w:r w:rsidRPr="003F6632">
              <w:rPr>
                <w:b/>
              </w:rPr>
              <w:t>Number of compulsory community treatment orders (or extension)</w:t>
            </w:r>
          </w:p>
        </w:tc>
        <w:tc>
          <w:tcPr>
            <w:tcW w:w="1418" w:type="dxa"/>
            <w:tcBorders>
              <w:top w:val="nil"/>
              <w:bottom w:val="nil"/>
            </w:tcBorders>
            <w:shd w:val="clear" w:color="auto" w:fill="D9D9D9" w:themeFill="background1" w:themeFillShade="D9"/>
          </w:tcPr>
          <w:p w14:paraId="64C31607" w14:textId="77777777" w:rsidR="003F6632" w:rsidRPr="003F6632" w:rsidRDefault="003F6632" w:rsidP="003F6632">
            <w:pPr>
              <w:pStyle w:val="TableText"/>
              <w:keepNext/>
              <w:jc w:val="center"/>
              <w:rPr>
                <w:b/>
              </w:rPr>
            </w:pPr>
            <w:r w:rsidRPr="003F6632">
              <w:rPr>
                <w:b/>
              </w:rPr>
              <w:t>Number of compulsory inpatient treatment orders (or extension)</w:t>
            </w:r>
          </w:p>
        </w:tc>
        <w:tc>
          <w:tcPr>
            <w:tcW w:w="1984" w:type="dxa"/>
            <w:tcBorders>
              <w:top w:val="nil"/>
              <w:bottom w:val="nil"/>
            </w:tcBorders>
            <w:shd w:val="clear" w:color="auto" w:fill="D9D9D9" w:themeFill="background1" w:themeFillShade="D9"/>
          </w:tcPr>
          <w:p w14:paraId="2B310773" w14:textId="77777777" w:rsidR="003F6632" w:rsidRPr="003F6632" w:rsidRDefault="003F6632" w:rsidP="003F6632">
            <w:pPr>
              <w:pStyle w:val="TableText"/>
              <w:keepNext/>
              <w:jc w:val="center"/>
              <w:rPr>
                <w:b/>
              </w:rPr>
            </w:pPr>
            <w:r w:rsidRPr="003F6632">
              <w:rPr>
                <w:b/>
              </w:rPr>
              <w:t>Number of orders recorded as both compulsory community and inpatient treatment orders (or extension)</w:t>
            </w:r>
          </w:p>
        </w:tc>
        <w:tc>
          <w:tcPr>
            <w:tcW w:w="1349" w:type="dxa"/>
            <w:tcBorders>
              <w:top w:val="nil"/>
              <w:bottom w:val="nil"/>
            </w:tcBorders>
            <w:shd w:val="clear" w:color="auto" w:fill="D9D9D9" w:themeFill="background1" w:themeFillShade="D9"/>
          </w:tcPr>
          <w:p w14:paraId="12F798C1" w14:textId="77777777" w:rsidR="003F6632" w:rsidRPr="003F6632" w:rsidRDefault="003F6632" w:rsidP="003F6632">
            <w:pPr>
              <w:pStyle w:val="TableText"/>
              <w:keepNext/>
              <w:jc w:val="center"/>
              <w:rPr>
                <w:b/>
              </w:rPr>
            </w:pPr>
            <w:r w:rsidRPr="003F6632">
              <w:rPr>
                <w:b/>
              </w:rPr>
              <w:t>Number of applications where type of order was not recorded</w:t>
            </w:r>
          </w:p>
        </w:tc>
      </w:tr>
      <w:tr w:rsidR="003F6632" w:rsidRPr="003F6632" w14:paraId="030E615E" w14:textId="77777777" w:rsidTr="003F6632">
        <w:trPr>
          <w:cantSplit/>
        </w:trPr>
        <w:tc>
          <w:tcPr>
            <w:tcW w:w="709" w:type="dxa"/>
            <w:tcBorders>
              <w:top w:val="nil"/>
            </w:tcBorders>
          </w:tcPr>
          <w:p w14:paraId="461FD705" w14:textId="3B6938E5" w:rsidR="003F6632" w:rsidRPr="003F6632" w:rsidRDefault="003F6632" w:rsidP="003F6632">
            <w:pPr>
              <w:pStyle w:val="TableText"/>
              <w:keepNext/>
            </w:pPr>
            <w:r>
              <w:rPr>
                <w:w w:val="105"/>
              </w:rPr>
              <w:t>2004</w:t>
            </w:r>
          </w:p>
        </w:tc>
        <w:tc>
          <w:tcPr>
            <w:tcW w:w="1418" w:type="dxa"/>
            <w:tcBorders>
              <w:top w:val="nil"/>
            </w:tcBorders>
          </w:tcPr>
          <w:p w14:paraId="4E88B3E8" w14:textId="4EB87BD6" w:rsidR="003F6632" w:rsidRPr="003F6632" w:rsidRDefault="003F6632" w:rsidP="003F6632">
            <w:pPr>
              <w:pStyle w:val="TableText"/>
              <w:keepNext/>
              <w:jc w:val="center"/>
            </w:pPr>
            <w:r>
              <w:rPr>
                <w:color w:val="231F20"/>
              </w:rPr>
              <w:t>3,863</w:t>
            </w:r>
          </w:p>
        </w:tc>
        <w:tc>
          <w:tcPr>
            <w:tcW w:w="1417" w:type="dxa"/>
            <w:tcBorders>
              <w:top w:val="nil"/>
            </w:tcBorders>
          </w:tcPr>
          <w:p w14:paraId="6D6AA3FE" w14:textId="1673A7FF" w:rsidR="003F6632" w:rsidRPr="003F6632" w:rsidRDefault="003F6632" w:rsidP="003F6632">
            <w:pPr>
              <w:pStyle w:val="TableText"/>
              <w:keepNext/>
              <w:jc w:val="center"/>
            </w:pPr>
            <w:r>
              <w:rPr>
                <w:color w:val="231F20"/>
              </w:rPr>
              <w:t>1,831</w:t>
            </w:r>
          </w:p>
        </w:tc>
        <w:tc>
          <w:tcPr>
            <w:tcW w:w="1418" w:type="dxa"/>
            <w:tcBorders>
              <w:top w:val="nil"/>
            </w:tcBorders>
          </w:tcPr>
          <w:p w14:paraId="2F2249E0" w14:textId="6E00A0A6" w:rsidR="003F6632" w:rsidRPr="003F6632" w:rsidRDefault="003F6632" w:rsidP="003F6632">
            <w:pPr>
              <w:pStyle w:val="TableText"/>
              <w:keepNext/>
              <w:jc w:val="center"/>
            </w:pPr>
            <w:r>
              <w:rPr>
                <w:color w:val="231F20"/>
              </w:rPr>
              <w:t>1,533</w:t>
            </w:r>
          </w:p>
        </w:tc>
        <w:tc>
          <w:tcPr>
            <w:tcW w:w="1984" w:type="dxa"/>
            <w:tcBorders>
              <w:top w:val="nil"/>
            </w:tcBorders>
          </w:tcPr>
          <w:p w14:paraId="5178E0EE" w14:textId="291FF74B" w:rsidR="003F6632" w:rsidRPr="003F6632" w:rsidRDefault="003F6632" w:rsidP="003F6632">
            <w:pPr>
              <w:pStyle w:val="TableText"/>
              <w:keepNext/>
              <w:tabs>
                <w:tab w:val="decimal" w:pos="1077"/>
              </w:tabs>
            </w:pPr>
            <w:r>
              <w:rPr>
                <w:color w:val="231F20"/>
              </w:rPr>
              <w:t>119</w:t>
            </w:r>
          </w:p>
        </w:tc>
        <w:tc>
          <w:tcPr>
            <w:tcW w:w="1349" w:type="dxa"/>
            <w:tcBorders>
              <w:top w:val="nil"/>
            </w:tcBorders>
          </w:tcPr>
          <w:p w14:paraId="2559DA09" w14:textId="189BF37D" w:rsidR="003F6632" w:rsidRPr="003F6632" w:rsidRDefault="003F6632" w:rsidP="003F6632">
            <w:pPr>
              <w:pStyle w:val="TableText"/>
              <w:keepNext/>
              <w:tabs>
                <w:tab w:val="decimal" w:pos="794"/>
              </w:tabs>
            </w:pPr>
            <w:r>
              <w:t>368</w:t>
            </w:r>
          </w:p>
        </w:tc>
      </w:tr>
      <w:tr w:rsidR="003F6632" w:rsidRPr="003F6632" w14:paraId="65BDF826" w14:textId="77777777" w:rsidTr="003F6632">
        <w:trPr>
          <w:cantSplit/>
        </w:trPr>
        <w:tc>
          <w:tcPr>
            <w:tcW w:w="709" w:type="dxa"/>
          </w:tcPr>
          <w:p w14:paraId="1C304088" w14:textId="43E5C908" w:rsidR="003F6632" w:rsidRDefault="003F6632" w:rsidP="003F6632">
            <w:pPr>
              <w:pStyle w:val="TableText"/>
              <w:keepNext/>
              <w:rPr>
                <w:w w:val="105"/>
              </w:rPr>
            </w:pPr>
            <w:r>
              <w:rPr>
                <w:color w:val="231F20"/>
                <w:w w:val="105"/>
              </w:rPr>
              <w:t>2005</w:t>
            </w:r>
          </w:p>
        </w:tc>
        <w:tc>
          <w:tcPr>
            <w:tcW w:w="1418" w:type="dxa"/>
          </w:tcPr>
          <w:p w14:paraId="02286884" w14:textId="615E2214" w:rsidR="003F6632" w:rsidRDefault="003F6632" w:rsidP="003F6632">
            <w:pPr>
              <w:pStyle w:val="TableText"/>
              <w:keepNext/>
              <w:jc w:val="center"/>
              <w:rPr>
                <w:color w:val="231F20"/>
              </w:rPr>
            </w:pPr>
            <w:r>
              <w:rPr>
                <w:color w:val="231F20"/>
              </w:rPr>
              <w:t>3,682</w:t>
            </w:r>
          </w:p>
        </w:tc>
        <w:tc>
          <w:tcPr>
            <w:tcW w:w="1417" w:type="dxa"/>
          </w:tcPr>
          <w:p w14:paraId="633E51E3" w14:textId="734E41DD" w:rsidR="003F6632" w:rsidRDefault="003F6632" w:rsidP="003F6632">
            <w:pPr>
              <w:pStyle w:val="TableText"/>
              <w:keepNext/>
              <w:jc w:val="center"/>
              <w:rPr>
                <w:color w:val="231F20"/>
              </w:rPr>
            </w:pPr>
            <w:r>
              <w:rPr>
                <w:color w:val="231F20"/>
              </w:rPr>
              <w:t>1,576</w:t>
            </w:r>
          </w:p>
        </w:tc>
        <w:tc>
          <w:tcPr>
            <w:tcW w:w="1418" w:type="dxa"/>
          </w:tcPr>
          <w:p w14:paraId="68D86BAC" w14:textId="1C41AB01" w:rsidR="003F6632" w:rsidRDefault="003F6632" w:rsidP="003F6632">
            <w:pPr>
              <w:pStyle w:val="TableText"/>
              <w:keepNext/>
              <w:jc w:val="center"/>
              <w:rPr>
                <w:color w:val="231F20"/>
              </w:rPr>
            </w:pPr>
            <w:r>
              <w:rPr>
                <w:color w:val="231F20"/>
              </w:rPr>
              <w:t>1,438</w:t>
            </w:r>
          </w:p>
        </w:tc>
        <w:tc>
          <w:tcPr>
            <w:tcW w:w="1984" w:type="dxa"/>
          </w:tcPr>
          <w:p w14:paraId="51A7A024" w14:textId="1E4A189C" w:rsidR="003F6632" w:rsidRDefault="003F6632" w:rsidP="003F6632">
            <w:pPr>
              <w:pStyle w:val="TableText"/>
              <w:keepNext/>
              <w:tabs>
                <w:tab w:val="decimal" w:pos="1077"/>
              </w:tabs>
              <w:rPr>
                <w:color w:val="231F20"/>
              </w:rPr>
            </w:pPr>
            <w:r>
              <w:rPr>
                <w:color w:val="231F20"/>
              </w:rPr>
              <w:t>93</w:t>
            </w:r>
          </w:p>
        </w:tc>
        <w:tc>
          <w:tcPr>
            <w:tcW w:w="1349" w:type="dxa"/>
          </w:tcPr>
          <w:p w14:paraId="26B76C2E" w14:textId="31D8B4EA" w:rsidR="003F6632" w:rsidRPr="003F6632" w:rsidRDefault="003F6632" w:rsidP="003F6632">
            <w:pPr>
              <w:pStyle w:val="TableText"/>
              <w:keepNext/>
              <w:tabs>
                <w:tab w:val="decimal" w:pos="794"/>
              </w:tabs>
            </w:pPr>
            <w:r>
              <w:t>565</w:t>
            </w:r>
          </w:p>
        </w:tc>
      </w:tr>
      <w:tr w:rsidR="003F6632" w:rsidRPr="003F6632" w14:paraId="1B16BE66" w14:textId="77777777" w:rsidTr="003F6632">
        <w:trPr>
          <w:cantSplit/>
        </w:trPr>
        <w:tc>
          <w:tcPr>
            <w:tcW w:w="709" w:type="dxa"/>
          </w:tcPr>
          <w:p w14:paraId="56425770" w14:textId="52931BEE" w:rsidR="003F6632" w:rsidRDefault="003F6632" w:rsidP="003F6632">
            <w:pPr>
              <w:pStyle w:val="TableText"/>
              <w:keepNext/>
              <w:rPr>
                <w:color w:val="231F20"/>
                <w:w w:val="105"/>
              </w:rPr>
            </w:pPr>
            <w:r>
              <w:rPr>
                <w:color w:val="231F20"/>
                <w:w w:val="105"/>
              </w:rPr>
              <w:t>2006</w:t>
            </w:r>
          </w:p>
        </w:tc>
        <w:tc>
          <w:tcPr>
            <w:tcW w:w="1418" w:type="dxa"/>
          </w:tcPr>
          <w:p w14:paraId="4A2145EB" w14:textId="70A3613C" w:rsidR="003F6632" w:rsidRDefault="003F6632" w:rsidP="003F6632">
            <w:pPr>
              <w:pStyle w:val="TableText"/>
              <w:keepNext/>
              <w:jc w:val="center"/>
              <w:rPr>
                <w:color w:val="231F20"/>
              </w:rPr>
            </w:pPr>
            <w:r>
              <w:rPr>
                <w:color w:val="231F20"/>
              </w:rPr>
              <w:t>3,643</w:t>
            </w:r>
          </w:p>
        </w:tc>
        <w:tc>
          <w:tcPr>
            <w:tcW w:w="1417" w:type="dxa"/>
          </w:tcPr>
          <w:p w14:paraId="7984273A" w14:textId="46D62A97" w:rsidR="003F6632" w:rsidRDefault="003F6632" w:rsidP="003F6632">
            <w:pPr>
              <w:pStyle w:val="TableText"/>
              <w:keepNext/>
              <w:jc w:val="center"/>
              <w:rPr>
                <w:color w:val="231F20"/>
              </w:rPr>
            </w:pPr>
            <w:r>
              <w:rPr>
                <w:color w:val="231F20"/>
              </w:rPr>
              <w:t>1,614</w:t>
            </w:r>
          </w:p>
        </w:tc>
        <w:tc>
          <w:tcPr>
            <w:tcW w:w="1418" w:type="dxa"/>
          </w:tcPr>
          <w:p w14:paraId="5DE1DA9F" w14:textId="212CBCFF" w:rsidR="003F6632" w:rsidRDefault="003F6632" w:rsidP="003F6632">
            <w:pPr>
              <w:pStyle w:val="TableText"/>
              <w:keepNext/>
              <w:jc w:val="center"/>
              <w:rPr>
                <w:color w:val="231F20"/>
              </w:rPr>
            </w:pPr>
            <w:r>
              <w:rPr>
                <w:color w:val="231F20"/>
              </w:rPr>
              <w:t>1,384</w:t>
            </w:r>
          </w:p>
        </w:tc>
        <w:tc>
          <w:tcPr>
            <w:tcW w:w="1984" w:type="dxa"/>
          </w:tcPr>
          <w:p w14:paraId="3C8CFE06" w14:textId="4C5B49D1" w:rsidR="003F6632" w:rsidRDefault="003F6632" w:rsidP="003F6632">
            <w:pPr>
              <w:pStyle w:val="TableText"/>
              <w:keepNext/>
              <w:tabs>
                <w:tab w:val="decimal" w:pos="1077"/>
              </w:tabs>
              <w:rPr>
                <w:color w:val="231F20"/>
              </w:rPr>
            </w:pPr>
            <w:r>
              <w:rPr>
                <w:color w:val="231F20"/>
              </w:rPr>
              <w:t>91</w:t>
            </w:r>
          </w:p>
        </w:tc>
        <w:tc>
          <w:tcPr>
            <w:tcW w:w="1349" w:type="dxa"/>
          </w:tcPr>
          <w:p w14:paraId="07F9F41D" w14:textId="61A138D1" w:rsidR="003F6632" w:rsidRPr="003F6632" w:rsidRDefault="003F6632" w:rsidP="003F6632">
            <w:pPr>
              <w:pStyle w:val="TableText"/>
              <w:keepNext/>
              <w:tabs>
                <w:tab w:val="decimal" w:pos="794"/>
              </w:tabs>
            </w:pPr>
            <w:r>
              <w:t>540</w:t>
            </w:r>
          </w:p>
        </w:tc>
      </w:tr>
      <w:tr w:rsidR="003F6632" w:rsidRPr="003F6632" w14:paraId="05CEC216" w14:textId="77777777" w:rsidTr="003F6632">
        <w:trPr>
          <w:cantSplit/>
        </w:trPr>
        <w:tc>
          <w:tcPr>
            <w:tcW w:w="709" w:type="dxa"/>
          </w:tcPr>
          <w:p w14:paraId="13B94E91" w14:textId="67F87C2A" w:rsidR="003F6632" w:rsidRDefault="003F6632" w:rsidP="003F6632">
            <w:pPr>
              <w:pStyle w:val="TableText"/>
              <w:rPr>
                <w:color w:val="231F20"/>
                <w:w w:val="105"/>
              </w:rPr>
            </w:pPr>
            <w:r>
              <w:rPr>
                <w:color w:val="231F20"/>
                <w:w w:val="105"/>
              </w:rPr>
              <w:t>2007</w:t>
            </w:r>
          </w:p>
        </w:tc>
        <w:tc>
          <w:tcPr>
            <w:tcW w:w="1418" w:type="dxa"/>
          </w:tcPr>
          <w:p w14:paraId="4707D1CA" w14:textId="42C03D9C" w:rsidR="003F6632" w:rsidRDefault="003F6632" w:rsidP="003F6632">
            <w:pPr>
              <w:pStyle w:val="TableText"/>
              <w:jc w:val="center"/>
              <w:rPr>
                <w:color w:val="231F20"/>
              </w:rPr>
            </w:pPr>
            <w:r>
              <w:rPr>
                <w:color w:val="231F20"/>
              </w:rPr>
              <w:t>3,916</w:t>
            </w:r>
          </w:p>
        </w:tc>
        <w:tc>
          <w:tcPr>
            <w:tcW w:w="1417" w:type="dxa"/>
          </w:tcPr>
          <w:p w14:paraId="1208064E" w14:textId="64086828" w:rsidR="003F6632" w:rsidRDefault="003F6632" w:rsidP="003F6632">
            <w:pPr>
              <w:pStyle w:val="TableText"/>
              <w:jc w:val="center"/>
              <w:rPr>
                <w:color w:val="231F20"/>
              </w:rPr>
            </w:pPr>
            <w:r>
              <w:rPr>
                <w:color w:val="231F20"/>
              </w:rPr>
              <w:t>1,714</w:t>
            </w:r>
          </w:p>
        </w:tc>
        <w:tc>
          <w:tcPr>
            <w:tcW w:w="1418" w:type="dxa"/>
          </w:tcPr>
          <w:p w14:paraId="58E6A298" w14:textId="3190A23F" w:rsidR="003F6632" w:rsidRDefault="003F6632" w:rsidP="003F6632">
            <w:pPr>
              <w:pStyle w:val="TableText"/>
              <w:jc w:val="center"/>
              <w:rPr>
                <w:color w:val="231F20"/>
              </w:rPr>
            </w:pPr>
            <w:r>
              <w:rPr>
                <w:color w:val="231F20"/>
              </w:rPr>
              <w:t>1,336</w:t>
            </w:r>
          </w:p>
        </w:tc>
        <w:tc>
          <w:tcPr>
            <w:tcW w:w="1984" w:type="dxa"/>
          </w:tcPr>
          <w:p w14:paraId="22F88D44" w14:textId="14AD0AF4" w:rsidR="003F6632" w:rsidRDefault="003F6632" w:rsidP="003F6632">
            <w:pPr>
              <w:pStyle w:val="TableText"/>
              <w:tabs>
                <w:tab w:val="decimal" w:pos="1077"/>
              </w:tabs>
              <w:rPr>
                <w:color w:val="231F20"/>
              </w:rPr>
            </w:pPr>
            <w:r>
              <w:rPr>
                <w:color w:val="231F20"/>
              </w:rPr>
              <w:t>118</w:t>
            </w:r>
          </w:p>
        </w:tc>
        <w:tc>
          <w:tcPr>
            <w:tcW w:w="1349" w:type="dxa"/>
          </w:tcPr>
          <w:p w14:paraId="345040B2" w14:textId="010D9288" w:rsidR="003F6632" w:rsidRPr="003F6632" w:rsidRDefault="003F6632" w:rsidP="003F6632">
            <w:pPr>
              <w:pStyle w:val="TableText"/>
              <w:tabs>
                <w:tab w:val="decimal" w:pos="794"/>
              </w:tabs>
            </w:pPr>
            <w:r>
              <w:t>724</w:t>
            </w:r>
          </w:p>
        </w:tc>
      </w:tr>
      <w:tr w:rsidR="003F6632" w:rsidRPr="003F6632" w14:paraId="75634056" w14:textId="77777777" w:rsidTr="003F6632">
        <w:trPr>
          <w:cantSplit/>
        </w:trPr>
        <w:tc>
          <w:tcPr>
            <w:tcW w:w="709" w:type="dxa"/>
          </w:tcPr>
          <w:p w14:paraId="4469391E" w14:textId="7BA829A9" w:rsidR="003F6632" w:rsidRDefault="003F6632" w:rsidP="003F6632">
            <w:pPr>
              <w:pStyle w:val="TableText"/>
              <w:rPr>
                <w:color w:val="231F20"/>
                <w:w w:val="105"/>
              </w:rPr>
            </w:pPr>
            <w:r>
              <w:rPr>
                <w:color w:val="231F20"/>
                <w:w w:val="105"/>
              </w:rPr>
              <w:t>2008</w:t>
            </w:r>
          </w:p>
        </w:tc>
        <w:tc>
          <w:tcPr>
            <w:tcW w:w="1418" w:type="dxa"/>
          </w:tcPr>
          <w:p w14:paraId="13C102F3" w14:textId="7D533EE3" w:rsidR="003F6632" w:rsidRDefault="003F6632" w:rsidP="003F6632">
            <w:pPr>
              <w:pStyle w:val="TableText"/>
              <w:jc w:val="center"/>
              <w:rPr>
                <w:color w:val="231F20"/>
              </w:rPr>
            </w:pPr>
            <w:r>
              <w:rPr>
                <w:color w:val="231F20"/>
              </w:rPr>
              <w:t>3,969</w:t>
            </w:r>
          </w:p>
        </w:tc>
        <w:tc>
          <w:tcPr>
            <w:tcW w:w="1417" w:type="dxa"/>
          </w:tcPr>
          <w:p w14:paraId="6E9AEFF4" w14:textId="7DA08C76" w:rsidR="003F6632" w:rsidRDefault="003F6632" w:rsidP="003F6632">
            <w:pPr>
              <w:pStyle w:val="TableText"/>
              <w:jc w:val="center"/>
              <w:rPr>
                <w:color w:val="231F20"/>
              </w:rPr>
            </w:pPr>
            <w:r>
              <w:rPr>
                <w:color w:val="231F20"/>
              </w:rPr>
              <w:t>1,841</w:t>
            </w:r>
          </w:p>
        </w:tc>
        <w:tc>
          <w:tcPr>
            <w:tcW w:w="1418" w:type="dxa"/>
          </w:tcPr>
          <w:p w14:paraId="48F44F03" w14:textId="133990C4" w:rsidR="003F6632" w:rsidRDefault="003F6632" w:rsidP="003F6632">
            <w:pPr>
              <w:pStyle w:val="TableText"/>
              <w:jc w:val="center"/>
              <w:rPr>
                <w:color w:val="231F20"/>
              </w:rPr>
            </w:pPr>
            <w:r>
              <w:rPr>
                <w:color w:val="231F20"/>
              </w:rPr>
              <w:t>1,431</w:t>
            </w:r>
          </w:p>
        </w:tc>
        <w:tc>
          <w:tcPr>
            <w:tcW w:w="1984" w:type="dxa"/>
          </w:tcPr>
          <w:p w14:paraId="5F880B2B" w14:textId="22737976" w:rsidR="003F6632" w:rsidRDefault="003F6632" w:rsidP="003F6632">
            <w:pPr>
              <w:pStyle w:val="TableText"/>
              <w:tabs>
                <w:tab w:val="decimal" w:pos="1077"/>
              </w:tabs>
              <w:rPr>
                <w:color w:val="231F20"/>
              </w:rPr>
            </w:pPr>
            <w:r>
              <w:rPr>
                <w:color w:val="231F20"/>
              </w:rPr>
              <w:t>120</w:t>
            </w:r>
          </w:p>
        </w:tc>
        <w:tc>
          <w:tcPr>
            <w:tcW w:w="1349" w:type="dxa"/>
          </w:tcPr>
          <w:p w14:paraId="01214BBD" w14:textId="00BB0E67" w:rsidR="003F6632" w:rsidRPr="003F6632" w:rsidRDefault="003F6632" w:rsidP="003F6632">
            <w:pPr>
              <w:pStyle w:val="TableText"/>
              <w:tabs>
                <w:tab w:val="decimal" w:pos="794"/>
              </w:tabs>
            </w:pPr>
            <w:r>
              <w:t>564</w:t>
            </w:r>
          </w:p>
        </w:tc>
      </w:tr>
      <w:tr w:rsidR="003F6632" w:rsidRPr="003F6632" w14:paraId="236DBD5E" w14:textId="77777777" w:rsidTr="003F6632">
        <w:trPr>
          <w:cantSplit/>
        </w:trPr>
        <w:tc>
          <w:tcPr>
            <w:tcW w:w="709" w:type="dxa"/>
          </w:tcPr>
          <w:p w14:paraId="2078504E" w14:textId="44067DDD" w:rsidR="003F6632" w:rsidRDefault="003F6632" w:rsidP="003F6632">
            <w:pPr>
              <w:pStyle w:val="TableText"/>
              <w:rPr>
                <w:color w:val="231F20"/>
                <w:w w:val="105"/>
              </w:rPr>
            </w:pPr>
            <w:r>
              <w:rPr>
                <w:color w:val="231F20"/>
                <w:w w:val="105"/>
              </w:rPr>
              <w:t>2009</w:t>
            </w:r>
          </w:p>
        </w:tc>
        <w:tc>
          <w:tcPr>
            <w:tcW w:w="1418" w:type="dxa"/>
          </w:tcPr>
          <w:p w14:paraId="42AD8665" w14:textId="48176266" w:rsidR="003F6632" w:rsidRDefault="003F6632" w:rsidP="003F6632">
            <w:pPr>
              <w:pStyle w:val="TableText"/>
              <w:jc w:val="center"/>
              <w:rPr>
                <w:color w:val="231F20"/>
              </w:rPr>
            </w:pPr>
            <w:r>
              <w:rPr>
                <w:color w:val="231F20"/>
              </w:rPr>
              <w:t>4,038</w:t>
            </w:r>
          </w:p>
        </w:tc>
        <w:tc>
          <w:tcPr>
            <w:tcW w:w="1417" w:type="dxa"/>
          </w:tcPr>
          <w:p w14:paraId="1609A42A" w14:textId="4426B819" w:rsidR="003F6632" w:rsidRDefault="003F6632" w:rsidP="003F6632">
            <w:pPr>
              <w:pStyle w:val="TableText"/>
              <w:jc w:val="center"/>
              <w:rPr>
                <w:color w:val="231F20"/>
              </w:rPr>
            </w:pPr>
            <w:r>
              <w:rPr>
                <w:color w:val="231F20"/>
              </w:rPr>
              <w:t>2,085</w:t>
            </w:r>
          </w:p>
        </w:tc>
        <w:tc>
          <w:tcPr>
            <w:tcW w:w="1418" w:type="dxa"/>
          </w:tcPr>
          <w:p w14:paraId="0AEBA013" w14:textId="1C717725" w:rsidR="003F6632" w:rsidRDefault="003F6632" w:rsidP="003F6632">
            <w:pPr>
              <w:pStyle w:val="TableText"/>
              <w:jc w:val="center"/>
              <w:rPr>
                <w:color w:val="231F20"/>
              </w:rPr>
            </w:pPr>
            <w:r>
              <w:rPr>
                <w:color w:val="231F20"/>
              </w:rPr>
              <w:t>1,564</w:t>
            </w:r>
          </w:p>
        </w:tc>
        <w:tc>
          <w:tcPr>
            <w:tcW w:w="1984" w:type="dxa"/>
          </w:tcPr>
          <w:p w14:paraId="0C68B0F4" w14:textId="47F474AC" w:rsidR="003F6632" w:rsidRDefault="003F6632" w:rsidP="003F6632">
            <w:pPr>
              <w:pStyle w:val="TableText"/>
              <w:tabs>
                <w:tab w:val="decimal" w:pos="1077"/>
              </w:tabs>
              <w:rPr>
                <w:color w:val="231F20"/>
              </w:rPr>
            </w:pPr>
            <w:r>
              <w:rPr>
                <w:color w:val="231F20"/>
              </w:rPr>
              <w:t>106</w:t>
            </w:r>
          </w:p>
        </w:tc>
        <w:tc>
          <w:tcPr>
            <w:tcW w:w="1349" w:type="dxa"/>
          </w:tcPr>
          <w:p w14:paraId="27592F06" w14:textId="2324323A" w:rsidR="003F6632" w:rsidRPr="003F6632" w:rsidRDefault="003F6632" w:rsidP="003F6632">
            <w:pPr>
              <w:pStyle w:val="TableText"/>
              <w:tabs>
                <w:tab w:val="decimal" w:pos="794"/>
              </w:tabs>
            </w:pPr>
            <w:r>
              <w:t>268</w:t>
            </w:r>
          </w:p>
        </w:tc>
      </w:tr>
      <w:tr w:rsidR="003F6632" w:rsidRPr="003F6632" w14:paraId="6C5A7C82" w14:textId="77777777" w:rsidTr="003F6632">
        <w:trPr>
          <w:cantSplit/>
        </w:trPr>
        <w:tc>
          <w:tcPr>
            <w:tcW w:w="709" w:type="dxa"/>
          </w:tcPr>
          <w:p w14:paraId="44D46A11" w14:textId="6667670F" w:rsidR="003F6632" w:rsidRDefault="003F6632" w:rsidP="003F6632">
            <w:pPr>
              <w:pStyle w:val="TableText"/>
              <w:rPr>
                <w:color w:val="231F20"/>
                <w:w w:val="105"/>
              </w:rPr>
            </w:pPr>
            <w:r>
              <w:rPr>
                <w:color w:val="231F20"/>
                <w:w w:val="105"/>
              </w:rPr>
              <w:t>2010</w:t>
            </w:r>
          </w:p>
        </w:tc>
        <w:tc>
          <w:tcPr>
            <w:tcW w:w="1418" w:type="dxa"/>
          </w:tcPr>
          <w:p w14:paraId="23F5E35F" w14:textId="27E99094" w:rsidR="003F6632" w:rsidRDefault="003F6632" w:rsidP="003F6632">
            <w:pPr>
              <w:pStyle w:val="TableText"/>
              <w:jc w:val="center"/>
              <w:rPr>
                <w:color w:val="231F20"/>
              </w:rPr>
            </w:pPr>
            <w:r>
              <w:rPr>
                <w:color w:val="231F20"/>
              </w:rPr>
              <w:t>4,156</w:t>
            </w:r>
          </w:p>
        </w:tc>
        <w:tc>
          <w:tcPr>
            <w:tcW w:w="1417" w:type="dxa"/>
          </w:tcPr>
          <w:p w14:paraId="2B207B25" w14:textId="465C4758" w:rsidR="003F6632" w:rsidRDefault="003F6632" w:rsidP="003F6632">
            <w:pPr>
              <w:pStyle w:val="TableText"/>
              <w:jc w:val="center"/>
              <w:rPr>
                <w:color w:val="231F20"/>
              </w:rPr>
            </w:pPr>
            <w:r>
              <w:rPr>
                <w:color w:val="231F20"/>
              </w:rPr>
              <w:t>2,253</w:t>
            </w:r>
          </w:p>
        </w:tc>
        <w:tc>
          <w:tcPr>
            <w:tcW w:w="1418" w:type="dxa"/>
          </w:tcPr>
          <w:p w14:paraId="182106CC" w14:textId="5D29E30B" w:rsidR="003F6632" w:rsidRDefault="003F6632" w:rsidP="003F6632">
            <w:pPr>
              <w:pStyle w:val="TableText"/>
              <w:jc w:val="center"/>
              <w:rPr>
                <w:color w:val="231F20"/>
              </w:rPr>
            </w:pPr>
            <w:r>
              <w:rPr>
                <w:color w:val="231F20"/>
              </w:rPr>
              <w:t>1,625</w:t>
            </w:r>
          </w:p>
        </w:tc>
        <w:tc>
          <w:tcPr>
            <w:tcW w:w="1984" w:type="dxa"/>
          </w:tcPr>
          <w:p w14:paraId="460E771B" w14:textId="2AF8024D" w:rsidR="003F6632" w:rsidRDefault="003F6632" w:rsidP="003F6632">
            <w:pPr>
              <w:pStyle w:val="TableText"/>
              <w:tabs>
                <w:tab w:val="decimal" w:pos="1077"/>
              </w:tabs>
              <w:rPr>
                <w:color w:val="231F20"/>
              </w:rPr>
            </w:pPr>
            <w:r>
              <w:rPr>
                <w:color w:val="231F20"/>
              </w:rPr>
              <w:t>111</w:t>
            </w:r>
          </w:p>
        </w:tc>
        <w:tc>
          <w:tcPr>
            <w:tcW w:w="1349" w:type="dxa"/>
          </w:tcPr>
          <w:p w14:paraId="33FC2D16" w14:textId="3EA7B1DF" w:rsidR="003F6632" w:rsidRPr="003F6632" w:rsidRDefault="003F6632" w:rsidP="003F6632">
            <w:pPr>
              <w:pStyle w:val="TableText"/>
              <w:tabs>
                <w:tab w:val="decimal" w:pos="794"/>
              </w:tabs>
            </w:pPr>
            <w:r>
              <w:t>158</w:t>
            </w:r>
          </w:p>
        </w:tc>
      </w:tr>
      <w:tr w:rsidR="003F6632" w:rsidRPr="003F6632" w14:paraId="7CB00D0A" w14:textId="77777777" w:rsidTr="003F6632">
        <w:trPr>
          <w:cantSplit/>
        </w:trPr>
        <w:tc>
          <w:tcPr>
            <w:tcW w:w="709" w:type="dxa"/>
          </w:tcPr>
          <w:p w14:paraId="72D1D031" w14:textId="08F12EE0" w:rsidR="003F6632" w:rsidRDefault="003F6632" w:rsidP="003F6632">
            <w:pPr>
              <w:pStyle w:val="TableText"/>
              <w:rPr>
                <w:color w:val="231F20"/>
                <w:w w:val="105"/>
              </w:rPr>
            </w:pPr>
            <w:r>
              <w:rPr>
                <w:color w:val="231F20"/>
                <w:w w:val="105"/>
              </w:rPr>
              <w:t>2011</w:t>
            </w:r>
          </w:p>
        </w:tc>
        <w:tc>
          <w:tcPr>
            <w:tcW w:w="1418" w:type="dxa"/>
          </w:tcPr>
          <w:p w14:paraId="762CE813" w14:textId="279FEC9E" w:rsidR="003F6632" w:rsidRDefault="003F6632" w:rsidP="003F6632">
            <w:pPr>
              <w:pStyle w:val="TableText"/>
              <w:jc w:val="center"/>
              <w:rPr>
                <w:color w:val="231F20"/>
              </w:rPr>
            </w:pPr>
            <w:r>
              <w:rPr>
                <w:color w:val="231F20"/>
              </w:rPr>
              <w:t>4,215</w:t>
            </w:r>
          </w:p>
        </w:tc>
        <w:tc>
          <w:tcPr>
            <w:tcW w:w="1417" w:type="dxa"/>
          </w:tcPr>
          <w:p w14:paraId="33D01FE8" w14:textId="3D452771" w:rsidR="003F6632" w:rsidRDefault="003F6632" w:rsidP="003F6632">
            <w:pPr>
              <w:pStyle w:val="TableText"/>
              <w:jc w:val="center"/>
              <w:rPr>
                <w:color w:val="231F20"/>
              </w:rPr>
            </w:pPr>
            <w:r>
              <w:rPr>
                <w:color w:val="231F20"/>
              </w:rPr>
              <w:t>2,255</w:t>
            </w:r>
          </w:p>
        </w:tc>
        <w:tc>
          <w:tcPr>
            <w:tcW w:w="1418" w:type="dxa"/>
          </w:tcPr>
          <w:p w14:paraId="5264DCA0" w14:textId="2106DCD0" w:rsidR="003F6632" w:rsidRDefault="003F6632" w:rsidP="003F6632">
            <w:pPr>
              <w:pStyle w:val="TableText"/>
              <w:jc w:val="center"/>
              <w:rPr>
                <w:color w:val="231F20"/>
              </w:rPr>
            </w:pPr>
            <w:r>
              <w:rPr>
                <w:color w:val="231F20"/>
              </w:rPr>
              <w:t>1,677</w:t>
            </w:r>
          </w:p>
        </w:tc>
        <w:tc>
          <w:tcPr>
            <w:tcW w:w="1984" w:type="dxa"/>
          </w:tcPr>
          <w:p w14:paraId="0270BBB2" w14:textId="1F51EB56" w:rsidR="003F6632" w:rsidRDefault="003F6632" w:rsidP="003F6632">
            <w:pPr>
              <w:pStyle w:val="TableText"/>
              <w:tabs>
                <w:tab w:val="decimal" w:pos="1077"/>
              </w:tabs>
              <w:rPr>
                <w:color w:val="231F20"/>
              </w:rPr>
            </w:pPr>
            <w:r>
              <w:rPr>
                <w:color w:val="231F20"/>
              </w:rPr>
              <w:t>90</w:t>
            </w:r>
          </w:p>
        </w:tc>
        <w:tc>
          <w:tcPr>
            <w:tcW w:w="1349" w:type="dxa"/>
          </w:tcPr>
          <w:p w14:paraId="39DD5FC6" w14:textId="425F9E8D" w:rsidR="003F6632" w:rsidRPr="003F6632" w:rsidRDefault="003F6632" w:rsidP="003F6632">
            <w:pPr>
              <w:pStyle w:val="TableText"/>
              <w:tabs>
                <w:tab w:val="decimal" w:pos="794"/>
              </w:tabs>
            </w:pPr>
            <w:r>
              <w:t>185</w:t>
            </w:r>
          </w:p>
        </w:tc>
      </w:tr>
      <w:tr w:rsidR="003F6632" w:rsidRPr="003F6632" w14:paraId="63795D42" w14:textId="77777777" w:rsidTr="003F6632">
        <w:trPr>
          <w:cantSplit/>
        </w:trPr>
        <w:tc>
          <w:tcPr>
            <w:tcW w:w="709" w:type="dxa"/>
          </w:tcPr>
          <w:p w14:paraId="27B20D16" w14:textId="41FBA46A" w:rsidR="003F6632" w:rsidRDefault="003F6632" w:rsidP="003F6632">
            <w:pPr>
              <w:pStyle w:val="TableText"/>
              <w:rPr>
                <w:color w:val="231F20"/>
                <w:w w:val="105"/>
              </w:rPr>
            </w:pPr>
            <w:r>
              <w:rPr>
                <w:color w:val="231F20"/>
                <w:w w:val="105"/>
              </w:rPr>
              <w:t>2012</w:t>
            </w:r>
          </w:p>
        </w:tc>
        <w:tc>
          <w:tcPr>
            <w:tcW w:w="1418" w:type="dxa"/>
          </w:tcPr>
          <w:p w14:paraId="74ACC893" w14:textId="6DDF3E83" w:rsidR="003F6632" w:rsidRDefault="003F6632" w:rsidP="003F6632">
            <w:pPr>
              <w:pStyle w:val="TableText"/>
              <w:jc w:val="center"/>
              <w:rPr>
                <w:color w:val="231F20"/>
              </w:rPr>
            </w:pPr>
            <w:r>
              <w:rPr>
                <w:color w:val="231F20"/>
              </w:rPr>
              <w:t>4,343</w:t>
            </w:r>
          </w:p>
        </w:tc>
        <w:tc>
          <w:tcPr>
            <w:tcW w:w="1417" w:type="dxa"/>
          </w:tcPr>
          <w:p w14:paraId="2397A976" w14:textId="286E16C9" w:rsidR="003F6632" w:rsidRDefault="003F6632" w:rsidP="003F6632">
            <w:pPr>
              <w:pStyle w:val="TableText"/>
              <w:jc w:val="center"/>
              <w:rPr>
                <w:color w:val="231F20"/>
              </w:rPr>
            </w:pPr>
            <w:r>
              <w:rPr>
                <w:color w:val="231F20"/>
              </w:rPr>
              <w:t>2,436</w:t>
            </w:r>
          </w:p>
        </w:tc>
        <w:tc>
          <w:tcPr>
            <w:tcW w:w="1418" w:type="dxa"/>
          </w:tcPr>
          <w:p w14:paraId="0C4CE9AA" w14:textId="226CE5C7" w:rsidR="003F6632" w:rsidRDefault="003F6632" w:rsidP="003F6632">
            <w:pPr>
              <w:pStyle w:val="TableText"/>
              <w:jc w:val="center"/>
              <w:rPr>
                <w:color w:val="231F20"/>
              </w:rPr>
            </w:pPr>
            <w:r>
              <w:rPr>
                <w:color w:val="231F20"/>
              </w:rPr>
              <w:t>1,684</w:t>
            </w:r>
          </w:p>
        </w:tc>
        <w:tc>
          <w:tcPr>
            <w:tcW w:w="1984" w:type="dxa"/>
          </w:tcPr>
          <w:p w14:paraId="7DACD168" w14:textId="46B7C514" w:rsidR="003F6632" w:rsidRDefault="003F6632" w:rsidP="003F6632">
            <w:pPr>
              <w:pStyle w:val="TableText"/>
              <w:tabs>
                <w:tab w:val="decimal" w:pos="1077"/>
              </w:tabs>
              <w:rPr>
                <w:color w:val="231F20"/>
              </w:rPr>
            </w:pPr>
            <w:r>
              <w:rPr>
                <w:color w:val="231F20"/>
              </w:rPr>
              <w:t>80</w:t>
            </w:r>
          </w:p>
        </w:tc>
        <w:tc>
          <w:tcPr>
            <w:tcW w:w="1349" w:type="dxa"/>
          </w:tcPr>
          <w:p w14:paraId="69EA7AE4" w14:textId="695263FB" w:rsidR="003F6632" w:rsidRPr="003F6632" w:rsidRDefault="003F6632" w:rsidP="003F6632">
            <w:pPr>
              <w:pStyle w:val="TableText"/>
              <w:tabs>
                <w:tab w:val="decimal" w:pos="794"/>
              </w:tabs>
            </w:pPr>
            <w:r>
              <w:t>139</w:t>
            </w:r>
          </w:p>
        </w:tc>
      </w:tr>
      <w:tr w:rsidR="003F6632" w:rsidRPr="003F6632" w14:paraId="7CA5386B" w14:textId="77777777" w:rsidTr="003F6632">
        <w:trPr>
          <w:cantSplit/>
        </w:trPr>
        <w:tc>
          <w:tcPr>
            <w:tcW w:w="709" w:type="dxa"/>
          </w:tcPr>
          <w:p w14:paraId="4BE74B15" w14:textId="69724EF0" w:rsidR="003F6632" w:rsidRDefault="003F6632" w:rsidP="003F6632">
            <w:pPr>
              <w:pStyle w:val="TableText"/>
              <w:rPr>
                <w:color w:val="231F20"/>
                <w:w w:val="105"/>
              </w:rPr>
            </w:pPr>
            <w:r>
              <w:rPr>
                <w:color w:val="231F20"/>
                <w:w w:val="105"/>
              </w:rPr>
              <w:t>2013</w:t>
            </w:r>
          </w:p>
        </w:tc>
        <w:tc>
          <w:tcPr>
            <w:tcW w:w="1418" w:type="dxa"/>
          </w:tcPr>
          <w:p w14:paraId="03385012" w14:textId="614B46F2" w:rsidR="003F6632" w:rsidRDefault="003F6632" w:rsidP="003F6632">
            <w:pPr>
              <w:pStyle w:val="TableText"/>
              <w:jc w:val="center"/>
              <w:rPr>
                <w:color w:val="231F20"/>
              </w:rPr>
            </w:pPr>
            <w:r>
              <w:rPr>
                <w:color w:val="231F20"/>
              </w:rPr>
              <w:t>4,607</w:t>
            </w:r>
          </w:p>
        </w:tc>
        <w:tc>
          <w:tcPr>
            <w:tcW w:w="1417" w:type="dxa"/>
          </w:tcPr>
          <w:p w14:paraId="226478DD" w14:textId="1FED9220" w:rsidR="003F6632" w:rsidRDefault="003F6632" w:rsidP="003F6632">
            <w:pPr>
              <w:pStyle w:val="TableText"/>
              <w:jc w:val="center"/>
              <w:rPr>
                <w:color w:val="231F20"/>
              </w:rPr>
            </w:pPr>
            <w:r>
              <w:rPr>
                <w:color w:val="231F20"/>
              </w:rPr>
              <w:t>2,639</w:t>
            </w:r>
          </w:p>
        </w:tc>
        <w:tc>
          <w:tcPr>
            <w:tcW w:w="1418" w:type="dxa"/>
          </w:tcPr>
          <w:p w14:paraId="037D8438" w14:textId="780B91CA" w:rsidR="003F6632" w:rsidRDefault="003F6632" w:rsidP="003F6632">
            <w:pPr>
              <w:pStyle w:val="TableText"/>
              <w:jc w:val="center"/>
              <w:rPr>
                <w:color w:val="231F20"/>
              </w:rPr>
            </w:pPr>
            <w:r>
              <w:rPr>
                <w:color w:val="231F20"/>
              </w:rPr>
              <w:t>1,766</w:t>
            </w:r>
          </w:p>
        </w:tc>
        <w:tc>
          <w:tcPr>
            <w:tcW w:w="1984" w:type="dxa"/>
          </w:tcPr>
          <w:p w14:paraId="0145F8DE" w14:textId="6EE4ED1D" w:rsidR="003F6632" w:rsidRDefault="003F6632" w:rsidP="003F6632">
            <w:pPr>
              <w:pStyle w:val="TableText"/>
              <w:tabs>
                <w:tab w:val="decimal" w:pos="1077"/>
              </w:tabs>
              <w:rPr>
                <w:color w:val="231F20"/>
              </w:rPr>
            </w:pPr>
            <w:r>
              <w:rPr>
                <w:color w:val="231F20"/>
              </w:rPr>
              <w:t>72</w:t>
            </w:r>
          </w:p>
        </w:tc>
        <w:tc>
          <w:tcPr>
            <w:tcW w:w="1349" w:type="dxa"/>
          </w:tcPr>
          <w:p w14:paraId="746909AD" w14:textId="18D28F71" w:rsidR="003F6632" w:rsidRPr="003F6632" w:rsidRDefault="003F6632" w:rsidP="003F6632">
            <w:pPr>
              <w:pStyle w:val="TableText"/>
              <w:tabs>
                <w:tab w:val="decimal" w:pos="794"/>
              </w:tabs>
            </w:pPr>
            <w:r>
              <w:t>129</w:t>
            </w:r>
          </w:p>
        </w:tc>
      </w:tr>
      <w:tr w:rsidR="003F6632" w:rsidRPr="003F6632" w14:paraId="238352FF" w14:textId="77777777" w:rsidTr="003F6632">
        <w:trPr>
          <w:cantSplit/>
        </w:trPr>
        <w:tc>
          <w:tcPr>
            <w:tcW w:w="709" w:type="dxa"/>
          </w:tcPr>
          <w:p w14:paraId="4B82514E" w14:textId="0013C50D" w:rsidR="003F6632" w:rsidRDefault="003F6632" w:rsidP="003F6632">
            <w:pPr>
              <w:pStyle w:val="TableText"/>
              <w:rPr>
                <w:color w:val="231F20"/>
                <w:w w:val="105"/>
              </w:rPr>
            </w:pPr>
            <w:r>
              <w:rPr>
                <w:color w:val="231F20"/>
                <w:w w:val="105"/>
              </w:rPr>
              <w:t>2014</w:t>
            </w:r>
          </w:p>
        </w:tc>
        <w:tc>
          <w:tcPr>
            <w:tcW w:w="1418" w:type="dxa"/>
          </w:tcPr>
          <w:p w14:paraId="6175FD8B" w14:textId="117B30FC" w:rsidR="003F6632" w:rsidRDefault="003F6632" w:rsidP="003F6632">
            <w:pPr>
              <w:pStyle w:val="TableText"/>
              <w:jc w:val="center"/>
              <w:rPr>
                <w:color w:val="231F20"/>
              </w:rPr>
            </w:pPr>
            <w:r>
              <w:rPr>
                <w:color w:val="231F20"/>
              </w:rPr>
              <w:t>4,632</w:t>
            </w:r>
          </w:p>
        </w:tc>
        <w:tc>
          <w:tcPr>
            <w:tcW w:w="1417" w:type="dxa"/>
          </w:tcPr>
          <w:p w14:paraId="068CB709" w14:textId="3E12DBEF" w:rsidR="003F6632" w:rsidRDefault="003F6632" w:rsidP="003F6632">
            <w:pPr>
              <w:pStyle w:val="TableText"/>
              <w:jc w:val="center"/>
              <w:rPr>
                <w:color w:val="231F20"/>
              </w:rPr>
            </w:pPr>
            <w:r>
              <w:rPr>
                <w:color w:val="231F20"/>
              </w:rPr>
              <w:t>2,659</w:t>
            </w:r>
          </w:p>
        </w:tc>
        <w:tc>
          <w:tcPr>
            <w:tcW w:w="1418" w:type="dxa"/>
          </w:tcPr>
          <w:p w14:paraId="5F567935" w14:textId="748C43A5" w:rsidR="003F6632" w:rsidRDefault="003F6632" w:rsidP="003F6632">
            <w:pPr>
              <w:pStyle w:val="TableText"/>
              <w:jc w:val="center"/>
              <w:rPr>
                <w:color w:val="231F20"/>
              </w:rPr>
            </w:pPr>
            <w:r>
              <w:rPr>
                <w:color w:val="231F20"/>
              </w:rPr>
              <w:t>1,784</w:t>
            </w:r>
          </w:p>
        </w:tc>
        <w:tc>
          <w:tcPr>
            <w:tcW w:w="1984" w:type="dxa"/>
          </w:tcPr>
          <w:p w14:paraId="1374D527" w14:textId="440C072E" w:rsidR="003F6632" w:rsidRDefault="003F6632" w:rsidP="003F6632">
            <w:pPr>
              <w:pStyle w:val="TableText"/>
              <w:tabs>
                <w:tab w:val="decimal" w:pos="1077"/>
              </w:tabs>
              <w:rPr>
                <w:color w:val="231F20"/>
              </w:rPr>
            </w:pPr>
            <w:r>
              <w:rPr>
                <w:color w:val="231F20"/>
              </w:rPr>
              <w:t>83</w:t>
            </w:r>
          </w:p>
        </w:tc>
        <w:tc>
          <w:tcPr>
            <w:tcW w:w="1349" w:type="dxa"/>
          </w:tcPr>
          <w:p w14:paraId="0421E60E" w14:textId="60D5B42C" w:rsidR="003F6632" w:rsidRPr="003F6632" w:rsidRDefault="003F6632" w:rsidP="003F6632">
            <w:pPr>
              <w:pStyle w:val="TableText"/>
              <w:tabs>
                <w:tab w:val="decimal" w:pos="794"/>
              </w:tabs>
            </w:pPr>
            <w:r>
              <w:t>105</w:t>
            </w:r>
          </w:p>
        </w:tc>
      </w:tr>
      <w:tr w:rsidR="003F6632" w:rsidRPr="003F6632" w14:paraId="576C8C58" w14:textId="77777777" w:rsidTr="003F6632">
        <w:trPr>
          <w:cantSplit/>
        </w:trPr>
        <w:tc>
          <w:tcPr>
            <w:tcW w:w="709" w:type="dxa"/>
          </w:tcPr>
          <w:p w14:paraId="289329AC" w14:textId="7A50DD90" w:rsidR="003F6632" w:rsidRDefault="003F6632" w:rsidP="003F6632">
            <w:pPr>
              <w:pStyle w:val="TableText"/>
              <w:rPr>
                <w:color w:val="231F20"/>
                <w:w w:val="105"/>
              </w:rPr>
            </w:pPr>
            <w:r>
              <w:rPr>
                <w:color w:val="231F20"/>
                <w:w w:val="105"/>
              </w:rPr>
              <w:t>2015</w:t>
            </w:r>
          </w:p>
        </w:tc>
        <w:tc>
          <w:tcPr>
            <w:tcW w:w="1418" w:type="dxa"/>
          </w:tcPr>
          <w:p w14:paraId="30B26195" w14:textId="0B50D61A" w:rsidR="003F6632" w:rsidRDefault="003F6632" w:rsidP="003F6632">
            <w:pPr>
              <w:pStyle w:val="TableText"/>
              <w:jc w:val="center"/>
              <w:rPr>
                <w:color w:val="231F20"/>
              </w:rPr>
            </w:pPr>
            <w:r>
              <w:rPr>
                <w:color w:val="231F20"/>
              </w:rPr>
              <w:t>4,748</w:t>
            </w:r>
          </w:p>
        </w:tc>
        <w:tc>
          <w:tcPr>
            <w:tcW w:w="1417" w:type="dxa"/>
          </w:tcPr>
          <w:p w14:paraId="46567083" w14:textId="37324F6E" w:rsidR="003F6632" w:rsidRDefault="003F6632" w:rsidP="003F6632">
            <w:pPr>
              <w:pStyle w:val="TableText"/>
              <w:jc w:val="center"/>
              <w:rPr>
                <w:color w:val="231F20"/>
              </w:rPr>
            </w:pPr>
            <w:r>
              <w:rPr>
                <w:color w:val="231F20"/>
              </w:rPr>
              <w:t>2,801</w:t>
            </w:r>
          </w:p>
        </w:tc>
        <w:tc>
          <w:tcPr>
            <w:tcW w:w="1418" w:type="dxa"/>
          </w:tcPr>
          <w:p w14:paraId="7D273431" w14:textId="201DFA57" w:rsidR="003F6632" w:rsidRDefault="003F6632" w:rsidP="003F6632">
            <w:pPr>
              <w:pStyle w:val="TableText"/>
              <w:jc w:val="center"/>
              <w:rPr>
                <w:color w:val="231F20"/>
              </w:rPr>
            </w:pPr>
            <w:r>
              <w:rPr>
                <w:color w:val="231F20"/>
              </w:rPr>
              <w:t>1,789</w:t>
            </w:r>
          </w:p>
        </w:tc>
        <w:tc>
          <w:tcPr>
            <w:tcW w:w="1984" w:type="dxa"/>
          </w:tcPr>
          <w:p w14:paraId="640A3D80" w14:textId="3919AB1B" w:rsidR="003F6632" w:rsidRDefault="003F6632" w:rsidP="003F6632">
            <w:pPr>
              <w:pStyle w:val="TableText"/>
              <w:tabs>
                <w:tab w:val="decimal" w:pos="1077"/>
              </w:tabs>
              <w:rPr>
                <w:color w:val="231F20"/>
              </w:rPr>
            </w:pPr>
            <w:r>
              <w:rPr>
                <w:color w:val="231F20"/>
              </w:rPr>
              <w:t>68</w:t>
            </w:r>
          </w:p>
        </w:tc>
        <w:tc>
          <w:tcPr>
            <w:tcW w:w="1349" w:type="dxa"/>
          </w:tcPr>
          <w:p w14:paraId="77E64185" w14:textId="016DD8D3" w:rsidR="003F6632" w:rsidRPr="003F6632" w:rsidRDefault="003F6632" w:rsidP="003F6632">
            <w:pPr>
              <w:pStyle w:val="TableText"/>
              <w:tabs>
                <w:tab w:val="decimal" w:pos="794"/>
              </w:tabs>
            </w:pPr>
            <w:r>
              <w:t>89</w:t>
            </w:r>
          </w:p>
        </w:tc>
      </w:tr>
      <w:tr w:rsidR="003F6632" w:rsidRPr="003F6632" w14:paraId="7236BDD5" w14:textId="77777777" w:rsidTr="003F6632">
        <w:trPr>
          <w:cantSplit/>
        </w:trPr>
        <w:tc>
          <w:tcPr>
            <w:tcW w:w="709" w:type="dxa"/>
          </w:tcPr>
          <w:p w14:paraId="7C97065E" w14:textId="391D7B8E" w:rsidR="003F6632" w:rsidRDefault="003F6632" w:rsidP="003F6632">
            <w:pPr>
              <w:pStyle w:val="TableText"/>
              <w:rPr>
                <w:color w:val="231F20"/>
                <w:w w:val="105"/>
              </w:rPr>
            </w:pPr>
            <w:r>
              <w:rPr>
                <w:color w:val="231F20"/>
                <w:w w:val="105"/>
              </w:rPr>
              <w:t>2016</w:t>
            </w:r>
          </w:p>
        </w:tc>
        <w:tc>
          <w:tcPr>
            <w:tcW w:w="1418" w:type="dxa"/>
          </w:tcPr>
          <w:p w14:paraId="48DC3105" w14:textId="3B19D512" w:rsidR="003F6632" w:rsidRDefault="003F6632" w:rsidP="003F6632">
            <w:pPr>
              <w:pStyle w:val="TableText"/>
              <w:jc w:val="center"/>
              <w:rPr>
                <w:color w:val="231F20"/>
              </w:rPr>
            </w:pPr>
            <w:r>
              <w:rPr>
                <w:color w:val="231F20"/>
              </w:rPr>
              <w:t>4,924</w:t>
            </w:r>
          </w:p>
        </w:tc>
        <w:tc>
          <w:tcPr>
            <w:tcW w:w="1417" w:type="dxa"/>
          </w:tcPr>
          <w:p w14:paraId="425163CF" w14:textId="690FEF40" w:rsidR="003F6632" w:rsidRDefault="003F6632" w:rsidP="003F6632">
            <w:pPr>
              <w:pStyle w:val="TableText"/>
              <w:jc w:val="center"/>
              <w:rPr>
                <w:color w:val="231F20"/>
              </w:rPr>
            </w:pPr>
            <w:r>
              <w:rPr>
                <w:color w:val="231F20"/>
              </w:rPr>
              <w:t>2,894</w:t>
            </w:r>
          </w:p>
        </w:tc>
        <w:tc>
          <w:tcPr>
            <w:tcW w:w="1418" w:type="dxa"/>
          </w:tcPr>
          <w:p w14:paraId="476ED19E" w14:textId="235A50AE" w:rsidR="003F6632" w:rsidRDefault="003F6632" w:rsidP="003F6632">
            <w:pPr>
              <w:pStyle w:val="TableText"/>
              <w:jc w:val="center"/>
              <w:rPr>
                <w:color w:val="231F20"/>
              </w:rPr>
            </w:pPr>
            <w:r>
              <w:rPr>
                <w:color w:val="231F20"/>
              </w:rPr>
              <w:t>1,722</w:t>
            </w:r>
          </w:p>
        </w:tc>
        <w:tc>
          <w:tcPr>
            <w:tcW w:w="1984" w:type="dxa"/>
          </w:tcPr>
          <w:p w14:paraId="016C76F0" w14:textId="5AD5E24D" w:rsidR="003F6632" w:rsidRDefault="003F6632" w:rsidP="003F6632">
            <w:pPr>
              <w:pStyle w:val="TableText"/>
              <w:tabs>
                <w:tab w:val="decimal" w:pos="1077"/>
              </w:tabs>
              <w:rPr>
                <w:color w:val="231F20"/>
              </w:rPr>
            </w:pPr>
            <w:r>
              <w:rPr>
                <w:color w:val="231F20"/>
              </w:rPr>
              <w:t>66</w:t>
            </w:r>
          </w:p>
        </w:tc>
        <w:tc>
          <w:tcPr>
            <w:tcW w:w="1349" w:type="dxa"/>
          </w:tcPr>
          <w:p w14:paraId="391B952D" w14:textId="6E23CC26" w:rsidR="003F6632" w:rsidRPr="003F6632" w:rsidRDefault="003F6632" w:rsidP="003F6632">
            <w:pPr>
              <w:pStyle w:val="TableText"/>
              <w:tabs>
                <w:tab w:val="decimal" w:pos="794"/>
              </w:tabs>
            </w:pPr>
            <w:r>
              <w:t>239</w:t>
            </w:r>
          </w:p>
        </w:tc>
      </w:tr>
      <w:tr w:rsidR="003F6632" w:rsidRPr="003F6632" w14:paraId="480BB2E0" w14:textId="77777777" w:rsidTr="003F6632">
        <w:trPr>
          <w:cantSplit/>
        </w:trPr>
        <w:tc>
          <w:tcPr>
            <w:tcW w:w="709" w:type="dxa"/>
          </w:tcPr>
          <w:p w14:paraId="4538CCED" w14:textId="4D15B4AF" w:rsidR="003F6632" w:rsidRDefault="003F6632" w:rsidP="003F6632">
            <w:pPr>
              <w:pStyle w:val="TableText"/>
              <w:rPr>
                <w:color w:val="231F20"/>
                <w:w w:val="105"/>
              </w:rPr>
            </w:pPr>
            <w:r>
              <w:rPr>
                <w:w w:val="105"/>
              </w:rPr>
              <w:t>2017</w:t>
            </w:r>
          </w:p>
        </w:tc>
        <w:tc>
          <w:tcPr>
            <w:tcW w:w="1418" w:type="dxa"/>
          </w:tcPr>
          <w:p w14:paraId="2F1A6BC7" w14:textId="54C183ED" w:rsidR="003F6632" w:rsidRDefault="003F6632" w:rsidP="003F6632">
            <w:pPr>
              <w:pStyle w:val="TableText"/>
              <w:jc w:val="center"/>
              <w:rPr>
                <w:color w:val="231F20"/>
              </w:rPr>
            </w:pPr>
            <w:r>
              <w:t>4,937</w:t>
            </w:r>
          </w:p>
        </w:tc>
        <w:tc>
          <w:tcPr>
            <w:tcW w:w="1417" w:type="dxa"/>
          </w:tcPr>
          <w:p w14:paraId="23A5764E" w14:textId="1EEEF996" w:rsidR="003F6632" w:rsidRDefault="003F6632" w:rsidP="003F6632">
            <w:pPr>
              <w:pStyle w:val="TableText"/>
              <w:jc w:val="center"/>
              <w:rPr>
                <w:color w:val="231F20"/>
              </w:rPr>
            </w:pPr>
            <w:r>
              <w:t>2,609</w:t>
            </w:r>
          </w:p>
        </w:tc>
        <w:tc>
          <w:tcPr>
            <w:tcW w:w="1418" w:type="dxa"/>
          </w:tcPr>
          <w:p w14:paraId="1DB84CFA" w14:textId="50E9A4D7" w:rsidR="003F6632" w:rsidRDefault="003F6632" w:rsidP="003F6632">
            <w:pPr>
              <w:pStyle w:val="TableText"/>
              <w:jc w:val="center"/>
              <w:rPr>
                <w:color w:val="231F20"/>
              </w:rPr>
            </w:pPr>
            <w:r>
              <w:t>1,690</w:t>
            </w:r>
          </w:p>
        </w:tc>
        <w:tc>
          <w:tcPr>
            <w:tcW w:w="1984" w:type="dxa"/>
          </w:tcPr>
          <w:p w14:paraId="426DE6F7" w14:textId="2E65B289" w:rsidR="003F6632" w:rsidRDefault="003F6632" w:rsidP="003F6632">
            <w:pPr>
              <w:pStyle w:val="TableText"/>
              <w:tabs>
                <w:tab w:val="decimal" w:pos="1077"/>
              </w:tabs>
              <w:rPr>
                <w:color w:val="231F20"/>
              </w:rPr>
            </w:pPr>
            <w:r>
              <w:t>55</w:t>
            </w:r>
          </w:p>
        </w:tc>
        <w:tc>
          <w:tcPr>
            <w:tcW w:w="1349" w:type="dxa"/>
          </w:tcPr>
          <w:p w14:paraId="0D426AE6" w14:textId="0E7EF0DD" w:rsidR="003F6632" w:rsidRPr="003F6632" w:rsidRDefault="003F6632" w:rsidP="003F6632">
            <w:pPr>
              <w:pStyle w:val="TableText"/>
              <w:tabs>
                <w:tab w:val="decimal" w:pos="794"/>
              </w:tabs>
            </w:pPr>
            <w:r>
              <w:t>581</w:t>
            </w:r>
          </w:p>
        </w:tc>
      </w:tr>
    </w:tbl>
    <w:p w14:paraId="6CB13CE2" w14:textId="1BF49405" w:rsidR="00740DA6" w:rsidRPr="00EC5EF1" w:rsidRDefault="00740DA6" w:rsidP="00A15127">
      <w:pPr>
        <w:pStyle w:val="Note"/>
      </w:pPr>
      <w:r w:rsidRPr="00EC5EF1">
        <w:t>Notes: The table presents applications that had been processed at the time of data extraction on 12 June 2018. The year is determined by the final outcome date.</w:t>
      </w:r>
    </w:p>
    <w:p w14:paraId="66799F96" w14:textId="77777777" w:rsidR="00740DA6" w:rsidRPr="00EC5EF1" w:rsidRDefault="00740DA6" w:rsidP="00A15127">
      <w:pPr>
        <w:pStyle w:val="Note"/>
      </w:pPr>
      <w:r w:rsidRPr="00EC5EF1">
        <w:t>Where more than one type of order is shown, it is likely to be because new orders are being linked to a previous application in the case management system (CMS). The CMS is a live operational database. Figures are subject to minor changes at any time.</w:t>
      </w:r>
    </w:p>
    <w:p w14:paraId="62EC3680" w14:textId="29E1AA9D" w:rsidR="00740DA6" w:rsidRDefault="00740DA6" w:rsidP="00A15127">
      <w:pPr>
        <w:pStyle w:val="Source"/>
      </w:pPr>
      <w:r w:rsidRPr="00EC5EF1">
        <w:t>Source: Ministry of Justice Integrated Sector Intelligence System, which uses data entered into the CMS</w:t>
      </w:r>
    </w:p>
    <w:p w14:paraId="10DF36C5" w14:textId="77777777" w:rsidR="00A15127" w:rsidRPr="00A15127" w:rsidRDefault="00A15127" w:rsidP="00A15127"/>
    <w:p w14:paraId="1AF3B3C1" w14:textId="77777777" w:rsidR="00740DA6" w:rsidRPr="00EC5EF1" w:rsidRDefault="00740DA6" w:rsidP="00A15127">
      <w:pPr>
        <w:pStyle w:val="Heading2"/>
      </w:pPr>
      <w:bookmarkStart w:id="167" w:name="_Toc1985486"/>
      <w:bookmarkStart w:id="168" w:name="_Toc2845695"/>
      <w:r w:rsidRPr="00EC5EF1">
        <w:t>Seclusion statistics incorporating outlier data</w:t>
      </w:r>
      <w:bookmarkEnd w:id="167"/>
      <w:bookmarkEnd w:id="168"/>
    </w:p>
    <w:p w14:paraId="1243B222" w14:textId="77777777" w:rsidR="00740DA6" w:rsidRPr="00EC5EF1" w:rsidRDefault="00740DA6" w:rsidP="00243C1D">
      <w:pPr>
        <w:keepNext/>
      </w:pPr>
      <w:r w:rsidRPr="00EC5EF1">
        <w:t xml:space="preserve">The Ministry and DHBs continue to develop and refine their data collection and analysis in order to reflect their services more accurately. Between these groups, however, methodologies often differ, making it challenging to provide comparable datasets. In 2017, Capital &amp; Coast DHB adjusted the way it recorded seclusion to include time outside seclusion. As a result, a high proportion of Capital &amp; Coast DHB </w:t>
      </w:r>
      <w:r w:rsidRPr="00EC5EF1">
        <w:lastRenderedPageBreak/>
        <w:t>hours for the 2017 year pertains to a single client, such that the data is considered an outlier.</w:t>
      </w:r>
    </w:p>
    <w:p w14:paraId="4A156C9C" w14:textId="77777777" w:rsidR="00740DA6" w:rsidRPr="00EC5EF1" w:rsidRDefault="00740DA6" w:rsidP="00243C1D">
      <w:pPr>
        <w:keepNext/>
      </w:pPr>
    </w:p>
    <w:p w14:paraId="3BE984F8" w14:textId="77777777" w:rsidR="00740DA6" w:rsidRPr="00EC5EF1" w:rsidRDefault="00740DA6" w:rsidP="00A15127">
      <w:r w:rsidRPr="00EC5EF1">
        <w:t>Incorporating outlier data in the national statistics would skew the data and create a different picture of mental health services. To highlight how influential this discrepancy is, we present some of the data that includes the outlier below.</w:t>
      </w:r>
    </w:p>
    <w:p w14:paraId="14F17087" w14:textId="77777777" w:rsidR="00A15127" w:rsidRDefault="00A15127" w:rsidP="00A15127"/>
    <w:p w14:paraId="089EF517" w14:textId="77777777" w:rsidR="00740DA6" w:rsidRPr="00EC5EF1" w:rsidRDefault="00740DA6" w:rsidP="00A15127">
      <w:r w:rsidRPr="00EC5EF1">
        <w:t>These cases are closely monitored by the Director of Mental Health and the Office of the Ombudsman.</w:t>
      </w:r>
    </w:p>
    <w:p w14:paraId="0D76B6A6" w14:textId="77777777" w:rsidR="00A15127" w:rsidRDefault="00A15127" w:rsidP="00A15127"/>
    <w:p w14:paraId="552D2269" w14:textId="426784A8" w:rsidR="00740DA6" w:rsidRPr="00EC5EF1" w:rsidRDefault="00740DA6" w:rsidP="00A15127">
      <w:r w:rsidRPr="00EC5EF1">
        <w:t>To summarise, in adult inpatient services</w:t>
      </w:r>
      <w:r w:rsidR="00A15127">
        <w:rPr>
          <w:rStyle w:val="FootnoteReference"/>
        </w:rPr>
        <w:footnoteReference w:id="58"/>
      </w:r>
      <w:r w:rsidR="00A15127">
        <w:t xml:space="preserve"> </w:t>
      </w:r>
      <w:r w:rsidRPr="00EC5EF1">
        <w:t>in 2017:</w:t>
      </w:r>
    </w:p>
    <w:p w14:paraId="3F8DF2AE" w14:textId="77777777" w:rsidR="00740DA6" w:rsidRPr="00EC5EF1" w:rsidRDefault="00740DA6" w:rsidP="00A15127">
      <w:pPr>
        <w:pStyle w:val="Bullet"/>
      </w:pPr>
      <w:r w:rsidRPr="00EC5EF1">
        <w:t>the total number of hours spent in seclusion has decreased by 56 percent since 2009</w:t>
      </w:r>
    </w:p>
    <w:p w14:paraId="43A3E390" w14:textId="77777777" w:rsidR="00740DA6" w:rsidRPr="00EC5EF1" w:rsidRDefault="00740DA6" w:rsidP="00A15127">
      <w:pPr>
        <w:pStyle w:val="Bullet"/>
      </w:pPr>
      <w:r w:rsidRPr="00EC5EF1">
        <w:t>the number of hours spent in seclusion has increased by 16 percent</w:t>
      </w:r>
    </w:p>
    <w:p w14:paraId="015DE9CD" w14:textId="77777777" w:rsidR="00740DA6" w:rsidRPr="00EC5EF1" w:rsidRDefault="00740DA6" w:rsidP="00A15127">
      <w:pPr>
        <w:pStyle w:val="Bullet"/>
      </w:pPr>
      <w:r w:rsidRPr="00EC5EF1">
        <w:t>the number of seclusion events increased by 46 percent, and the national average number of seclusion events per 100,000 population was 76</w:t>
      </w:r>
    </w:p>
    <w:p w14:paraId="0ADF12D3" w14:textId="5C81B08E" w:rsidR="00740DA6" w:rsidRPr="00EC5EF1" w:rsidRDefault="00740DA6" w:rsidP="00A15127">
      <w:pPr>
        <w:pStyle w:val="Bullet"/>
      </w:pPr>
      <w:proofErr w:type="gramStart"/>
      <w:r w:rsidRPr="00EC5EF1">
        <w:t>between</w:t>
      </w:r>
      <w:proofErr w:type="gramEnd"/>
      <w:r w:rsidRPr="00EC5EF1">
        <w:t xml:space="preserve"> 1 January and 31 December 2017, adult mental health services (excluding forensic and other regional rehabilitation services) accommodated 8,911 people for a total of 242,195 bed nights.</w:t>
      </w:r>
      <w:r w:rsidR="00A15127">
        <w:rPr>
          <w:rStyle w:val="FootnoteReference"/>
        </w:rPr>
        <w:footnoteReference w:id="59"/>
      </w:r>
      <w:r w:rsidR="00A15127">
        <w:t xml:space="preserve"> </w:t>
      </w:r>
      <w:r w:rsidRPr="00EC5EF1">
        <w:t>Of these people, 776</w:t>
      </w:r>
      <w:r w:rsidR="00A15127">
        <w:rPr>
          <w:rStyle w:val="FootnoteReference"/>
        </w:rPr>
        <w:footnoteReference w:id="60"/>
      </w:r>
      <w:r w:rsidRPr="00EC5EF1">
        <w:rPr>
          <w:sz w:val="11"/>
        </w:rPr>
        <w:t xml:space="preserve">60 </w:t>
      </w:r>
      <w:r w:rsidRPr="00EC5EF1">
        <w:t>(8.7 percent) were secluded</w:t>
      </w:r>
      <w:r w:rsidR="00DE0BB2">
        <w:t xml:space="preserve"> </w:t>
      </w:r>
      <w:r w:rsidRPr="00EC5EF1">
        <w:t>at some time during the reporting period</w:t>
      </w:r>
    </w:p>
    <w:p w14:paraId="2AE1E8B8" w14:textId="77777777" w:rsidR="00740DA6" w:rsidRPr="00EC5EF1" w:rsidRDefault="00740DA6" w:rsidP="00A15127">
      <w:pPr>
        <w:pStyle w:val="Bullet"/>
      </w:pPr>
      <w:r w:rsidRPr="00EC5EF1">
        <w:t>people who were secluded were often secluded more than once (on average</w:t>
      </w:r>
    </w:p>
    <w:p w14:paraId="37A9A570" w14:textId="77777777" w:rsidR="00740DA6" w:rsidRPr="00EC5EF1" w:rsidRDefault="00740DA6" w:rsidP="00A15127">
      <w:pPr>
        <w:pStyle w:val="Bullet"/>
      </w:pPr>
      <w:r w:rsidRPr="00EC5EF1">
        <w:t>2.8 times). Therefore, the number of seclusion events in adult inpatient services (2,163) was higher than the number of people secluded</w:t>
      </w:r>
    </w:p>
    <w:p w14:paraId="023C7991" w14:textId="7A22795E" w:rsidR="00740DA6" w:rsidRPr="00EC5EF1" w:rsidRDefault="00740DA6" w:rsidP="00A15127">
      <w:pPr>
        <w:pStyle w:val="Bullet"/>
      </w:pPr>
      <w:proofErr w:type="gramStart"/>
      <w:r w:rsidRPr="00EC5EF1">
        <w:t>most</w:t>
      </w:r>
      <w:proofErr w:type="gramEnd"/>
      <w:r w:rsidRPr="00EC5EF1">
        <w:t xml:space="preserve"> seclusion events (80 percent) lasted for less than 24 hours. Some (9 percent) lasted for longer than 48</w:t>
      </w:r>
      <w:r w:rsidR="00DE0BB2">
        <w:t xml:space="preserve"> </w:t>
      </w:r>
      <w:r w:rsidRPr="00EC5EF1">
        <w:t>hours</w:t>
      </w:r>
    </w:p>
    <w:p w14:paraId="65107090" w14:textId="2A0304D1" w:rsidR="00740DA6" w:rsidRPr="00EC5EF1" w:rsidRDefault="00740DA6" w:rsidP="00A15127">
      <w:pPr>
        <w:pStyle w:val="Bullet"/>
      </w:pPr>
      <w:r w:rsidRPr="00EC5EF1">
        <w:rPr>
          <w:noProof/>
          <w:lang w:eastAsia="en-NZ"/>
        </w:rPr>
        <w:drawing>
          <wp:anchor distT="0" distB="0" distL="0" distR="0" simplePos="0" relativeHeight="251845632" behindDoc="0" locked="0" layoutInCell="1" allowOverlap="1" wp14:anchorId="23EA787F" wp14:editId="50DC9247">
            <wp:simplePos x="0" y="0"/>
            <wp:positionH relativeFrom="page">
              <wp:posOffset>8060163</wp:posOffset>
            </wp:positionH>
            <wp:positionV relativeFrom="paragraph">
              <wp:posOffset>304875</wp:posOffset>
            </wp:positionV>
            <wp:extent cx="155575" cy="155575"/>
            <wp:effectExtent l="0" t="0" r="0" b="0"/>
            <wp:wrapNone/>
            <wp:docPr id="46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Māori were 4.4 times more likely to be secluded in adult inpatient services that people from other ethnic groups</w:t>
      </w:r>
    </w:p>
    <w:p w14:paraId="42BB29B1" w14:textId="77777777" w:rsidR="00740DA6" w:rsidRPr="00EC5EF1" w:rsidRDefault="00740DA6" w:rsidP="00A15127">
      <w:pPr>
        <w:pStyle w:val="Bullet"/>
      </w:pPr>
      <w:proofErr w:type="gramStart"/>
      <w:r w:rsidRPr="00EC5EF1">
        <w:t>the</w:t>
      </w:r>
      <w:proofErr w:type="gramEnd"/>
      <w:r w:rsidRPr="00EC5EF1">
        <w:t xml:space="preserve"> number of seclusion events per 1,000 bed nights was 8.8.</w:t>
      </w:r>
    </w:p>
    <w:p w14:paraId="372443E0" w14:textId="77777777" w:rsidR="00740DA6" w:rsidRPr="00EC5EF1" w:rsidRDefault="00740DA6" w:rsidP="00A15127"/>
    <w:p w14:paraId="21410CE0" w14:textId="5A84DA68" w:rsidR="00740DA6" w:rsidRPr="00EC5EF1" w:rsidRDefault="00740DA6" w:rsidP="00475708">
      <w:pPr>
        <w:pStyle w:val="Heading1"/>
      </w:pPr>
      <w:bookmarkStart w:id="169" w:name="_Toc2845696"/>
      <w:r w:rsidRPr="00EC5EF1">
        <w:lastRenderedPageBreak/>
        <w:t>Appendix 3:</w:t>
      </w:r>
      <w:r w:rsidR="00475708">
        <w:t xml:space="preserve"> </w:t>
      </w:r>
      <w:r w:rsidRPr="00EC5EF1">
        <w:t>Special and restricted patients</w:t>
      </w:r>
      <w:bookmarkEnd w:id="169"/>
    </w:p>
    <w:p w14:paraId="5797B2AF" w14:textId="77777777" w:rsidR="00740DA6" w:rsidRPr="00EC5EF1" w:rsidRDefault="00740DA6" w:rsidP="00A15127">
      <w:pPr>
        <w:pStyle w:val="Heading2"/>
      </w:pPr>
      <w:bookmarkStart w:id="170" w:name="_Toc1985488"/>
      <w:bookmarkStart w:id="171" w:name="_Toc2845697"/>
      <w:r w:rsidRPr="00EC5EF1">
        <w:t>The insanity defence</w:t>
      </w:r>
      <w:bookmarkEnd w:id="170"/>
      <w:bookmarkEnd w:id="171"/>
    </w:p>
    <w:p w14:paraId="71AEBE16" w14:textId="77777777" w:rsidR="00740DA6" w:rsidRPr="00EC5EF1" w:rsidRDefault="00740DA6" w:rsidP="00A15127">
      <w:pPr>
        <w:pStyle w:val="Heading3"/>
      </w:pPr>
      <w:bookmarkStart w:id="172" w:name="_Toc2845698"/>
      <w:r w:rsidRPr="00EC5EF1">
        <w:t>Section 23 of the Crimes Act 1961: Insanity</w:t>
      </w:r>
      <w:bookmarkEnd w:id="172"/>
    </w:p>
    <w:p w14:paraId="57BF3C04" w14:textId="7D1C322A" w:rsidR="00740DA6" w:rsidRPr="00EC5EF1" w:rsidRDefault="00A15127" w:rsidP="00A15127">
      <w:pPr>
        <w:pStyle w:val="Quote"/>
        <w:ind w:left="709" w:hanging="425"/>
      </w:pPr>
      <w:r>
        <w:t>1.</w:t>
      </w:r>
      <w:r>
        <w:tab/>
      </w:r>
      <w:r w:rsidR="00740DA6" w:rsidRPr="00EC5EF1">
        <w:t>Every one shall be presumed to be sane at the time of doing or omitting any act until the contrary is proved.</w:t>
      </w:r>
    </w:p>
    <w:p w14:paraId="5E6E4031" w14:textId="67411CD4" w:rsidR="00740DA6" w:rsidRPr="00EC5EF1" w:rsidRDefault="00A15127" w:rsidP="00A15127">
      <w:pPr>
        <w:pStyle w:val="Quote"/>
        <w:ind w:left="709" w:hanging="425"/>
      </w:pPr>
      <w:r>
        <w:t>2.</w:t>
      </w:r>
      <w:r>
        <w:tab/>
      </w:r>
      <w:r w:rsidR="00740DA6" w:rsidRPr="00EC5EF1">
        <w:t>No person shall be convicted of an offence by reason of an act done or omitted by him or her when labouring under natural imbecility or disease of the mind to such an extent as to render him or her incapable</w:t>
      </w:r>
      <w:r>
        <w:t xml:space="preserve"> –</w:t>
      </w:r>
    </w:p>
    <w:p w14:paraId="46A1705E" w14:textId="08064325" w:rsidR="00740DA6" w:rsidRPr="00EC5EF1" w:rsidRDefault="00A15127" w:rsidP="00A15127">
      <w:pPr>
        <w:pStyle w:val="Quote"/>
        <w:spacing w:before="60"/>
        <w:ind w:left="1134" w:hanging="425"/>
      </w:pPr>
      <w:proofErr w:type="gramStart"/>
      <w:r>
        <w:t>a</w:t>
      </w:r>
      <w:proofErr w:type="gramEnd"/>
      <w:r>
        <w:t>.</w:t>
      </w:r>
      <w:r>
        <w:tab/>
      </w:r>
      <w:r w:rsidR="00740DA6" w:rsidRPr="00EC5EF1">
        <w:t>of understanding the nature and quality of the act or omission; or</w:t>
      </w:r>
    </w:p>
    <w:p w14:paraId="3A609473" w14:textId="734AA7AC" w:rsidR="00740DA6" w:rsidRPr="00EC5EF1" w:rsidRDefault="00740DA6" w:rsidP="00A15127">
      <w:pPr>
        <w:pStyle w:val="Quote"/>
        <w:spacing w:before="60"/>
        <w:ind w:left="1134" w:hanging="425"/>
      </w:pPr>
      <w:r w:rsidRPr="00EC5EF1">
        <w:rPr>
          <w:noProof/>
          <w:lang w:eastAsia="en-NZ"/>
        </w:rPr>
        <w:drawing>
          <wp:anchor distT="0" distB="0" distL="0" distR="0" simplePos="0" relativeHeight="251847680" behindDoc="0" locked="0" layoutInCell="1" allowOverlap="1" wp14:anchorId="62968785" wp14:editId="32BB3D72">
            <wp:simplePos x="0" y="0"/>
            <wp:positionH relativeFrom="page">
              <wp:posOffset>8060163</wp:posOffset>
            </wp:positionH>
            <wp:positionV relativeFrom="paragraph">
              <wp:posOffset>245980</wp:posOffset>
            </wp:positionV>
            <wp:extent cx="155575" cy="155575"/>
            <wp:effectExtent l="0" t="0" r="0" b="0"/>
            <wp:wrapNone/>
            <wp:docPr id="47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33.png"/>
                    <pic:cNvPicPr/>
                  </pic:nvPicPr>
                  <pic:blipFill>
                    <a:blip r:embed="rId26" cstate="print"/>
                    <a:stretch>
                      <a:fillRect/>
                    </a:stretch>
                  </pic:blipFill>
                  <pic:spPr>
                    <a:xfrm>
                      <a:off x="0" y="0"/>
                      <a:ext cx="155575" cy="155575"/>
                    </a:xfrm>
                    <a:prstGeom prst="rect">
                      <a:avLst/>
                    </a:prstGeom>
                  </pic:spPr>
                </pic:pic>
              </a:graphicData>
            </a:graphic>
          </wp:anchor>
        </w:drawing>
      </w:r>
      <w:proofErr w:type="gramStart"/>
      <w:r w:rsidR="00A15127">
        <w:t>b</w:t>
      </w:r>
      <w:proofErr w:type="gramEnd"/>
      <w:r w:rsidR="00A15127">
        <w:t>.</w:t>
      </w:r>
      <w:r w:rsidR="00A15127">
        <w:tab/>
      </w:r>
      <w:r w:rsidRPr="00EC5EF1">
        <w:t>of knowing that the act or omission was morally wrong, having regard to the commonly accepted standards of right and wrong.</w:t>
      </w:r>
    </w:p>
    <w:p w14:paraId="7202F0BD" w14:textId="77777777" w:rsidR="00A15127" w:rsidRDefault="00A15127" w:rsidP="00A15127"/>
    <w:p w14:paraId="262BD280" w14:textId="77777777" w:rsidR="00740DA6" w:rsidRPr="00EC5EF1" w:rsidRDefault="00740DA6" w:rsidP="00A15127">
      <w:r w:rsidRPr="00EC5EF1">
        <w:t xml:space="preserve">In New Zealand legislation, the insanity defence comes under Section 23 of the Crimes Act 1961. As explained in the New Zealand Law Commissions’ report </w:t>
      </w:r>
      <w:r w:rsidRPr="00A15127">
        <w:rPr>
          <w:i/>
        </w:rPr>
        <w:t>Mental Impairment Decision-making and the Insanity Defence</w:t>
      </w:r>
      <w:r w:rsidRPr="00EC5EF1">
        <w:rPr>
          <w:rFonts w:ascii="Calibri" w:hAnsi="Calibri"/>
          <w:i/>
        </w:rPr>
        <w:t xml:space="preserve"> </w:t>
      </w:r>
      <w:r w:rsidRPr="00EC5EF1">
        <w:t xml:space="preserve">(2010), the insanity defence draws connection to the </w:t>
      </w:r>
      <w:proofErr w:type="spellStart"/>
      <w:r w:rsidRPr="00EC5EF1">
        <w:t>M’Naghten</w:t>
      </w:r>
      <w:proofErr w:type="spellEnd"/>
      <w:r w:rsidRPr="00EC5EF1">
        <w:t xml:space="preserve"> Rule. The </w:t>
      </w:r>
      <w:proofErr w:type="spellStart"/>
      <w:r w:rsidRPr="00EC5EF1">
        <w:t>M</w:t>
      </w:r>
      <w:r w:rsidRPr="00EC5EF1">
        <w:rPr>
          <w:rFonts w:ascii="Palatino Linotype" w:hAnsi="Palatino Linotype"/>
        </w:rPr>
        <w:t>’</w:t>
      </w:r>
      <w:r w:rsidRPr="00EC5EF1">
        <w:t>Naghten</w:t>
      </w:r>
      <w:proofErr w:type="spellEnd"/>
      <w:r w:rsidRPr="00EC5EF1">
        <w:t xml:space="preserve"> Rule is a test that is used to determine whether or not a person accused of a crime should be held criminally responsible given their sanity at the time.</w:t>
      </w:r>
    </w:p>
    <w:p w14:paraId="75DA8076" w14:textId="77777777" w:rsidR="00A15127" w:rsidRDefault="00A15127" w:rsidP="00A15127"/>
    <w:p w14:paraId="7A37405A" w14:textId="77777777" w:rsidR="00740DA6" w:rsidRPr="00EC5EF1" w:rsidRDefault="00740DA6" w:rsidP="00A15127">
      <w:r w:rsidRPr="00EC5EF1">
        <w:t xml:space="preserve">Under the insanity defence, the person who committed an offence would have had no understanding of the nature of the offence and/or that, at the time the offence was made, they could not recognise the morality behind the offence. Several countries, including Canada, the United States, Argentina, Italy, Hungary, China and Nigeria, share similar legislation (Simon and </w:t>
      </w:r>
      <w:proofErr w:type="spellStart"/>
      <w:r w:rsidRPr="00EC5EF1">
        <w:t>Ahn</w:t>
      </w:r>
      <w:proofErr w:type="spellEnd"/>
      <w:r w:rsidRPr="00EC5EF1">
        <w:t>-Redding 2006). In New Zealand legislation, the insanity defence pertains to the Criminal Procedure (Mentally Impaired Persons) Act 2003, the Intellectual Disability (Compulsory Care and Rehabilitation) Act 2003 and the Mental Health (Compulsory Assessment and Treatment) Act 1992.</w:t>
      </w:r>
    </w:p>
    <w:p w14:paraId="1378A0FA" w14:textId="77777777" w:rsidR="008E4266" w:rsidRDefault="008E4266" w:rsidP="008E4266"/>
    <w:p w14:paraId="34ACC451" w14:textId="77777777" w:rsidR="00740DA6" w:rsidRPr="00EC5EF1" w:rsidRDefault="00740DA6" w:rsidP="008E4266">
      <w:r w:rsidRPr="00EC5EF1">
        <w:t xml:space="preserve">For more information about the Insanity Defence, we recommend reading </w:t>
      </w:r>
      <w:r w:rsidRPr="008E4266">
        <w:rPr>
          <w:i/>
        </w:rPr>
        <w:t>Mental Impairment Decision-making and the Insanity Defence</w:t>
      </w:r>
      <w:r w:rsidRPr="00EC5EF1">
        <w:rPr>
          <w:rFonts w:ascii="Calibri"/>
          <w:i/>
        </w:rPr>
        <w:t xml:space="preserve"> </w:t>
      </w:r>
      <w:r w:rsidRPr="00EC5EF1">
        <w:t>(New Zealand Law Commission 2010).</w:t>
      </w:r>
    </w:p>
    <w:p w14:paraId="62F42892" w14:textId="77777777" w:rsidR="00740DA6" w:rsidRPr="00EC5EF1" w:rsidRDefault="00740DA6" w:rsidP="008E4266"/>
    <w:p w14:paraId="0E5035AA" w14:textId="585FE48F" w:rsidR="00740DA6" w:rsidRDefault="00740DA6" w:rsidP="008E4266">
      <w:pPr>
        <w:pStyle w:val="Heading4"/>
      </w:pPr>
      <w:r w:rsidRPr="00EC5EF1">
        <w:lastRenderedPageBreak/>
        <w:t>Special patient legal status types</w:t>
      </w:r>
    </w:p>
    <w:tbl>
      <w:tblPr>
        <w:tblW w:w="7514"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985"/>
        <w:gridCol w:w="3544"/>
        <w:gridCol w:w="1985"/>
      </w:tblGrid>
      <w:tr w:rsidR="005441EC" w:rsidRPr="00A24BDC" w14:paraId="575714E7" w14:textId="77777777" w:rsidTr="005441EC">
        <w:trPr>
          <w:cantSplit/>
        </w:trPr>
        <w:tc>
          <w:tcPr>
            <w:tcW w:w="1985" w:type="dxa"/>
            <w:tcBorders>
              <w:top w:val="nil"/>
              <w:bottom w:val="nil"/>
            </w:tcBorders>
            <w:shd w:val="clear" w:color="auto" w:fill="D9D9D9" w:themeFill="background1" w:themeFillShade="D9"/>
          </w:tcPr>
          <w:p w14:paraId="09009FC4" w14:textId="64662417" w:rsidR="005441EC" w:rsidRPr="00A24BDC" w:rsidRDefault="005441EC" w:rsidP="005441EC">
            <w:pPr>
              <w:pStyle w:val="TableText"/>
              <w:keepNext/>
              <w:rPr>
                <w:b/>
              </w:rPr>
            </w:pPr>
            <w:r>
              <w:rPr>
                <w:b/>
              </w:rPr>
              <w:t>Act</w:t>
            </w:r>
          </w:p>
        </w:tc>
        <w:tc>
          <w:tcPr>
            <w:tcW w:w="3544" w:type="dxa"/>
            <w:tcBorders>
              <w:top w:val="nil"/>
              <w:bottom w:val="nil"/>
            </w:tcBorders>
            <w:shd w:val="clear" w:color="auto" w:fill="D9D9D9" w:themeFill="background1" w:themeFillShade="D9"/>
          </w:tcPr>
          <w:p w14:paraId="77FDD5D3" w14:textId="53F3DCDB" w:rsidR="005441EC" w:rsidRPr="005441EC" w:rsidRDefault="005441EC" w:rsidP="005441EC">
            <w:pPr>
              <w:pStyle w:val="TableText"/>
              <w:keepNext/>
              <w:rPr>
                <w:b/>
              </w:rPr>
            </w:pPr>
            <w:r w:rsidRPr="005441EC">
              <w:rPr>
                <w:b/>
              </w:rPr>
              <w:t>Section</w:t>
            </w:r>
          </w:p>
        </w:tc>
        <w:tc>
          <w:tcPr>
            <w:tcW w:w="1985" w:type="dxa"/>
            <w:tcBorders>
              <w:top w:val="nil"/>
              <w:bottom w:val="nil"/>
            </w:tcBorders>
            <w:shd w:val="clear" w:color="auto" w:fill="D9D9D9" w:themeFill="background1" w:themeFillShade="D9"/>
          </w:tcPr>
          <w:p w14:paraId="6001059F" w14:textId="4D6CAEDA" w:rsidR="005441EC" w:rsidRPr="005441EC" w:rsidRDefault="005441EC" w:rsidP="005441EC">
            <w:pPr>
              <w:pStyle w:val="TableText"/>
              <w:keepNext/>
              <w:jc w:val="center"/>
              <w:rPr>
                <w:b/>
              </w:rPr>
            </w:pPr>
            <w:r w:rsidRPr="005441EC">
              <w:rPr>
                <w:b/>
              </w:rPr>
              <w:t>Special patient type</w:t>
            </w:r>
          </w:p>
        </w:tc>
      </w:tr>
      <w:tr w:rsidR="005441EC" w:rsidRPr="00A24BDC" w14:paraId="798CF44D" w14:textId="77777777" w:rsidTr="005441EC">
        <w:trPr>
          <w:cantSplit/>
        </w:trPr>
        <w:tc>
          <w:tcPr>
            <w:tcW w:w="1985" w:type="dxa"/>
            <w:tcBorders>
              <w:top w:val="nil"/>
            </w:tcBorders>
          </w:tcPr>
          <w:p w14:paraId="42C9C68C" w14:textId="31B7001C" w:rsidR="005441EC" w:rsidRPr="00A24BDC" w:rsidRDefault="005441EC" w:rsidP="005441EC">
            <w:pPr>
              <w:pStyle w:val="TableText"/>
              <w:keepNext/>
            </w:pPr>
            <w:r>
              <w:t>CP (MIP) Act</w:t>
            </w:r>
          </w:p>
        </w:tc>
        <w:tc>
          <w:tcPr>
            <w:tcW w:w="3544" w:type="dxa"/>
            <w:tcBorders>
              <w:top w:val="nil"/>
            </w:tcBorders>
          </w:tcPr>
          <w:p w14:paraId="51D2C086" w14:textId="5D7CAD3F" w:rsidR="005441EC" w:rsidRPr="00A24BDC" w:rsidRDefault="005441EC" w:rsidP="005441EC">
            <w:pPr>
              <w:pStyle w:val="TableText"/>
              <w:keepNext/>
            </w:pPr>
            <w:r>
              <w:t>Section 38(2)(c)</w:t>
            </w:r>
          </w:p>
        </w:tc>
        <w:tc>
          <w:tcPr>
            <w:tcW w:w="1985" w:type="dxa"/>
            <w:tcBorders>
              <w:top w:val="nil"/>
            </w:tcBorders>
          </w:tcPr>
          <w:p w14:paraId="1D30C274" w14:textId="130F31BE" w:rsidR="005441EC" w:rsidRPr="00A24BDC" w:rsidRDefault="005441EC" w:rsidP="005441EC">
            <w:pPr>
              <w:pStyle w:val="TableText"/>
              <w:keepNext/>
              <w:jc w:val="center"/>
            </w:pPr>
            <w:r>
              <w:rPr>
                <w:w w:val="95"/>
              </w:rPr>
              <w:t>SFC</w:t>
            </w:r>
          </w:p>
        </w:tc>
      </w:tr>
      <w:tr w:rsidR="005441EC" w:rsidRPr="00A24BDC" w14:paraId="7F05C2AB" w14:textId="77777777" w:rsidTr="005441EC">
        <w:trPr>
          <w:cantSplit/>
        </w:trPr>
        <w:tc>
          <w:tcPr>
            <w:tcW w:w="1985" w:type="dxa"/>
          </w:tcPr>
          <w:p w14:paraId="2F852124" w14:textId="548BFE13" w:rsidR="005441EC" w:rsidRPr="00A24BDC" w:rsidRDefault="005441EC" w:rsidP="005441EC">
            <w:pPr>
              <w:pStyle w:val="TableText"/>
              <w:keepNext/>
            </w:pPr>
            <w:r>
              <w:t>CP (MIP) Act</w:t>
            </w:r>
          </w:p>
        </w:tc>
        <w:tc>
          <w:tcPr>
            <w:tcW w:w="3544" w:type="dxa"/>
          </w:tcPr>
          <w:p w14:paraId="21551C99" w14:textId="48F3F00F" w:rsidR="005441EC" w:rsidRPr="00A24BDC" w:rsidRDefault="005441EC" w:rsidP="005441EC">
            <w:pPr>
              <w:pStyle w:val="TableText"/>
              <w:keepNext/>
            </w:pPr>
            <w:r>
              <w:rPr>
                <w:w w:val="105"/>
              </w:rPr>
              <w:t>Section 24(2)(a) (Unfit to stand trial)</w:t>
            </w:r>
          </w:p>
        </w:tc>
        <w:tc>
          <w:tcPr>
            <w:tcW w:w="1985" w:type="dxa"/>
          </w:tcPr>
          <w:p w14:paraId="5936EE1A" w14:textId="514D4577" w:rsidR="005441EC" w:rsidRPr="00A24BDC" w:rsidRDefault="005441EC" w:rsidP="005441EC">
            <w:pPr>
              <w:pStyle w:val="TableText"/>
              <w:keepNext/>
              <w:jc w:val="center"/>
            </w:pPr>
            <w:r>
              <w:rPr>
                <w:w w:val="95"/>
              </w:rPr>
              <w:t>EFC</w:t>
            </w:r>
          </w:p>
        </w:tc>
      </w:tr>
      <w:tr w:rsidR="005441EC" w:rsidRPr="00A24BDC" w14:paraId="59513B57" w14:textId="77777777" w:rsidTr="005441EC">
        <w:trPr>
          <w:cantSplit/>
        </w:trPr>
        <w:tc>
          <w:tcPr>
            <w:tcW w:w="1985" w:type="dxa"/>
          </w:tcPr>
          <w:p w14:paraId="1B0A11A2" w14:textId="199EF8D2" w:rsidR="005441EC" w:rsidRPr="00A24BDC" w:rsidRDefault="005441EC" w:rsidP="00F72074">
            <w:pPr>
              <w:pStyle w:val="TableText"/>
            </w:pPr>
            <w:r>
              <w:t>CP(MIP) Act</w:t>
            </w:r>
          </w:p>
        </w:tc>
        <w:tc>
          <w:tcPr>
            <w:tcW w:w="3544" w:type="dxa"/>
          </w:tcPr>
          <w:p w14:paraId="6C5342E6" w14:textId="1C6ED427" w:rsidR="005441EC" w:rsidRPr="00A24BDC" w:rsidRDefault="005441EC" w:rsidP="005441EC">
            <w:pPr>
              <w:pStyle w:val="TableText"/>
            </w:pPr>
            <w:r>
              <w:rPr>
                <w:w w:val="105"/>
              </w:rPr>
              <w:t>Section 24(2)(a) (Found to be insane)</w:t>
            </w:r>
          </w:p>
        </w:tc>
        <w:tc>
          <w:tcPr>
            <w:tcW w:w="1985" w:type="dxa"/>
          </w:tcPr>
          <w:p w14:paraId="513A6398" w14:textId="62CDA18D" w:rsidR="005441EC" w:rsidRPr="00A24BDC" w:rsidRDefault="005441EC" w:rsidP="00F72074">
            <w:pPr>
              <w:pStyle w:val="TableText"/>
              <w:jc w:val="center"/>
            </w:pPr>
            <w:r>
              <w:rPr>
                <w:w w:val="95"/>
              </w:rPr>
              <w:t>EFC</w:t>
            </w:r>
          </w:p>
        </w:tc>
      </w:tr>
      <w:tr w:rsidR="005441EC" w:rsidRPr="00A24BDC" w14:paraId="745E8BCE" w14:textId="77777777" w:rsidTr="005441EC">
        <w:trPr>
          <w:cantSplit/>
        </w:trPr>
        <w:tc>
          <w:tcPr>
            <w:tcW w:w="1985" w:type="dxa"/>
          </w:tcPr>
          <w:p w14:paraId="1C5E6F4A" w14:textId="02BC4292" w:rsidR="005441EC" w:rsidRPr="00A24BDC" w:rsidRDefault="005441EC" w:rsidP="00F72074">
            <w:pPr>
              <w:pStyle w:val="TableText"/>
            </w:pPr>
            <w:r>
              <w:t>CP (MIP) Act</w:t>
            </w:r>
          </w:p>
        </w:tc>
        <w:tc>
          <w:tcPr>
            <w:tcW w:w="3544" w:type="dxa"/>
          </w:tcPr>
          <w:p w14:paraId="6DE025D3" w14:textId="05BB7FB5" w:rsidR="005441EC" w:rsidRPr="00A24BDC" w:rsidRDefault="005441EC" w:rsidP="005441EC">
            <w:pPr>
              <w:pStyle w:val="TableText"/>
            </w:pPr>
            <w:r>
              <w:t>Section 44(1)</w:t>
            </w:r>
          </w:p>
        </w:tc>
        <w:tc>
          <w:tcPr>
            <w:tcW w:w="1985" w:type="dxa"/>
          </w:tcPr>
          <w:p w14:paraId="4B17F57B" w14:textId="051F024C" w:rsidR="005441EC" w:rsidRPr="00A24BDC" w:rsidRDefault="005441EC" w:rsidP="00F72074">
            <w:pPr>
              <w:pStyle w:val="TableText"/>
              <w:jc w:val="center"/>
            </w:pPr>
            <w:r>
              <w:rPr>
                <w:w w:val="95"/>
              </w:rPr>
              <w:t>SFC</w:t>
            </w:r>
          </w:p>
        </w:tc>
      </w:tr>
      <w:tr w:rsidR="005441EC" w:rsidRPr="00A24BDC" w14:paraId="295C7B3D" w14:textId="77777777" w:rsidTr="005441EC">
        <w:trPr>
          <w:cantSplit/>
        </w:trPr>
        <w:tc>
          <w:tcPr>
            <w:tcW w:w="1985" w:type="dxa"/>
          </w:tcPr>
          <w:p w14:paraId="6A264F0D" w14:textId="0B5289F3" w:rsidR="005441EC" w:rsidRPr="00A24BDC" w:rsidRDefault="005441EC" w:rsidP="00F72074">
            <w:pPr>
              <w:pStyle w:val="TableText"/>
              <w:rPr>
                <w:b/>
              </w:rPr>
            </w:pPr>
            <w:r>
              <w:t>CP (MIP) Act</w:t>
            </w:r>
          </w:p>
        </w:tc>
        <w:tc>
          <w:tcPr>
            <w:tcW w:w="3544" w:type="dxa"/>
          </w:tcPr>
          <w:p w14:paraId="5AB3913E" w14:textId="11A7D24A" w:rsidR="005441EC" w:rsidRPr="00A24BDC" w:rsidRDefault="005441EC" w:rsidP="005441EC">
            <w:pPr>
              <w:pStyle w:val="TableText"/>
              <w:rPr>
                <w:b/>
              </w:rPr>
            </w:pPr>
            <w:r>
              <w:t>Section 34(1)(a)(</w:t>
            </w:r>
            <w:proofErr w:type="spellStart"/>
            <w:r>
              <w:t>i</w:t>
            </w:r>
            <w:proofErr w:type="spellEnd"/>
            <w:r>
              <w:t>)</w:t>
            </w:r>
          </w:p>
        </w:tc>
        <w:tc>
          <w:tcPr>
            <w:tcW w:w="1985" w:type="dxa"/>
          </w:tcPr>
          <w:p w14:paraId="35D7EA77" w14:textId="6E3B0898" w:rsidR="005441EC" w:rsidRPr="00A24BDC" w:rsidRDefault="005441EC" w:rsidP="00F72074">
            <w:pPr>
              <w:pStyle w:val="TableText"/>
              <w:jc w:val="center"/>
              <w:rPr>
                <w:b/>
              </w:rPr>
            </w:pPr>
            <w:r>
              <w:rPr>
                <w:w w:val="95"/>
              </w:rPr>
              <w:t>SFC</w:t>
            </w:r>
          </w:p>
        </w:tc>
      </w:tr>
      <w:tr w:rsidR="005441EC" w:rsidRPr="00A24BDC" w14:paraId="03452BE3" w14:textId="77777777" w:rsidTr="005441EC">
        <w:trPr>
          <w:cantSplit/>
        </w:trPr>
        <w:tc>
          <w:tcPr>
            <w:tcW w:w="1985" w:type="dxa"/>
          </w:tcPr>
          <w:p w14:paraId="1C1EA612" w14:textId="7882D783" w:rsidR="005441EC" w:rsidRPr="00A24BDC" w:rsidRDefault="005441EC" w:rsidP="00F72074">
            <w:pPr>
              <w:pStyle w:val="TableText"/>
              <w:rPr>
                <w:b/>
              </w:rPr>
            </w:pPr>
            <w:r>
              <w:t>CP (MIP) Act</w:t>
            </w:r>
          </w:p>
        </w:tc>
        <w:tc>
          <w:tcPr>
            <w:tcW w:w="3544" w:type="dxa"/>
          </w:tcPr>
          <w:p w14:paraId="5ED5C459" w14:textId="0FB14868" w:rsidR="005441EC" w:rsidRDefault="005441EC" w:rsidP="005441EC">
            <w:pPr>
              <w:pStyle w:val="TableText"/>
            </w:pPr>
            <w:r>
              <w:rPr>
                <w:w w:val="105"/>
              </w:rPr>
              <w:t>Section 23</w:t>
            </w:r>
          </w:p>
        </w:tc>
        <w:tc>
          <w:tcPr>
            <w:tcW w:w="1985" w:type="dxa"/>
          </w:tcPr>
          <w:p w14:paraId="49DA72EF" w14:textId="1F338651" w:rsidR="005441EC" w:rsidRDefault="005441EC" w:rsidP="00F72074">
            <w:pPr>
              <w:pStyle w:val="TableText"/>
              <w:jc w:val="center"/>
              <w:rPr>
                <w:w w:val="95"/>
              </w:rPr>
            </w:pPr>
            <w:r>
              <w:rPr>
                <w:w w:val="95"/>
              </w:rPr>
              <w:t>SFC</w:t>
            </w:r>
          </w:p>
        </w:tc>
      </w:tr>
      <w:tr w:rsidR="005441EC" w:rsidRPr="00A24BDC" w14:paraId="45ED19CD" w14:textId="77777777" w:rsidTr="005441EC">
        <w:trPr>
          <w:cantSplit/>
        </w:trPr>
        <w:tc>
          <w:tcPr>
            <w:tcW w:w="1985" w:type="dxa"/>
          </w:tcPr>
          <w:p w14:paraId="2F25FE2D" w14:textId="4E92C22D" w:rsidR="005441EC" w:rsidRPr="00A24BDC" w:rsidRDefault="005441EC" w:rsidP="00F72074">
            <w:pPr>
              <w:pStyle w:val="TableText"/>
              <w:rPr>
                <w:b/>
              </w:rPr>
            </w:pPr>
            <w:r>
              <w:t>CP (MIP) Act</w:t>
            </w:r>
          </w:p>
        </w:tc>
        <w:tc>
          <w:tcPr>
            <w:tcW w:w="3544" w:type="dxa"/>
          </w:tcPr>
          <w:p w14:paraId="5F94BF3E" w14:textId="3403B76C" w:rsidR="005441EC" w:rsidRDefault="005441EC" w:rsidP="005441EC">
            <w:pPr>
              <w:pStyle w:val="TableText"/>
              <w:rPr>
                <w:w w:val="105"/>
              </w:rPr>
            </w:pPr>
            <w:r>
              <w:rPr>
                <w:w w:val="105"/>
              </w:rPr>
              <w:t>Section 35</w:t>
            </w:r>
          </w:p>
        </w:tc>
        <w:tc>
          <w:tcPr>
            <w:tcW w:w="1985" w:type="dxa"/>
          </w:tcPr>
          <w:p w14:paraId="68798CE8" w14:textId="0DA07DEF" w:rsidR="005441EC" w:rsidRDefault="005441EC" w:rsidP="00F72074">
            <w:pPr>
              <w:pStyle w:val="TableText"/>
              <w:jc w:val="center"/>
              <w:rPr>
                <w:w w:val="95"/>
              </w:rPr>
            </w:pPr>
            <w:r>
              <w:rPr>
                <w:w w:val="95"/>
              </w:rPr>
              <w:t>SFC</w:t>
            </w:r>
          </w:p>
        </w:tc>
      </w:tr>
      <w:tr w:rsidR="005441EC" w:rsidRPr="00A24BDC" w14:paraId="1D939AF9" w14:textId="77777777" w:rsidTr="005441EC">
        <w:trPr>
          <w:cantSplit/>
        </w:trPr>
        <w:tc>
          <w:tcPr>
            <w:tcW w:w="1985" w:type="dxa"/>
          </w:tcPr>
          <w:p w14:paraId="431CC044" w14:textId="6F30242B" w:rsidR="005441EC" w:rsidRPr="00A24BDC" w:rsidRDefault="005441EC" w:rsidP="00F72074">
            <w:pPr>
              <w:pStyle w:val="TableText"/>
              <w:rPr>
                <w:b/>
              </w:rPr>
            </w:pPr>
            <w:r>
              <w:t>MH (CAT) Act</w:t>
            </w:r>
          </w:p>
        </w:tc>
        <w:tc>
          <w:tcPr>
            <w:tcW w:w="3544" w:type="dxa"/>
          </w:tcPr>
          <w:p w14:paraId="4108D170" w14:textId="42ACFD20" w:rsidR="005441EC" w:rsidRDefault="005441EC" w:rsidP="005441EC">
            <w:pPr>
              <w:pStyle w:val="TableText"/>
              <w:rPr>
                <w:w w:val="105"/>
              </w:rPr>
            </w:pPr>
            <w:r>
              <w:rPr>
                <w:w w:val="105"/>
              </w:rPr>
              <w:t>Section 55, Restricted</w:t>
            </w:r>
          </w:p>
        </w:tc>
        <w:tc>
          <w:tcPr>
            <w:tcW w:w="1985" w:type="dxa"/>
          </w:tcPr>
          <w:p w14:paraId="0A577C46" w14:textId="01779716" w:rsidR="005441EC" w:rsidRDefault="005441EC" w:rsidP="00F72074">
            <w:pPr>
              <w:pStyle w:val="TableText"/>
              <w:jc w:val="center"/>
              <w:rPr>
                <w:w w:val="95"/>
              </w:rPr>
            </w:pPr>
            <w:r>
              <w:rPr>
                <w:w w:val="95"/>
              </w:rPr>
              <w:t>EFC</w:t>
            </w:r>
          </w:p>
        </w:tc>
      </w:tr>
      <w:tr w:rsidR="005441EC" w:rsidRPr="00A24BDC" w14:paraId="72DCA8F9" w14:textId="77777777" w:rsidTr="005441EC">
        <w:trPr>
          <w:cantSplit/>
        </w:trPr>
        <w:tc>
          <w:tcPr>
            <w:tcW w:w="1985" w:type="dxa"/>
          </w:tcPr>
          <w:p w14:paraId="7F9194AE" w14:textId="24E86E13" w:rsidR="005441EC" w:rsidRPr="00A24BDC" w:rsidRDefault="005441EC" w:rsidP="00F72074">
            <w:pPr>
              <w:pStyle w:val="TableText"/>
              <w:rPr>
                <w:b/>
              </w:rPr>
            </w:pPr>
            <w:r>
              <w:t>MH (CAT) Act</w:t>
            </w:r>
          </w:p>
        </w:tc>
        <w:tc>
          <w:tcPr>
            <w:tcW w:w="3544" w:type="dxa"/>
          </w:tcPr>
          <w:p w14:paraId="0F01E2A8" w14:textId="164B53CB" w:rsidR="005441EC" w:rsidRDefault="005441EC" w:rsidP="005441EC">
            <w:pPr>
              <w:pStyle w:val="TableText"/>
              <w:rPr>
                <w:w w:val="105"/>
              </w:rPr>
            </w:pPr>
            <w:r>
              <w:rPr>
                <w:w w:val="105"/>
              </w:rPr>
              <w:t>Special Patient, Sections 45 and 11</w:t>
            </w:r>
          </w:p>
        </w:tc>
        <w:tc>
          <w:tcPr>
            <w:tcW w:w="1985" w:type="dxa"/>
          </w:tcPr>
          <w:p w14:paraId="5660FBDB" w14:textId="62DA4579" w:rsidR="005441EC" w:rsidRDefault="005441EC" w:rsidP="00F72074">
            <w:pPr>
              <w:pStyle w:val="TableText"/>
              <w:jc w:val="center"/>
              <w:rPr>
                <w:w w:val="95"/>
              </w:rPr>
            </w:pPr>
            <w:r>
              <w:rPr>
                <w:w w:val="95"/>
              </w:rPr>
              <w:t>SFC</w:t>
            </w:r>
          </w:p>
        </w:tc>
      </w:tr>
      <w:tr w:rsidR="005441EC" w:rsidRPr="00A24BDC" w14:paraId="060179C2" w14:textId="77777777" w:rsidTr="005441EC">
        <w:trPr>
          <w:cantSplit/>
        </w:trPr>
        <w:tc>
          <w:tcPr>
            <w:tcW w:w="1985" w:type="dxa"/>
          </w:tcPr>
          <w:p w14:paraId="0CC036B7" w14:textId="03D38A53" w:rsidR="005441EC" w:rsidRPr="00A24BDC" w:rsidRDefault="005441EC" w:rsidP="00F72074">
            <w:pPr>
              <w:pStyle w:val="TableText"/>
              <w:rPr>
                <w:b/>
              </w:rPr>
            </w:pPr>
            <w:r>
              <w:t>MH (CAT) Act</w:t>
            </w:r>
          </w:p>
        </w:tc>
        <w:tc>
          <w:tcPr>
            <w:tcW w:w="3544" w:type="dxa"/>
          </w:tcPr>
          <w:p w14:paraId="44FFB244" w14:textId="01A8B928" w:rsidR="005441EC" w:rsidRDefault="005441EC" w:rsidP="005441EC">
            <w:pPr>
              <w:pStyle w:val="TableText"/>
              <w:rPr>
                <w:w w:val="105"/>
              </w:rPr>
            </w:pPr>
            <w:r>
              <w:rPr>
                <w:w w:val="105"/>
              </w:rPr>
              <w:t>Sections 45 and 13</w:t>
            </w:r>
          </w:p>
        </w:tc>
        <w:tc>
          <w:tcPr>
            <w:tcW w:w="1985" w:type="dxa"/>
          </w:tcPr>
          <w:p w14:paraId="2066C5DA" w14:textId="40D3F76B" w:rsidR="005441EC" w:rsidRDefault="005441EC" w:rsidP="00F72074">
            <w:pPr>
              <w:pStyle w:val="TableText"/>
              <w:jc w:val="center"/>
              <w:rPr>
                <w:w w:val="95"/>
              </w:rPr>
            </w:pPr>
            <w:r>
              <w:rPr>
                <w:w w:val="95"/>
              </w:rPr>
              <w:t>SFC</w:t>
            </w:r>
          </w:p>
        </w:tc>
      </w:tr>
      <w:tr w:rsidR="005441EC" w:rsidRPr="00A24BDC" w14:paraId="48EF2777" w14:textId="77777777" w:rsidTr="005441EC">
        <w:trPr>
          <w:cantSplit/>
        </w:trPr>
        <w:tc>
          <w:tcPr>
            <w:tcW w:w="1985" w:type="dxa"/>
          </w:tcPr>
          <w:p w14:paraId="6CA17576" w14:textId="656E4733" w:rsidR="005441EC" w:rsidRPr="00A24BDC" w:rsidRDefault="005441EC" w:rsidP="00F72074">
            <w:pPr>
              <w:pStyle w:val="TableText"/>
              <w:rPr>
                <w:b/>
              </w:rPr>
            </w:pPr>
            <w:r>
              <w:t>MH (CAT) Act</w:t>
            </w:r>
          </w:p>
        </w:tc>
        <w:tc>
          <w:tcPr>
            <w:tcW w:w="3544" w:type="dxa"/>
          </w:tcPr>
          <w:p w14:paraId="092430AC" w14:textId="19C9D68D" w:rsidR="005441EC" w:rsidRDefault="005441EC" w:rsidP="005441EC">
            <w:pPr>
              <w:pStyle w:val="TableText"/>
              <w:rPr>
                <w:w w:val="105"/>
              </w:rPr>
            </w:pPr>
            <w:r>
              <w:rPr>
                <w:w w:val="105"/>
              </w:rPr>
              <w:t>Section 46</w:t>
            </w:r>
          </w:p>
        </w:tc>
        <w:tc>
          <w:tcPr>
            <w:tcW w:w="1985" w:type="dxa"/>
          </w:tcPr>
          <w:p w14:paraId="4C6BF340" w14:textId="6F389C49" w:rsidR="005441EC" w:rsidRDefault="005441EC" w:rsidP="00F72074">
            <w:pPr>
              <w:pStyle w:val="TableText"/>
              <w:jc w:val="center"/>
              <w:rPr>
                <w:w w:val="95"/>
              </w:rPr>
            </w:pPr>
            <w:r>
              <w:rPr>
                <w:w w:val="95"/>
              </w:rPr>
              <w:t>SFC</w:t>
            </w:r>
          </w:p>
        </w:tc>
      </w:tr>
      <w:tr w:rsidR="005441EC" w:rsidRPr="00A24BDC" w14:paraId="26DE116B" w14:textId="77777777" w:rsidTr="005441EC">
        <w:trPr>
          <w:cantSplit/>
        </w:trPr>
        <w:tc>
          <w:tcPr>
            <w:tcW w:w="1985" w:type="dxa"/>
          </w:tcPr>
          <w:p w14:paraId="3C42C3BF" w14:textId="52AE6072" w:rsidR="005441EC" w:rsidRPr="00A24BDC" w:rsidRDefault="005441EC" w:rsidP="00F72074">
            <w:pPr>
              <w:pStyle w:val="TableText"/>
              <w:rPr>
                <w:b/>
              </w:rPr>
            </w:pPr>
            <w:r>
              <w:t>MH (CAT) Act</w:t>
            </w:r>
          </w:p>
        </w:tc>
        <w:tc>
          <w:tcPr>
            <w:tcW w:w="3544" w:type="dxa"/>
          </w:tcPr>
          <w:p w14:paraId="685C57DE" w14:textId="304EF3B0" w:rsidR="005441EC" w:rsidRDefault="005441EC" w:rsidP="005441EC">
            <w:pPr>
              <w:pStyle w:val="TableText"/>
              <w:rPr>
                <w:w w:val="105"/>
              </w:rPr>
            </w:pPr>
            <w:r>
              <w:rPr>
                <w:w w:val="105"/>
              </w:rPr>
              <w:t>Sections 45 and 30 Extension</w:t>
            </w:r>
          </w:p>
        </w:tc>
        <w:tc>
          <w:tcPr>
            <w:tcW w:w="1985" w:type="dxa"/>
          </w:tcPr>
          <w:p w14:paraId="39A3C58D" w14:textId="5FE77B28" w:rsidR="005441EC" w:rsidRDefault="005441EC" w:rsidP="00F72074">
            <w:pPr>
              <w:pStyle w:val="TableText"/>
              <w:jc w:val="center"/>
              <w:rPr>
                <w:w w:val="95"/>
              </w:rPr>
            </w:pPr>
            <w:r>
              <w:rPr>
                <w:w w:val="95"/>
              </w:rPr>
              <w:t>SFC</w:t>
            </w:r>
          </w:p>
        </w:tc>
      </w:tr>
      <w:tr w:rsidR="005441EC" w:rsidRPr="00A24BDC" w14:paraId="63BFB25F" w14:textId="77777777" w:rsidTr="005441EC">
        <w:trPr>
          <w:cantSplit/>
        </w:trPr>
        <w:tc>
          <w:tcPr>
            <w:tcW w:w="1985" w:type="dxa"/>
          </w:tcPr>
          <w:p w14:paraId="018CB742" w14:textId="06B6C4FE" w:rsidR="005441EC" w:rsidRPr="00A24BDC" w:rsidRDefault="005441EC" w:rsidP="00F72074">
            <w:pPr>
              <w:pStyle w:val="TableText"/>
              <w:rPr>
                <w:b/>
              </w:rPr>
            </w:pPr>
            <w:r>
              <w:t>MH (CAT) Act</w:t>
            </w:r>
          </w:p>
        </w:tc>
        <w:tc>
          <w:tcPr>
            <w:tcW w:w="3544" w:type="dxa"/>
          </w:tcPr>
          <w:p w14:paraId="0E5F0019" w14:textId="4C2ADC26" w:rsidR="005441EC" w:rsidRDefault="005441EC" w:rsidP="005441EC">
            <w:pPr>
              <w:pStyle w:val="TableText"/>
              <w:rPr>
                <w:w w:val="105"/>
              </w:rPr>
            </w:pPr>
            <w:r>
              <w:rPr>
                <w:w w:val="105"/>
              </w:rPr>
              <w:t>Sections 45 and 14</w:t>
            </w:r>
          </w:p>
        </w:tc>
        <w:tc>
          <w:tcPr>
            <w:tcW w:w="1985" w:type="dxa"/>
          </w:tcPr>
          <w:p w14:paraId="6D937D7F" w14:textId="234C7E64" w:rsidR="005441EC" w:rsidRDefault="005441EC" w:rsidP="00F72074">
            <w:pPr>
              <w:pStyle w:val="TableText"/>
              <w:jc w:val="center"/>
              <w:rPr>
                <w:w w:val="95"/>
              </w:rPr>
            </w:pPr>
            <w:r>
              <w:rPr>
                <w:w w:val="95"/>
              </w:rPr>
              <w:t>SFC</w:t>
            </w:r>
          </w:p>
        </w:tc>
      </w:tr>
      <w:tr w:rsidR="005441EC" w:rsidRPr="00A24BDC" w14:paraId="099B9B1C" w14:textId="77777777" w:rsidTr="005441EC">
        <w:trPr>
          <w:cantSplit/>
        </w:trPr>
        <w:tc>
          <w:tcPr>
            <w:tcW w:w="1985" w:type="dxa"/>
          </w:tcPr>
          <w:p w14:paraId="5E1D6A56" w14:textId="2CAFF401" w:rsidR="005441EC" w:rsidRPr="00A24BDC" w:rsidRDefault="005441EC" w:rsidP="00F72074">
            <w:pPr>
              <w:pStyle w:val="TableText"/>
              <w:rPr>
                <w:b/>
              </w:rPr>
            </w:pPr>
            <w:r>
              <w:t>MH (CAT) Act</w:t>
            </w:r>
          </w:p>
        </w:tc>
        <w:tc>
          <w:tcPr>
            <w:tcW w:w="3544" w:type="dxa"/>
          </w:tcPr>
          <w:p w14:paraId="29855543" w14:textId="319A26F0" w:rsidR="005441EC" w:rsidRDefault="005441EC" w:rsidP="005441EC">
            <w:pPr>
              <w:pStyle w:val="TableText"/>
              <w:rPr>
                <w:w w:val="105"/>
              </w:rPr>
            </w:pPr>
            <w:r>
              <w:rPr>
                <w:w w:val="105"/>
              </w:rPr>
              <w:t>Sections 45 and 30</w:t>
            </w:r>
          </w:p>
        </w:tc>
        <w:tc>
          <w:tcPr>
            <w:tcW w:w="1985" w:type="dxa"/>
          </w:tcPr>
          <w:p w14:paraId="7B24B404" w14:textId="01D48DA6" w:rsidR="005441EC" w:rsidRDefault="005441EC" w:rsidP="00F72074">
            <w:pPr>
              <w:pStyle w:val="TableText"/>
              <w:jc w:val="center"/>
              <w:rPr>
                <w:w w:val="95"/>
              </w:rPr>
            </w:pPr>
            <w:r>
              <w:rPr>
                <w:w w:val="95"/>
              </w:rPr>
              <w:t>SFC</w:t>
            </w:r>
          </w:p>
        </w:tc>
      </w:tr>
      <w:tr w:rsidR="005441EC" w:rsidRPr="00A24BDC" w14:paraId="159A4438" w14:textId="77777777" w:rsidTr="005441EC">
        <w:trPr>
          <w:cantSplit/>
        </w:trPr>
        <w:tc>
          <w:tcPr>
            <w:tcW w:w="1985" w:type="dxa"/>
          </w:tcPr>
          <w:p w14:paraId="3382ACA0" w14:textId="753098E3" w:rsidR="005441EC" w:rsidRPr="00A24BDC" w:rsidRDefault="005441EC" w:rsidP="00F72074">
            <w:pPr>
              <w:pStyle w:val="TableText"/>
              <w:rPr>
                <w:b/>
              </w:rPr>
            </w:pPr>
            <w:r>
              <w:t>MH (CAT) Act</w:t>
            </w:r>
          </w:p>
        </w:tc>
        <w:tc>
          <w:tcPr>
            <w:tcW w:w="3544" w:type="dxa"/>
          </w:tcPr>
          <w:p w14:paraId="37254A58" w14:textId="5A37DFAD" w:rsidR="005441EC" w:rsidRDefault="005441EC" w:rsidP="005441EC">
            <w:pPr>
              <w:pStyle w:val="TableText"/>
              <w:rPr>
                <w:w w:val="105"/>
              </w:rPr>
            </w:pPr>
            <w:r>
              <w:rPr>
                <w:w w:val="105"/>
              </w:rPr>
              <w:t>Sections 45 and 15(1)</w:t>
            </w:r>
          </w:p>
        </w:tc>
        <w:tc>
          <w:tcPr>
            <w:tcW w:w="1985" w:type="dxa"/>
          </w:tcPr>
          <w:p w14:paraId="2CA1F21A" w14:textId="2C8CC6B1" w:rsidR="005441EC" w:rsidRDefault="005441EC" w:rsidP="00F72074">
            <w:pPr>
              <w:pStyle w:val="TableText"/>
              <w:jc w:val="center"/>
              <w:rPr>
                <w:w w:val="95"/>
              </w:rPr>
            </w:pPr>
            <w:r>
              <w:rPr>
                <w:w w:val="95"/>
              </w:rPr>
              <w:t>SFC</w:t>
            </w:r>
          </w:p>
        </w:tc>
      </w:tr>
      <w:tr w:rsidR="005441EC" w:rsidRPr="00A24BDC" w14:paraId="2DD76E04" w14:textId="77777777" w:rsidTr="005441EC">
        <w:trPr>
          <w:cantSplit/>
        </w:trPr>
        <w:tc>
          <w:tcPr>
            <w:tcW w:w="1985" w:type="dxa"/>
          </w:tcPr>
          <w:p w14:paraId="324D028D" w14:textId="716F9F41" w:rsidR="005441EC" w:rsidRDefault="005441EC" w:rsidP="00F72074">
            <w:pPr>
              <w:pStyle w:val="TableText"/>
            </w:pPr>
            <w:r>
              <w:t>MH (CAT) Act</w:t>
            </w:r>
          </w:p>
        </w:tc>
        <w:tc>
          <w:tcPr>
            <w:tcW w:w="3544" w:type="dxa"/>
          </w:tcPr>
          <w:p w14:paraId="4F67B13D" w14:textId="623D702E" w:rsidR="005441EC" w:rsidRDefault="005441EC" w:rsidP="005441EC">
            <w:pPr>
              <w:pStyle w:val="TableText"/>
              <w:rPr>
                <w:w w:val="105"/>
              </w:rPr>
            </w:pPr>
            <w:r>
              <w:rPr>
                <w:w w:val="105"/>
              </w:rPr>
              <w:t>Sections 45 and 15(2)</w:t>
            </w:r>
          </w:p>
        </w:tc>
        <w:tc>
          <w:tcPr>
            <w:tcW w:w="1985" w:type="dxa"/>
          </w:tcPr>
          <w:p w14:paraId="58075F14" w14:textId="6A058061" w:rsidR="005441EC" w:rsidRDefault="005441EC" w:rsidP="00F72074">
            <w:pPr>
              <w:pStyle w:val="TableText"/>
              <w:jc w:val="center"/>
              <w:rPr>
                <w:w w:val="95"/>
              </w:rPr>
            </w:pPr>
            <w:r>
              <w:rPr>
                <w:w w:val="95"/>
              </w:rPr>
              <w:t>SFC</w:t>
            </w:r>
          </w:p>
        </w:tc>
      </w:tr>
    </w:tbl>
    <w:p w14:paraId="15C454A4" w14:textId="77777777" w:rsidR="008E4266" w:rsidRDefault="00740DA6" w:rsidP="008E4266">
      <w:pPr>
        <w:pStyle w:val="Note"/>
      </w:pPr>
      <w:r w:rsidRPr="00EC5EF1">
        <w:t>MH (CAT) Act = Mental Health (Compulsory Assessment and Treatment) Act</w:t>
      </w:r>
    </w:p>
    <w:p w14:paraId="24DEC164" w14:textId="34761375" w:rsidR="00740DA6" w:rsidRPr="00EC5EF1" w:rsidRDefault="00740DA6" w:rsidP="008E4266">
      <w:pPr>
        <w:pStyle w:val="Note"/>
      </w:pPr>
      <w:r w:rsidRPr="00EC5EF1">
        <w:t>CP (MIP) Act = Criminal Procedure (Mentally Impaired Persons) Act</w:t>
      </w:r>
    </w:p>
    <w:p w14:paraId="30D54B11" w14:textId="77777777" w:rsidR="008E4266" w:rsidRDefault="00740DA6" w:rsidP="008E4266">
      <w:pPr>
        <w:pStyle w:val="Note"/>
      </w:pPr>
      <w:r w:rsidRPr="00EC5EF1">
        <w:t>SFC = short forensic care</w:t>
      </w:r>
    </w:p>
    <w:p w14:paraId="10ADCD7B" w14:textId="7D6C9E73" w:rsidR="00740DA6" w:rsidRPr="00EC5EF1" w:rsidRDefault="00740DA6" w:rsidP="008E4266">
      <w:pPr>
        <w:pStyle w:val="Note"/>
      </w:pPr>
      <w:r w:rsidRPr="00EC5EF1">
        <w:t>EFC =</w:t>
      </w:r>
      <w:r w:rsidR="00DE0BB2">
        <w:t xml:space="preserve"> </w:t>
      </w:r>
      <w:r w:rsidRPr="00EC5EF1">
        <w:t>extended</w:t>
      </w:r>
      <w:r w:rsidR="00DE0BB2">
        <w:t xml:space="preserve"> </w:t>
      </w:r>
      <w:r w:rsidRPr="00EC5EF1">
        <w:t>forensic care</w:t>
      </w:r>
    </w:p>
    <w:p w14:paraId="2FA826D6" w14:textId="77777777" w:rsidR="00740DA6" w:rsidRPr="00EC5EF1" w:rsidRDefault="00740DA6" w:rsidP="008E4266"/>
    <w:p w14:paraId="0FBC98B9" w14:textId="77777777" w:rsidR="00740DA6" w:rsidRPr="00EC5EF1" w:rsidRDefault="00740DA6" w:rsidP="00475708">
      <w:pPr>
        <w:pStyle w:val="Heading1"/>
      </w:pPr>
      <w:bookmarkStart w:id="173" w:name="_TOC_250000"/>
      <w:bookmarkStart w:id="174" w:name="_Toc2845699"/>
      <w:r w:rsidRPr="00EC5EF1">
        <w:lastRenderedPageBreak/>
        <w:t xml:space="preserve">Appendix 4: Developments in mental health and addiction reporting </w:t>
      </w:r>
      <w:bookmarkEnd w:id="173"/>
      <w:r w:rsidRPr="00EC5EF1">
        <w:t>and improvement</w:t>
      </w:r>
      <w:bookmarkEnd w:id="174"/>
    </w:p>
    <w:p w14:paraId="78299F3E" w14:textId="77777777" w:rsidR="00740DA6" w:rsidRPr="00EC5EF1" w:rsidRDefault="00740DA6" w:rsidP="008E4266">
      <w:pPr>
        <w:pStyle w:val="Heading2"/>
      </w:pPr>
      <w:bookmarkStart w:id="175" w:name="_Toc1985490"/>
      <w:bookmarkStart w:id="176" w:name="_Toc2845700"/>
      <w:r w:rsidRPr="00EC5EF1">
        <w:t>Updated National Adverse Events Reporting Policy 2017</w:t>
      </w:r>
      <w:bookmarkEnd w:id="175"/>
      <w:bookmarkEnd w:id="176"/>
    </w:p>
    <w:p w14:paraId="753D2B17" w14:textId="5735E997" w:rsidR="00740DA6" w:rsidRPr="008E4266" w:rsidRDefault="00740DA6" w:rsidP="008E4266">
      <w:r w:rsidRPr="00EC5EF1">
        <w:rPr>
          <w:noProof/>
          <w:lang w:eastAsia="en-NZ"/>
        </w:rPr>
        <w:drawing>
          <wp:anchor distT="0" distB="0" distL="0" distR="0" simplePos="0" relativeHeight="251851776" behindDoc="0" locked="0" layoutInCell="1" allowOverlap="1" wp14:anchorId="1B6C41A4" wp14:editId="1056EE12">
            <wp:simplePos x="0" y="0"/>
            <wp:positionH relativeFrom="page">
              <wp:posOffset>8060163</wp:posOffset>
            </wp:positionH>
            <wp:positionV relativeFrom="paragraph">
              <wp:posOffset>444898</wp:posOffset>
            </wp:positionV>
            <wp:extent cx="155575" cy="155575"/>
            <wp:effectExtent l="0" t="0" r="0" b="0"/>
            <wp:wrapNone/>
            <wp:docPr id="48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The Health Quality &amp; Safety Commission New Zealand’s (HQSC’s) Adverse Events Learning Programme continues to focus on learning from reviews of adverse events, including those in mental health and addiction services. Following broad consultation, the HQSC released the updated National Adverse Events Reporting Policy on</w:t>
      </w:r>
      <w:r w:rsidR="008E4266">
        <w:t xml:space="preserve"> </w:t>
      </w:r>
      <w:r w:rsidRPr="00EC5EF1">
        <w:t>1 July 2017 (the 2017 Policy), with a number of associated guidance documents and resources.</w:t>
      </w:r>
      <w:r w:rsidR="008E4266">
        <w:rPr>
          <w:rStyle w:val="FootnoteReference"/>
        </w:rPr>
        <w:footnoteReference w:id="61"/>
      </w:r>
    </w:p>
    <w:p w14:paraId="4A4F2C82" w14:textId="77777777" w:rsidR="008E4266" w:rsidRDefault="008E4266" w:rsidP="008E4266"/>
    <w:p w14:paraId="2ABF38DB" w14:textId="3FD98AF2" w:rsidR="00740DA6" w:rsidRPr="00EC5EF1" w:rsidRDefault="00740DA6" w:rsidP="008E4266">
      <w:r w:rsidRPr="00EC5EF1">
        <w:t>The 2017 Policy supports a shift to see adverse events within mental health and addiction services follow the same reporting and review processes as non-mental health and addiction events. Since 2013, adverse events relating to users of mental health and addiction services funded by district health boards (DHBs) have been reported to the HQSC, in line with the policy, but publicly reported by the Office of the Director of Mental Health and Addiction Services (the Office). Historically, most</w:t>
      </w:r>
      <w:r w:rsidR="008E4266">
        <w:t xml:space="preserve"> </w:t>
      </w:r>
      <w:r w:rsidRPr="00EC5EF1">
        <w:rPr>
          <w:color w:val="231F20"/>
        </w:rPr>
        <w:t>adverse events occurring in mental health and addiction services were reviewed using the Lo</w:t>
      </w:r>
      <w:r w:rsidRPr="00EC5EF1">
        <w:t>ndon Protocol,</w:t>
      </w:r>
      <w:r w:rsidR="008E4266">
        <w:rPr>
          <w:rStyle w:val="FootnoteReference"/>
        </w:rPr>
        <w:footnoteReference w:id="62"/>
      </w:r>
      <w:r w:rsidR="008E4266">
        <w:t xml:space="preserve"> a</w:t>
      </w:r>
      <w:r w:rsidRPr="00EC5EF1">
        <w:t>s this methodology was deemed by the mental health sector to be more suitable than the root cause analysis approach more commonly used in the wider health and disability sector.</w:t>
      </w:r>
    </w:p>
    <w:p w14:paraId="3ADEA399" w14:textId="42064E6D" w:rsidR="00740DA6" w:rsidRPr="00EC5EF1" w:rsidRDefault="00740DA6" w:rsidP="008E4266">
      <w:pPr>
        <w:rPr>
          <w:sz w:val="19"/>
        </w:rPr>
      </w:pPr>
    </w:p>
    <w:p w14:paraId="171D37C6" w14:textId="0564F285" w:rsidR="00740DA6" w:rsidRPr="00EC5EF1" w:rsidRDefault="00740DA6" w:rsidP="008E4266">
      <w:pPr>
        <w:keepLines/>
      </w:pPr>
      <w:r w:rsidRPr="00EC5EF1">
        <w:lastRenderedPageBreak/>
        <w:t>The 2017 Policy removed separate reporting and review processes specific to mental</w:t>
      </w:r>
      <w:r w:rsidR="00475708">
        <w:t xml:space="preserve"> </w:t>
      </w:r>
      <w:r w:rsidRPr="00EC5EF1">
        <w:t>health and addiction services. It allows for</w:t>
      </w:r>
      <w:r w:rsidR="00475708">
        <w:t xml:space="preserve"> </w:t>
      </w:r>
      <w:r w:rsidRPr="00EC5EF1">
        <w:t>the use of a broader range of review methodologies, including those more suited to mental health and addiction services. The HQSC is working with the Office to determine how the learnings from these reviews will be reported and shared in the future. In the meantime, numbers of events will continue to be shared through the Office’s annual reports, and learnings from reviews will be shared through the HQSC’s Open Book reports and other learning forums.</w:t>
      </w:r>
    </w:p>
    <w:p w14:paraId="1EE479F5" w14:textId="77777777" w:rsidR="00740DA6" w:rsidRPr="00EC5EF1" w:rsidRDefault="00740DA6" w:rsidP="008E4266"/>
    <w:p w14:paraId="3E276746" w14:textId="77777777" w:rsidR="00740DA6" w:rsidRPr="00EC5EF1" w:rsidRDefault="00740DA6" w:rsidP="008E4266">
      <w:pPr>
        <w:pStyle w:val="Heading2"/>
      </w:pPr>
      <w:bookmarkStart w:id="177" w:name="_Toc1985491"/>
      <w:bookmarkStart w:id="178" w:name="_Toc2845701"/>
      <w:r w:rsidRPr="00EC5EF1">
        <w:t>National mental health and addiction quality improvement programme</w:t>
      </w:r>
      <w:bookmarkEnd w:id="177"/>
      <w:bookmarkEnd w:id="178"/>
    </w:p>
    <w:p w14:paraId="08B1B5E9" w14:textId="77777777" w:rsidR="00740DA6" w:rsidRDefault="00740DA6" w:rsidP="008E4266">
      <w:r w:rsidRPr="00EC5EF1">
        <w:t>On 1 July 2017, the Minister of Health launched a new five-year national mental health and addiction quality improvement programme, led by the HQSC. This programme will see the HQSC work with consumers, their families/whānau and service providers to continue to improve the quality of mental health and addiction services in New Zealand.</w:t>
      </w:r>
    </w:p>
    <w:p w14:paraId="7DC0E5B8" w14:textId="77777777" w:rsidR="008E4266" w:rsidRPr="00EC5EF1" w:rsidRDefault="008E4266" w:rsidP="008E4266"/>
    <w:p w14:paraId="1CEBC618" w14:textId="0CE8EA42" w:rsidR="00740DA6" w:rsidRPr="008E4266" w:rsidRDefault="00740DA6" w:rsidP="008E4266">
      <w:r w:rsidRPr="00EC5EF1">
        <w:rPr>
          <w:noProof/>
          <w:lang w:eastAsia="en-NZ"/>
        </w:rPr>
        <w:drawing>
          <wp:anchor distT="0" distB="0" distL="0" distR="0" simplePos="0" relativeHeight="251853824" behindDoc="0" locked="0" layoutInCell="1" allowOverlap="1" wp14:anchorId="20F702E1" wp14:editId="4D3351F4">
            <wp:simplePos x="0" y="0"/>
            <wp:positionH relativeFrom="page">
              <wp:posOffset>8060163</wp:posOffset>
            </wp:positionH>
            <wp:positionV relativeFrom="paragraph">
              <wp:posOffset>100912</wp:posOffset>
            </wp:positionV>
            <wp:extent cx="155575" cy="155575"/>
            <wp:effectExtent l="0" t="0" r="0" b="0"/>
            <wp:wrapNone/>
            <wp:docPr id="48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33.png"/>
                    <pic:cNvPicPr/>
                  </pic:nvPicPr>
                  <pic:blipFill>
                    <a:blip r:embed="rId26" cstate="print"/>
                    <a:stretch>
                      <a:fillRect/>
                    </a:stretch>
                  </pic:blipFill>
                  <pic:spPr>
                    <a:xfrm>
                      <a:off x="0" y="0"/>
                      <a:ext cx="155575" cy="155575"/>
                    </a:xfrm>
                    <a:prstGeom prst="rect">
                      <a:avLst/>
                    </a:prstGeom>
                  </pic:spPr>
                </pic:pic>
              </a:graphicData>
            </a:graphic>
          </wp:anchor>
        </w:drawing>
      </w:r>
      <w:r w:rsidRPr="00EC5EF1">
        <w:t>The programme will use improvement science</w:t>
      </w:r>
      <w:r w:rsidR="008E4266">
        <w:rPr>
          <w:rStyle w:val="FootnoteReference"/>
        </w:rPr>
        <w:footnoteReference w:id="63"/>
      </w:r>
      <w:r w:rsidR="008E4266">
        <w:t xml:space="preserve"> </w:t>
      </w:r>
      <w:r w:rsidRPr="00EC5EF1">
        <w:t>to test evidence-based changes and interventions locally, to measure the impact of these changes and, if they are</w:t>
      </w:r>
      <w:r w:rsidR="008E4266">
        <w:t xml:space="preserve"> </w:t>
      </w:r>
      <w:r w:rsidRPr="00EC5EF1">
        <w:t>successful, to work with other services to implement the changes more widely. It will focus on five priority areas.</w:t>
      </w:r>
      <w:r w:rsidR="008E4266">
        <w:rPr>
          <w:rStyle w:val="FootnoteReference"/>
        </w:rPr>
        <w:footnoteReference w:id="64"/>
      </w:r>
    </w:p>
    <w:p w14:paraId="1C1B3D7E" w14:textId="6EACAB40" w:rsidR="00740DA6" w:rsidRPr="00EC5EF1" w:rsidRDefault="008E4266" w:rsidP="008E4266">
      <w:pPr>
        <w:spacing w:before="90"/>
        <w:ind w:left="567" w:hanging="567"/>
      </w:pPr>
      <w:r>
        <w:t>1.</w:t>
      </w:r>
      <w:r>
        <w:tab/>
      </w:r>
      <w:r w:rsidR="00740DA6" w:rsidRPr="00EC5EF1">
        <w:t>Minimising restrictive care</w:t>
      </w:r>
    </w:p>
    <w:p w14:paraId="5C12DC25" w14:textId="7132A9A3" w:rsidR="00740DA6" w:rsidRPr="00EC5EF1" w:rsidRDefault="008E4266" w:rsidP="008E4266">
      <w:pPr>
        <w:spacing w:before="90"/>
        <w:ind w:left="567" w:hanging="567"/>
      </w:pPr>
      <w:r>
        <w:t>2.</w:t>
      </w:r>
      <w:r>
        <w:tab/>
      </w:r>
      <w:r w:rsidR="00740DA6" w:rsidRPr="00EC5EF1">
        <w:t>Improving medication management and prescribing</w:t>
      </w:r>
    </w:p>
    <w:p w14:paraId="5A945B52" w14:textId="62DCB6B9" w:rsidR="00740DA6" w:rsidRPr="00EC5EF1" w:rsidRDefault="008E4266" w:rsidP="008E4266">
      <w:pPr>
        <w:spacing w:before="90"/>
        <w:ind w:left="567" w:hanging="567"/>
      </w:pPr>
      <w:r>
        <w:t>3.</w:t>
      </w:r>
      <w:r>
        <w:tab/>
      </w:r>
      <w:r w:rsidR="00740DA6" w:rsidRPr="00EC5EF1">
        <w:t>Improving service transitions</w:t>
      </w:r>
    </w:p>
    <w:p w14:paraId="08803781" w14:textId="485AB910" w:rsidR="00740DA6" w:rsidRPr="00EC5EF1" w:rsidRDefault="008E4266" w:rsidP="008E4266">
      <w:pPr>
        <w:spacing w:before="90"/>
        <w:ind w:left="567" w:hanging="567"/>
      </w:pPr>
      <w:r>
        <w:t>4.</w:t>
      </w:r>
      <w:r>
        <w:tab/>
      </w:r>
      <w:r w:rsidR="00740DA6" w:rsidRPr="00EC5EF1">
        <w:t>Maximising the physical health of people with mental health and addiction problems</w:t>
      </w:r>
    </w:p>
    <w:p w14:paraId="39DDF3C1" w14:textId="5B7A7D31" w:rsidR="00740DA6" w:rsidRPr="00EC5EF1" w:rsidRDefault="008E4266" w:rsidP="008E4266">
      <w:pPr>
        <w:spacing w:before="90"/>
        <w:ind w:left="567" w:hanging="567"/>
      </w:pPr>
      <w:r>
        <w:t>5.</w:t>
      </w:r>
      <w:r>
        <w:tab/>
      </w:r>
      <w:r w:rsidR="00740DA6" w:rsidRPr="00EC5EF1">
        <w:t>Learning from serious adverse events and consumer experience.</w:t>
      </w:r>
    </w:p>
    <w:p w14:paraId="0521AD9A" w14:textId="77777777" w:rsidR="008E4266" w:rsidRDefault="008E4266" w:rsidP="008E4266"/>
    <w:p w14:paraId="12DD0D2E" w14:textId="77777777" w:rsidR="00740DA6" w:rsidRPr="00EC5EF1" w:rsidRDefault="00740DA6" w:rsidP="008E4266">
      <w:r w:rsidRPr="00EC5EF1">
        <w:t>As well as leading this work, the HQSC will support leadership in the health sector to deliver quality improvement initiatives and to build quality improvement capability within mental health and addiction services.</w:t>
      </w:r>
    </w:p>
    <w:p w14:paraId="454F5DED" w14:textId="77777777" w:rsidR="00740DA6" w:rsidRPr="00EC5EF1" w:rsidRDefault="00740DA6" w:rsidP="008E4266"/>
    <w:p w14:paraId="31738E06" w14:textId="77777777" w:rsidR="00740DA6" w:rsidRPr="00EC5EF1" w:rsidRDefault="00740DA6" w:rsidP="008E4266">
      <w:pPr>
        <w:pStyle w:val="Heading2"/>
      </w:pPr>
      <w:bookmarkStart w:id="179" w:name="_Toc1985492"/>
      <w:bookmarkStart w:id="180" w:name="_Toc2845702"/>
      <w:r w:rsidRPr="00EC5EF1">
        <w:lastRenderedPageBreak/>
        <w:t>Suicide Mortality Review Committee</w:t>
      </w:r>
      <w:bookmarkEnd w:id="179"/>
      <w:bookmarkEnd w:id="180"/>
    </w:p>
    <w:p w14:paraId="391C5199" w14:textId="77777777" w:rsidR="00740DA6" w:rsidRPr="00EC5EF1" w:rsidRDefault="00740DA6" w:rsidP="008E4266">
      <w:r w:rsidRPr="00EC5EF1">
        <w:t xml:space="preserve">Suicide is a major cause of death in New Zealand and the most common cause of death for young people. In September 2013, the Ministry of Health contracted the HQSC to trial a suicide mortality review, an action set out in the </w:t>
      </w:r>
      <w:r w:rsidRPr="008E4266">
        <w:rPr>
          <w:i/>
        </w:rPr>
        <w:t>New Zealand Suicide Prevention Action Plan 2013–16</w:t>
      </w:r>
      <w:r w:rsidRPr="00EC5EF1">
        <w:rPr>
          <w:rFonts w:ascii="Calibri" w:hAnsi="Calibri"/>
          <w:i/>
        </w:rPr>
        <w:t xml:space="preserve"> </w:t>
      </w:r>
      <w:r w:rsidRPr="00EC5EF1">
        <w:t>(Ministry of Health 2013a). This resulted in the HQSC establishing the Suicide Mortality Review Committee (</w:t>
      </w:r>
      <w:proofErr w:type="spellStart"/>
      <w:r w:rsidRPr="00EC5EF1">
        <w:t>SuMRC</w:t>
      </w:r>
      <w:proofErr w:type="spellEnd"/>
      <w:r w:rsidRPr="00EC5EF1">
        <w:t>) and the Suicide Mortality Review Feasibility Study. The HQSC published the resulting reports, including recommendations, in May 2016 (Suicide Mortality Review Committee 2016a and b).</w:t>
      </w:r>
    </w:p>
    <w:p w14:paraId="4596F918" w14:textId="77777777" w:rsidR="008E4266" w:rsidRDefault="008E4266" w:rsidP="008E4266"/>
    <w:p w14:paraId="0E73371F" w14:textId="77777777" w:rsidR="00740DA6" w:rsidRPr="00EC5EF1" w:rsidRDefault="00740DA6" w:rsidP="008E4266">
      <w:r w:rsidRPr="00EC5EF1">
        <w:t xml:space="preserve">Following the successful </w:t>
      </w:r>
      <w:proofErr w:type="spellStart"/>
      <w:r w:rsidRPr="00EC5EF1">
        <w:t>SuMRC</w:t>
      </w:r>
      <w:proofErr w:type="spellEnd"/>
      <w:r w:rsidRPr="00EC5EF1">
        <w:t xml:space="preserve"> trial, the Minister of Health announced in July 2017 that </w:t>
      </w:r>
      <w:proofErr w:type="spellStart"/>
      <w:r w:rsidRPr="00EC5EF1">
        <w:t>SuMRC</w:t>
      </w:r>
      <w:proofErr w:type="spellEnd"/>
      <w:r w:rsidRPr="00EC5EF1">
        <w:t xml:space="preserve"> will receive funding for ongoing work. The </w:t>
      </w:r>
      <w:proofErr w:type="spellStart"/>
      <w:r w:rsidRPr="00EC5EF1">
        <w:t>SuMRC</w:t>
      </w:r>
      <w:proofErr w:type="spellEnd"/>
      <w:r w:rsidRPr="00EC5EF1">
        <w:t xml:space="preserve"> will provide vital knowledge about factors and patterns of suicide to guide new suicide prevention activities and reinforce and strengthen existing activities.</w:t>
      </w:r>
    </w:p>
    <w:p w14:paraId="766E4930" w14:textId="77777777" w:rsidR="009B1EB2" w:rsidRPr="00EC5EF1" w:rsidRDefault="009B1EB2" w:rsidP="008E4266"/>
    <w:sectPr w:rsidR="009B1EB2" w:rsidRPr="00EC5EF1" w:rsidSect="003309CA">
      <w:headerReference w:type="default" r:id="rId87"/>
      <w:footerReference w:type="even" r:id="rId88"/>
      <w:footerReference w:type="default" r:id="rId89"/>
      <w:pgSz w:w="11907" w:h="16834" w:code="9"/>
      <w:pgMar w:top="1418" w:right="1701" w:bottom="1134" w:left="1843" w:header="284" w:footer="425"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0A41B4" w14:textId="77777777" w:rsidR="0099470F" w:rsidRDefault="0099470F">
      <w:r>
        <w:separator/>
      </w:r>
    </w:p>
    <w:p w14:paraId="37875AF3" w14:textId="77777777" w:rsidR="0099470F" w:rsidRDefault="0099470F"/>
  </w:endnote>
  <w:endnote w:type="continuationSeparator" w:id="0">
    <w:p w14:paraId="79EEC13F" w14:textId="77777777" w:rsidR="0099470F" w:rsidRDefault="0099470F">
      <w:r>
        <w:continuationSeparator/>
      </w:r>
    </w:p>
    <w:p w14:paraId="57788B2A" w14:textId="77777777" w:rsidR="0099470F" w:rsidRDefault="009947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1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AD4AE" w14:textId="77777777" w:rsidR="0099470F" w:rsidRPr="00581136" w:rsidRDefault="0099470F" w:rsidP="005A79E5">
    <w:pPr>
      <w:pStyle w:val="Footer"/>
      <w:pBdr>
        <w:bottom w:val="single" w:sz="4" w:space="1" w:color="auto"/>
      </w:pBdr>
      <w:tabs>
        <w:tab w:val="right" w:pos="9639"/>
      </w:tabs>
      <w:rPr>
        <w:b/>
      </w:rPr>
    </w:pPr>
    <w:r w:rsidRPr="00581136">
      <w:rPr>
        <w:b/>
      </w:rPr>
      <w:t>Released 201</w:t>
    </w:r>
    <w:r>
      <w:rPr>
        <w:b/>
      </w:rPr>
      <w:t>9</w:t>
    </w:r>
    <w:r w:rsidRPr="00581136">
      <w:rPr>
        <w:b/>
      </w:rPr>
      <w:tab/>
      <w:t>health.govt.nz</w:t>
    </w:r>
  </w:p>
  <w:p w14:paraId="1ECDD421" w14:textId="77777777" w:rsidR="0099470F" w:rsidRPr="005A79E5" w:rsidRDefault="0099470F">
    <w:pPr>
      <w:pStyle w:val="Footer"/>
      <w:rPr>
        <w:sz w:val="2"/>
        <w:szCs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99470F" w14:paraId="07534B43" w14:textId="77777777" w:rsidTr="00D662F8">
      <w:trPr>
        <w:cantSplit/>
      </w:trPr>
      <w:tc>
        <w:tcPr>
          <w:tcW w:w="8080" w:type="dxa"/>
          <w:vAlign w:val="center"/>
        </w:tcPr>
        <w:p w14:paraId="727A44D5" w14:textId="3806A639" w:rsidR="0099470F" w:rsidRDefault="0099470F" w:rsidP="00926083">
          <w:pPr>
            <w:pStyle w:val="RectoFooter"/>
          </w:pPr>
          <w:r>
            <w:t>office of the director of mental health and addiction services annual report 2017</w:t>
          </w:r>
        </w:p>
      </w:tc>
      <w:tc>
        <w:tcPr>
          <w:tcW w:w="709" w:type="dxa"/>
          <w:vAlign w:val="center"/>
        </w:tcPr>
        <w:p w14:paraId="57AF9E28" w14:textId="77777777" w:rsidR="0099470F" w:rsidRPr="00931466" w:rsidRDefault="0099470F"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C5678">
            <w:rPr>
              <w:rStyle w:val="PageNumber"/>
              <w:noProof/>
            </w:rPr>
            <w:t>xiii</w:t>
          </w:r>
          <w:r w:rsidRPr="00931466">
            <w:rPr>
              <w:rStyle w:val="PageNumber"/>
            </w:rPr>
            <w:fldChar w:fldCharType="end"/>
          </w:r>
        </w:p>
      </w:tc>
    </w:tr>
  </w:tbl>
  <w:p w14:paraId="217AFDF1" w14:textId="77777777" w:rsidR="0099470F" w:rsidRPr="00581EB8" w:rsidRDefault="0099470F" w:rsidP="00581EB8">
    <w:pPr>
      <w:pStyle w:val="Footer"/>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78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72"/>
    </w:tblGrid>
    <w:tr w:rsidR="0099470F" w14:paraId="79118AC9" w14:textId="77777777" w:rsidTr="00D11995">
      <w:trPr>
        <w:cantSplit/>
      </w:trPr>
      <w:tc>
        <w:tcPr>
          <w:tcW w:w="709" w:type="dxa"/>
          <w:vAlign w:val="center"/>
        </w:tcPr>
        <w:p w14:paraId="6F816ADC" w14:textId="77777777" w:rsidR="0099470F" w:rsidRPr="00931466" w:rsidRDefault="0099470F"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C5678">
            <w:rPr>
              <w:rStyle w:val="PageNumber"/>
              <w:noProof/>
            </w:rPr>
            <w:t>6</w:t>
          </w:r>
          <w:r w:rsidRPr="00931466">
            <w:rPr>
              <w:rStyle w:val="PageNumber"/>
            </w:rPr>
            <w:fldChar w:fldCharType="end"/>
          </w:r>
        </w:p>
      </w:tc>
      <w:tc>
        <w:tcPr>
          <w:tcW w:w="9072" w:type="dxa"/>
          <w:vAlign w:val="center"/>
        </w:tcPr>
        <w:p w14:paraId="52ED6A3D" w14:textId="20C30C5B" w:rsidR="0099470F" w:rsidRDefault="0099470F" w:rsidP="000D58DD">
          <w:pPr>
            <w:pStyle w:val="RectoFooter"/>
            <w:jc w:val="left"/>
          </w:pPr>
          <w:r>
            <w:t>office of the director of mental health and addiction services annual report 2017</w:t>
          </w:r>
        </w:p>
      </w:tc>
    </w:tr>
  </w:tbl>
  <w:p w14:paraId="31063F0D" w14:textId="77777777" w:rsidR="0099470F" w:rsidRPr="00571223" w:rsidRDefault="0099470F" w:rsidP="00571223">
    <w:pPr>
      <w:pStyle w:val="VersoFooter"/>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99470F" w14:paraId="0CADB7F1" w14:textId="77777777" w:rsidTr="00D662F8">
      <w:trPr>
        <w:cantSplit/>
      </w:trPr>
      <w:tc>
        <w:tcPr>
          <w:tcW w:w="8080" w:type="dxa"/>
          <w:vAlign w:val="center"/>
        </w:tcPr>
        <w:p w14:paraId="3A77988A" w14:textId="27CB8FB6" w:rsidR="0099470F" w:rsidRDefault="0099470F" w:rsidP="00931466">
          <w:pPr>
            <w:pStyle w:val="RectoFooter"/>
          </w:pPr>
          <w:r>
            <w:t>office of the director of mental health and addiction services annual report 2017</w:t>
          </w:r>
        </w:p>
      </w:tc>
      <w:tc>
        <w:tcPr>
          <w:tcW w:w="709" w:type="dxa"/>
          <w:vAlign w:val="center"/>
        </w:tcPr>
        <w:p w14:paraId="1923C79E" w14:textId="77777777" w:rsidR="0099470F" w:rsidRPr="00931466" w:rsidRDefault="0099470F"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C5678">
            <w:rPr>
              <w:rStyle w:val="PageNumber"/>
              <w:noProof/>
            </w:rPr>
            <w:t>7</w:t>
          </w:r>
          <w:r w:rsidRPr="00931466">
            <w:rPr>
              <w:rStyle w:val="PageNumber"/>
            </w:rPr>
            <w:fldChar w:fldCharType="end"/>
          </w:r>
        </w:p>
      </w:tc>
    </w:tr>
  </w:tbl>
  <w:p w14:paraId="7F764D39" w14:textId="77777777" w:rsidR="0099470F" w:rsidRPr="00581EB8" w:rsidRDefault="0099470F" w:rsidP="00581EB8">
    <w:pPr>
      <w:pStyle w:val="Foote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4BF48" w14:textId="77777777" w:rsidR="0099470F" w:rsidRDefault="0099470F" w:rsidP="004D6689">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D98E2" w14:textId="77777777" w:rsidR="0099470F" w:rsidRDefault="0099470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99470F" w14:paraId="4051F18C" w14:textId="77777777" w:rsidTr="00B84D9C">
      <w:trPr>
        <w:cantSplit/>
      </w:trPr>
      <w:tc>
        <w:tcPr>
          <w:tcW w:w="709" w:type="dxa"/>
          <w:vAlign w:val="center"/>
        </w:tcPr>
        <w:p w14:paraId="7034EBDA" w14:textId="77777777" w:rsidR="0099470F" w:rsidRPr="00931466" w:rsidRDefault="0099470F" w:rsidP="00B84D9C">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C5678">
            <w:rPr>
              <w:rStyle w:val="PageNumber"/>
              <w:noProof/>
            </w:rPr>
            <w:t>iv</w:t>
          </w:r>
          <w:r w:rsidRPr="00931466">
            <w:rPr>
              <w:rStyle w:val="PageNumber"/>
            </w:rPr>
            <w:fldChar w:fldCharType="end"/>
          </w:r>
        </w:p>
      </w:tc>
      <w:tc>
        <w:tcPr>
          <w:tcW w:w="8080" w:type="dxa"/>
          <w:vAlign w:val="center"/>
        </w:tcPr>
        <w:p w14:paraId="3948FE56" w14:textId="77777777" w:rsidR="0099470F" w:rsidRDefault="0099470F" w:rsidP="00B84D9C">
          <w:pPr>
            <w:pStyle w:val="RectoFooter"/>
            <w:jc w:val="left"/>
          </w:pPr>
          <w:r>
            <w:t>office of the director of mental health and addiction services annual report 2017</w:t>
          </w:r>
        </w:p>
      </w:tc>
    </w:tr>
  </w:tbl>
  <w:p w14:paraId="250CEB9A" w14:textId="77777777" w:rsidR="0099470F" w:rsidRPr="00B25B3C" w:rsidRDefault="0099470F" w:rsidP="00B25B3C">
    <w:pPr>
      <w:pStyle w:val="Footer"/>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99470F" w14:paraId="21F72B9F" w14:textId="77777777" w:rsidTr="00D662F8">
      <w:trPr>
        <w:cantSplit/>
      </w:trPr>
      <w:tc>
        <w:tcPr>
          <w:tcW w:w="8080" w:type="dxa"/>
          <w:vAlign w:val="center"/>
        </w:tcPr>
        <w:p w14:paraId="297EC51D" w14:textId="3102E755" w:rsidR="0099470F" w:rsidRDefault="0099470F" w:rsidP="00926083">
          <w:pPr>
            <w:pStyle w:val="RectoFooter"/>
          </w:pPr>
          <w:r>
            <w:t>office of the director of mental health and addiction services annual report 2017</w:t>
          </w:r>
        </w:p>
      </w:tc>
      <w:tc>
        <w:tcPr>
          <w:tcW w:w="709" w:type="dxa"/>
          <w:vAlign w:val="center"/>
        </w:tcPr>
        <w:p w14:paraId="7F5CB0CA" w14:textId="77777777" w:rsidR="0099470F" w:rsidRPr="00931466" w:rsidRDefault="0099470F"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C5678">
            <w:rPr>
              <w:rStyle w:val="PageNumber"/>
              <w:noProof/>
            </w:rPr>
            <w:t>iii</w:t>
          </w:r>
          <w:r w:rsidRPr="00931466">
            <w:rPr>
              <w:rStyle w:val="PageNumber"/>
            </w:rPr>
            <w:fldChar w:fldCharType="end"/>
          </w:r>
        </w:p>
      </w:tc>
    </w:tr>
  </w:tbl>
  <w:p w14:paraId="3B235221" w14:textId="77777777" w:rsidR="0099470F" w:rsidRPr="00A1533D" w:rsidRDefault="0099470F">
    <w:pPr>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99470F" w14:paraId="4415C89B" w14:textId="77777777" w:rsidTr="00D662F8">
      <w:trPr>
        <w:cantSplit/>
      </w:trPr>
      <w:tc>
        <w:tcPr>
          <w:tcW w:w="709" w:type="dxa"/>
          <w:vAlign w:val="center"/>
        </w:tcPr>
        <w:p w14:paraId="398048AC" w14:textId="77777777" w:rsidR="0099470F" w:rsidRPr="00931466" w:rsidRDefault="0099470F"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C5678">
            <w:rPr>
              <w:rStyle w:val="PageNumber"/>
              <w:noProof/>
            </w:rPr>
            <w:t>x</w:t>
          </w:r>
          <w:r w:rsidRPr="00931466">
            <w:rPr>
              <w:rStyle w:val="PageNumber"/>
            </w:rPr>
            <w:fldChar w:fldCharType="end"/>
          </w:r>
        </w:p>
      </w:tc>
      <w:tc>
        <w:tcPr>
          <w:tcW w:w="8080" w:type="dxa"/>
          <w:vAlign w:val="center"/>
        </w:tcPr>
        <w:p w14:paraId="0970B67E" w14:textId="77ACA5EA" w:rsidR="0099470F" w:rsidRDefault="0099470F" w:rsidP="00926083">
          <w:pPr>
            <w:pStyle w:val="RectoFooter"/>
            <w:jc w:val="left"/>
          </w:pPr>
          <w:r>
            <w:t>office of the director of mental health and addiction services annual report 2017</w:t>
          </w:r>
        </w:p>
      </w:tc>
    </w:tr>
  </w:tbl>
  <w:p w14:paraId="12BDAB11" w14:textId="77777777" w:rsidR="0099470F" w:rsidRPr="00571223" w:rsidRDefault="0099470F" w:rsidP="00571223">
    <w:pPr>
      <w:pStyle w:val="VersoFoote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99470F" w14:paraId="046E6398" w14:textId="77777777" w:rsidTr="00D662F8">
      <w:trPr>
        <w:cantSplit/>
      </w:trPr>
      <w:tc>
        <w:tcPr>
          <w:tcW w:w="8080" w:type="dxa"/>
          <w:vAlign w:val="center"/>
        </w:tcPr>
        <w:p w14:paraId="085905A4" w14:textId="25C01FBF" w:rsidR="0099470F" w:rsidRDefault="0099470F" w:rsidP="00926083">
          <w:pPr>
            <w:pStyle w:val="RectoFooter"/>
          </w:pPr>
          <w:r>
            <w:t>office of the director of mental health and addiction services annual report 2017</w:t>
          </w:r>
        </w:p>
      </w:tc>
      <w:tc>
        <w:tcPr>
          <w:tcW w:w="709" w:type="dxa"/>
          <w:vAlign w:val="center"/>
        </w:tcPr>
        <w:p w14:paraId="5A3A2A1C" w14:textId="77777777" w:rsidR="0099470F" w:rsidRPr="00931466" w:rsidRDefault="0099470F"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C5678">
            <w:rPr>
              <w:rStyle w:val="PageNumber"/>
              <w:noProof/>
            </w:rPr>
            <w:t>ix</w:t>
          </w:r>
          <w:r w:rsidRPr="00931466">
            <w:rPr>
              <w:rStyle w:val="PageNumber"/>
            </w:rPr>
            <w:fldChar w:fldCharType="end"/>
          </w:r>
        </w:p>
      </w:tc>
    </w:tr>
  </w:tbl>
  <w:p w14:paraId="19EF7585" w14:textId="77777777" w:rsidR="0099470F" w:rsidRPr="00581EB8" w:rsidRDefault="0099470F" w:rsidP="00581EB8">
    <w:pPr>
      <w:pStyle w:val="Footer"/>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A540E" w14:textId="77777777" w:rsidR="0099470F" w:rsidRPr="00571223" w:rsidRDefault="0099470F" w:rsidP="00571223">
    <w:pPr>
      <w:pStyle w:val="VersoFooter"/>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99470F" w14:paraId="2F320A82" w14:textId="77777777" w:rsidTr="00D662F8">
      <w:trPr>
        <w:cantSplit/>
      </w:trPr>
      <w:tc>
        <w:tcPr>
          <w:tcW w:w="709" w:type="dxa"/>
          <w:vAlign w:val="center"/>
        </w:tcPr>
        <w:p w14:paraId="34D9A6D7" w14:textId="77777777" w:rsidR="0099470F" w:rsidRPr="00931466" w:rsidRDefault="0099470F"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C5678">
            <w:rPr>
              <w:rStyle w:val="PageNumber"/>
              <w:noProof/>
            </w:rPr>
            <w:t>xiv</w:t>
          </w:r>
          <w:r w:rsidRPr="00931466">
            <w:rPr>
              <w:rStyle w:val="PageNumber"/>
            </w:rPr>
            <w:fldChar w:fldCharType="end"/>
          </w:r>
        </w:p>
      </w:tc>
      <w:tc>
        <w:tcPr>
          <w:tcW w:w="8080" w:type="dxa"/>
          <w:vAlign w:val="center"/>
        </w:tcPr>
        <w:p w14:paraId="1CE24306" w14:textId="5EEFD1BF" w:rsidR="0099470F" w:rsidRDefault="0099470F" w:rsidP="00926083">
          <w:pPr>
            <w:pStyle w:val="RectoFooter"/>
            <w:jc w:val="left"/>
          </w:pPr>
          <w:r>
            <w:t>office of the director of mental health and addiction services annual report 2017</w:t>
          </w:r>
        </w:p>
      </w:tc>
    </w:tr>
  </w:tbl>
  <w:p w14:paraId="2DC9E216" w14:textId="77777777" w:rsidR="0099470F" w:rsidRPr="00571223" w:rsidRDefault="0099470F" w:rsidP="00571223">
    <w:pPr>
      <w:pStyle w:val="Verso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56DA76" w14:textId="77777777" w:rsidR="0099470F" w:rsidRPr="00A26E6B" w:rsidRDefault="0099470F" w:rsidP="00A26E6B"/>
  </w:footnote>
  <w:footnote w:type="continuationSeparator" w:id="0">
    <w:p w14:paraId="0CF775EC" w14:textId="77777777" w:rsidR="0099470F" w:rsidRDefault="0099470F">
      <w:r>
        <w:continuationSeparator/>
      </w:r>
    </w:p>
    <w:p w14:paraId="0C739FA0" w14:textId="77777777" w:rsidR="0099470F" w:rsidRDefault="0099470F"/>
  </w:footnote>
  <w:footnote w:id="1">
    <w:p w14:paraId="564A9E29" w14:textId="18D67C30" w:rsidR="0099470F" w:rsidRPr="00DE0BB2" w:rsidRDefault="0099470F">
      <w:pPr>
        <w:pStyle w:val="FootnoteText"/>
      </w:pPr>
      <w:r>
        <w:rPr>
          <w:rStyle w:val="FootnoteReference"/>
        </w:rPr>
        <w:footnoteRef/>
      </w:r>
      <w:r w:rsidRPr="00DE0BB2">
        <w:tab/>
        <w:t>Data from 2015 is used because it can take over two years for a coroner’s investigation into a suicide to be completed.</w:t>
      </w:r>
    </w:p>
  </w:footnote>
  <w:footnote w:id="2">
    <w:p w14:paraId="5025A54E" w14:textId="0E4EDF94" w:rsidR="0099470F" w:rsidRPr="00700B54" w:rsidRDefault="0099470F">
      <w:pPr>
        <w:pStyle w:val="FootnoteText"/>
        <w:rPr>
          <w:lang w:val="en-GB"/>
        </w:rPr>
      </w:pPr>
      <w:r w:rsidRPr="00700B54">
        <w:rPr>
          <w:rStyle w:val="FootnoteReference"/>
        </w:rPr>
        <w:footnoteRef/>
      </w:r>
      <w:r>
        <w:rPr>
          <w:lang w:val="en-GB"/>
        </w:rPr>
        <w:tab/>
      </w:r>
      <w:r w:rsidRPr="00700B54">
        <w:rPr>
          <w:lang w:val="en-GB"/>
        </w:rPr>
        <w:t xml:space="preserve">More information on the Ministry’s work in the areas of mental health and addictions can be found at </w:t>
      </w:r>
      <w:r w:rsidRPr="00700B54">
        <w:rPr>
          <w:rStyle w:val="Hyperlink"/>
          <w:lang w:val="en-GB"/>
        </w:rPr>
        <w:t>www.health.govt.nz/our-work/mental-health-and-addictions</w:t>
      </w:r>
      <w:r w:rsidRPr="00700B54">
        <w:rPr>
          <w:lang w:val="en-GB"/>
        </w:rPr>
        <w:t>.</w:t>
      </w:r>
    </w:p>
  </w:footnote>
  <w:footnote w:id="3">
    <w:p w14:paraId="12FF0BB0" w14:textId="19AC4DEA" w:rsidR="0099470F" w:rsidRPr="00122F85" w:rsidRDefault="0099470F" w:rsidP="00122F85">
      <w:pPr>
        <w:pStyle w:val="FootnoteText"/>
        <w:rPr>
          <w:lang w:val="en-GB"/>
        </w:rPr>
      </w:pPr>
      <w:r w:rsidRPr="00122F85">
        <w:rPr>
          <w:rStyle w:val="FootnoteReference"/>
        </w:rPr>
        <w:footnoteRef/>
      </w:r>
      <w:r>
        <w:tab/>
      </w:r>
      <w:r w:rsidRPr="00EC5EF1">
        <w:t>More information about the ADOM can be found in Appendix 1</w:t>
      </w:r>
      <w:r>
        <w:t>.</w:t>
      </w:r>
    </w:p>
  </w:footnote>
  <w:footnote w:id="4">
    <w:p w14:paraId="50D5D14D" w14:textId="6B63F677" w:rsidR="0099470F" w:rsidRPr="00B6785B" w:rsidRDefault="0099470F" w:rsidP="00B6785B">
      <w:pPr>
        <w:pStyle w:val="FootnoteText"/>
        <w:rPr>
          <w:lang w:val="en-GB"/>
        </w:rPr>
      </w:pPr>
      <w:r>
        <w:rPr>
          <w:rStyle w:val="FootnoteReference"/>
        </w:rPr>
        <w:footnoteRef/>
      </w:r>
      <w:r>
        <w:tab/>
      </w:r>
      <w:r w:rsidRPr="00EC5EF1">
        <w:t>Source: Programme for the Integration of Mental Health Data (PRIMHD) as at 15 August 2018</w:t>
      </w:r>
      <w:r>
        <w:t>.</w:t>
      </w:r>
    </w:p>
  </w:footnote>
  <w:footnote w:id="5">
    <w:p w14:paraId="51179410" w14:textId="24F754B6" w:rsidR="0099470F" w:rsidRPr="00B6785B" w:rsidRDefault="0099470F" w:rsidP="00B6785B">
      <w:pPr>
        <w:pStyle w:val="FootnoteText"/>
        <w:rPr>
          <w:lang w:val="en-GB"/>
        </w:rPr>
      </w:pPr>
      <w:r>
        <w:rPr>
          <w:rStyle w:val="FootnoteReference"/>
        </w:rPr>
        <w:footnoteRef/>
      </w:r>
      <w:r>
        <w:rPr>
          <w:lang w:val="en-GB"/>
        </w:rPr>
        <w:tab/>
      </w:r>
      <w:r w:rsidRPr="00EC5EF1">
        <w:t>Source: PRIMHD data as at 15 August 2018.</w:t>
      </w:r>
    </w:p>
  </w:footnote>
  <w:footnote w:id="6">
    <w:p w14:paraId="4A6D88B1" w14:textId="7E2F4C2D" w:rsidR="0099470F" w:rsidRPr="003C1E58" w:rsidRDefault="0099470F" w:rsidP="00F72577">
      <w:pPr>
        <w:pStyle w:val="FootnoteText"/>
        <w:rPr>
          <w:lang w:val="en-GB"/>
        </w:rPr>
      </w:pPr>
      <w:r>
        <w:rPr>
          <w:rStyle w:val="FootnoteReference"/>
        </w:rPr>
        <w:footnoteRef/>
      </w:r>
      <w:r>
        <w:rPr>
          <w:lang w:val="en-GB"/>
        </w:rPr>
        <w:tab/>
      </w:r>
      <w:r w:rsidRPr="00EC5EF1">
        <w:t>Source: PRIMHD data as at 15 August 2018.</w:t>
      </w:r>
    </w:p>
  </w:footnote>
  <w:footnote w:id="7">
    <w:p w14:paraId="238342DB" w14:textId="310516EC" w:rsidR="0099470F" w:rsidRPr="003C1E58" w:rsidRDefault="0099470F" w:rsidP="00F72577">
      <w:pPr>
        <w:pStyle w:val="FootnoteText"/>
        <w:rPr>
          <w:lang w:val="en-GB"/>
        </w:rPr>
      </w:pPr>
      <w:r>
        <w:rPr>
          <w:rStyle w:val="FootnoteReference"/>
        </w:rPr>
        <w:footnoteRef/>
      </w:r>
      <w:r>
        <w:rPr>
          <w:lang w:val="en-GB"/>
        </w:rPr>
        <w:tab/>
      </w:r>
      <w:r w:rsidRPr="00EC5EF1">
        <w:t>Between 2011 and 2017, the total New Zealand population increased by approximately 10 percent.</w:t>
      </w:r>
    </w:p>
  </w:footnote>
  <w:footnote w:id="8">
    <w:p w14:paraId="1ECE6C64" w14:textId="745B1867" w:rsidR="0099470F" w:rsidRPr="004522E2" w:rsidRDefault="0099470F" w:rsidP="00DA319F">
      <w:pPr>
        <w:pStyle w:val="FootnoteText"/>
        <w:rPr>
          <w:lang w:val="en-GB"/>
        </w:rPr>
      </w:pPr>
      <w:r w:rsidRPr="00DA319F">
        <w:rPr>
          <w:rStyle w:val="FootnoteReference"/>
        </w:rPr>
        <w:footnoteRef/>
      </w:r>
      <w:r>
        <w:rPr>
          <w:lang w:val="en-GB"/>
        </w:rPr>
        <w:tab/>
      </w:r>
      <w:proofErr w:type="spellStart"/>
      <w:r w:rsidRPr="00DA319F">
        <w:rPr>
          <w:lang w:val="en-GB"/>
        </w:rPr>
        <w:t>Te</w:t>
      </w:r>
      <w:proofErr w:type="spellEnd"/>
      <w:r w:rsidRPr="00DA319F">
        <w:rPr>
          <w:lang w:val="en-GB"/>
        </w:rPr>
        <w:t xml:space="preserve"> </w:t>
      </w:r>
      <w:proofErr w:type="spellStart"/>
      <w:r w:rsidRPr="00DA319F">
        <w:rPr>
          <w:lang w:val="en-GB"/>
        </w:rPr>
        <w:t>Pou</w:t>
      </w:r>
      <w:proofErr w:type="spellEnd"/>
      <w:r w:rsidRPr="00DA319F">
        <w:rPr>
          <w:lang w:val="en-GB"/>
        </w:rPr>
        <w:t xml:space="preserve"> o </w:t>
      </w:r>
      <w:proofErr w:type="spellStart"/>
      <w:r w:rsidRPr="00DA319F">
        <w:rPr>
          <w:lang w:val="en-GB"/>
        </w:rPr>
        <w:t>Te</w:t>
      </w:r>
      <w:proofErr w:type="spellEnd"/>
      <w:r w:rsidRPr="00DA319F">
        <w:rPr>
          <w:lang w:val="en-GB"/>
        </w:rPr>
        <w:t xml:space="preserve"> </w:t>
      </w:r>
      <w:proofErr w:type="spellStart"/>
      <w:r w:rsidRPr="00DA319F">
        <w:rPr>
          <w:lang w:val="en-GB"/>
        </w:rPr>
        <w:t>Whakaaro</w:t>
      </w:r>
      <w:proofErr w:type="spellEnd"/>
      <w:r w:rsidRPr="00DA319F">
        <w:rPr>
          <w:lang w:val="en-GB"/>
        </w:rPr>
        <w:t xml:space="preserve"> Nui 2014.</w:t>
      </w:r>
    </w:p>
  </w:footnote>
  <w:footnote w:id="9">
    <w:p w14:paraId="67254F24" w14:textId="4BF7CC67" w:rsidR="0099470F" w:rsidRPr="00F70813" w:rsidRDefault="0099470F" w:rsidP="00F70813">
      <w:pPr>
        <w:pStyle w:val="FootnoteText"/>
        <w:rPr>
          <w:lang w:val="en-GB"/>
        </w:rPr>
      </w:pPr>
      <w:r>
        <w:rPr>
          <w:rStyle w:val="FootnoteReference"/>
        </w:rPr>
        <w:footnoteRef/>
      </w:r>
      <w:r>
        <w:tab/>
      </w:r>
      <w:r w:rsidRPr="00F70813">
        <w:rPr>
          <w:rStyle w:val="FootnoteTextChar"/>
        </w:rPr>
        <w:t>Some DHBs submitted responses to the paper-based survey before it was discontinued as well as the real-time survey</w:t>
      </w:r>
      <w:r>
        <w:rPr>
          <w:rStyle w:val="FootnoteTextChar"/>
        </w:rPr>
        <w:t>.</w:t>
      </w:r>
    </w:p>
  </w:footnote>
  <w:footnote w:id="10">
    <w:p w14:paraId="16D46F2D" w14:textId="701F8457" w:rsidR="0099470F" w:rsidRPr="00F70813" w:rsidRDefault="0099470F" w:rsidP="00F70813">
      <w:pPr>
        <w:pStyle w:val="FootnoteText"/>
        <w:rPr>
          <w:lang w:val="en-GB"/>
        </w:rPr>
      </w:pPr>
      <w:r>
        <w:rPr>
          <w:rStyle w:val="FootnoteReference"/>
        </w:rPr>
        <w:footnoteRef/>
      </w:r>
      <w:r>
        <w:rPr>
          <w:lang w:val="en-GB"/>
        </w:rPr>
        <w:tab/>
      </w:r>
      <w:proofErr w:type="spellStart"/>
      <w:r w:rsidRPr="00F70813">
        <w:rPr>
          <w:rStyle w:val="FootnoteTextChar"/>
        </w:rPr>
        <w:t>Mārama</w:t>
      </w:r>
      <w:proofErr w:type="spellEnd"/>
      <w:r w:rsidRPr="00F70813">
        <w:rPr>
          <w:rStyle w:val="FootnoteTextChar"/>
        </w:rPr>
        <w:t xml:space="preserve"> real-time feedback system, 2017 calendar year.</w:t>
      </w:r>
    </w:p>
  </w:footnote>
  <w:footnote w:id="11">
    <w:p w14:paraId="485B9DF8" w14:textId="71224130" w:rsidR="0099470F" w:rsidRPr="00F3441B" w:rsidRDefault="0099470F" w:rsidP="00F3441B">
      <w:pPr>
        <w:pStyle w:val="FootnoteText"/>
        <w:rPr>
          <w:lang w:val="en-GB"/>
        </w:rPr>
      </w:pPr>
      <w:r>
        <w:rPr>
          <w:rStyle w:val="FootnoteReference"/>
        </w:rPr>
        <w:footnoteRef/>
      </w:r>
      <w:r>
        <w:rPr>
          <w:lang w:val="en-GB"/>
        </w:rPr>
        <w:tab/>
      </w:r>
      <w:r w:rsidRPr="00F3441B">
        <w:rPr>
          <w:rStyle w:val="FootnoteTextChar"/>
        </w:rPr>
        <w:t>Mental Health Act sections 11, 13, 14(4), 15(1), 15(2), 29, 30 and 31</w:t>
      </w:r>
    </w:p>
  </w:footnote>
  <w:footnote w:id="12">
    <w:p w14:paraId="7F2F14B1" w14:textId="7F53D9C4" w:rsidR="0099470F" w:rsidRPr="00F3441B" w:rsidRDefault="0099470F" w:rsidP="00F3441B">
      <w:pPr>
        <w:pStyle w:val="FootnoteText"/>
        <w:rPr>
          <w:lang w:val="en-GB"/>
        </w:rPr>
      </w:pPr>
      <w:r>
        <w:rPr>
          <w:rStyle w:val="FootnoteReference"/>
        </w:rPr>
        <w:footnoteRef/>
      </w:r>
      <w:r>
        <w:rPr>
          <w:lang w:val="en-GB"/>
        </w:rPr>
        <w:tab/>
      </w:r>
      <w:r w:rsidRPr="00F3441B">
        <w:rPr>
          <w:rStyle w:val="FootnoteTextChar"/>
        </w:rPr>
        <w:t>Source: Ministry of Justice Integrated Sector Intelligence System as at 12 June 2018; this system uses data entered into the case management system (CMS). The CMS is a live operational database. Figures are subject to minor changes at any time</w:t>
      </w:r>
      <w:r>
        <w:rPr>
          <w:rStyle w:val="FootnoteTextChar"/>
        </w:rPr>
        <w:t>.</w:t>
      </w:r>
    </w:p>
  </w:footnote>
  <w:footnote w:id="13">
    <w:p w14:paraId="3D307AF9" w14:textId="1F82CED0" w:rsidR="0099470F" w:rsidRPr="00F3441B" w:rsidRDefault="0099470F">
      <w:pPr>
        <w:pStyle w:val="FootnoteText"/>
        <w:rPr>
          <w:lang w:val="en-GB"/>
        </w:rPr>
      </w:pPr>
      <w:r>
        <w:rPr>
          <w:rStyle w:val="FootnoteReference"/>
        </w:rPr>
        <w:footnoteRef/>
      </w:r>
      <w:r>
        <w:rPr>
          <w:lang w:val="en-GB"/>
        </w:rPr>
        <w:tab/>
      </w:r>
      <w:r w:rsidRPr="00EC5EF1">
        <w:t>Source: PRIMHD data, extracted on 7 June 2018.</w:t>
      </w:r>
    </w:p>
  </w:footnote>
  <w:footnote w:id="14">
    <w:p w14:paraId="6B754AB3" w14:textId="299BA75A" w:rsidR="0099470F" w:rsidRPr="00F3441B" w:rsidRDefault="0099470F">
      <w:pPr>
        <w:pStyle w:val="FootnoteText"/>
        <w:rPr>
          <w:lang w:val="en-GB"/>
        </w:rPr>
      </w:pPr>
      <w:r>
        <w:rPr>
          <w:rStyle w:val="FootnoteReference"/>
        </w:rPr>
        <w:footnoteRef/>
      </w:r>
      <w:r>
        <w:rPr>
          <w:lang w:val="en-GB"/>
        </w:rPr>
        <w:tab/>
      </w:r>
      <w:r w:rsidRPr="00F3441B">
        <w:rPr>
          <w:rStyle w:val="FootnoteTextChar"/>
        </w:rPr>
        <w:t>Source: PRIMHD data, extracted on 17 August 2018, except for data from Southern and Auckland DHBs, which submitted data manually</w:t>
      </w:r>
      <w:r>
        <w:rPr>
          <w:rStyle w:val="FootnoteTextChar"/>
        </w:rPr>
        <w:t>.</w:t>
      </w:r>
    </w:p>
  </w:footnote>
  <w:footnote w:id="15">
    <w:p w14:paraId="2CDA530C" w14:textId="132ABA39" w:rsidR="0099470F" w:rsidRPr="00F3441B" w:rsidRDefault="0099470F" w:rsidP="002F7673">
      <w:pPr>
        <w:pStyle w:val="FootnoteText"/>
        <w:rPr>
          <w:lang w:val="en-GB"/>
        </w:rPr>
      </w:pPr>
      <w:r>
        <w:rPr>
          <w:rStyle w:val="FootnoteReference"/>
        </w:rPr>
        <w:footnoteRef/>
      </w:r>
      <w:r>
        <w:rPr>
          <w:lang w:val="en-GB"/>
        </w:rPr>
        <w:tab/>
      </w:r>
      <w:r w:rsidRPr="002F7673">
        <w:rPr>
          <w:rStyle w:val="FootnoteTextChar"/>
        </w:rPr>
        <w:t>Source: PRIMHD data, extracted on 17 August 2018, except for data from Southern DHB, which submitted data manually. ‘On a given day’ is the average of the last day of each month</w:t>
      </w:r>
      <w:r>
        <w:rPr>
          <w:rStyle w:val="FootnoteTextChar"/>
        </w:rPr>
        <w:t>.</w:t>
      </w:r>
    </w:p>
  </w:footnote>
  <w:footnote w:id="16">
    <w:p w14:paraId="4277640E" w14:textId="0AF3CD42" w:rsidR="0099470F" w:rsidRPr="00070FC8" w:rsidRDefault="0099470F" w:rsidP="00070FC8">
      <w:pPr>
        <w:pStyle w:val="FootnoteText"/>
        <w:rPr>
          <w:lang w:val="en-GB"/>
        </w:rPr>
      </w:pPr>
      <w:r>
        <w:rPr>
          <w:rStyle w:val="FootnoteReference"/>
        </w:rPr>
        <w:footnoteRef/>
      </w:r>
      <w:r>
        <w:tab/>
      </w:r>
      <w:r w:rsidRPr="00070FC8">
        <w:rPr>
          <w:rStyle w:val="FootnoteTextChar"/>
        </w:rPr>
        <w:t>Source: Ministry of Justice Integrated Sector Intelligence System as at 12 June 2018; this system uses data entered into the case management system (CMS). The CMS is a live operational database. Figures are subject to minor changes at any time</w:t>
      </w:r>
      <w:r>
        <w:rPr>
          <w:rStyle w:val="FootnoteTextChar"/>
        </w:rPr>
        <w:t>.</w:t>
      </w:r>
    </w:p>
  </w:footnote>
  <w:footnote w:id="17">
    <w:p w14:paraId="29FE7B44" w14:textId="1AE5F928" w:rsidR="0099470F" w:rsidRPr="00724EBD" w:rsidRDefault="0099470F" w:rsidP="00724EBD">
      <w:pPr>
        <w:pStyle w:val="FootnoteText"/>
        <w:rPr>
          <w:lang w:val="en-GB"/>
        </w:rPr>
      </w:pPr>
      <w:r>
        <w:rPr>
          <w:rStyle w:val="FootnoteReference"/>
        </w:rPr>
        <w:footnoteRef/>
      </w:r>
      <w:r>
        <w:rPr>
          <w:lang w:val="en-GB"/>
        </w:rPr>
        <w:tab/>
      </w:r>
      <w:r w:rsidRPr="00724EBD">
        <w:rPr>
          <w:rStyle w:val="FootnoteTextChar"/>
        </w:rPr>
        <w:t>This is a specific action outlined in Rising to the Challenge (Ministry of Health 2012e). In addition, the number of Māori subject to section 29 of the Mental Health Act is now an indicator in the Māori health plans that the Ministry requires every DHB to produce</w:t>
      </w:r>
      <w:r>
        <w:rPr>
          <w:rStyle w:val="FootnoteTextChar"/>
        </w:rPr>
        <w:t>.</w:t>
      </w:r>
    </w:p>
  </w:footnote>
  <w:footnote w:id="18">
    <w:p w14:paraId="0B744D39" w14:textId="71918E05" w:rsidR="0099470F" w:rsidRPr="00724EBD" w:rsidRDefault="0099470F" w:rsidP="00724EBD">
      <w:pPr>
        <w:pStyle w:val="FootnoteText"/>
        <w:rPr>
          <w:lang w:val="en-GB"/>
        </w:rPr>
      </w:pPr>
      <w:r>
        <w:rPr>
          <w:rStyle w:val="FootnoteReference"/>
        </w:rPr>
        <w:footnoteRef/>
      </w:r>
      <w:r>
        <w:rPr>
          <w:lang w:val="en-GB"/>
        </w:rPr>
        <w:tab/>
      </w:r>
      <w:r w:rsidRPr="00724EBD">
        <w:rPr>
          <w:rStyle w:val="FootnoteTextChar"/>
        </w:rPr>
        <w:t>These ratios are based on the age-standardised rates of the Māori and non-Māori populations. See Appendix 1: Key databases and caveats for a time-series extraction and analysis of the rate ratio between Māori and non-Māori under section 29 of the Mental Health Act</w:t>
      </w:r>
      <w:r>
        <w:rPr>
          <w:rStyle w:val="FootnoteTextChar"/>
        </w:rPr>
        <w:t>.</w:t>
      </w:r>
    </w:p>
  </w:footnote>
  <w:footnote w:id="19">
    <w:p w14:paraId="3797EF42" w14:textId="3ECBF761" w:rsidR="0099470F" w:rsidRPr="00724EBD" w:rsidRDefault="0099470F" w:rsidP="00724EBD">
      <w:pPr>
        <w:pStyle w:val="FootnoteText"/>
        <w:rPr>
          <w:lang w:val="en-GB"/>
        </w:rPr>
      </w:pPr>
      <w:r>
        <w:rPr>
          <w:rStyle w:val="FootnoteReference"/>
        </w:rPr>
        <w:footnoteRef/>
      </w:r>
      <w:r>
        <w:rPr>
          <w:lang w:val="en-GB"/>
        </w:rPr>
        <w:tab/>
      </w:r>
      <w:r w:rsidRPr="00EC5EF1">
        <w:t>Source: PRIMHD data, extracted on 15 August 2018. This applies to both voluntary service users and those treated under the Mental Health Act.</w:t>
      </w:r>
    </w:p>
  </w:footnote>
  <w:footnote w:id="20">
    <w:p w14:paraId="0B6FD2AF" w14:textId="5218E544" w:rsidR="0099470F" w:rsidRPr="00724EBD" w:rsidRDefault="0099470F" w:rsidP="00724EBD">
      <w:pPr>
        <w:pStyle w:val="FootnoteText"/>
        <w:rPr>
          <w:lang w:val="en-GB"/>
        </w:rPr>
      </w:pPr>
      <w:r>
        <w:rPr>
          <w:rStyle w:val="FootnoteReference"/>
        </w:rPr>
        <w:footnoteRef/>
      </w:r>
      <w:r>
        <w:rPr>
          <w:lang w:val="en-GB"/>
        </w:rPr>
        <w:tab/>
      </w:r>
      <w:r w:rsidRPr="00EC5EF1">
        <w:t>Source: PRIMHD data, extracted on 15 August 2018.</w:t>
      </w:r>
    </w:p>
  </w:footnote>
  <w:footnote w:id="21">
    <w:p w14:paraId="21E66DE4" w14:textId="5B7C17BC" w:rsidR="0099470F" w:rsidRPr="00724EBD" w:rsidRDefault="0099470F">
      <w:pPr>
        <w:pStyle w:val="FootnoteText"/>
        <w:rPr>
          <w:lang w:val="en-GB"/>
        </w:rPr>
      </w:pPr>
      <w:r>
        <w:rPr>
          <w:rStyle w:val="FootnoteReference"/>
        </w:rPr>
        <w:footnoteRef/>
      </w:r>
      <w:r>
        <w:rPr>
          <w:lang w:val="en-GB"/>
        </w:rPr>
        <w:tab/>
      </w:r>
      <w:r w:rsidRPr="00EC5EF1">
        <w:t>Source: PRIMHD data, extracted on 15 August 2018.</w:t>
      </w:r>
    </w:p>
  </w:footnote>
  <w:footnote w:id="22">
    <w:p w14:paraId="7E3FCBAA" w14:textId="41351135" w:rsidR="0099470F" w:rsidRPr="00724EBD" w:rsidRDefault="0099470F">
      <w:pPr>
        <w:pStyle w:val="FootnoteText"/>
        <w:rPr>
          <w:lang w:val="en-GB"/>
        </w:rPr>
      </w:pPr>
      <w:r>
        <w:rPr>
          <w:rStyle w:val="FootnoteReference"/>
        </w:rPr>
        <w:footnoteRef/>
      </w:r>
      <w:r>
        <w:rPr>
          <w:lang w:val="en-GB"/>
        </w:rPr>
        <w:tab/>
      </w:r>
      <w:r w:rsidRPr="00EC5EF1">
        <w:t>Source: PRIMHD data, extracted on 17 August 2018. Deprivation deciles are ranked 1 to 10, where 1</w:t>
      </w:r>
      <w:r>
        <w:t> </w:t>
      </w:r>
      <w:r w:rsidRPr="00EC5EF1">
        <w:t>represents areas with the least deprived scores and 10 the areas with the most deprived scores.</w:t>
      </w:r>
    </w:p>
  </w:footnote>
  <w:footnote w:id="23">
    <w:p w14:paraId="2A529ACD" w14:textId="0ED1EC48" w:rsidR="0099470F" w:rsidRPr="00867E95" w:rsidRDefault="0099470F">
      <w:pPr>
        <w:pStyle w:val="FootnoteText"/>
        <w:rPr>
          <w:lang w:val="en-GB"/>
        </w:rPr>
      </w:pPr>
      <w:r>
        <w:rPr>
          <w:rStyle w:val="FootnoteReference"/>
        </w:rPr>
        <w:footnoteRef/>
      </w:r>
      <w:r>
        <w:rPr>
          <w:lang w:val="en-GB"/>
        </w:rPr>
        <w:tab/>
      </w:r>
      <w:r w:rsidRPr="00EC5EF1">
        <w:t>The Ministry’s leadership of Action 9(d) of the Disability Action Plan 2014–18, to ‘explore how the Mental Health (Compulsory Assessment and Treatment) Act 1992 relates to the New Zealand Bill of Rights Act 1990 and the CRPD (the Convention on the Rights of Persons with Disabilities)’ is expected to contribute in a meaningful way to this conversation</w:t>
      </w:r>
      <w:r>
        <w:t>.</w:t>
      </w:r>
    </w:p>
  </w:footnote>
  <w:footnote w:id="24">
    <w:p w14:paraId="3B0D1680" w14:textId="69C14637" w:rsidR="0099470F" w:rsidRPr="004C6D48" w:rsidRDefault="0099470F" w:rsidP="004C6D48">
      <w:pPr>
        <w:pStyle w:val="FootnoteText"/>
        <w:rPr>
          <w:lang w:val="en-GB"/>
        </w:rPr>
      </w:pPr>
      <w:r>
        <w:rPr>
          <w:rStyle w:val="FootnoteReference"/>
        </w:rPr>
        <w:footnoteRef/>
      </w:r>
      <w:r>
        <w:rPr>
          <w:lang w:val="en-GB"/>
        </w:rPr>
        <w:tab/>
      </w:r>
      <w:r w:rsidRPr="004C6D48">
        <w:rPr>
          <w:rStyle w:val="FootnoteTextChar"/>
        </w:rPr>
        <w:t>Adult mental health services generally care for people aged 20–64 years. Adult inpatient services are distinct from forensic services, youth services, intellectual disability services and services for older people. Additionally, this data includes patients with a legal status under the Mental Health Act, but are treated in RIDSS</w:t>
      </w:r>
      <w:r>
        <w:rPr>
          <w:rStyle w:val="FootnoteTextChar"/>
        </w:rPr>
        <w:t>.</w:t>
      </w:r>
    </w:p>
  </w:footnote>
  <w:footnote w:id="25">
    <w:p w14:paraId="621D77C8" w14:textId="22A1BEAD" w:rsidR="0099470F" w:rsidRPr="004C6D48" w:rsidRDefault="0099470F">
      <w:pPr>
        <w:pStyle w:val="FootnoteText"/>
        <w:rPr>
          <w:lang w:val="en-GB"/>
        </w:rPr>
      </w:pPr>
      <w:r>
        <w:rPr>
          <w:rStyle w:val="FootnoteReference"/>
        </w:rPr>
        <w:footnoteRef/>
      </w:r>
      <w:r>
        <w:rPr>
          <w:lang w:val="en-GB"/>
        </w:rPr>
        <w:tab/>
      </w:r>
      <w:r w:rsidRPr="00EC5EF1">
        <w:t>Note: see Appendix 2 for further details about the outlier data.</w:t>
      </w:r>
    </w:p>
  </w:footnote>
  <w:footnote w:id="26">
    <w:p w14:paraId="143BE0C1" w14:textId="04349055" w:rsidR="0099470F" w:rsidRPr="004C6D48" w:rsidRDefault="0099470F">
      <w:pPr>
        <w:pStyle w:val="FootnoteText"/>
        <w:rPr>
          <w:lang w:val="en-GB"/>
        </w:rPr>
      </w:pPr>
      <w:r>
        <w:rPr>
          <w:rStyle w:val="FootnoteReference"/>
        </w:rPr>
        <w:footnoteRef/>
      </w:r>
      <w:r>
        <w:rPr>
          <w:lang w:val="en-GB"/>
        </w:rPr>
        <w:tab/>
      </w:r>
      <w:r w:rsidRPr="00EC5EF1">
        <w:t>We are comparing with 2009 because that is the year when seclusion reduction policies were introduced.</w:t>
      </w:r>
    </w:p>
  </w:footnote>
  <w:footnote w:id="27">
    <w:p w14:paraId="190624C4" w14:textId="3485A88B" w:rsidR="0099470F" w:rsidRPr="00D520CF" w:rsidRDefault="0099470F" w:rsidP="00D520CF">
      <w:pPr>
        <w:pStyle w:val="FootnoteText"/>
        <w:rPr>
          <w:lang w:val="en-GB"/>
        </w:rPr>
      </w:pPr>
      <w:r>
        <w:rPr>
          <w:rStyle w:val="FootnoteReference"/>
        </w:rPr>
        <w:footnoteRef/>
      </w:r>
      <w:r>
        <w:rPr>
          <w:lang w:val="en-GB"/>
        </w:rPr>
        <w:tab/>
      </w:r>
      <w:r w:rsidRPr="00EC5EF1">
        <w:t>For 2017, bed nights are measured by team types that provide seclusion. In previous years, this was measured by acute and sub-acute bed nights. Excludes outlier data.</w:t>
      </w:r>
    </w:p>
  </w:footnote>
  <w:footnote w:id="28">
    <w:p w14:paraId="60FBF6AA" w14:textId="14246489" w:rsidR="0099470F" w:rsidRPr="00D520CF" w:rsidRDefault="0099470F">
      <w:pPr>
        <w:pStyle w:val="FootnoteText"/>
        <w:rPr>
          <w:lang w:val="en-GB"/>
        </w:rPr>
      </w:pPr>
      <w:r>
        <w:rPr>
          <w:rStyle w:val="FootnoteReference"/>
        </w:rPr>
        <w:footnoteRef/>
      </w:r>
      <w:r>
        <w:rPr>
          <w:lang w:val="en-GB"/>
        </w:rPr>
        <w:tab/>
      </w:r>
      <w:r w:rsidRPr="00EC5EF1">
        <w:t>Source: PRIMHD data, extracted on 17 August 2018; except Southern DHB, which submitted data manually. Excludes outlier data.</w:t>
      </w:r>
    </w:p>
  </w:footnote>
  <w:footnote w:id="29">
    <w:p w14:paraId="52CB4612" w14:textId="74C64B38" w:rsidR="0099470F" w:rsidRPr="00D520CF" w:rsidRDefault="0099470F">
      <w:pPr>
        <w:pStyle w:val="FootnoteText"/>
        <w:rPr>
          <w:lang w:val="en-GB"/>
        </w:rPr>
      </w:pPr>
      <w:r>
        <w:rPr>
          <w:rStyle w:val="FootnoteReference"/>
        </w:rPr>
        <w:footnoteRef/>
      </w:r>
      <w:r>
        <w:rPr>
          <w:lang w:val="en-GB"/>
        </w:rPr>
        <w:tab/>
      </w:r>
      <w:r w:rsidRPr="00EC5EF1">
        <w:t>Source: PRIMHD data, extracted on 17 August 2018; excludes forensic and outlier data.</w:t>
      </w:r>
    </w:p>
  </w:footnote>
  <w:footnote w:id="30">
    <w:p w14:paraId="34C5C540" w14:textId="5C1935E1" w:rsidR="0099470F" w:rsidRPr="00D520CF" w:rsidRDefault="0099470F" w:rsidP="00D520CF">
      <w:pPr>
        <w:pStyle w:val="FootnoteText"/>
        <w:rPr>
          <w:lang w:val="en-GB"/>
        </w:rPr>
      </w:pPr>
      <w:r>
        <w:rPr>
          <w:rStyle w:val="FootnoteReference"/>
        </w:rPr>
        <w:footnoteRef/>
      </w:r>
      <w:r>
        <w:rPr>
          <w:lang w:val="en-GB"/>
        </w:rPr>
        <w:tab/>
      </w:r>
      <w:r w:rsidRPr="00EC5EF1">
        <w:t>Source: PRIMHD data, extracted on 17 August 2018; except Southern DHB, which submitted data manually; excludes the outlier data.</w:t>
      </w:r>
    </w:p>
  </w:footnote>
  <w:footnote w:id="31">
    <w:p w14:paraId="591EA16C" w14:textId="1558591D" w:rsidR="0099470F" w:rsidRPr="00D520CF" w:rsidRDefault="0099470F" w:rsidP="00D520CF">
      <w:pPr>
        <w:pStyle w:val="FootnoteText"/>
        <w:rPr>
          <w:lang w:val="en-GB"/>
        </w:rPr>
      </w:pPr>
      <w:r>
        <w:rPr>
          <w:rStyle w:val="FootnoteReference"/>
        </w:rPr>
        <w:footnoteRef/>
      </w:r>
      <w:r>
        <w:rPr>
          <w:lang w:val="en-GB"/>
        </w:rPr>
        <w:tab/>
      </w:r>
      <w:r w:rsidRPr="00EC5EF1">
        <w:t>Of the 98 young people spending time in seclusion, 37 were in the country’s specialist facilities for children and young people (in Christchurch, Auckland and Wellington). Of the 285 seclusion events, 104</w:t>
      </w:r>
      <w:r>
        <w:t> </w:t>
      </w:r>
      <w:r w:rsidRPr="00EC5EF1">
        <w:t>occurred in those specialist facilities.</w:t>
      </w:r>
    </w:p>
  </w:footnote>
  <w:footnote w:id="32">
    <w:p w14:paraId="65EAAE74" w14:textId="438006EA" w:rsidR="0099470F" w:rsidRPr="00CA689A" w:rsidRDefault="0099470F">
      <w:pPr>
        <w:pStyle w:val="FootnoteText"/>
        <w:rPr>
          <w:lang w:val="en-GB"/>
        </w:rPr>
      </w:pPr>
      <w:r>
        <w:rPr>
          <w:rStyle w:val="FootnoteReference"/>
        </w:rPr>
        <w:footnoteRef/>
      </w:r>
      <w:r>
        <w:rPr>
          <w:lang w:val="en-GB"/>
        </w:rPr>
        <w:tab/>
      </w:r>
      <w:r w:rsidRPr="00CA689A">
        <w:rPr>
          <w:rStyle w:val="FootnoteTextChar"/>
        </w:rPr>
        <w:t xml:space="preserve">If a person in </w:t>
      </w:r>
      <w:proofErr w:type="spellStart"/>
      <w:r w:rsidRPr="00CA689A">
        <w:rPr>
          <w:rStyle w:val="FootnoteTextChar"/>
        </w:rPr>
        <w:t>Wairarapa</w:t>
      </w:r>
      <w:proofErr w:type="spellEnd"/>
      <w:r w:rsidRPr="00CA689A">
        <w:rPr>
          <w:rStyle w:val="FootnoteTextChar"/>
        </w:rPr>
        <w:t xml:space="preserve"> DHB requires admission to mental health inpatient services, they are transported to Hutt Valley or </w:t>
      </w:r>
      <w:proofErr w:type="spellStart"/>
      <w:r w:rsidRPr="00CA689A">
        <w:rPr>
          <w:rStyle w:val="FootnoteTextChar"/>
        </w:rPr>
        <w:t>MidCentral</w:t>
      </w:r>
      <w:proofErr w:type="spellEnd"/>
      <w:r w:rsidRPr="00CA689A">
        <w:rPr>
          <w:rStyle w:val="FootnoteTextChar"/>
        </w:rPr>
        <w:t xml:space="preserve"> DHB, and the seclusion statistics relating to these service users appear on the corresponding DHB’s database.</w:t>
      </w:r>
    </w:p>
  </w:footnote>
  <w:footnote w:id="33">
    <w:p w14:paraId="062D7DEE" w14:textId="570F6A66" w:rsidR="0099470F" w:rsidRPr="00C5177E" w:rsidRDefault="0099470F">
      <w:pPr>
        <w:pStyle w:val="FootnoteText"/>
        <w:rPr>
          <w:lang w:val="en-GB"/>
        </w:rPr>
      </w:pPr>
      <w:r>
        <w:rPr>
          <w:rStyle w:val="FootnoteReference"/>
        </w:rPr>
        <w:footnoteRef/>
      </w:r>
      <w:r>
        <w:rPr>
          <w:lang w:val="en-GB"/>
        </w:rPr>
        <w:tab/>
      </w:r>
      <w:r w:rsidRPr="00C5177E">
        <w:rPr>
          <w:rStyle w:val="FootnoteTextChar"/>
        </w:rPr>
        <w:t>The Whanganui inpatient unit comes under the Capital &amp; Coast DHB’s forensic services.</w:t>
      </w:r>
    </w:p>
  </w:footnote>
  <w:footnote w:id="34">
    <w:p w14:paraId="028B5109" w14:textId="38B9084E" w:rsidR="0099470F" w:rsidRPr="005116F2" w:rsidRDefault="0099470F" w:rsidP="005116F2">
      <w:pPr>
        <w:pStyle w:val="FootnoteText"/>
        <w:rPr>
          <w:lang w:val="en-GB"/>
        </w:rPr>
      </w:pPr>
      <w:r>
        <w:rPr>
          <w:rStyle w:val="FootnoteReference"/>
        </w:rPr>
        <w:footnoteRef/>
      </w:r>
      <w:r>
        <w:rPr>
          <w:lang w:val="en-GB"/>
        </w:rPr>
        <w:tab/>
      </w:r>
      <w:r w:rsidRPr="00EC5EF1">
        <w:t>More details about the legislative provisions used to define special and restricted patient status for this report are included in Appendix 3: Special and restricted patients.</w:t>
      </w:r>
    </w:p>
  </w:footnote>
  <w:footnote w:id="35">
    <w:p w14:paraId="3C917C12" w14:textId="48442F6B" w:rsidR="0099470F" w:rsidRPr="005116F2" w:rsidRDefault="0099470F" w:rsidP="005116F2">
      <w:pPr>
        <w:pStyle w:val="FootnoteText"/>
        <w:rPr>
          <w:lang w:val="en-GB"/>
        </w:rPr>
      </w:pPr>
      <w:r>
        <w:rPr>
          <w:rStyle w:val="FootnoteReference"/>
        </w:rPr>
        <w:footnoteRef/>
      </w:r>
      <w:r>
        <w:rPr>
          <w:lang w:val="en-GB"/>
        </w:rPr>
        <w:tab/>
      </w:r>
      <w:r w:rsidRPr="00EC5EF1">
        <w:t>As per section 2(1) of the Mental Health Act. For the purposes of this report, the data does not include people subject to section 191(2</w:t>
      </w:r>
      <w:proofErr w:type="gramStart"/>
      <w:r w:rsidRPr="00EC5EF1">
        <w:t>)(</w:t>
      </w:r>
      <w:proofErr w:type="gramEnd"/>
      <w:r w:rsidRPr="00EC5EF1">
        <w:t>a) of the Armed Forces Discipline Act 1971 or section 136(5)(a) of the IDCC&amp;R Act.</w:t>
      </w:r>
    </w:p>
  </w:footnote>
  <w:footnote w:id="36">
    <w:p w14:paraId="7E9336F7" w14:textId="08308B44" w:rsidR="0099470F" w:rsidRPr="005116F2" w:rsidRDefault="0099470F" w:rsidP="005116F2">
      <w:pPr>
        <w:pStyle w:val="FootnoteText"/>
        <w:rPr>
          <w:lang w:val="en-GB"/>
        </w:rPr>
      </w:pPr>
      <w:r>
        <w:rPr>
          <w:rStyle w:val="FootnoteReference"/>
        </w:rPr>
        <w:footnoteRef/>
      </w:r>
      <w:r>
        <w:rPr>
          <w:lang w:val="en-GB"/>
        </w:rPr>
        <w:tab/>
      </w:r>
      <w:r w:rsidRPr="005116F2">
        <w:rPr>
          <w:rStyle w:val="FootnoteTextChar"/>
        </w:rPr>
        <w:t>There is also a smaller inpatient forensic service in Whanganui that operates under the Capital &amp; Coast DHB’s forensic services. Additionally, in some circumstances, certain special patient orders can enable a Court to direct treatment outside a regional forensic service</w:t>
      </w:r>
      <w:r>
        <w:rPr>
          <w:rStyle w:val="FootnoteTextChar"/>
        </w:rPr>
        <w:t>.</w:t>
      </w:r>
    </w:p>
  </w:footnote>
  <w:footnote w:id="37">
    <w:p w14:paraId="367AE5CC" w14:textId="4849931B" w:rsidR="0099470F" w:rsidRPr="005116F2" w:rsidRDefault="0099470F" w:rsidP="005116F2">
      <w:pPr>
        <w:pStyle w:val="FootnoteText"/>
        <w:rPr>
          <w:lang w:val="en-GB"/>
        </w:rPr>
      </w:pPr>
      <w:r>
        <w:rPr>
          <w:rStyle w:val="FootnoteReference"/>
        </w:rPr>
        <w:footnoteRef/>
      </w:r>
      <w:r>
        <w:rPr>
          <w:lang w:val="en-GB"/>
        </w:rPr>
        <w:tab/>
      </w:r>
      <w:r w:rsidRPr="00EC5EF1">
        <w:t>Counts of people with a special patient legal status code current on 30 June 2016.</w:t>
      </w:r>
    </w:p>
  </w:footnote>
  <w:footnote w:id="38">
    <w:p w14:paraId="4ACDF02F" w14:textId="56C6C590" w:rsidR="0099470F" w:rsidRPr="005116F2" w:rsidRDefault="0099470F">
      <w:pPr>
        <w:pStyle w:val="FootnoteText"/>
        <w:rPr>
          <w:lang w:val="en-GB"/>
        </w:rPr>
      </w:pPr>
      <w:r>
        <w:rPr>
          <w:rStyle w:val="FootnoteReference"/>
        </w:rPr>
        <w:footnoteRef/>
      </w:r>
      <w:r>
        <w:rPr>
          <w:lang w:val="en-GB"/>
        </w:rPr>
        <w:tab/>
      </w:r>
      <w:r w:rsidRPr="005116F2">
        <w:rPr>
          <w:rStyle w:val="FootnoteTextChar"/>
        </w:rPr>
        <w:t xml:space="preserve">’Other’ refers to any ethnicity not otherwise specified in the data presented. This report uses prioritised ethnicity according to the ethnicity code tables on the Ministry’s website </w:t>
      </w:r>
      <w:hyperlink r:id="rId1">
        <w:r w:rsidRPr="00A20F1B">
          <w:t>(</w:t>
        </w:r>
        <w:r w:rsidRPr="00037C64">
          <w:rPr>
            <w:rStyle w:val="Hyperlink"/>
          </w:rPr>
          <w:t>www.health.govt.nz/nz-health-statistics/data-references/code-tables/common-code-tables/</w:t>
        </w:r>
      </w:hyperlink>
      <w:r w:rsidRPr="00037C64">
        <w:rPr>
          <w:rStyle w:val="Hyperlink"/>
        </w:rPr>
        <w:t>ethnicity-code-tables</w:t>
      </w:r>
      <w:r w:rsidRPr="005116F2">
        <w:rPr>
          <w:rStyle w:val="FootnoteTextChar"/>
        </w:rPr>
        <w:t>).</w:t>
      </w:r>
    </w:p>
  </w:footnote>
  <w:footnote w:id="39">
    <w:p w14:paraId="737A5BCB" w14:textId="25F17541" w:rsidR="0099470F" w:rsidRPr="00434E22" w:rsidRDefault="0099470F" w:rsidP="00434E22">
      <w:pPr>
        <w:pStyle w:val="FootnoteText"/>
        <w:rPr>
          <w:lang w:val="en-GB"/>
        </w:rPr>
      </w:pPr>
      <w:r>
        <w:rPr>
          <w:rStyle w:val="FootnoteReference"/>
        </w:rPr>
        <w:footnoteRef/>
      </w:r>
      <w:r>
        <w:rPr>
          <w:lang w:val="en-GB"/>
        </w:rPr>
        <w:tab/>
      </w:r>
      <w:r w:rsidRPr="00EC5EF1">
        <w:t>SAC is a numerical rating that defines the severity of an adverse event and, as a consequence, the required level of reporting and investigation to be undertaken for that event.</w:t>
      </w:r>
    </w:p>
  </w:footnote>
  <w:footnote w:id="40">
    <w:p w14:paraId="7A539462" w14:textId="642F1D0D" w:rsidR="0099470F" w:rsidRPr="00434E22" w:rsidRDefault="0099470F" w:rsidP="00434E22">
      <w:pPr>
        <w:pStyle w:val="FootnoteText"/>
        <w:rPr>
          <w:lang w:val="en-GB"/>
        </w:rPr>
      </w:pPr>
      <w:r>
        <w:rPr>
          <w:rStyle w:val="FootnoteReference"/>
        </w:rPr>
        <w:footnoteRef/>
      </w:r>
      <w:r>
        <w:rPr>
          <w:lang w:val="en-GB"/>
        </w:rPr>
        <w:tab/>
      </w:r>
      <w:r w:rsidRPr="00EC5EF1">
        <w:t xml:space="preserve">See: </w:t>
      </w:r>
      <w:hyperlink r:id="rId2">
        <w:r w:rsidRPr="00C66809">
          <w:rPr>
            <w:rStyle w:val="Hyperlink"/>
          </w:rPr>
          <w:t>www.hqsc.govt.nz/our-programmes/adverse-events/publications-and-resources/</w:t>
        </w:r>
      </w:hyperlink>
      <w:r w:rsidRPr="00C66809">
        <w:rPr>
          <w:rStyle w:val="Hyperlink"/>
        </w:rPr>
        <w:t xml:space="preserve"> publication/2933/</w:t>
      </w:r>
    </w:p>
  </w:footnote>
  <w:footnote w:id="41">
    <w:p w14:paraId="1F174D17" w14:textId="1A1977E6" w:rsidR="0099470F" w:rsidRPr="00434E22" w:rsidRDefault="0099470F" w:rsidP="00434E22">
      <w:pPr>
        <w:pStyle w:val="FootnoteText"/>
        <w:rPr>
          <w:lang w:val="en-GB"/>
        </w:rPr>
      </w:pPr>
      <w:r>
        <w:rPr>
          <w:rStyle w:val="FootnoteReference"/>
        </w:rPr>
        <w:footnoteRef/>
      </w:r>
      <w:r>
        <w:rPr>
          <w:lang w:val="en-GB"/>
        </w:rPr>
        <w:tab/>
      </w:r>
      <w:r w:rsidRPr="00EC5EF1">
        <w:t>Any suicides or suspected suicides under the Mental Health Act also come under the serious adverse event reporting requirements of the HQSC.</w:t>
      </w:r>
    </w:p>
  </w:footnote>
  <w:footnote w:id="42">
    <w:p w14:paraId="05E5CD73" w14:textId="6688E3B2" w:rsidR="0099470F" w:rsidRPr="00434E22" w:rsidRDefault="0099470F" w:rsidP="00434E22">
      <w:pPr>
        <w:pStyle w:val="FootnoteText"/>
        <w:rPr>
          <w:lang w:val="en-GB"/>
        </w:rPr>
      </w:pPr>
      <w:r>
        <w:rPr>
          <w:rStyle w:val="FootnoteReference"/>
        </w:rPr>
        <w:footnoteRef/>
      </w:r>
      <w:r>
        <w:rPr>
          <w:lang w:val="en-GB"/>
        </w:rPr>
        <w:tab/>
      </w:r>
      <w:r w:rsidRPr="00EC5EF1">
        <w:t>In New Zealand, a death is only officially classified as suicide by the coroner on completion of the coroner’s inquiry. Only those deaths determined as ‘intentionally self-inflicted’ after the inquiry will receive a final verdict of suicide. A coronial inquiry is unlikely to occur within a calendar year of an event occurring, therefore, when a death appears to be self-inflicted but the intent has not yet been determined, it is called a ‘suspected suicide’.</w:t>
      </w:r>
    </w:p>
  </w:footnote>
  <w:footnote w:id="43">
    <w:p w14:paraId="1409673F" w14:textId="27AE53B4" w:rsidR="0099470F" w:rsidRDefault="0099470F">
      <w:pPr>
        <w:pStyle w:val="FootnoteText"/>
      </w:pPr>
      <w:r>
        <w:rPr>
          <w:rStyle w:val="FootnoteReference"/>
        </w:rPr>
        <w:footnoteRef/>
      </w:r>
      <w:r>
        <w:tab/>
      </w:r>
      <w:r w:rsidRPr="00EC5EF1">
        <w:t>Reports published before the HQSC’s first publication in 2010 were produced by the Quality Improvement Committee.</w:t>
      </w:r>
    </w:p>
  </w:footnote>
  <w:footnote w:id="44">
    <w:p w14:paraId="21702121" w14:textId="4F3859BA" w:rsidR="0099470F" w:rsidRDefault="0099470F">
      <w:pPr>
        <w:pStyle w:val="FootnoteText"/>
      </w:pPr>
      <w:r>
        <w:rPr>
          <w:rStyle w:val="FootnoteReference"/>
        </w:rPr>
        <w:footnoteRef/>
      </w:r>
      <w:r>
        <w:tab/>
      </w:r>
      <w:r w:rsidRPr="007511FC">
        <w:rPr>
          <w:rStyle w:val="FootnoteTextChar"/>
        </w:rPr>
        <w:t>For more detailed information regarding deaths by suicide, please refer to Understanding Suicide in New Zealand available on the Ministry of Health’s website.</w:t>
      </w:r>
    </w:p>
  </w:footnote>
  <w:footnote w:id="45">
    <w:p w14:paraId="75ECEBAE" w14:textId="60E2B32B" w:rsidR="0099470F" w:rsidRDefault="0099470F">
      <w:pPr>
        <w:pStyle w:val="FootnoteText"/>
      </w:pPr>
      <w:r>
        <w:rPr>
          <w:rStyle w:val="FootnoteReference"/>
        </w:rPr>
        <w:footnoteRef/>
      </w:r>
      <w:r>
        <w:tab/>
      </w:r>
      <w:r w:rsidRPr="00EC5EF1">
        <w:t>Ministry of Health mortality database data, extracted on 28 June 2018.</w:t>
      </w:r>
    </w:p>
  </w:footnote>
  <w:footnote w:id="46">
    <w:p w14:paraId="729B3D07" w14:textId="5E5E417D" w:rsidR="0099470F" w:rsidRDefault="0099470F">
      <w:pPr>
        <w:pStyle w:val="FootnoteText"/>
      </w:pPr>
      <w:r>
        <w:rPr>
          <w:rStyle w:val="FootnoteReference"/>
        </w:rPr>
        <w:footnoteRef/>
      </w:r>
      <w:r>
        <w:tab/>
      </w:r>
      <w:r w:rsidRPr="007511FC">
        <w:rPr>
          <w:rStyle w:val="FootnoteTextChar"/>
        </w:rPr>
        <w:t>Suicide is a death where evidence shows that the person deliberately brought about their own death as determined by coronial ruling. Death by undetermined intent is determined by a coroner in circumstances where intent was not determined or there was not enough information obtained about likely intent</w:t>
      </w:r>
    </w:p>
  </w:footnote>
  <w:footnote w:id="47">
    <w:p w14:paraId="6A57849D" w14:textId="1349BC3A" w:rsidR="0099470F" w:rsidRDefault="0099470F">
      <w:pPr>
        <w:pStyle w:val="FootnoteText"/>
      </w:pPr>
      <w:r>
        <w:rPr>
          <w:rStyle w:val="FootnoteReference"/>
        </w:rPr>
        <w:footnoteRef/>
      </w:r>
      <w:r>
        <w:tab/>
      </w:r>
      <w:r w:rsidRPr="00EC5EF1">
        <w:t>These numbers are subject to change. The mortality database is a dynamic collection, and changes can be made even after the data is considered nominally final.</w:t>
      </w:r>
    </w:p>
  </w:footnote>
  <w:footnote w:id="48">
    <w:p w14:paraId="140FAA01" w14:textId="438F6547" w:rsidR="0099470F" w:rsidRDefault="0099470F">
      <w:pPr>
        <w:pStyle w:val="FootnoteText"/>
      </w:pPr>
      <w:r>
        <w:rPr>
          <w:rStyle w:val="FootnoteReference"/>
        </w:rPr>
        <w:footnoteRef/>
      </w:r>
      <w:r>
        <w:tab/>
      </w:r>
      <w:r w:rsidRPr="007511FC">
        <w:rPr>
          <w:rStyle w:val="FootnoteTextChar"/>
        </w:rPr>
        <w:t xml:space="preserve">This is because in the </w:t>
      </w:r>
      <w:proofErr w:type="gramStart"/>
      <w:r w:rsidRPr="007511FC">
        <w:rPr>
          <w:rStyle w:val="FootnoteTextChar"/>
        </w:rPr>
        <w:t>Central</w:t>
      </w:r>
      <w:proofErr w:type="gramEnd"/>
      <w:r w:rsidRPr="007511FC">
        <w:rPr>
          <w:rStyle w:val="FootnoteTextChar"/>
        </w:rPr>
        <w:t xml:space="preserve"> and Southern regions, older people’s mental health treatment was provided by health services for older people rather than mental health services and was not necessarily recorded in PRIMHD. Each year, deaths of children under 10 years of age are also excluded because ‘undetermined intent’ deaths in this age group are unlikely to be caused by suicide. The data was drawn from information provided to the Ministry’s national mortality database and PRIMHD</w:t>
      </w:r>
      <w:r>
        <w:rPr>
          <w:rStyle w:val="FootnoteTextChar"/>
        </w:rPr>
        <w:t>.</w:t>
      </w:r>
    </w:p>
  </w:footnote>
  <w:footnote w:id="49">
    <w:p w14:paraId="3EC9035A" w14:textId="77777777" w:rsidR="0099470F" w:rsidRPr="00EC5EF1" w:rsidRDefault="0099470F" w:rsidP="00BB2F7A">
      <w:pPr>
        <w:pStyle w:val="FootnoteText"/>
      </w:pPr>
      <w:r>
        <w:rPr>
          <w:rStyle w:val="FootnoteReference"/>
        </w:rPr>
        <w:footnoteRef/>
      </w:r>
      <w:r>
        <w:tab/>
      </w:r>
      <w:r w:rsidRPr="00EC5EF1">
        <w:t>This figure is determined from the number of people who had an inpatient activity on the day they died; PRIMHD cannot determine the number of people who died at an inpatient unit. In addition to capturing suicide deaths that occurred in inpatient facilities, this figure may also capture:</w:t>
      </w:r>
    </w:p>
    <w:p w14:paraId="409275A0" w14:textId="77777777" w:rsidR="0099470F" w:rsidRPr="00BB2F7A" w:rsidRDefault="0099470F" w:rsidP="00BB2F7A">
      <w:pPr>
        <w:pStyle w:val="Bullet"/>
        <w:spacing w:before="60"/>
        <w:ind w:left="568"/>
        <w:rPr>
          <w:sz w:val="17"/>
          <w:szCs w:val="17"/>
        </w:rPr>
      </w:pPr>
      <w:r w:rsidRPr="00BB2F7A">
        <w:rPr>
          <w:sz w:val="17"/>
          <w:szCs w:val="17"/>
        </w:rPr>
        <w:t>people who received care in an inpatient facility, were discharged and died by suicide in the community later that day</w:t>
      </w:r>
    </w:p>
    <w:p w14:paraId="4DB76479" w14:textId="77777777" w:rsidR="0099470F" w:rsidRPr="00BB2F7A" w:rsidRDefault="0099470F" w:rsidP="00BB2F7A">
      <w:pPr>
        <w:pStyle w:val="Bullet"/>
        <w:spacing w:before="60"/>
        <w:ind w:left="568"/>
        <w:rPr>
          <w:sz w:val="17"/>
          <w:szCs w:val="17"/>
        </w:rPr>
      </w:pPr>
      <w:r w:rsidRPr="00BB2F7A">
        <w:rPr>
          <w:sz w:val="17"/>
          <w:szCs w:val="17"/>
        </w:rPr>
        <w:t>people who attempted suicide in the community and later died in hospital</w:t>
      </w:r>
    </w:p>
    <w:p w14:paraId="096211B3" w14:textId="77777777" w:rsidR="0099470F" w:rsidRDefault="0099470F" w:rsidP="00BB2F7A">
      <w:pPr>
        <w:pStyle w:val="Bullet"/>
        <w:spacing w:before="60"/>
        <w:ind w:left="568"/>
        <w:rPr>
          <w:sz w:val="17"/>
          <w:szCs w:val="17"/>
        </w:rPr>
      </w:pPr>
      <w:proofErr w:type="gramStart"/>
      <w:r w:rsidRPr="00BB2F7A">
        <w:rPr>
          <w:sz w:val="17"/>
          <w:szCs w:val="17"/>
        </w:rPr>
        <w:t>people</w:t>
      </w:r>
      <w:proofErr w:type="gramEnd"/>
      <w:r w:rsidRPr="00BB2F7A">
        <w:rPr>
          <w:sz w:val="17"/>
          <w:szCs w:val="17"/>
        </w:rPr>
        <w:t xml:space="preserve"> who died by suicide in the community while on leave from an inpatient facility.</w:t>
      </w:r>
    </w:p>
    <w:p w14:paraId="4D5FD8F8" w14:textId="44E69B00" w:rsidR="0099470F" w:rsidRPr="00BB2F7A" w:rsidRDefault="0099470F" w:rsidP="00BB2F7A">
      <w:pPr>
        <w:pStyle w:val="FootnoteText"/>
        <w:ind w:firstLine="0"/>
      </w:pPr>
      <w:r w:rsidRPr="00BB2F7A">
        <w:t>Note that these figures should not be compared with those of previous annual reports, as the definitions for ‘inpatient’ and ‘community service user’ have been updated.</w:t>
      </w:r>
    </w:p>
  </w:footnote>
  <w:footnote w:id="50">
    <w:p w14:paraId="26CF4DE9" w14:textId="2EF38F13" w:rsidR="0099470F" w:rsidRDefault="0099470F">
      <w:pPr>
        <w:pStyle w:val="FootnoteText"/>
      </w:pPr>
      <w:r>
        <w:rPr>
          <w:rStyle w:val="FootnoteReference"/>
        </w:rPr>
        <w:footnoteRef/>
      </w:r>
      <w:r>
        <w:tab/>
      </w:r>
      <w:r w:rsidRPr="00EC5EF1">
        <w:t>Excluding those who received treatment on the day of their death.</w:t>
      </w:r>
    </w:p>
  </w:footnote>
  <w:footnote w:id="51">
    <w:p w14:paraId="443E10A1" w14:textId="1C7761CA" w:rsidR="0099470F" w:rsidRDefault="0099470F">
      <w:pPr>
        <w:pStyle w:val="FootnoteText"/>
      </w:pPr>
      <w:r>
        <w:rPr>
          <w:rStyle w:val="FootnoteReference"/>
        </w:rPr>
        <w:footnoteRef/>
      </w:r>
      <w:r>
        <w:tab/>
      </w:r>
      <w:r w:rsidRPr="00EC5EF1">
        <w:t>Excluding those who received treatment on the day of their death and those who died within a week of being discharged from an inpatient service.</w:t>
      </w:r>
    </w:p>
  </w:footnote>
  <w:footnote w:id="52">
    <w:p w14:paraId="56F92B83" w14:textId="4095109A" w:rsidR="0099470F" w:rsidRDefault="0099470F">
      <w:pPr>
        <w:pStyle w:val="FootnoteText"/>
      </w:pPr>
      <w:r>
        <w:rPr>
          <w:rStyle w:val="FootnoteReference"/>
        </w:rPr>
        <w:footnoteRef/>
      </w:r>
      <w:r>
        <w:tab/>
      </w:r>
      <w:r w:rsidRPr="00EC5EF1">
        <w:t>Includes deaths of undetermined intent.</w:t>
      </w:r>
    </w:p>
  </w:footnote>
  <w:footnote w:id="53">
    <w:p w14:paraId="2C4D3B9D" w14:textId="3064AD4E" w:rsidR="0099470F" w:rsidRDefault="0099470F">
      <w:pPr>
        <w:pStyle w:val="FootnoteText"/>
      </w:pPr>
      <w:r>
        <w:rPr>
          <w:rStyle w:val="FootnoteReference"/>
        </w:rPr>
        <w:footnoteRef/>
      </w:r>
      <w:r>
        <w:tab/>
      </w:r>
      <w:r w:rsidRPr="00EC5EF1">
        <w:t>Data provided by OST services in six-monthly reports.</w:t>
      </w:r>
    </w:p>
  </w:footnote>
  <w:footnote w:id="54">
    <w:p w14:paraId="3DFCD4A4" w14:textId="601DE0E9" w:rsidR="0099470F" w:rsidRDefault="0099470F">
      <w:pPr>
        <w:pStyle w:val="FootnoteText"/>
      </w:pPr>
      <w:r>
        <w:rPr>
          <w:rStyle w:val="FootnoteReference"/>
        </w:rPr>
        <w:footnoteRef/>
      </w:r>
      <w:r>
        <w:tab/>
      </w:r>
      <w:r w:rsidRPr="007753C8">
        <w:rPr>
          <w:rStyle w:val="FootnoteTextChar"/>
        </w:rPr>
        <w:t>PHARMAC is the New Zealand government agency that decides which pharmaceuticals to publicly fund in New Zealand</w:t>
      </w:r>
      <w:r>
        <w:rPr>
          <w:rStyle w:val="FootnoteTextChar"/>
        </w:rPr>
        <w:t>.</w:t>
      </w:r>
    </w:p>
  </w:footnote>
  <w:footnote w:id="55">
    <w:p w14:paraId="6637A618" w14:textId="369B6115" w:rsidR="0099470F" w:rsidRDefault="0099470F" w:rsidP="00975A47">
      <w:pPr>
        <w:pStyle w:val="FootnoteText"/>
      </w:pPr>
      <w:r>
        <w:rPr>
          <w:rStyle w:val="FootnoteReference"/>
        </w:rPr>
        <w:footnoteRef/>
      </w:r>
      <w:r>
        <w:tab/>
      </w:r>
      <w:r w:rsidRPr="00975A47">
        <w:rPr>
          <w:rStyle w:val="FootnoteTextChar"/>
        </w:rPr>
        <w:t>The table presents data by DHB of domicile; that is, the area where a person lives. This takes account of the fact that some DHBs do not perform ECT and the people who live in such DHB areas are referred to other DHBs for ECT treatment. Other ECT statistics are presented by DHB of service.</w:t>
      </w:r>
    </w:p>
  </w:footnote>
  <w:footnote w:id="56">
    <w:p w14:paraId="397484EB" w14:textId="4AEDF063" w:rsidR="0099470F" w:rsidRDefault="0099470F">
      <w:pPr>
        <w:pStyle w:val="FootnoteText"/>
      </w:pPr>
      <w:r>
        <w:rPr>
          <w:rStyle w:val="FootnoteReference"/>
        </w:rPr>
        <w:footnoteRef/>
      </w:r>
      <w:r>
        <w:tab/>
      </w:r>
      <w:r w:rsidRPr="00CD1F6C">
        <w:rPr>
          <w:rStyle w:val="FootnoteTextChar"/>
        </w:rPr>
        <w:t>This psychiatrist must be independent of the person’s clinical team.</w:t>
      </w:r>
    </w:p>
  </w:footnote>
  <w:footnote w:id="57">
    <w:p w14:paraId="3F66A492" w14:textId="48965D31" w:rsidR="0099470F" w:rsidRDefault="0099470F">
      <w:pPr>
        <w:pStyle w:val="FootnoteText"/>
      </w:pPr>
      <w:r>
        <w:rPr>
          <w:rStyle w:val="FootnoteReference"/>
        </w:rPr>
        <w:footnoteRef/>
      </w:r>
      <w:r>
        <w:tab/>
      </w:r>
      <w:r w:rsidRPr="00CD1F6C">
        <w:rPr>
          <w:rStyle w:val="FootnoteTextChar"/>
        </w:rPr>
        <w:t>Refer to the Guidelines to the Mental Health (Compulsory Assessment and Treatment) Act 1992 (Ministry of Health 2012d).</w:t>
      </w:r>
    </w:p>
  </w:footnote>
  <w:footnote w:id="58">
    <w:p w14:paraId="0DCB6519" w14:textId="197625D8" w:rsidR="0099470F" w:rsidRDefault="0099470F">
      <w:pPr>
        <w:pStyle w:val="FootnoteText"/>
      </w:pPr>
      <w:r>
        <w:rPr>
          <w:rStyle w:val="FootnoteReference"/>
        </w:rPr>
        <w:footnoteRef/>
      </w:r>
      <w:r>
        <w:tab/>
      </w:r>
      <w:r w:rsidRPr="00A15127">
        <w:rPr>
          <w:rStyle w:val="FootnoteTextChar"/>
        </w:rPr>
        <w:t>Adult mental health services generally care for people aged 20–64 years. Adult inpatient services are distinct from forensic services, youth services, intellectual disability services and services for older people. Additionally, this data includes patients with a legal status under the Mental Health</w:t>
      </w:r>
      <w:r>
        <w:rPr>
          <w:rStyle w:val="FootnoteTextChar"/>
        </w:rPr>
        <w:t xml:space="preserve"> </w:t>
      </w:r>
      <w:r w:rsidRPr="00EC5EF1">
        <w:t>Act, but are treated in RIDSS</w:t>
      </w:r>
      <w:r>
        <w:rPr>
          <w:color w:val="231F20"/>
          <w:sz w:val="19"/>
        </w:rPr>
        <w:t>.</w:t>
      </w:r>
    </w:p>
  </w:footnote>
  <w:footnote w:id="59">
    <w:p w14:paraId="2988C415" w14:textId="7B2976BB" w:rsidR="0099470F" w:rsidRDefault="0099470F">
      <w:pPr>
        <w:pStyle w:val="FootnoteText"/>
      </w:pPr>
      <w:r>
        <w:rPr>
          <w:rStyle w:val="FootnoteReference"/>
        </w:rPr>
        <w:footnoteRef/>
      </w:r>
      <w:r>
        <w:tab/>
      </w:r>
      <w:r w:rsidRPr="00EC5EF1">
        <w:t>For 2017, bed nights are measured by team types that provide seclusion. In previous years, bed nights were measured by acute and subacute bed nights.</w:t>
      </w:r>
    </w:p>
  </w:footnote>
  <w:footnote w:id="60">
    <w:p w14:paraId="765F2A4C" w14:textId="045ED3BE" w:rsidR="0099470F" w:rsidRDefault="0099470F">
      <w:pPr>
        <w:pStyle w:val="FootnoteText"/>
      </w:pPr>
      <w:r>
        <w:rPr>
          <w:rStyle w:val="FootnoteReference"/>
        </w:rPr>
        <w:footnoteRef/>
      </w:r>
      <w:r>
        <w:tab/>
      </w:r>
      <w:r w:rsidRPr="00EC5EF1">
        <w:t>Source: PRIMHD data, extracted on 17 August 2018; except Southern DHB, which submitted data manually</w:t>
      </w:r>
      <w:r>
        <w:t>.</w:t>
      </w:r>
    </w:p>
  </w:footnote>
  <w:footnote w:id="61">
    <w:p w14:paraId="4444F1D3" w14:textId="03DB1F84" w:rsidR="0099470F" w:rsidRPr="008E4266" w:rsidRDefault="0099470F" w:rsidP="008E4266">
      <w:pPr>
        <w:pStyle w:val="FootnoteText"/>
        <w:rPr>
          <w:szCs w:val="17"/>
        </w:rPr>
      </w:pPr>
      <w:r>
        <w:rPr>
          <w:rStyle w:val="FootnoteReference"/>
        </w:rPr>
        <w:footnoteRef/>
      </w:r>
      <w:r>
        <w:tab/>
      </w:r>
      <w:r w:rsidRPr="008E4266">
        <w:rPr>
          <w:szCs w:val="17"/>
        </w:rPr>
        <w:t xml:space="preserve">See: </w:t>
      </w:r>
      <w:hyperlink r:id="rId3">
        <w:r w:rsidRPr="008E4266">
          <w:rPr>
            <w:rStyle w:val="Hyperlink"/>
          </w:rPr>
          <w:t>www.hqsc.govt.nz/our-programmes/adverse-events/national-adverse-events-policy</w:t>
        </w:r>
      </w:hyperlink>
    </w:p>
  </w:footnote>
  <w:footnote w:id="62">
    <w:p w14:paraId="632469B7" w14:textId="472DC5B3" w:rsidR="0099470F" w:rsidRDefault="0099470F">
      <w:pPr>
        <w:pStyle w:val="FootnoteText"/>
      </w:pPr>
      <w:r>
        <w:rPr>
          <w:rStyle w:val="FootnoteReference"/>
        </w:rPr>
        <w:footnoteRef/>
      </w:r>
      <w:r>
        <w:tab/>
      </w:r>
      <w:r w:rsidRPr="00EC5EF1">
        <w:t xml:space="preserve">The London Protocol revised and updated the original ‘Protocol for the Investigation and Analysis of Clinical Incidents’ and outlines a process of incident investigation and analysis develop in a research context and adapted for practical use by risk managers and others trained in incident investigation. For more details, see: </w:t>
      </w:r>
      <w:hyperlink r:id="rId4">
        <w:r w:rsidRPr="008E4266">
          <w:rPr>
            <w:rStyle w:val="Hyperlink"/>
          </w:rPr>
          <w:t>www.imperial.ac.uk/media/imperial-</w:t>
        </w:r>
      </w:hyperlink>
      <w:r w:rsidRPr="008E4266">
        <w:rPr>
          <w:rStyle w:val="Hyperlink"/>
        </w:rPr>
        <w:t>college/medicine/surgery-cancer/pstrc/londonprotocol_e.pdf</w:t>
      </w:r>
    </w:p>
  </w:footnote>
  <w:footnote w:id="63">
    <w:p w14:paraId="4C5D3115" w14:textId="332D5915" w:rsidR="0099470F" w:rsidRDefault="0099470F">
      <w:pPr>
        <w:pStyle w:val="FootnoteText"/>
      </w:pPr>
      <w:r>
        <w:rPr>
          <w:rStyle w:val="FootnoteReference"/>
        </w:rPr>
        <w:footnoteRef/>
      </w:r>
      <w:r>
        <w:tab/>
      </w:r>
      <w:r w:rsidRPr="00EC5EF1">
        <w:t xml:space="preserve">Based on IHI. 2003. </w:t>
      </w:r>
      <w:r w:rsidRPr="008E4266">
        <w:rPr>
          <w:i/>
        </w:rPr>
        <w:t>The Breakthrough Series: IHI’s Collaborative Model for Achieving Breakthrough Improvement</w:t>
      </w:r>
      <w:r w:rsidRPr="00EC5EF1">
        <w:t xml:space="preserve">. IHI Innovation Series white paper. Boston: Institute for Healthcare Improvement. (Available at: </w:t>
      </w:r>
      <w:hyperlink r:id="rId5">
        <w:r w:rsidRPr="008E4266">
          <w:rPr>
            <w:rStyle w:val="Hyperlink"/>
          </w:rPr>
          <w:t>www.ihi.org/resources/Pages/IHIWhitePapers/</w:t>
        </w:r>
      </w:hyperlink>
      <w:r w:rsidRPr="008E4266">
        <w:rPr>
          <w:rStyle w:val="Hyperlink"/>
        </w:rPr>
        <w:t>TheBreakthroughSeriesIHIsCollaborativeModelforAchievingBreakthroughImprovement.aspx</w:t>
      </w:r>
      <w:r w:rsidRPr="00EC5EF1">
        <w:t>).</w:t>
      </w:r>
    </w:p>
  </w:footnote>
  <w:footnote w:id="64">
    <w:p w14:paraId="485F6BE2" w14:textId="4726B653" w:rsidR="0099470F" w:rsidRDefault="0099470F">
      <w:pPr>
        <w:pStyle w:val="FootnoteText"/>
      </w:pPr>
      <w:r>
        <w:rPr>
          <w:rStyle w:val="FootnoteReference"/>
        </w:rPr>
        <w:footnoteRef/>
      </w:r>
      <w:r>
        <w:tab/>
      </w:r>
      <w:r w:rsidRPr="008E4266">
        <w:rPr>
          <w:rStyle w:val="FootnoteTextChar"/>
        </w:rPr>
        <w:t>The wording of these five priority areas may be amended when the mental health and addictions quality improvement programme is finalised, but the topic</w:t>
      </w:r>
      <w:r w:rsidRPr="00EC5EF1">
        <w:rPr>
          <w:color w:val="231F20"/>
          <w:sz w:val="19"/>
        </w:rPr>
        <w:t xml:space="preserve"> </w:t>
      </w:r>
      <w:r w:rsidRPr="00EC5EF1">
        <w:t>themes will remain the same.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99470F" w14:paraId="47CD75E8" w14:textId="77777777" w:rsidTr="005A79E5">
      <w:trPr>
        <w:cantSplit/>
      </w:trPr>
      <w:tc>
        <w:tcPr>
          <w:tcW w:w="5210" w:type="dxa"/>
        </w:tcPr>
        <w:p w14:paraId="5A0F64EA" w14:textId="77777777" w:rsidR="0099470F" w:rsidRDefault="0099470F" w:rsidP="00700B54">
          <w:pPr>
            <w:pStyle w:val="Header"/>
          </w:pPr>
          <w:r>
            <w:rPr>
              <w:noProof/>
              <w:lang w:eastAsia="en-NZ"/>
            </w:rPr>
            <w:drawing>
              <wp:inline distT="0" distB="0" distL="0" distR="0" wp14:anchorId="7171F2CB" wp14:editId="3B7C5AF8">
                <wp:extent cx="1395076" cy="5735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1B9F42AC" w14:textId="77777777" w:rsidR="0099470F" w:rsidRDefault="0099470F" w:rsidP="00700B54">
          <w:pPr>
            <w:pStyle w:val="Header"/>
            <w:jc w:val="right"/>
          </w:pPr>
          <w:r>
            <w:rPr>
              <w:noProof/>
              <w:lang w:eastAsia="en-NZ"/>
            </w:rPr>
            <w:drawing>
              <wp:inline distT="0" distB="0" distL="0" distR="0" wp14:anchorId="2CBABFD3" wp14:editId="135DD26E">
                <wp:extent cx="1720735" cy="177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303132AE" w14:textId="77777777" w:rsidR="0099470F" w:rsidRDefault="009947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DCA98" w14:textId="77777777" w:rsidR="0099470F" w:rsidRDefault="0099470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79584" w14:textId="77777777" w:rsidR="0099470F" w:rsidRDefault="0099470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2C9C2" w14:textId="77777777" w:rsidR="0099470F" w:rsidRDefault="0099470F" w:rsidP="00533B9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CF617" w14:textId="77777777" w:rsidR="0099470F" w:rsidRDefault="0099470F" w:rsidP="0090019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A8E56" w14:textId="77777777" w:rsidR="0099470F" w:rsidRDefault="0099470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BAF6FD0"/>
    <w:multiLevelType w:val="hybridMultilevel"/>
    <w:tmpl w:val="96E07C40"/>
    <w:lvl w:ilvl="0" w:tplc="045EE228">
      <w:numFmt w:val="bullet"/>
      <w:lvlText w:val="•"/>
      <w:lvlJc w:val="left"/>
      <w:pPr>
        <w:ind w:left="2574" w:hanging="284"/>
      </w:pPr>
      <w:rPr>
        <w:rFonts w:ascii="Calibri" w:eastAsia="Calibri" w:hAnsi="Calibri" w:cs="Calibri" w:hint="default"/>
        <w:i/>
        <w:color w:val="231F20"/>
        <w:w w:val="75"/>
        <w:sz w:val="21"/>
        <w:szCs w:val="21"/>
      </w:rPr>
    </w:lvl>
    <w:lvl w:ilvl="1" w:tplc="9348A0B4">
      <w:numFmt w:val="bullet"/>
      <w:lvlText w:val="•"/>
      <w:lvlJc w:val="left"/>
      <w:pPr>
        <w:ind w:left="3630" w:hanging="284"/>
      </w:pPr>
      <w:rPr>
        <w:rFonts w:hint="default"/>
      </w:rPr>
    </w:lvl>
    <w:lvl w:ilvl="2" w:tplc="ACB06080">
      <w:numFmt w:val="bullet"/>
      <w:lvlText w:val="•"/>
      <w:lvlJc w:val="left"/>
      <w:pPr>
        <w:ind w:left="4681" w:hanging="284"/>
      </w:pPr>
      <w:rPr>
        <w:rFonts w:hint="default"/>
      </w:rPr>
    </w:lvl>
    <w:lvl w:ilvl="3" w:tplc="83DE398A">
      <w:numFmt w:val="bullet"/>
      <w:lvlText w:val="•"/>
      <w:lvlJc w:val="left"/>
      <w:pPr>
        <w:ind w:left="5731" w:hanging="284"/>
      </w:pPr>
      <w:rPr>
        <w:rFonts w:hint="default"/>
      </w:rPr>
    </w:lvl>
    <w:lvl w:ilvl="4" w:tplc="D1704082">
      <w:numFmt w:val="bullet"/>
      <w:lvlText w:val="•"/>
      <w:lvlJc w:val="left"/>
      <w:pPr>
        <w:ind w:left="6782" w:hanging="284"/>
      </w:pPr>
      <w:rPr>
        <w:rFonts w:hint="default"/>
      </w:rPr>
    </w:lvl>
    <w:lvl w:ilvl="5" w:tplc="2C88C098">
      <w:numFmt w:val="bullet"/>
      <w:lvlText w:val="•"/>
      <w:lvlJc w:val="left"/>
      <w:pPr>
        <w:ind w:left="7832" w:hanging="284"/>
      </w:pPr>
      <w:rPr>
        <w:rFonts w:hint="default"/>
      </w:rPr>
    </w:lvl>
    <w:lvl w:ilvl="6" w:tplc="3A729D1E">
      <w:numFmt w:val="bullet"/>
      <w:lvlText w:val="•"/>
      <w:lvlJc w:val="left"/>
      <w:pPr>
        <w:ind w:left="8883" w:hanging="284"/>
      </w:pPr>
      <w:rPr>
        <w:rFonts w:hint="default"/>
      </w:rPr>
    </w:lvl>
    <w:lvl w:ilvl="7" w:tplc="0BF2C824">
      <w:numFmt w:val="bullet"/>
      <w:lvlText w:val="•"/>
      <w:lvlJc w:val="left"/>
      <w:pPr>
        <w:ind w:left="9933" w:hanging="284"/>
      </w:pPr>
      <w:rPr>
        <w:rFonts w:hint="default"/>
      </w:rPr>
    </w:lvl>
    <w:lvl w:ilvl="8" w:tplc="C5CA5C96">
      <w:numFmt w:val="bullet"/>
      <w:lvlText w:val="•"/>
      <w:lvlJc w:val="left"/>
      <w:pPr>
        <w:ind w:left="10984" w:hanging="284"/>
      </w:pPr>
      <w:rPr>
        <w:rFonts w:hint="default"/>
      </w:rPr>
    </w:lvl>
  </w:abstractNum>
  <w:abstractNum w:abstractNumId="2" w15:restartNumberingAfterBreak="0">
    <w:nsid w:val="0C0376A2"/>
    <w:multiLevelType w:val="hybridMultilevel"/>
    <w:tmpl w:val="0028772E"/>
    <w:lvl w:ilvl="0" w:tplc="8E82856A">
      <w:numFmt w:val="bullet"/>
      <w:lvlText w:val="•"/>
      <w:lvlJc w:val="left"/>
      <w:pPr>
        <w:ind w:left="2574" w:hanging="284"/>
      </w:pPr>
      <w:rPr>
        <w:rFonts w:ascii="Arial Unicode MS" w:eastAsia="Arial Unicode MS" w:hAnsi="Arial Unicode MS" w:cs="Arial Unicode MS" w:hint="default"/>
        <w:color w:val="231F20"/>
        <w:w w:val="107"/>
        <w:sz w:val="21"/>
        <w:szCs w:val="21"/>
      </w:rPr>
    </w:lvl>
    <w:lvl w:ilvl="1" w:tplc="AA8AFFC8">
      <w:numFmt w:val="bullet"/>
      <w:lvlText w:val="•"/>
      <w:lvlJc w:val="left"/>
      <w:pPr>
        <w:ind w:left="3630" w:hanging="284"/>
      </w:pPr>
      <w:rPr>
        <w:rFonts w:hint="default"/>
      </w:rPr>
    </w:lvl>
    <w:lvl w:ilvl="2" w:tplc="695EC52C">
      <w:numFmt w:val="bullet"/>
      <w:lvlText w:val="•"/>
      <w:lvlJc w:val="left"/>
      <w:pPr>
        <w:ind w:left="4681" w:hanging="284"/>
      </w:pPr>
      <w:rPr>
        <w:rFonts w:hint="default"/>
      </w:rPr>
    </w:lvl>
    <w:lvl w:ilvl="3" w:tplc="A6CC7E62">
      <w:numFmt w:val="bullet"/>
      <w:lvlText w:val="•"/>
      <w:lvlJc w:val="left"/>
      <w:pPr>
        <w:ind w:left="5731" w:hanging="284"/>
      </w:pPr>
      <w:rPr>
        <w:rFonts w:hint="default"/>
      </w:rPr>
    </w:lvl>
    <w:lvl w:ilvl="4" w:tplc="F724B5A0">
      <w:numFmt w:val="bullet"/>
      <w:lvlText w:val="•"/>
      <w:lvlJc w:val="left"/>
      <w:pPr>
        <w:ind w:left="6782" w:hanging="284"/>
      </w:pPr>
      <w:rPr>
        <w:rFonts w:hint="default"/>
      </w:rPr>
    </w:lvl>
    <w:lvl w:ilvl="5" w:tplc="6E449B5E">
      <w:numFmt w:val="bullet"/>
      <w:lvlText w:val="•"/>
      <w:lvlJc w:val="left"/>
      <w:pPr>
        <w:ind w:left="7832" w:hanging="284"/>
      </w:pPr>
      <w:rPr>
        <w:rFonts w:hint="default"/>
      </w:rPr>
    </w:lvl>
    <w:lvl w:ilvl="6" w:tplc="CD247B5C">
      <w:numFmt w:val="bullet"/>
      <w:lvlText w:val="•"/>
      <w:lvlJc w:val="left"/>
      <w:pPr>
        <w:ind w:left="8883" w:hanging="284"/>
      </w:pPr>
      <w:rPr>
        <w:rFonts w:hint="default"/>
      </w:rPr>
    </w:lvl>
    <w:lvl w:ilvl="7" w:tplc="EEA00BEC">
      <w:numFmt w:val="bullet"/>
      <w:lvlText w:val="•"/>
      <w:lvlJc w:val="left"/>
      <w:pPr>
        <w:ind w:left="9933" w:hanging="284"/>
      </w:pPr>
      <w:rPr>
        <w:rFonts w:hint="default"/>
      </w:rPr>
    </w:lvl>
    <w:lvl w:ilvl="8" w:tplc="E21E4F6A">
      <w:numFmt w:val="bullet"/>
      <w:lvlText w:val="•"/>
      <w:lvlJc w:val="left"/>
      <w:pPr>
        <w:ind w:left="10984" w:hanging="284"/>
      </w:pPr>
      <w:rPr>
        <w:rFonts w:hint="default"/>
      </w:rPr>
    </w:lvl>
  </w:abstractNum>
  <w:abstractNum w:abstractNumId="3" w15:restartNumberingAfterBreak="0">
    <w:nsid w:val="215459C7"/>
    <w:multiLevelType w:val="hybridMultilevel"/>
    <w:tmpl w:val="E42868E8"/>
    <w:lvl w:ilvl="0" w:tplc="1B528274">
      <w:numFmt w:val="bullet"/>
      <w:lvlText w:val="•"/>
      <w:lvlJc w:val="left"/>
      <w:pPr>
        <w:ind w:left="2574" w:hanging="284"/>
      </w:pPr>
      <w:rPr>
        <w:rFonts w:ascii="Arial Unicode MS" w:eastAsia="Arial Unicode MS" w:hAnsi="Arial Unicode MS" w:cs="Arial Unicode MS" w:hint="default"/>
        <w:color w:val="231F20"/>
        <w:w w:val="107"/>
        <w:sz w:val="21"/>
        <w:szCs w:val="21"/>
      </w:rPr>
    </w:lvl>
    <w:lvl w:ilvl="1" w:tplc="09A67BCE">
      <w:numFmt w:val="bullet"/>
      <w:lvlText w:val="•"/>
      <w:lvlJc w:val="left"/>
      <w:pPr>
        <w:ind w:left="3630" w:hanging="284"/>
      </w:pPr>
      <w:rPr>
        <w:rFonts w:hint="default"/>
      </w:rPr>
    </w:lvl>
    <w:lvl w:ilvl="2" w:tplc="0714FBCE">
      <w:numFmt w:val="bullet"/>
      <w:lvlText w:val="•"/>
      <w:lvlJc w:val="left"/>
      <w:pPr>
        <w:ind w:left="4681" w:hanging="284"/>
      </w:pPr>
      <w:rPr>
        <w:rFonts w:hint="default"/>
      </w:rPr>
    </w:lvl>
    <w:lvl w:ilvl="3" w:tplc="BC861594">
      <w:numFmt w:val="bullet"/>
      <w:lvlText w:val="•"/>
      <w:lvlJc w:val="left"/>
      <w:pPr>
        <w:ind w:left="5731" w:hanging="284"/>
      </w:pPr>
      <w:rPr>
        <w:rFonts w:hint="default"/>
      </w:rPr>
    </w:lvl>
    <w:lvl w:ilvl="4" w:tplc="19D0C26E">
      <w:numFmt w:val="bullet"/>
      <w:lvlText w:val="•"/>
      <w:lvlJc w:val="left"/>
      <w:pPr>
        <w:ind w:left="6782" w:hanging="284"/>
      </w:pPr>
      <w:rPr>
        <w:rFonts w:hint="default"/>
      </w:rPr>
    </w:lvl>
    <w:lvl w:ilvl="5" w:tplc="70560C6C">
      <w:numFmt w:val="bullet"/>
      <w:lvlText w:val="•"/>
      <w:lvlJc w:val="left"/>
      <w:pPr>
        <w:ind w:left="7832" w:hanging="284"/>
      </w:pPr>
      <w:rPr>
        <w:rFonts w:hint="default"/>
      </w:rPr>
    </w:lvl>
    <w:lvl w:ilvl="6" w:tplc="FB50BB5E">
      <w:numFmt w:val="bullet"/>
      <w:lvlText w:val="•"/>
      <w:lvlJc w:val="left"/>
      <w:pPr>
        <w:ind w:left="8883" w:hanging="284"/>
      </w:pPr>
      <w:rPr>
        <w:rFonts w:hint="default"/>
      </w:rPr>
    </w:lvl>
    <w:lvl w:ilvl="7" w:tplc="7DFC9824">
      <w:numFmt w:val="bullet"/>
      <w:lvlText w:val="•"/>
      <w:lvlJc w:val="left"/>
      <w:pPr>
        <w:ind w:left="9933" w:hanging="284"/>
      </w:pPr>
      <w:rPr>
        <w:rFonts w:hint="default"/>
      </w:rPr>
    </w:lvl>
    <w:lvl w:ilvl="8" w:tplc="42FE59E4">
      <w:numFmt w:val="bullet"/>
      <w:lvlText w:val="•"/>
      <w:lvlJc w:val="left"/>
      <w:pPr>
        <w:ind w:left="10984" w:hanging="284"/>
      </w:pPr>
      <w:rPr>
        <w:rFonts w:hint="default"/>
      </w:rPr>
    </w:lvl>
  </w:abstractNum>
  <w:abstractNum w:abstractNumId="4"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7D00DD5"/>
    <w:multiLevelType w:val="hybridMultilevel"/>
    <w:tmpl w:val="AB94E408"/>
    <w:lvl w:ilvl="0" w:tplc="BFCA4F08">
      <w:start w:val="58"/>
      <w:numFmt w:val="decimal"/>
      <w:lvlText w:val="%1"/>
      <w:lvlJc w:val="left"/>
      <w:pPr>
        <w:ind w:left="2630" w:hanging="340"/>
      </w:pPr>
      <w:rPr>
        <w:rFonts w:ascii="Arial Unicode MS" w:eastAsia="Arial Unicode MS" w:hAnsi="Arial Unicode MS" w:cs="Arial Unicode MS" w:hint="default"/>
        <w:color w:val="231F20"/>
        <w:w w:val="102"/>
        <w:sz w:val="19"/>
        <w:szCs w:val="19"/>
      </w:rPr>
    </w:lvl>
    <w:lvl w:ilvl="1" w:tplc="45D2E47E">
      <w:numFmt w:val="bullet"/>
      <w:lvlText w:val="•"/>
      <w:lvlJc w:val="left"/>
      <w:pPr>
        <w:ind w:left="3684" w:hanging="340"/>
      </w:pPr>
      <w:rPr>
        <w:rFonts w:hint="default"/>
      </w:rPr>
    </w:lvl>
    <w:lvl w:ilvl="2" w:tplc="5574B1B4">
      <w:numFmt w:val="bullet"/>
      <w:lvlText w:val="•"/>
      <w:lvlJc w:val="left"/>
      <w:pPr>
        <w:ind w:left="4729" w:hanging="340"/>
      </w:pPr>
      <w:rPr>
        <w:rFonts w:hint="default"/>
      </w:rPr>
    </w:lvl>
    <w:lvl w:ilvl="3" w:tplc="D22EAB2A">
      <w:numFmt w:val="bullet"/>
      <w:lvlText w:val="•"/>
      <w:lvlJc w:val="left"/>
      <w:pPr>
        <w:ind w:left="5773" w:hanging="340"/>
      </w:pPr>
      <w:rPr>
        <w:rFonts w:hint="default"/>
      </w:rPr>
    </w:lvl>
    <w:lvl w:ilvl="4" w:tplc="E85CA026">
      <w:numFmt w:val="bullet"/>
      <w:lvlText w:val="•"/>
      <w:lvlJc w:val="left"/>
      <w:pPr>
        <w:ind w:left="6818" w:hanging="340"/>
      </w:pPr>
      <w:rPr>
        <w:rFonts w:hint="default"/>
      </w:rPr>
    </w:lvl>
    <w:lvl w:ilvl="5" w:tplc="6598132E">
      <w:numFmt w:val="bullet"/>
      <w:lvlText w:val="•"/>
      <w:lvlJc w:val="left"/>
      <w:pPr>
        <w:ind w:left="7862" w:hanging="340"/>
      </w:pPr>
      <w:rPr>
        <w:rFonts w:hint="default"/>
      </w:rPr>
    </w:lvl>
    <w:lvl w:ilvl="6" w:tplc="11C8712A">
      <w:numFmt w:val="bullet"/>
      <w:lvlText w:val="•"/>
      <w:lvlJc w:val="left"/>
      <w:pPr>
        <w:ind w:left="8907" w:hanging="340"/>
      </w:pPr>
      <w:rPr>
        <w:rFonts w:hint="default"/>
      </w:rPr>
    </w:lvl>
    <w:lvl w:ilvl="7" w:tplc="D6FE5AD0">
      <w:numFmt w:val="bullet"/>
      <w:lvlText w:val="•"/>
      <w:lvlJc w:val="left"/>
      <w:pPr>
        <w:ind w:left="9951" w:hanging="340"/>
      </w:pPr>
      <w:rPr>
        <w:rFonts w:hint="default"/>
      </w:rPr>
    </w:lvl>
    <w:lvl w:ilvl="8" w:tplc="40ECEB78">
      <w:numFmt w:val="bullet"/>
      <w:lvlText w:val="•"/>
      <w:lvlJc w:val="left"/>
      <w:pPr>
        <w:ind w:left="10996" w:hanging="340"/>
      </w:pPr>
      <w:rPr>
        <w:rFonts w:hint="default"/>
      </w:rPr>
    </w:lvl>
  </w:abstractNum>
  <w:abstractNum w:abstractNumId="6" w15:restartNumberingAfterBreak="0">
    <w:nsid w:val="2E0F266F"/>
    <w:multiLevelType w:val="hybridMultilevel"/>
    <w:tmpl w:val="3ED86712"/>
    <w:lvl w:ilvl="0" w:tplc="76D8DC08">
      <w:start w:val="61"/>
      <w:numFmt w:val="decimal"/>
      <w:lvlText w:val="%1"/>
      <w:lvlJc w:val="left"/>
      <w:pPr>
        <w:ind w:left="2630" w:hanging="340"/>
      </w:pPr>
      <w:rPr>
        <w:rFonts w:ascii="Arial Unicode MS" w:eastAsia="Arial Unicode MS" w:hAnsi="Arial Unicode MS" w:cs="Arial Unicode MS" w:hint="default"/>
        <w:color w:val="231F20"/>
        <w:w w:val="102"/>
        <w:sz w:val="19"/>
        <w:szCs w:val="19"/>
      </w:rPr>
    </w:lvl>
    <w:lvl w:ilvl="1" w:tplc="A41072F0">
      <w:numFmt w:val="bullet"/>
      <w:lvlText w:val="•"/>
      <w:lvlJc w:val="left"/>
      <w:pPr>
        <w:ind w:left="3684" w:hanging="340"/>
      </w:pPr>
      <w:rPr>
        <w:rFonts w:hint="default"/>
      </w:rPr>
    </w:lvl>
    <w:lvl w:ilvl="2" w:tplc="C7E2BBB4">
      <w:numFmt w:val="bullet"/>
      <w:lvlText w:val="•"/>
      <w:lvlJc w:val="left"/>
      <w:pPr>
        <w:ind w:left="4729" w:hanging="340"/>
      </w:pPr>
      <w:rPr>
        <w:rFonts w:hint="default"/>
      </w:rPr>
    </w:lvl>
    <w:lvl w:ilvl="3" w:tplc="8EF6F9E0">
      <w:numFmt w:val="bullet"/>
      <w:lvlText w:val="•"/>
      <w:lvlJc w:val="left"/>
      <w:pPr>
        <w:ind w:left="5773" w:hanging="340"/>
      </w:pPr>
      <w:rPr>
        <w:rFonts w:hint="default"/>
      </w:rPr>
    </w:lvl>
    <w:lvl w:ilvl="4" w:tplc="C2C21AAC">
      <w:numFmt w:val="bullet"/>
      <w:lvlText w:val="•"/>
      <w:lvlJc w:val="left"/>
      <w:pPr>
        <w:ind w:left="6818" w:hanging="340"/>
      </w:pPr>
      <w:rPr>
        <w:rFonts w:hint="default"/>
      </w:rPr>
    </w:lvl>
    <w:lvl w:ilvl="5" w:tplc="896092AE">
      <w:numFmt w:val="bullet"/>
      <w:lvlText w:val="•"/>
      <w:lvlJc w:val="left"/>
      <w:pPr>
        <w:ind w:left="7862" w:hanging="340"/>
      </w:pPr>
      <w:rPr>
        <w:rFonts w:hint="default"/>
      </w:rPr>
    </w:lvl>
    <w:lvl w:ilvl="6" w:tplc="8270716E">
      <w:numFmt w:val="bullet"/>
      <w:lvlText w:val="•"/>
      <w:lvlJc w:val="left"/>
      <w:pPr>
        <w:ind w:left="8907" w:hanging="340"/>
      </w:pPr>
      <w:rPr>
        <w:rFonts w:hint="default"/>
      </w:rPr>
    </w:lvl>
    <w:lvl w:ilvl="7" w:tplc="E62CE3A2">
      <w:numFmt w:val="bullet"/>
      <w:lvlText w:val="•"/>
      <w:lvlJc w:val="left"/>
      <w:pPr>
        <w:ind w:left="9951" w:hanging="340"/>
      </w:pPr>
      <w:rPr>
        <w:rFonts w:hint="default"/>
      </w:rPr>
    </w:lvl>
    <w:lvl w:ilvl="8" w:tplc="5BFC2F52">
      <w:numFmt w:val="bullet"/>
      <w:lvlText w:val="•"/>
      <w:lvlJc w:val="left"/>
      <w:pPr>
        <w:ind w:left="10996" w:hanging="340"/>
      </w:pPr>
      <w:rPr>
        <w:rFonts w:hint="default"/>
      </w:rPr>
    </w:lvl>
  </w:abstractNum>
  <w:abstractNum w:abstractNumId="7"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F916A13"/>
    <w:multiLevelType w:val="hybridMultilevel"/>
    <w:tmpl w:val="5EFA34C4"/>
    <w:lvl w:ilvl="0" w:tplc="A7781316">
      <w:numFmt w:val="bullet"/>
      <w:lvlText w:val="•"/>
      <w:lvlJc w:val="left"/>
      <w:pPr>
        <w:ind w:left="2574" w:hanging="284"/>
      </w:pPr>
      <w:rPr>
        <w:rFonts w:ascii="Arial Unicode MS" w:eastAsia="Arial Unicode MS" w:hAnsi="Arial Unicode MS" w:cs="Arial Unicode MS" w:hint="default"/>
        <w:color w:val="231F20"/>
        <w:w w:val="105"/>
        <w:sz w:val="21"/>
        <w:szCs w:val="21"/>
      </w:rPr>
    </w:lvl>
    <w:lvl w:ilvl="1" w:tplc="97BA5EB6">
      <w:numFmt w:val="bullet"/>
      <w:lvlText w:val="•"/>
      <w:lvlJc w:val="left"/>
      <w:pPr>
        <w:ind w:left="3630" w:hanging="284"/>
      </w:pPr>
      <w:rPr>
        <w:rFonts w:hint="default"/>
      </w:rPr>
    </w:lvl>
    <w:lvl w:ilvl="2" w:tplc="CC22B926">
      <w:numFmt w:val="bullet"/>
      <w:lvlText w:val="•"/>
      <w:lvlJc w:val="left"/>
      <w:pPr>
        <w:ind w:left="4681" w:hanging="284"/>
      </w:pPr>
      <w:rPr>
        <w:rFonts w:hint="default"/>
      </w:rPr>
    </w:lvl>
    <w:lvl w:ilvl="3" w:tplc="902EA9A0">
      <w:numFmt w:val="bullet"/>
      <w:lvlText w:val="•"/>
      <w:lvlJc w:val="left"/>
      <w:pPr>
        <w:ind w:left="5731" w:hanging="284"/>
      </w:pPr>
      <w:rPr>
        <w:rFonts w:hint="default"/>
      </w:rPr>
    </w:lvl>
    <w:lvl w:ilvl="4" w:tplc="095EB770">
      <w:numFmt w:val="bullet"/>
      <w:lvlText w:val="•"/>
      <w:lvlJc w:val="left"/>
      <w:pPr>
        <w:ind w:left="6782" w:hanging="284"/>
      </w:pPr>
      <w:rPr>
        <w:rFonts w:hint="default"/>
      </w:rPr>
    </w:lvl>
    <w:lvl w:ilvl="5" w:tplc="D85496C6">
      <w:numFmt w:val="bullet"/>
      <w:lvlText w:val="•"/>
      <w:lvlJc w:val="left"/>
      <w:pPr>
        <w:ind w:left="7832" w:hanging="284"/>
      </w:pPr>
      <w:rPr>
        <w:rFonts w:hint="default"/>
      </w:rPr>
    </w:lvl>
    <w:lvl w:ilvl="6" w:tplc="C9266DEA">
      <w:numFmt w:val="bullet"/>
      <w:lvlText w:val="•"/>
      <w:lvlJc w:val="left"/>
      <w:pPr>
        <w:ind w:left="8883" w:hanging="284"/>
      </w:pPr>
      <w:rPr>
        <w:rFonts w:hint="default"/>
      </w:rPr>
    </w:lvl>
    <w:lvl w:ilvl="7" w:tplc="288272C0">
      <w:numFmt w:val="bullet"/>
      <w:lvlText w:val="•"/>
      <w:lvlJc w:val="left"/>
      <w:pPr>
        <w:ind w:left="9933" w:hanging="284"/>
      </w:pPr>
      <w:rPr>
        <w:rFonts w:hint="default"/>
      </w:rPr>
    </w:lvl>
    <w:lvl w:ilvl="8" w:tplc="A11C38D4">
      <w:numFmt w:val="bullet"/>
      <w:lvlText w:val="•"/>
      <w:lvlJc w:val="left"/>
      <w:pPr>
        <w:ind w:left="10984" w:hanging="284"/>
      </w:pPr>
      <w:rPr>
        <w:rFonts w:hint="default"/>
      </w:rPr>
    </w:lvl>
  </w:abstractNum>
  <w:abstractNum w:abstractNumId="9" w15:restartNumberingAfterBreak="0">
    <w:nsid w:val="3FD80CF1"/>
    <w:multiLevelType w:val="hybridMultilevel"/>
    <w:tmpl w:val="6E2E4A36"/>
    <w:lvl w:ilvl="0" w:tplc="69F0B54A">
      <w:start w:val="45"/>
      <w:numFmt w:val="decimal"/>
      <w:lvlText w:val="%1"/>
      <w:lvlJc w:val="left"/>
      <w:pPr>
        <w:ind w:left="2659" w:hanging="340"/>
      </w:pPr>
      <w:rPr>
        <w:rFonts w:ascii="Arial Unicode MS" w:eastAsia="Arial Unicode MS" w:hAnsi="Arial Unicode MS" w:cs="Arial Unicode MS" w:hint="default"/>
        <w:color w:val="231F20"/>
        <w:w w:val="102"/>
        <w:sz w:val="19"/>
        <w:szCs w:val="19"/>
      </w:rPr>
    </w:lvl>
    <w:lvl w:ilvl="1" w:tplc="6F4E983E">
      <w:numFmt w:val="bullet"/>
      <w:lvlText w:val="•"/>
      <w:lvlJc w:val="left"/>
      <w:pPr>
        <w:ind w:left="3702" w:hanging="340"/>
      </w:pPr>
      <w:rPr>
        <w:rFonts w:hint="default"/>
      </w:rPr>
    </w:lvl>
    <w:lvl w:ilvl="2" w:tplc="2C32D19E">
      <w:numFmt w:val="bullet"/>
      <w:lvlText w:val="•"/>
      <w:lvlJc w:val="left"/>
      <w:pPr>
        <w:ind w:left="4745" w:hanging="340"/>
      </w:pPr>
      <w:rPr>
        <w:rFonts w:hint="default"/>
      </w:rPr>
    </w:lvl>
    <w:lvl w:ilvl="3" w:tplc="53FAFAC0">
      <w:numFmt w:val="bullet"/>
      <w:lvlText w:val="•"/>
      <w:lvlJc w:val="left"/>
      <w:pPr>
        <w:ind w:left="5787" w:hanging="340"/>
      </w:pPr>
      <w:rPr>
        <w:rFonts w:hint="default"/>
      </w:rPr>
    </w:lvl>
    <w:lvl w:ilvl="4" w:tplc="2B00E41C">
      <w:numFmt w:val="bullet"/>
      <w:lvlText w:val="•"/>
      <w:lvlJc w:val="left"/>
      <w:pPr>
        <w:ind w:left="6830" w:hanging="340"/>
      </w:pPr>
      <w:rPr>
        <w:rFonts w:hint="default"/>
      </w:rPr>
    </w:lvl>
    <w:lvl w:ilvl="5" w:tplc="9AE26D94">
      <w:numFmt w:val="bullet"/>
      <w:lvlText w:val="•"/>
      <w:lvlJc w:val="left"/>
      <w:pPr>
        <w:ind w:left="7872" w:hanging="340"/>
      </w:pPr>
      <w:rPr>
        <w:rFonts w:hint="default"/>
      </w:rPr>
    </w:lvl>
    <w:lvl w:ilvl="6" w:tplc="2BA4774C">
      <w:numFmt w:val="bullet"/>
      <w:lvlText w:val="•"/>
      <w:lvlJc w:val="left"/>
      <w:pPr>
        <w:ind w:left="8915" w:hanging="340"/>
      </w:pPr>
      <w:rPr>
        <w:rFonts w:hint="default"/>
      </w:rPr>
    </w:lvl>
    <w:lvl w:ilvl="7" w:tplc="3E326C56">
      <w:numFmt w:val="bullet"/>
      <w:lvlText w:val="•"/>
      <w:lvlJc w:val="left"/>
      <w:pPr>
        <w:ind w:left="9957" w:hanging="340"/>
      </w:pPr>
      <w:rPr>
        <w:rFonts w:hint="default"/>
      </w:rPr>
    </w:lvl>
    <w:lvl w:ilvl="8" w:tplc="799AA9EC">
      <w:numFmt w:val="bullet"/>
      <w:lvlText w:val="•"/>
      <w:lvlJc w:val="left"/>
      <w:pPr>
        <w:ind w:left="11000" w:hanging="340"/>
      </w:pPr>
      <w:rPr>
        <w:rFonts w:hint="default"/>
      </w:rPr>
    </w:lvl>
  </w:abstractNum>
  <w:abstractNum w:abstractNumId="10"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177007C"/>
    <w:multiLevelType w:val="hybridMultilevel"/>
    <w:tmpl w:val="7E447134"/>
    <w:lvl w:ilvl="0" w:tplc="31E81E82">
      <w:start w:val="41"/>
      <w:numFmt w:val="decimal"/>
      <w:lvlText w:val="%1"/>
      <w:lvlJc w:val="left"/>
      <w:pPr>
        <w:ind w:left="2630" w:hanging="340"/>
      </w:pPr>
      <w:rPr>
        <w:rFonts w:ascii="Arial Unicode MS" w:eastAsia="Arial Unicode MS" w:hAnsi="Arial Unicode MS" w:cs="Arial Unicode MS" w:hint="default"/>
        <w:color w:val="231F20"/>
        <w:w w:val="102"/>
        <w:sz w:val="19"/>
        <w:szCs w:val="19"/>
      </w:rPr>
    </w:lvl>
    <w:lvl w:ilvl="1" w:tplc="C77467FE">
      <w:numFmt w:val="bullet"/>
      <w:lvlText w:val="•"/>
      <w:lvlJc w:val="left"/>
      <w:pPr>
        <w:ind w:left="3684" w:hanging="340"/>
      </w:pPr>
      <w:rPr>
        <w:rFonts w:hint="default"/>
      </w:rPr>
    </w:lvl>
    <w:lvl w:ilvl="2" w:tplc="E0F6F456">
      <w:numFmt w:val="bullet"/>
      <w:lvlText w:val="•"/>
      <w:lvlJc w:val="left"/>
      <w:pPr>
        <w:ind w:left="4729" w:hanging="340"/>
      </w:pPr>
      <w:rPr>
        <w:rFonts w:hint="default"/>
      </w:rPr>
    </w:lvl>
    <w:lvl w:ilvl="3" w:tplc="345C14DC">
      <w:numFmt w:val="bullet"/>
      <w:lvlText w:val="•"/>
      <w:lvlJc w:val="left"/>
      <w:pPr>
        <w:ind w:left="5773" w:hanging="340"/>
      </w:pPr>
      <w:rPr>
        <w:rFonts w:hint="default"/>
      </w:rPr>
    </w:lvl>
    <w:lvl w:ilvl="4" w:tplc="80A6C63A">
      <w:numFmt w:val="bullet"/>
      <w:lvlText w:val="•"/>
      <w:lvlJc w:val="left"/>
      <w:pPr>
        <w:ind w:left="6818" w:hanging="340"/>
      </w:pPr>
      <w:rPr>
        <w:rFonts w:hint="default"/>
      </w:rPr>
    </w:lvl>
    <w:lvl w:ilvl="5" w:tplc="29784880">
      <w:numFmt w:val="bullet"/>
      <w:lvlText w:val="•"/>
      <w:lvlJc w:val="left"/>
      <w:pPr>
        <w:ind w:left="7862" w:hanging="340"/>
      </w:pPr>
      <w:rPr>
        <w:rFonts w:hint="default"/>
      </w:rPr>
    </w:lvl>
    <w:lvl w:ilvl="6" w:tplc="A998C17A">
      <w:numFmt w:val="bullet"/>
      <w:lvlText w:val="•"/>
      <w:lvlJc w:val="left"/>
      <w:pPr>
        <w:ind w:left="8907" w:hanging="340"/>
      </w:pPr>
      <w:rPr>
        <w:rFonts w:hint="default"/>
      </w:rPr>
    </w:lvl>
    <w:lvl w:ilvl="7" w:tplc="09044FF8">
      <w:numFmt w:val="bullet"/>
      <w:lvlText w:val="•"/>
      <w:lvlJc w:val="left"/>
      <w:pPr>
        <w:ind w:left="9951" w:hanging="340"/>
      </w:pPr>
      <w:rPr>
        <w:rFonts w:hint="default"/>
      </w:rPr>
    </w:lvl>
    <w:lvl w:ilvl="8" w:tplc="57641146">
      <w:numFmt w:val="bullet"/>
      <w:lvlText w:val="•"/>
      <w:lvlJc w:val="left"/>
      <w:pPr>
        <w:ind w:left="10996" w:hanging="340"/>
      </w:pPr>
      <w:rPr>
        <w:rFonts w:hint="default"/>
      </w:rPr>
    </w:lvl>
  </w:abstractNum>
  <w:abstractNum w:abstractNumId="12" w15:restartNumberingAfterBreak="0">
    <w:nsid w:val="522B78D7"/>
    <w:multiLevelType w:val="hybridMultilevel"/>
    <w:tmpl w:val="400C5BA4"/>
    <w:lvl w:ilvl="0" w:tplc="1FBA62C6">
      <w:numFmt w:val="bullet"/>
      <w:lvlText w:val="•"/>
      <w:lvlJc w:val="left"/>
      <w:pPr>
        <w:ind w:left="2574" w:hanging="284"/>
      </w:pPr>
      <w:rPr>
        <w:rFonts w:ascii="Arial Unicode MS" w:eastAsia="Arial Unicode MS" w:hAnsi="Arial Unicode MS" w:cs="Arial Unicode MS" w:hint="default"/>
        <w:color w:val="231F20"/>
        <w:w w:val="107"/>
        <w:sz w:val="21"/>
        <w:szCs w:val="21"/>
      </w:rPr>
    </w:lvl>
    <w:lvl w:ilvl="1" w:tplc="BA1A0DCA">
      <w:numFmt w:val="bullet"/>
      <w:lvlText w:val="•"/>
      <w:lvlJc w:val="left"/>
      <w:pPr>
        <w:ind w:left="3630" w:hanging="284"/>
      </w:pPr>
      <w:rPr>
        <w:rFonts w:hint="default"/>
      </w:rPr>
    </w:lvl>
    <w:lvl w:ilvl="2" w:tplc="7116EC2A">
      <w:numFmt w:val="bullet"/>
      <w:lvlText w:val="•"/>
      <w:lvlJc w:val="left"/>
      <w:pPr>
        <w:ind w:left="4681" w:hanging="284"/>
      </w:pPr>
      <w:rPr>
        <w:rFonts w:hint="default"/>
      </w:rPr>
    </w:lvl>
    <w:lvl w:ilvl="3" w:tplc="91A03822">
      <w:numFmt w:val="bullet"/>
      <w:lvlText w:val="•"/>
      <w:lvlJc w:val="left"/>
      <w:pPr>
        <w:ind w:left="5731" w:hanging="284"/>
      </w:pPr>
      <w:rPr>
        <w:rFonts w:hint="default"/>
      </w:rPr>
    </w:lvl>
    <w:lvl w:ilvl="4" w:tplc="E83851D2">
      <w:numFmt w:val="bullet"/>
      <w:lvlText w:val="•"/>
      <w:lvlJc w:val="left"/>
      <w:pPr>
        <w:ind w:left="6782" w:hanging="284"/>
      </w:pPr>
      <w:rPr>
        <w:rFonts w:hint="default"/>
      </w:rPr>
    </w:lvl>
    <w:lvl w:ilvl="5" w:tplc="7F685474">
      <w:numFmt w:val="bullet"/>
      <w:lvlText w:val="•"/>
      <w:lvlJc w:val="left"/>
      <w:pPr>
        <w:ind w:left="7832" w:hanging="284"/>
      </w:pPr>
      <w:rPr>
        <w:rFonts w:hint="default"/>
      </w:rPr>
    </w:lvl>
    <w:lvl w:ilvl="6" w:tplc="39D8A250">
      <w:numFmt w:val="bullet"/>
      <w:lvlText w:val="•"/>
      <w:lvlJc w:val="left"/>
      <w:pPr>
        <w:ind w:left="8883" w:hanging="284"/>
      </w:pPr>
      <w:rPr>
        <w:rFonts w:hint="default"/>
      </w:rPr>
    </w:lvl>
    <w:lvl w:ilvl="7" w:tplc="4C167D56">
      <w:numFmt w:val="bullet"/>
      <w:lvlText w:val="•"/>
      <w:lvlJc w:val="left"/>
      <w:pPr>
        <w:ind w:left="9933" w:hanging="284"/>
      </w:pPr>
      <w:rPr>
        <w:rFonts w:hint="default"/>
      </w:rPr>
    </w:lvl>
    <w:lvl w:ilvl="8" w:tplc="D332D2F2">
      <w:numFmt w:val="bullet"/>
      <w:lvlText w:val="•"/>
      <w:lvlJc w:val="left"/>
      <w:pPr>
        <w:ind w:left="10984" w:hanging="284"/>
      </w:pPr>
      <w:rPr>
        <w:rFonts w:hint="default"/>
      </w:rPr>
    </w:lvl>
  </w:abstractNum>
  <w:abstractNum w:abstractNumId="13" w15:restartNumberingAfterBreak="0">
    <w:nsid w:val="53D303EE"/>
    <w:multiLevelType w:val="hybridMultilevel"/>
    <w:tmpl w:val="CE0677BC"/>
    <w:lvl w:ilvl="0" w:tplc="E1503D80">
      <w:numFmt w:val="bullet"/>
      <w:lvlText w:val="•"/>
      <w:lvlJc w:val="left"/>
      <w:pPr>
        <w:ind w:left="2574" w:hanging="284"/>
      </w:pPr>
      <w:rPr>
        <w:rFonts w:ascii="Arial Unicode MS" w:eastAsia="Arial Unicode MS" w:hAnsi="Arial Unicode MS" w:cs="Arial Unicode MS" w:hint="default"/>
        <w:color w:val="231F20"/>
        <w:w w:val="107"/>
        <w:sz w:val="21"/>
        <w:szCs w:val="21"/>
      </w:rPr>
    </w:lvl>
    <w:lvl w:ilvl="1" w:tplc="A44A5BC2">
      <w:numFmt w:val="bullet"/>
      <w:lvlText w:val="•"/>
      <w:lvlJc w:val="left"/>
      <w:pPr>
        <w:ind w:left="3630" w:hanging="284"/>
      </w:pPr>
      <w:rPr>
        <w:rFonts w:hint="default"/>
      </w:rPr>
    </w:lvl>
    <w:lvl w:ilvl="2" w:tplc="8294FE12">
      <w:numFmt w:val="bullet"/>
      <w:lvlText w:val="•"/>
      <w:lvlJc w:val="left"/>
      <w:pPr>
        <w:ind w:left="4681" w:hanging="284"/>
      </w:pPr>
      <w:rPr>
        <w:rFonts w:hint="default"/>
      </w:rPr>
    </w:lvl>
    <w:lvl w:ilvl="3" w:tplc="93F0D1DE">
      <w:numFmt w:val="bullet"/>
      <w:lvlText w:val="•"/>
      <w:lvlJc w:val="left"/>
      <w:pPr>
        <w:ind w:left="5731" w:hanging="284"/>
      </w:pPr>
      <w:rPr>
        <w:rFonts w:hint="default"/>
      </w:rPr>
    </w:lvl>
    <w:lvl w:ilvl="4" w:tplc="D8B67C82">
      <w:numFmt w:val="bullet"/>
      <w:lvlText w:val="•"/>
      <w:lvlJc w:val="left"/>
      <w:pPr>
        <w:ind w:left="6782" w:hanging="284"/>
      </w:pPr>
      <w:rPr>
        <w:rFonts w:hint="default"/>
      </w:rPr>
    </w:lvl>
    <w:lvl w:ilvl="5" w:tplc="0A7A5178">
      <w:numFmt w:val="bullet"/>
      <w:lvlText w:val="•"/>
      <w:lvlJc w:val="left"/>
      <w:pPr>
        <w:ind w:left="7832" w:hanging="284"/>
      </w:pPr>
      <w:rPr>
        <w:rFonts w:hint="default"/>
      </w:rPr>
    </w:lvl>
    <w:lvl w:ilvl="6" w:tplc="C95209A2">
      <w:numFmt w:val="bullet"/>
      <w:lvlText w:val="•"/>
      <w:lvlJc w:val="left"/>
      <w:pPr>
        <w:ind w:left="8883" w:hanging="284"/>
      </w:pPr>
      <w:rPr>
        <w:rFonts w:hint="default"/>
      </w:rPr>
    </w:lvl>
    <w:lvl w:ilvl="7" w:tplc="EFB0F4DA">
      <w:numFmt w:val="bullet"/>
      <w:lvlText w:val="•"/>
      <w:lvlJc w:val="left"/>
      <w:pPr>
        <w:ind w:left="9933" w:hanging="284"/>
      </w:pPr>
      <w:rPr>
        <w:rFonts w:hint="default"/>
      </w:rPr>
    </w:lvl>
    <w:lvl w:ilvl="8" w:tplc="E480A69C">
      <w:numFmt w:val="bullet"/>
      <w:lvlText w:val="•"/>
      <w:lvlJc w:val="left"/>
      <w:pPr>
        <w:ind w:left="10984" w:hanging="284"/>
      </w:pPr>
      <w:rPr>
        <w:rFonts w:hint="default"/>
      </w:rPr>
    </w:lvl>
  </w:abstractNum>
  <w:abstractNum w:abstractNumId="14" w15:restartNumberingAfterBreak="0">
    <w:nsid w:val="546864BA"/>
    <w:multiLevelType w:val="hybridMultilevel"/>
    <w:tmpl w:val="F6500880"/>
    <w:lvl w:ilvl="0" w:tplc="67E4F5D0">
      <w:start w:val="1"/>
      <w:numFmt w:val="decimal"/>
      <w:lvlText w:val="%1."/>
      <w:lvlJc w:val="left"/>
      <w:pPr>
        <w:ind w:left="2574" w:hanging="284"/>
      </w:pPr>
      <w:rPr>
        <w:rFonts w:ascii="Arial Unicode MS" w:eastAsia="Arial Unicode MS" w:hAnsi="Arial Unicode MS" w:cs="Arial Unicode MS" w:hint="default"/>
        <w:color w:val="231F20"/>
        <w:w w:val="100"/>
        <w:sz w:val="21"/>
        <w:szCs w:val="21"/>
      </w:rPr>
    </w:lvl>
    <w:lvl w:ilvl="1" w:tplc="EA5EA47E">
      <w:numFmt w:val="bullet"/>
      <w:lvlText w:val="•"/>
      <w:lvlJc w:val="left"/>
      <w:pPr>
        <w:ind w:left="3630" w:hanging="284"/>
      </w:pPr>
      <w:rPr>
        <w:rFonts w:hint="default"/>
      </w:rPr>
    </w:lvl>
    <w:lvl w:ilvl="2" w:tplc="EFB8EE62">
      <w:numFmt w:val="bullet"/>
      <w:lvlText w:val="•"/>
      <w:lvlJc w:val="left"/>
      <w:pPr>
        <w:ind w:left="4681" w:hanging="284"/>
      </w:pPr>
      <w:rPr>
        <w:rFonts w:hint="default"/>
      </w:rPr>
    </w:lvl>
    <w:lvl w:ilvl="3" w:tplc="A5BA82F4">
      <w:numFmt w:val="bullet"/>
      <w:lvlText w:val="•"/>
      <w:lvlJc w:val="left"/>
      <w:pPr>
        <w:ind w:left="5731" w:hanging="284"/>
      </w:pPr>
      <w:rPr>
        <w:rFonts w:hint="default"/>
      </w:rPr>
    </w:lvl>
    <w:lvl w:ilvl="4" w:tplc="2800EBD6">
      <w:numFmt w:val="bullet"/>
      <w:lvlText w:val="•"/>
      <w:lvlJc w:val="left"/>
      <w:pPr>
        <w:ind w:left="6782" w:hanging="284"/>
      </w:pPr>
      <w:rPr>
        <w:rFonts w:hint="default"/>
      </w:rPr>
    </w:lvl>
    <w:lvl w:ilvl="5" w:tplc="F9E2FDAA">
      <w:numFmt w:val="bullet"/>
      <w:lvlText w:val="•"/>
      <w:lvlJc w:val="left"/>
      <w:pPr>
        <w:ind w:left="7832" w:hanging="284"/>
      </w:pPr>
      <w:rPr>
        <w:rFonts w:hint="default"/>
      </w:rPr>
    </w:lvl>
    <w:lvl w:ilvl="6" w:tplc="202A53C6">
      <w:numFmt w:val="bullet"/>
      <w:lvlText w:val="•"/>
      <w:lvlJc w:val="left"/>
      <w:pPr>
        <w:ind w:left="8883" w:hanging="284"/>
      </w:pPr>
      <w:rPr>
        <w:rFonts w:hint="default"/>
      </w:rPr>
    </w:lvl>
    <w:lvl w:ilvl="7" w:tplc="53263CC2">
      <w:numFmt w:val="bullet"/>
      <w:lvlText w:val="•"/>
      <w:lvlJc w:val="left"/>
      <w:pPr>
        <w:ind w:left="9933" w:hanging="284"/>
      </w:pPr>
      <w:rPr>
        <w:rFonts w:hint="default"/>
      </w:rPr>
    </w:lvl>
    <w:lvl w:ilvl="8" w:tplc="6FC67D82">
      <w:numFmt w:val="bullet"/>
      <w:lvlText w:val="•"/>
      <w:lvlJc w:val="left"/>
      <w:pPr>
        <w:ind w:left="10984" w:hanging="284"/>
      </w:pPr>
      <w:rPr>
        <w:rFonts w:hint="default"/>
      </w:rPr>
    </w:lvl>
  </w:abstractNum>
  <w:abstractNum w:abstractNumId="15" w15:restartNumberingAfterBreak="0">
    <w:nsid w:val="6D214D52"/>
    <w:multiLevelType w:val="hybridMultilevel"/>
    <w:tmpl w:val="2D86C5C8"/>
    <w:lvl w:ilvl="0" w:tplc="178A50FE">
      <w:numFmt w:val="bullet"/>
      <w:lvlText w:val="•"/>
      <w:lvlJc w:val="left"/>
      <w:pPr>
        <w:ind w:left="2574" w:hanging="284"/>
      </w:pPr>
      <w:rPr>
        <w:rFonts w:ascii="Arial Unicode MS" w:eastAsia="Arial Unicode MS" w:hAnsi="Arial Unicode MS" w:cs="Arial Unicode MS" w:hint="default"/>
        <w:color w:val="231F20"/>
        <w:w w:val="107"/>
        <w:sz w:val="21"/>
        <w:szCs w:val="21"/>
      </w:rPr>
    </w:lvl>
    <w:lvl w:ilvl="1" w:tplc="B0E4B1EA">
      <w:numFmt w:val="bullet"/>
      <w:lvlText w:val="•"/>
      <w:lvlJc w:val="left"/>
      <w:pPr>
        <w:ind w:left="3630" w:hanging="284"/>
      </w:pPr>
      <w:rPr>
        <w:rFonts w:hint="default"/>
      </w:rPr>
    </w:lvl>
    <w:lvl w:ilvl="2" w:tplc="E49CB16E">
      <w:numFmt w:val="bullet"/>
      <w:lvlText w:val="•"/>
      <w:lvlJc w:val="left"/>
      <w:pPr>
        <w:ind w:left="4681" w:hanging="284"/>
      </w:pPr>
      <w:rPr>
        <w:rFonts w:hint="default"/>
      </w:rPr>
    </w:lvl>
    <w:lvl w:ilvl="3" w:tplc="54CCA502">
      <w:numFmt w:val="bullet"/>
      <w:lvlText w:val="•"/>
      <w:lvlJc w:val="left"/>
      <w:pPr>
        <w:ind w:left="5731" w:hanging="284"/>
      </w:pPr>
      <w:rPr>
        <w:rFonts w:hint="default"/>
      </w:rPr>
    </w:lvl>
    <w:lvl w:ilvl="4" w:tplc="C3D09A88">
      <w:numFmt w:val="bullet"/>
      <w:lvlText w:val="•"/>
      <w:lvlJc w:val="left"/>
      <w:pPr>
        <w:ind w:left="6782" w:hanging="284"/>
      </w:pPr>
      <w:rPr>
        <w:rFonts w:hint="default"/>
      </w:rPr>
    </w:lvl>
    <w:lvl w:ilvl="5" w:tplc="D02CC604">
      <w:numFmt w:val="bullet"/>
      <w:lvlText w:val="•"/>
      <w:lvlJc w:val="left"/>
      <w:pPr>
        <w:ind w:left="7832" w:hanging="284"/>
      </w:pPr>
      <w:rPr>
        <w:rFonts w:hint="default"/>
      </w:rPr>
    </w:lvl>
    <w:lvl w:ilvl="6" w:tplc="3BEC279E">
      <w:numFmt w:val="bullet"/>
      <w:lvlText w:val="•"/>
      <w:lvlJc w:val="left"/>
      <w:pPr>
        <w:ind w:left="8883" w:hanging="284"/>
      </w:pPr>
      <w:rPr>
        <w:rFonts w:hint="default"/>
      </w:rPr>
    </w:lvl>
    <w:lvl w:ilvl="7" w:tplc="398C353E">
      <w:numFmt w:val="bullet"/>
      <w:lvlText w:val="•"/>
      <w:lvlJc w:val="left"/>
      <w:pPr>
        <w:ind w:left="9933" w:hanging="284"/>
      </w:pPr>
      <w:rPr>
        <w:rFonts w:hint="default"/>
      </w:rPr>
    </w:lvl>
    <w:lvl w:ilvl="8" w:tplc="15A48D00">
      <w:numFmt w:val="bullet"/>
      <w:lvlText w:val="•"/>
      <w:lvlJc w:val="left"/>
      <w:pPr>
        <w:ind w:left="10984" w:hanging="284"/>
      </w:pPr>
      <w:rPr>
        <w:rFonts w:hint="default"/>
      </w:rPr>
    </w:lvl>
  </w:abstractNum>
  <w:abstractNum w:abstractNumId="16" w15:restartNumberingAfterBreak="0">
    <w:nsid w:val="72377C60"/>
    <w:multiLevelType w:val="hybridMultilevel"/>
    <w:tmpl w:val="6412A21A"/>
    <w:lvl w:ilvl="0" w:tplc="33C09324">
      <w:numFmt w:val="bullet"/>
      <w:lvlText w:val="•"/>
      <w:lvlJc w:val="left"/>
      <w:pPr>
        <w:ind w:left="2460" w:hanging="171"/>
      </w:pPr>
      <w:rPr>
        <w:rFonts w:ascii="Arial Unicode MS" w:eastAsia="Arial Unicode MS" w:hAnsi="Arial Unicode MS" w:cs="Arial Unicode MS" w:hint="default"/>
        <w:color w:val="231F20"/>
        <w:w w:val="107"/>
        <w:sz w:val="19"/>
        <w:szCs w:val="19"/>
      </w:rPr>
    </w:lvl>
    <w:lvl w:ilvl="1" w:tplc="4EA441A2">
      <w:numFmt w:val="bullet"/>
      <w:lvlText w:val="•"/>
      <w:lvlJc w:val="left"/>
      <w:pPr>
        <w:ind w:left="3522" w:hanging="171"/>
      </w:pPr>
      <w:rPr>
        <w:rFonts w:hint="default"/>
      </w:rPr>
    </w:lvl>
    <w:lvl w:ilvl="2" w:tplc="393E6DE0">
      <w:numFmt w:val="bullet"/>
      <w:lvlText w:val="•"/>
      <w:lvlJc w:val="left"/>
      <w:pPr>
        <w:ind w:left="4585" w:hanging="171"/>
      </w:pPr>
      <w:rPr>
        <w:rFonts w:hint="default"/>
      </w:rPr>
    </w:lvl>
    <w:lvl w:ilvl="3" w:tplc="C8E696AC">
      <w:numFmt w:val="bullet"/>
      <w:lvlText w:val="•"/>
      <w:lvlJc w:val="left"/>
      <w:pPr>
        <w:ind w:left="5647" w:hanging="171"/>
      </w:pPr>
      <w:rPr>
        <w:rFonts w:hint="default"/>
      </w:rPr>
    </w:lvl>
    <w:lvl w:ilvl="4" w:tplc="BD781DD6">
      <w:numFmt w:val="bullet"/>
      <w:lvlText w:val="•"/>
      <w:lvlJc w:val="left"/>
      <w:pPr>
        <w:ind w:left="6710" w:hanging="171"/>
      </w:pPr>
      <w:rPr>
        <w:rFonts w:hint="default"/>
      </w:rPr>
    </w:lvl>
    <w:lvl w:ilvl="5" w:tplc="1C24113A">
      <w:numFmt w:val="bullet"/>
      <w:lvlText w:val="•"/>
      <w:lvlJc w:val="left"/>
      <w:pPr>
        <w:ind w:left="7772" w:hanging="171"/>
      </w:pPr>
      <w:rPr>
        <w:rFonts w:hint="default"/>
      </w:rPr>
    </w:lvl>
    <w:lvl w:ilvl="6" w:tplc="48484B50">
      <w:numFmt w:val="bullet"/>
      <w:lvlText w:val="•"/>
      <w:lvlJc w:val="left"/>
      <w:pPr>
        <w:ind w:left="8835" w:hanging="171"/>
      </w:pPr>
      <w:rPr>
        <w:rFonts w:hint="default"/>
      </w:rPr>
    </w:lvl>
    <w:lvl w:ilvl="7" w:tplc="C3842124">
      <w:numFmt w:val="bullet"/>
      <w:lvlText w:val="•"/>
      <w:lvlJc w:val="left"/>
      <w:pPr>
        <w:ind w:left="9897" w:hanging="171"/>
      </w:pPr>
      <w:rPr>
        <w:rFonts w:hint="default"/>
      </w:rPr>
    </w:lvl>
    <w:lvl w:ilvl="8" w:tplc="BD8ACAE8">
      <w:numFmt w:val="bullet"/>
      <w:lvlText w:val="•"/>
      <w:lvlJc w:val="left"/>
      <w:pPr>
        <w:ind w:left="10960" w:hanging="171"/>
      </w:pPr>
      <w:rPr>
        <w:rFonts w:hint="default"/>
      </w:rPr>
    </w:lvl>
  </w:abstractNum>
  <w:abstractNum w:abstractNumId="17" w15:restartNumberingAfterBreak="0">
    <w:nsid w:val="73D62C24"/>
    <w:multiLevelType w:val="hybridMultilevel"/>
    <w:tmpl w:val="588A1CA2"/>
    <w:lvl w:ilvl="0" w:tplc="F580BCC8">
      <w:start w:val="63"/>
      <w:numFmt w:val="decimal"/>
      <w:lvlText w:val="%1"/>
      <w:lvlJc w:val="left"/>
      <w:pPr>
        <w:ind w:left="2630" w:hanging="340"/>
      </w:pPr>
      <w:rPr>
        <w:rFonts w:ascii="Arial Unicode MS" w:eastAsia="Arial Unicode MS" w:hAnsi="Arial Unicode MS" w:cs="Arial Unicode MS" w:hint="default"/>
        <w:color w:val="231F20"/>
        <w:w w:val="102"/>
        <w:sz w:val="19"/>
        <w:szCs w:val="19"/>
      </w:rPr>
    </w:lvl>
    <w:lvl w:ilvl="1" w:tplc="CF1AD1A0">
      <w:numFmt w:val="bullet"/>
      <w:lvlText w:val="•"/>
      <w:lvlJc w:val="left"/>
      <w:pPr>
        <w:ind w:left="3684" w:hanging="340"/>
      </w:pPr>
      <w:rPr>
        <w:rFonts w:hint="default"/>
      </w:rPr>
    </w:lvl>
    <w:lvl w:ilvl="2" w:tplc="8264A31A">
      <w:numFmt w:val="bullet"/>
      <w:lvlText w:val="•"/>
      <w:lvlJc w:val="left"/>
      <w:pPr>
        <w:ind w:left="4729" w:hanging="340"/>
      </w:pPr>
      <w:rPr>
        <w:rFonts w:hint="default"/>
      </w:rPr>
    </w:lvl>
    <w:lvl w:ilvl="3" w:tplc="89C0F8E8">
      <w:numFmt w:val="bullet"/>
      <w:lvlText w:val="•"/>
      <w:lvlJc w:val="left"/>
      <w:pPr>
        <w:ind w:left="5773" w:hanging="340"/>
      </w:pPr>
      <w:rPr>
        <w:rFonts w:hint="default"/>
      </w:rPr>
    </w:lvl>
    <w:lvl w:ilvl="4" w:tplc="8312B44C">
      <w:numFmt w:val="bullet"/>
      <w:lvlText w:val="•"/>
      <w:lvlJc w:val="left"/>
      <w:pPr>
        <w:ind w:left="6818" w:hanging="340"/>
      </w:pPr>
      <w:rPr>
        <w:rFonts w:hint="default"/>
      </w:rPr>
    </w:lvl>
    <w:lvl w:ilvl="5" w:tplc="6ACEF302">
      <w:numFmt w:val="bullet"/>
      <w:lvlText w:val="•"/>
      <w:lvlJc w:val="left"/>
      <w:pPr>
        <w:ind w:left="7862" w:hanging="340"/>
      </w:pPr>
      <w:rPr>
        <w:rFonts w:hint="default"/>
      </w:rPr>
    </w:lvl>
    <w:lvl w:ilvl="6" w:tplc="45F421D4">
      <w:numFmt w:val="bullet"/>
      <w:lvlText w:val="•"/>
      <w:lvlJc w:val="left"/>
      <w:pPr>
        <w:ind w:left="8907" w:hanging="340"/>
      </w:pPr>
      <w:rPr>
        <w:rFonts w:hint="default"/>
      </w:rPr>
    </w:lvl>
    <w:lvl w:ilvl="7" w:tplc="41A00E1A">
      <w:numFmt w:val="bullet"/>
      <w:lvlText w:val="•"/>
      <w:lvlJc w:val="left"/>
      <w:pPr>
        <w:ind w:left="9951" w:hanging="340"/>
      </w:pPr>
      <w:rPr>
        <w:rFonts w:hint="default"/>
      </w:rPr>
    </w:lvl>
    <w:lvl w:ilvl="8" w:tplc="4F5A8E3E">
      <w:numFmt w:val="bullet"/>
      <w:lvlText w:val="•"/>
      <w:lvlJc w:val="left"/>
      <w:pPr>
        <w:ind w:left="10996" w:hanging="340"/>
      </w:pPr>
      <w:rPr>
        <w:rFonts w:hint="default"/>
      </w:rPr>
    </w:lvl>
  </w:abstractNum>
  <w:abstractNum w:abstractNumId="18" w15:restartNumberingAfterBreak="0">
    <w:nsid w:val="752722FF"/>
    <w:multiLevelType w:val="hybridMultilevel"/>
    <w:tmpl w:val="B518C65C"/>
    <w:lvl w:ilvl="0" w:tplc="2E6EBCC8">
      <w:start w:val="1"/>
      <w:numFmt w:val="decimal"/>
      <w:lvlText w:val="%1."/>
      <w:lvlJc w:val="left"/>
      <w:pPr>
        <w:ind w:left="2574" w:hanging="284"/>
      </w:pPr>
      <w:rPr>
        <w:rFonts w:ascii="Arial Unicode MS" w:eastAsia="Arial Unicode MS" w:hAnsi="Arial Unicode MS" w:cs="Arial Unicode MS" w:hint="default"/>
        <w:color w:val="231F20"/>
        <w:w w:val="100"/>
        <w:sz w:val="21"/>
        <w:szCs w:val="21"/>
      </w:rPr>
    </w:lvl>
    <w:lvl w:ilvl="1" w:tplc="E53A8388">
      <w:start w:val="1"/>
      <w:numFmt w:val="lowerLetter"/>
      <w:lvlText w:val="%2."/>
      <w:lvlJc w:val="left"/>
      <w:pPr>
        <w:ind w:left="2857" w:hanging="284"/>
      </w:pPr>
      <w:rPr>
        <w:rFonts w:ascii="Arial Unicode MS" w:eastAsia="Arial Unicode MS" w:hAnsi="Arial Unicode MS" w:cs="Arial Unicode MS" w:hint="default"/>
        <w:color w:val="231F20"/>
        <w:w w:val="99"/>
        <w:sz w:val="21"/>
        <w:szCs w:val="21"/>
      </w:rPr>
    </w:lvl>
    <w:lvl w:ilvl="2" w:tplc="94CE3D66">
      <w:numFmt w:val="bullet"/>
      <w:lvlText w:val="•"/>
      <w:lvlJc w:val="left"/>
      <w:pPr>
        <w:ind w:left="3996" w:hanging="284"/>
      </w:pPr>
      <w:rPr>
        <w:rFonts w:hint="default"/>
      </w:rPr>
    </w:lvl>
    <w:lvl w:ilvl="3" w:tplc="DB92F36C">
      <w:numFmt w:val="bullet"/>
      <w:lvlText w:val="•"/>
      <w:lvlJc w:val="left"/>
      <w:pPr>
        <w:ind w:left="5132" w:hanging="284"/>
      </w:pPr>
      <w:rPr>
        <w:rFonts w:hint="default"/>
      </w:rPr>
    </w:lvl>
    <w:lvl w:ilvl="4" w:tplc="13D65DF0">
      <w:numFmt w:val="bullet"/>
      <w:lvlText w:val="•"/>
      <w:lvlJc w:val="left"/>
      <w:pPr>
        <w:ind w:left="6268" w:hanging="284"/>
      </w:pPr>
      <w:rPr>
        <w:rFonts w:hint="default"/>
      </w:rPr>
    </w:lvl>
    <w:lvl w:ilvl="5" w:tplc="21D8D17E">
      <w:numFmt w:val="bullet"/>
      <w:lvlText w:val="•"/>
      <w:lvlJc w:val="left"/>
      <w:pPr>
        <w:ind w:left="7404" w:hanging="284"/>
      </w:pPr>
      <w:rPr>
        <w:rFonts w:hint="default"/>
      </w:rPr>
    </w:lvl>
    <w:lvl w:ilvl="6" w:tplc="4812711C">
      <w:numFmt w:val="bullet"/>
      <w:lvlText w:val="•"/>
      <w:lvlJc w:val="left"/>
      <w:pPr>
        <w:ind w:left="8540" w:hanging="284"/>
      </w:pPr>
      <w:rPr>
        <w:rFonts w:hint="default"/>
      </w:rPr>
    </w:lvl>
    <w:lvl w:ilvl="7" w:tplc="C470920E">
      <w:numFmt w:val="bullet"/>
      <w:lvlText w:val="•"/>
      <w:lvlJc w:val="left"/>
      <w:pPr>
        <w:ind w:left="9677" w:hanging="284"/>
      </w:pPr>
      <w:rPr>
        <w:rFonts w:hint="default"/>
      </w:rPr>
    </w:lvl>
    <w:lvl w:ilvl="8" w:tplc="86025C60">
      <w:numFmt w:val="bullet"/>
      <w:lvlText w:val="•"/>
      <w:lvlJc w:val="left"/>
      <w:pPr>
        <w:ind w:left="10813" w:hanging="284"/>
      </w:pPr>
      <w:rPr>
        <w:rFonts w:hint="default"/>
      </w:rPr>
    </w:lvl>
  </w:abstractNum>
  <w:abstractNum w:abstractNumId="19" w15:restartNumberingAfterBreak="0">
    <w:nsid w:val="7B542AA3"/>
    <w:multiLevelType w:val="hybridMultilevel"/>
    <w:tmpl w:val="B3EAAAE0"/>
    <w:lvl w:ilvl="0" w:tplc="BF64E67C">
      <w:numFmt w:val="bullet"/>
      <w:lvlText w:val="•"/>
      <w:lvlJc w:val="left"/>
      <w:pPr>
        <w:ind w:left="2574" w:hanging="284"/>
      </w:pPr>
      <w:rPr>
        <w:rFonts w:ascii="Arial Unicode MS" w:eastAsia="Arial Unicode MS" w:hAnsi="Arial Unicode MS" w:cs="Arial Unicode MS" w:hint="default"/>
        <w:color w:val="231F20"/>
        <w:w w:val="107"/>
        <w:sz w:val="21"/>
        <w:szCs w:val="21"/>
      </w:rPr>
    </w:lvl>
    <w:lvl w:ilvl="1" w:tplc="A1B4DEAE">
      <w:numFmt w:val="bullet"/>
      <w:lvlText w:val="•"/>
      <w:lvlJc w:val="left"/>
      <w:pPr>
        <w:ind w:left="3630" w:hanging="284"/>
      </w:pPr>
      <w:rPr>
        <w:rFonts w:hint="default"/>
      </w:rPr>
    </w:lvl>
    <w:lvl w:ilvl="2" w:tplc="48BCA1F8">
      <w:numFmt w:val="bullet"/>
      <w:lvlText w:val="•"/>
      <w:lvlJc w:val="left"/>
      <w:pPr>
        <w:ind w:left="4681" w:hanging="284"/>
      </w:pPr>
      <w:rPr>
        <w:rFonts w:hint="default"/>
      </w:rPr>
    </w:lvl>
    <w:lvl w:ilvl="3" w:tplc="4DA4FCA0">
      <w:numFmt w:val="bullet"/>
      <w:lvlText w:val="•"/>
      <w:lvlJc w:val="left"/>
      <w:pPr>
        <w:ind w:left="5731" w:hanging="284"/>
      </w:pPr>
      <w:rPr>
        <w:rFonts w:hint="default"/>
      </w:rPr>
    </w:lvl>
    <w:lvl w:ilvl="4" w:tplc="3D6494F6">
      <w:numFmt w:val="bullet"/>
      <w:lvlText w:val="•"/>
      <w:lvlJc w:val="left"/>
      <w:pPr>
        <w:ind w:left="6782" w:hanging="284"/>
      </w:pPr>
      <w:rPr>
        <w:rFonts w:hint="default"/>
      </w:rPr>
    </w:lvl>
    <w:lvl w:ilvl="5" w:tplc="15D85A68">
      <w:numFmt w:val="bullet"/>
      <w:lvlText w:val="•"/>
      <w:lvlJc w:val="left"/>
      <w:pPr>
        <w:ind w:left="7832" w:hanging="284"/>
      </w:pPr>
      <w:rPr>
        <w:rFonts w:hint="default"/>
      </w:rPr>
    </w:lvl>
    <w:lvl w:ilvl="6" w:tplc="A90A59F4">
      <w:numFmt w:val="bullet"/>
      <w:lvlText w:val="•"/>
      <w:lvlJc w:val="left"/>
      <w:pPr>
        <w:ind w:left="8883" w:hanging="284"/>
      </w:pPr>
      <w:rPr>
        <w:rFonts w:hint="default"/>
      </w:rPr>
    </w:lvl>
    <w:lvl w:ilvl="7" w:tplc="4EF452F4">
      <w:numFmt w:val="bullet"/>
      <w:lvlText w:val="•"/>
      <w:lvlJc w:val="left"/>
      <w:pPr>
        <w:ind w:left="9933" w:hanging="284"/>
      </w:pPr>
      <w:rPr>
        <w:rFonts w:hint="default"/>
      </w:rPr>
    </w:lvl>
    <w:lvl w:ilvl="8" w:tplc="E6947824">
      <w:numFmt w:val="bullet"/>
      <w:lvlText w:val="•"/>
      <w:lvlJc w:val="left"/>
      <w:pPr>
        <w:ind w:left="10984" w:hanging="284"/>
      </w:pPr>
      <w:rPr>
        <w:rFonts w:hint="default"/>
      </w:rPr>
    </w:lvl>
  </w:abstractNum>
  <w:abstractNum w:abstractNumId="20"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21" w15:restartNumberingAfterBreak="0">
    <w:nsid w:val="7DAC0BDA"/>
    <w:multiLevelType w:val="hybridMultilevel"/>
    <w:tmpl w:val="CCA67FAC"/>
    <w:lvl w:ilvl="0" w:tplc="64582170">
      <w:start w:val="49"/>
      <w:numFmt w:val="decimal"/>
      <w:lvlText w:val="%1"/>
      <w:lvlJc w:val="left"/>
      <w:pPr>
        <w:ind w:left="2595" w:hanging="340"/>
      </w:pPr>
      <w:rPr>
        <w:rFonts w:ascii="Arial Unicode MS" w:eastAsia="Arial Unicode MS" w:hAnsi="Arial Unicode MS" w:cs="Arial Unicode MS" w:hint="default"/>
        <w:color w:val="231F20"/>
        <w:w w:val="102"/>
        <w:sz w:val="19"/>
        <w:szCs w:val="19"/>
      </w:rPr>
    </w:lvl>
    <w:lvl w:ilvl="1" w:tplc="1304E260">
      <w:numFmt w:val="bullet"/>
      <w:lvlText w:val="•"/>
      <w:lvlJc w:val="left"/>
      <w:pPr>
        <w:ind w:left="2975" w:hanging="340"/>
      </w:pPr>
      <w:rPr>
        <w:rFonts w:ascii="Arial Unicode MS" w:eastAsia="Arial Unicode MS" w:hAnsi="Arial Unicode MS" w:cs="Arial Unicode MS" w:hint="default"/>
        <w:color w:val="231F20"/>
        <w:w w:val="107"/>
        <w:sz w:val="19"/>
        <w:szCs w:val="19"/>
      </w:rPr>
    </w:lvl>
    <w:lvl w:ilvl="2" w:tplc="25825FFA">
      <w:numFmt w:val="bullet"/>
      <w:lvlText w:val="•"/>
      <w:lvlJc w:val="left"/>
      <w:pPr>
        <w:ind w:left="4102" w:hanging="340"/>
      </w:pPr>
      <w:rPr>
        <w:rFonts w:hint="default"/>
      </w:rPr>
    </w:lvl>
    <w:lvl w:ilvl="3" w:tplc="86FC0D50">
      <w:numFmt w:val="bullet"/>
      <w:lvlText w:val="•"/>
      <w:lvlJc w:val="left"/>
      <w:pPr>
        <w:ind w:left="5225" w:hanging="340"/>
      </w:pPr>
      <w:rPr>
        <w:rFonts w:hint="default"/>
      </w:rPr>
    </w:lvl>
    <w:lvl w:ilvl="4" w:tplc="35BCE320">
      <w:numFmt w:val="bullet"/>
      <w:lvlText w:val="•"/>
      <w:lvlJc w:val="left"/>
      <w:pPr>
        <w:ind w:left="6348" w:hanging="340"/>
      </w:pPr>
      <w:rPr>
        <w:rFonts w:hint="default"/>
      </w:rPr>
    </w:lvl>
    <w:lvl w:ilvl="5" w:tplc="E0C6A7F0">
      <w:numFmt w:val="bullet"/>
      <w:lvlText w:val="•"/>
      <w:lvlJc w:val="left"/>
      <w:pPr>
        <w:ind w:left="7471" w:hanging="340"/>
      </w:pPr>
      <w:rPr>
        <w:rFonts w:hint="default"/>
      </w:rPr>
    </w:lvl>
    <w:lvl w:ilvl="6" w:tplc="2FC60926">
      <w:numFmt w:val="bullet"/>
      <w:lvlText w:val="•"/>
      <w:lvlJc w:val="left"/>
      <w:pPr>
        <w:ind w:left="8594" w:hanging="340"/>
      </w:pPr>
      <w:rPr>
        <w:rFonts w:hint="default"/>
      </w:rPr>
    </w:lvl>
    <w:lvl w:ilvl="7" w:tplc="508EDA3E">
      <w:numFmt w:val="bullet"/>
      <w:lvlText w:val="•"/>
      <w:lvlJc w:val="left"/>
      <w:pPr>
        <w:ind w:left="9717" w:hanging="340"/>
      </w:pPr>
      <w:rPr>
        <w:rFonts w:hint="default"/>
      </w:rPr>
    </w:lvl>
    <w:lvl w:ilvl="8" w:tplc="F9828F0E">
      <w:numFmt w:val="bullet"/>
      <w:lvlText w:val="•"/>
      <w:lvlJc w:val="left"/>
      <w:pPr>
        <w:ind w:left="10839" w:hanging="340"/>
      </w:pPr>
      <w:rPr>
        <w:rFonts w:hint="default"/>
      </w:rPr>
    </w:lvl>
  </w:abstractNum>
  <w:num w:numId="1">
    <w:abstractNumId w:val="20"/>
  </w:num>
  <w:num w:numId="2">
    <w:abstractNumId w:val="7"/>
  </w:num>
  <w:num w:numId="3">
    <w:abstractNumId w:val="10"/>
  </w:num>
  <w:num w:numId="4">
    <w:abstractNumId w:val="0"/>
  </w:num>
  <w:num w:numId="5">
    <w:abstractNumId w:val="4"/>
  </w:num>
  <w:num w:numId="6">
    <w:abstractNumId w:val="14"/>
  </w:num>
  <w:num w:numId="7">
    <w:abstractNumId w:val="8"/>
  </w:num>
  <w:num w:numId="8">
    <w:abstractNumId w:val="12"/>
  </w:num>
  <w:num w:numId="9">
    <w:abstractNumId w:val="2"/>
  </w:num>
  <w:num w:numId="10">
    <w:abstractNumId w:val="16"/>
  </w:num>
  <w:num w:numId="11">
    <w:abstractNumId w:val="15"/>
  </w:num>
  <w:num w:numId="12">
    <w:abstractNumId w:val="13"/>
  </w:num>
  <w:num w:numId="13">
    <w:abstractNumId w:val="1"/>
  </w:num>
  <w:num w:numId="14">
    <w:abstractNumId w:val="3"/>
  </w:num>
  <w:num w:numId="15">
    <w:abstractNumId w:val="19"/>
  </w:num>
  <w:num w:numId="16">
    <w:abstractNumId w:val="11"/>
  </w:num>
  <w:num w:numId="17">
    <w:abstractNumId w:val="17"/>
  </w:num>
  <w:num w:numId="18">
    <w:abstractNumId w:val="6"/>
  </w:num>
  <w:num w:numId="19">
    <w:abstractNumId w:val="18"/>
  </w:num>
  <w:num w:numId="20">
    <w:abstractNumId w:val="5"/>
  </w:num>
  <w:num w:numId="21">
    <w:abstractNumId w:val="21"/>
  </w:num>
  <w:num w:numId="22">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25B8"/>
    <w:rsid w:val="00022788"/>
    <w:rsid w:val="00025A6F"/>
    <w:rsid w:val="0002618D"/>
    <w:rsid w:val="00030B26"/>
    <w:rsid w:val="00030E84"/>
    <w:rsid w:val="00032C0A"/>
    <w:rsid w:val="00035257"/>
    <w:rsid w:val="00035D68"/>
    <w:rsid w:val="00037C64"/>
    <w:rsid w:val="00054B44"/>
    <w:rsid w:val="0006228D"/>
    <w:rsid w:val="00070FC8"/>
    <w:rsid w:val="00072BD6"/>
    <w:rsid w:val="00075B78"/>
    <w:rsid w:val="000763E9"/>
    <w:rsid w:val="00082CD6"/>
    <w:rsid w:val="0008437D"/>
    <w:rsid w:val="00085AFE"/>
    <w:rsid w:val="00094800"/>
    <w:rsid w:val="000A41ED"/>
    <w:rsid w:val="000A634B"/>
    <w:rsid w:val="000B0730"/>
    <w:rsid w:val="000D19F4"/>
    <w:rsid w:val="000D377A"/>
    <w:rsid w:val="000D4BB4"/>
    <w:rsid w:val="000D58DD"/>
    <w:rsid w:val="000F2AE2"/>
    <w:rsid w:val="000F2BFF"/>
    <w:rsid w:val="00102063"/>
    <w:rsid w:val="0010541C"/>
    <w:rsid w:val="00106F93"/>
    <w:rsid w:val="00111D50"/>
    <w:rsid w:val="00113B8E"/>
    <w:rsid w:val="00114267"/>
    <w:rsid w:val="0012053C"/>
    <w:rsid w:val="00122363"/>
    <w:rsid w:val="00122F85"/>
    <w:rsid w:val="00125224"/>
    <w:rsid w:val="001342C7"/>
    <w:rsid w:val="0013585C"/>
    <w:rsid w:val="00141440"/>
    <w:rsid w:val="00142261"/>
    <w:rsid w:val="00142954"/>
    <w:rsid w:val="001460E0"/>
    <w:rsid w:val="001472F0"/>
    <w:rsid w:val="00147F71"/>
    <w:rsid w:val="00150A6E"/>
    <w:rsid w:val="0016468A"/>
    <w:rsid w:val="001832C8"/>
    <w:rsid w:val="0018662D"/>
    <w:rsid w:val="00193432"/>
    <w:rsid w:val="00197427"/>
    <w:rsid w:val="001A21B4"/>
    <w:rsid w:val="001A5CF5"/>
    <w:rsid w:val="001B39D2"/>
    <w:rsid w:val="001B4BF8"/>
    <w:rsid w:val="001C4326"/>
    <w:rsid w:val="001C665E"/>
    <w:rsid w:val="001C6B6C"/>
    <w:rsid w:val="001D3541"/>
    <w:rsid w:val="001D3E4E"/>
    <w:rsid w:val="001E254A"/>
    <w:rsid w:val="001E7386"/>
    <w:rsid w:val="001F45A7"/>
    <w:rsid w:val="00201A01"/>
    <w:rsid w:val="0020754B"/>
    <w:rsid w:val="002104D3"/>
    <w:rsid w:val="00213A33"/>
    <w:rsid w:val="0021763B"/>
    <w:rsid w:val="00243C1D"/>
    <w:rsid w:val="00246DB1"/>
    <w:rsid w:val="002476B5"/>
    <w:rsid w:val="002520CC"/>
    <w:rsid w:val="00253ECF"/>
    <w:rsid w:val="002546A1"/>
    <w:rsid w:val="002628F4"/>
    <w:rsid w:val="00275536"/>
    <w:rsid w:val="00275D08"/>
    <w:rsid w:val="002858E3"/>
    <w:rsid w:val="0029190A"/>
    <w:rsid w:val="00292C5A"/>
    <w:rsid w:val="00295241"/>
    <w:rsid w:val="002A0A7A"/>
    <w:rsid w:val="002A4DFC"/>
    <w:rsid w:val="002B047D"/>
    <w:rsid w:val="002B732B"/>
    <w:rsid w:val="002B76A7"/>
    <w:rsid w:val="002C2219"/>
    <w:rsid w:val="002C2552"/>
    <w:rsid w:val="002D0DF2"/>
    <w:rsid w:val="002D23BD"/>
    <w:rsid w:val="002E0B47"/>
    <w:rsid w:val="002F4685"/>
    <w:rsid w:val="002F7213"/>
    <w:rsid w:val="002F7673"/>
    <w:rsid w:val="0030382F"/>
    <w:rsid w:val="0030408D"/>
    <w:rsid w:val="003060E4"/>
    <w:rsid w:val="00311E63"/>
    <w:rsid w:val="003160E7"/>
    <w:rsid w:val="0031739E"/>
    <w:rsid w:val="003309CA"/>
    <w:rsid w:val="003325AB"/>
    <w:rsid w:val="003332D1"/>
    <w:rsid w:val="0033412B"/>
    <w:rsid w:val="00341161"/>
    <w:rsid w:val="00343365"/>
    <w:rsid w:val="003445F4"/>
    <w:rsid w:val="00353501"/>
    <w:rsid w:val="00353734"/>
    <w:rsid w:val="00357A0A"/>
    <w:rsid w:val="003606F8"/>
    <w:rsid w:val="003648EF"/>
    <w:rsid w:val="003673E6"/>
    <w:rsid w:val="00377264"/>
    <w:rsid w:val="003779D2"/>
    <w:rsid w:val="00385E38"/>
    <w:rsid w:val="0039233E"/>
    <w:rsid w:val="003A26A5"/>
    <w:rsid w:val="003A3761"/>
    <w:rsid w:val="003A512D"/>
    <w:rsid w:val="003A5FEA"/>
    <w:rsid w:val="003A6FD5"/>
    <w:rsid w:val="003B1D10"/>
    <w:rsid w:val="003C1E58"/>
    <w:rsid w:val="003C59D6"/>
    <w:rsid w:val="003C76D4"/>
    <w:rsid w:val="003D137D"/>
    <w:rsid w:val="003D2CC5"/>
    <w:rsid w:val="003E04C1"/>
    <w:rsid w:val="003E0887"/>
    <w:rsid w:val="003E74C8"/>
    <w:rsid w:val="003E7C46"/>
    <w:rsid w:val="003F2106"/>
    <w:rsid w:val="003F52A7"/>
    <w:rsid w:val="003F6632"/>
    <w:rsid w:val="003F7013"/>
    <w:rsid w:val="0040240C"/>
    <w:rsid w:val="00413021"/>
    <w:rsid w:val="004301C6"/>
    <w:rsid w:val="0043478F"/>
    <w:rsid w:val="00434E22"/>
    <w:rsid w:val="0043602B"/>
    <w:rsid w:val="00440BE0"/>
    <w:rsid w:val="00442C1C"/>
    <w:rsid w:val="0044584B"/>
    <w:rsid w:val="00447CB7"/>
    <w:rsid w:val="004522E2"/>
    <w:rsid w:val="00455CC9"/>
    <w:rsid w:val="00460826"/>
    <w:rsid w:val="00460EA7"/>
    <w:rsid w:val="0046195B"/>
    <w:rsid w:val="0046362D"/>
    <w:rsid w:val="0046596D"/>
    <w:rsid w:val="00475708"/>
    <w:rsid w:val="00487C04"/>
    <w:rsid w:val="004907E1"/>
    <w:rsid w:val="004A035B"/>
    <w:rsid w:val="004A2108"/>
    <w:rsid w:val="004A345B"/>
    <w:rsid w:val="004A38D7"/>
    <w:rsid w:val="004A778C"/>
    <w:rsid w:val="004B48C7"/>
    <w:rsid w:val="004C2E6A"/>
    <w:rsid w:val="004C64B8"/>
    <w:rsid w:val="004C6D48"/>
    <w:rsid w:val="004D2A2D"/>
    <w:rsid w:val="004D479F"/>
    <w:rsid w:val="004D6689"/>
    <w:rsid w:val="004E1D1D"/>
    <w:rsid w:val="004E7AC8"/>
    <w:rsid w:val="004F0C94"/>
    <w:rsid w:val="005019AE"/>
    <w:rsid w:val="00503749"/>
    <w:rsid w:val="00503FBD"/>
    <w:rsid w:val="00504CF4"/>
    <w:rsid w:val="0050635B"/>
    <w:rsid w:val="005116F2"/>
    <w:rsid w:val="005151C2"/>
    <w:rsid w:val="0053199F"/>
    <w:rsid w:val="00531E12"/>
    <w:rsid w:val="00533645"/>
    <w:rsid w:val="00533B90"/>
    <w:rsid w:val="005410F8"/>
    <w:rsid w:val="005441EC"/>
    <w:rsid w:val="005448EC"/>
    <w:rsid w:val="00545963"/>
    <w:rsid w:val="005459E0"/>
    <w:rsid w:val="00550256"/>
    <w:rsid w:val="00553165"/>
    <w:rsid w:val="00553958"/>
    <w:rsid w:val="00556BB7"/>
    <w:rsid w:val="0055763D"/>
    <w:rsid w:val="00561516"/>
    <w:rsid w:val="005621F2"/>
    <w:rsid w:val="005639E6"/>
    <w:rsid w:val="00567B58"/>
    <w:rsid w:val="00571223"/>
    <w:rsid w:val="00574F24"/>
    <w:rsid w:val="005763E0"/>
    <w:rsid w:val="0057789C"/>
    <w:rsid w:val="00581136"/>
    <w:rsid w:val="00581EB8"/>
    <w:rsid w:val="005A27CA"/>
    <w:rsid w:val="005A43BD"/>
    <w:rsid w:val="005A79E5"/>
    <w:rsid w:val="005B3F69"/>
    <w:rsid w:val="005D034C"/>
    <w:rsid w:val="005E226E"/>
    <w:rsid w:val="005E2636"/>
    <w:rsid w:val="006015D7"/>
    <w:rsid w:val="00601B21"/>
    <w:rsid w:val="006041F0"/>
    <w:rsid w:val="00605C6D"/>
    <w:rsid w:val="006120CA"/>
    <w:rsid w:val="00616F19"/>
    <w:rsid w:val="00624174"/>
    <w:rsid w:val="00626CF8"/>
    <w:rsid w:val="006314AF"/>
    <w:rsid w:val="00634ED8"/>
    <w:rsid w:val="00636D7D"/>
    <w:rsid w:val="00637408"/>
    <w:rsid w:val="00642868"/>
    <w:rsid w:val="00647AFE"/>
    <w:rsid w:val="006512BC"/>
    <w:rsid w:val="00653A5A"/>
    <w:rsid w:val="006554AC"/>
    <w:rsid w:val="006575F4"/>
    <w:rsid w:val="006579E6"/>
    <w:rsid w:val="00660682"/>
    <w:rsid w:val="00660F74"/>
    <w:rsid w:val="00663EDC"/>
    <w:rsid w:val="00671078"/>
    <w:rsid w:val="006758CA"/>
    <w:rsid w:val="00680A04"/>
    <w:rsid w:val="00686D80"/>
    <w:rsid w:val="00694895"/>
    <w:rsid w:val="00697E2E"/>
    <w:rsid w:val="006A1E3A"/>
    <w:rsid w:val="006A25A2"/>
    <w:rsid w:val="006A3B87"/>
    <w:rsid w:val="006A3E9B"/>
    <w:rsid w:val="006B0E73"/>
    <w:rsid w:val="006B1E3D"/>
    <w:rsid w:val="006B4A4D"/>
    <w:rsid w:val="006B4EFA"/>
    <w:rsid w:val="006B5695"/>
    <w:rsid w:val="006B7B2E"/>
    <w:rsid w:val="006C78EB"/>
    <w:rsid w:val="006D1660"/>
    <w:rsid w:val="006D63E5"/>
    <w:rsid w:val="006E1753"/>
    <w:rsid w:val="006E3911"/>
    <w:rsid w:val="006E630C"/>
    <w:rsid w:val="006F1B67"/>
    <w:rsid w:val="006F4D9C"/>
    <w:rsid w:val="0070091D"/>
    <w:rsid w:val="00700B54"/>
    <w:rsid w:val="00702854"/>
    <w:rsid w:val="00713118"/>
    <w:rsid w:val="0071741C"/>
    <w:rsid w:val="00724EBD"/>
    <w:rsid w:val="00740DA6"/>
    <w:rsid w:val="00742B90"/>
    <w:rsid w:val="0074434D"/>
    <w:rsid w:val="007511FC"/>
    <w:rsid w:val="007545C4"/>
    <w:rsid w:val="00756399"/>
    <w:rsid w:val="007570C4"/>
    <w:rsid w:val="007605B8"/>
    <w:rsid w:val="00771B1E"/>
    <w:rsid w:val="00773C95"/>
    <w:rsid w:val="007753C8"/>
    <w:rsid w:val="00780F32"/>
    <w:rsid w:val="0078171E"/>
    <w:rsid w:val="0078658E"/>
    <w:rsid w:val="007920E2"/>
    <w:rsid w:val="0079566E"/>
    <w:rsid w:val="00795B34"/>
    <w:rsid w:val="007A067F"/>
    <w:rsid w:val="007B1770"/>
    <w:rsid w:val="007B4D3E"/>
    <w:rsid w:val="007B7C70"/>
    <w:rsid w:val="007B7DEB"/>
    <w:rsid w:val="007C5C2A"/>
    <w:rsid w:val="007D0316"/>
    <w:rsid w:val="007D2151"/>
    <w:rsid w:val="007D3B90"/>
    <w:rsid w:val="007D42CC"/>
    <w:rsid w:val="007D5DE4"/>
    <w:rsid w:val="007D7C3A"/>
    <w:rsid w:val="007E0777"/>
    <w:rsid w:val="007E1341"/>
    <w:rsid w:val="007E1B41"/>
    <w:rsid w:val="007E1EC4"/>
    <w:rsid w:val="007E30B9"/>
    <w:rsid w:val="007E74F1"/>
    <w:rsid w:val="007F0F0C"/>
    <w:rsid w:val="007F1288"/>
    <w:rsid w:val="007F22A0"/>
    <w:rsid w:val="00800A8A"/>
    <w:rsid w:val="0080155C"/>
    <w:rsid w:val="008052E1"/>
    <w:rsid w:val="00822198"/>
    <w:rsid w:val="00822F2C"/>
    <w:rsid w:val="00823DEE"/>
    <w:rsid w:val="008305E8"/>
    <w:rsid w:val="00836165"/>
    <w:rsid w:val="0084640C"/>
    <w:rsid w:val="00856088"/>
    <w:rsid w:val="00860826"/>
    <w:rsid w:val="00860E21"/>
    <w:rsid w:val="00863117"/>
    <w:rsid w:val="0086388B"/>
    <w:rsid w:val="008642E5"/>
    <w:rsid w:val="00864488"/>
    <w:rsid w:val="00867E95"/>
    <w:rsid w:val="00870A36"/>
    <w:rsid w:val="00872D93"/>
    <w:rsid w:val="00880470"/>
    <w:rsid w:val="00880D94"/>
    <w:rsid w:val="00886F64"/>
    <w:rsid w:val="008924DE"/>
    <w:rsid w:val="008A3755"/>
    <w:rsid w:val="008B19DC"/>
    <w:rsid w:val="008B264F"/>
    <w:rsid w:val="008B6F83"/>
    <w:rsid w:val="008B7FD8"/>
    <w:rsid w:val="008C2973"/>
    <w:rsid w:val="008C6324"/>
    <w:rsid w:val="008C64C4"/>
    <w:rsid w:val="008D74D5"/>
    <w:rsid w:val="008E0ED1"/>
    <w:rsid w:val="008E3A07"/>
    <w:rsid w:val="008E4266"/>
    <w:rsid w:val="008E4591"/>
    <w:rsid w:val="008E537B"/>
    <w:rsid w:val="008F29BE"/>
    <w:rsid w:val="008F4AE5"/>
    <w:rsid w:val="008F51EB"/>
    <w:rsid w:val="00900197"/>
    <w:rsid w:val="00902F55"/>
    <w:rsid w:val="009033E3"/>
    <w:rsid w:val="0090582B"/>
    <w:rsid w:val="009060C0"/>
    <w:rsid w:val="009133F5"/>
    <w:rsid w:val="0091756F"/>
    <w:rsid w:val="00920A27"/>
    <w:rsid w:val="00921216"/>
    <w:rsid w:val="009216CC"/>
    <w:rsid w:val="00926083"/>
    <w:rsid w:val="00930D08"/>
    <w:rsid w:val="00931466"/>
    <w:rsid w:val="00932D69"/>
    <w:rsid w:val="00935589"/>
    <w:rsid w:val="00944647"/>
    <w:rsid w:val="0095565C"/>
    <w:rsid w:val="00956C85"/>
    <w:rsid w:val="00964AB6"/>
    <w:rsid w:val="00966F9A"/>
    <w:rsid w:val="00975A47"/>
    <w:rsid w:val="00977B8A"/>
    <w:rsid w:val="00982892"/>
    <w:rsid w:val="00982971"/>
    <w:rsid w:val="009845AD"/>
    <w:rsid w:val="00984835"/>
    <w:rsid w:val="009933EF"/>
    <w:rsid w:val="0099470F"/>
    <w:rsid w:val="00995BA0"/>
    <w:rsid w:val="009A1402"/>
    <w:rsid w:val="009A418B"/>
    <w:rsid w:val="009A426F"/>
    <w:rsid w:val="009A42D5"/>
    <w:rsid w:val="009A4473"/>
    <w:rsid w:val="009B05C9"/>
    <w:rsid w:val="009B1EB2"/>
    <w:rsid w:val="009B286C"/>
    <w:rsid w:val="009B6361"/>
    <w:rsid w:val="009C151C"/>
    <w:rsid w:val="009C440A"/>
    <w:rsid w:val="009C5FFD"/>
    <w:rsid w:val="009D5125"/>
    <w:rsid w:val="009D60B8"/>
    <w:rsid w:val="009D7D4B"/>
    <w:rsid w:val="009E1A1F"/>
    <w:rsid w:val="009E36ED"/>
    <w:rsid w:val="009E3C8C"/>
    <w:rsid w:val="009E6B77"/>
    <w:rsid w:val="009F460A"/>
    <w:rsid w:val="00A043FB"/>
    <w:rsid w:val="00A06BE4"/>
    <w:rsid w:val="00A0729C"/>
    <w:rsid w:val="00A07779"/>
    <w:rsid w:val="00A1166A"/>
    <w:rsid w:val="00A15127"/>
    <w:rsid w:val="00A1533D"/>
    <w:rsid w:val="00A20B2E"/>
    <w:rsid w:val="00A20F1B"/>
    <w:rsid w:val="00A24BDC"/>
    <w:rsid w:val="00A24F33"/>
    <w:rsid w:val="00A25069"/>
    <w:rsid w:val="00A26E6B"/>
    <w:rsid w:val="00A3068F"/>
    <w:rsid w:val="00A3145B"/>
    <w:rsid w:val="00A339D0"/>
    <w:rsid w:val="00A41002"/>
    <w:rsid w:val="00A4201A"/>
    <w:rsid w:val="00A53973"/>
    <w:rsid w:val="00A5465D"/>
    <w:rsid w:val="00A553CE"/>
    <w:rsid w:val="00A5677A"/>
    <w:rsid w:val="00A56DCC"/>
    <w:rsid w:val="00A625E8"/>
    <w:rsid w:val="00A63DFF"/>
    <w:rsid w:val="00A6490D"/>
    <w:rsid w:val="00A72B5A"/>
    <w:rsid w:val="00A7415D"/>
    <w:rsid w:val="00A7521E"/>
    <w:rsid w:val="00A80363"/>
    <w:rsid w:val="00A80939"/>
    <w:rsid w:val="00A83E9D"/>
    <w:rsid w:val="00A8552F"/>
    <w:rsid w:val="00A87C05"/>
    <w:rsid w:val="00A9169D"/>
    <w:rsid w:val="00AA240C"/>
    <w:rsid w:val="00AB2E42"/>
    <w:rsid w:val="00AC101C"/>
    <w:rsid w:val="00AD04DD"/>
    <w:rsid w:val="00AD4CF1"/>
    <w:rsid w:val="00AD5988"/>
    <w:rsid w:val="00AD6293"/>
    <w:rsid w:val="00AF7800"/>
    <w:rsid w:val="00B00CF5"/>
    <w:rsid w:val="00B0271E"/>
    <w:rsid w:val="00B072E0"/>
    <w:rsid w:val="00B1007E"/>
    <w:rsid w:val="00B158F8"/>
    <w:rsid w:val="00B253F6"/>
    <w:rsid w:val="00B25B3C"/>
    <w:rsid w:val="00B26675"/>
    <w:rsid w:val="00B305DB"/>
    <w:rsid w:val="00B332F8"/>
    <w:rsid w:val="00B3492B"/>
    <w:rsid w:val="00B4646F"/>
    <w:rsid w:val="00B55C7D"/>
    <w:rsid w:val="00B63038"/>
    <w:rsid w:val="00B64BD8"/>
    <w:rsid w:val="00B6785B"/>
    <w:rsid w:val="00B701D1"/>
    <w:rsid w:val="00B730BB"/>
    <w:rsid w:val="00B73AF2"/>
    <w:rsid w:val="00B7551A"/>
    <w:rsid w:val="00B773F1"/>
    <w:rsid w:val="00B84D9C"/>
    <w:rsid w:val="00B86AB1"/>
    <w:rsid w:val="00BB18C8"/>
    <w:rsid w:val="00BB2A06"/>
    <w:rsid w:val="00BB2CBB"/>
    <w:rsid w:val="00BB2F7A"/>
    <w:rsid w:val="00BB4198"/>
    <w:rsid w:val="00BC03EE"/>
    <w:rsid w:val="00BC5678"/>
    <w:rsid w:val="00BC59F1"/>
    <w:rsid w:val="00BF3DE1"/>
    <w:rsid w:val="00BF4843"/>
    <w:rsid w:val="00BF5205"/>
    <w:rsid w:val="00C00DB6"/>
    <w:rsid w:val="00C05132"/>
    <w:rsid w:val="00C12508"/>
    <w:rsid w:val="00C23728"/>
    <w:rsid w:val="00C3026C"/>
    <w:rsid w:val="00C313A9"/>
    <w:rsid w:val="00C441CF"/>
    <w:rsid w:val="00C45AA2"/>
    <w:rsid w:val="00C4792C"/>
    <w:rsid w:val="00C512D1"/>
    <w:rsid w:val="00C5177E"/>
    <w:rsid w:val="00C537C8"/>
    <w:rsid w:val="00C55BEF"/>
    <w:rsid w:val="00C601AF"/>
    <w:rsid w:val="00C61A63"/>
    <w:rsid w:val="00C66296"/>
    <w:rsid w:val="00C66809"/>
    <w:rsid w:val="00C7394D"/>
    <w:rsid w:val="00C77282"/>
    <w:rsid w:val="00C826D4"/>
    <w:rsid w:val="00C84DE5"/>
    <w:rsid w:val="00C86248"/>
    <w:rsid w:val="00C90B31"/>
    <w:rsid w:val="00CA0D6F"/>
    <w:rsid w:val="00CA17C4"/>
    <w:rsid w:val="00CA1F5D"/>
    <w:rsid w:val="00CA4C33"/>
    <w:rsid w:val="00CA689A"/>
    <w:rsid w:val="00CA6F4A"/>
    <w:rsid w:val="00CB1918"/>
    <w:rsid w:val="00CB6427"/>
    <w:rsid w:val="00CC0FBE"/>
    <w:rsid w:val="00CD1F6C"/>
    <w:rsid w:val="00CD2119"/>
    <w:rsid w:val="00CD237A"/>
    <w:rsid w:val="00CD36AC"/>
    <w:rsid w:val="00CE13A3"/>
    <w:rsid w:val="00CE36BC"/>
    <w:rsid w:val="00CE6BF2"/>
    <w:rsid w:val="00CF0327"/>
    <w:rsid w:val="00CF1747"/>
    <w:rsid w:val="00CF60ED"/>
    <w:rsid w:val="00D05D74"/>
    <w:rsid w:val="00D11995"/>
    <w:rsid w:val="00D20C59"/>
    <w:rsid w:val="00D23323"/>
    <w:rsid w:val="00D2392A"/>
    <w:rsid w:val="00D25FFE"/>
    <w:rsid w:val="00D33F46"/>
    <w:rsid w:val="00D37D80"/>
    <w:rsid w:val="00D4476F"/>
    <w:rsid w:val="00D46603"/>
    <w:rsid w:val="00D50573"/>
    <w:rsid w:val="00D520CF"/>
    <w:rsid w:val="00D54D50"/>
    <w:rsid w:val="00D560B4"/>
    <w:rsid w:val="00D56CBB"/>
    <w:rsid w:val="00D60FD0"/>
    <w:rsid w:val="00D61B93"/>
    <w:rsid w:val="00D62A9D"/>
    <w:rsid w:val="00D662F8"/>
    <w:rsid w:val="00D66797"/>
    <w:rsid w:val="00D7087C"/>
    <w:rsid w:val="00D70C3C"/>
    <w:rsid w:val="00D71DF7"/>
    <w:rsid w:val="00D72BE5"/>
    <w:rsid w:val="00D81462"/>
    <w:rsid w:val="00D82F26"/>
    <w:rsid w:val="00D83D0A"/>
    <w:rsid w:val="00D863D0"/>
    <w:rsid w:val="00D86FB9"/>
    <w:rsid w:val="00D87C87"/>
    <w:rsid w:val="00D90BB4"/>
    <w:rsid w:val="00D90E07"/>
    <w:rsid w:val="00D932C2"/>
    <w:rsid w:val="00DA319F"/>
    <w:rsid w:val="00DB39CF"/>
    <w:rsid w:val="00DB7256"/>
    <w:rsid w:val="00DC033E"/>
    <w:rsid w:val="00DC0401"/>
    <w:rsid w:val="00DC20BD"/>
    <w:rsid w:val="00DC4F8C"/>
    <w:rsid w:val="00DD0BCD"/>
    <w:rsid w:val="00DD447A"/>
    <w:rsid w:val="00DE0BB2"/>
    <w:rsid w:val="00DE3B20"/>
    <w:rsid w:val="00DE6C94"/>
    <w:rsid w:val="00DE6FD7"/>
    <w:rsid w:val="00E031E9"/>
    <w:rsid w:val="00E23271"/>
    <w:rsid w:val="00E24F80"/>
    <w:rsid w:val="00E259F3"/>
    <w:rsid w:val="00E30985"/>
    <w:rsid w:val="00E33238"/>
    <w:rsid w:val="00E376B7"/>
    <w:rsid w:val="00E42F5D"/>
    <w:rsid w:val="00E4486C"/>
    <w:rsid w:val="00E45C29"/>
    <w:rsid w:val="00E460B6"/>
    <w:rsid w:val="00E511D5"/>
    <w:rsid w:val="00E60249"/>
    <w:rsid w:val="00E65269"/>
    <w:rsid w:val="00E76D66"/>
    <w:rsid w:val="00E97AAC"/>
    <w:rsid w:val="00EA796A"/>
    <w:rsid w:val="00EB1856"/>
    <w:rsid w:val="00EC0CC6"/>
    <w:rsid w:val="00EC50CE"/>
    <w:rsid w:val="00EC5B34"/>
    <w:rsid w:val="00EC5EF1"/>
    <w:rsid w:val="00ED021E"/>
    <w:rsid w:val="00ED323C"/>
    <w:rsid w:val="00EE2D5C"/>
    <w:rsid w:val="00EE4ADE"/>
    <w:rsid w:val="00EE4DE8"/>
    <w:rsid w:val="00EE5CB7"/>
    <w:rsid w:val="00F024FE"/>
    <w:rsid w:val="00F05AD4"/>
    <w:rsid w:val="00F10EB6"/>
    <w:rsid w:val="00F1395E"/>
    <w:rsid w:val="00F13F07"/>
    <w:rsid w:val="00F140B2"/>
    <w:rsid w:val="00F25970"/>
    <w:rsid w:val="00F311A9"/>
    <w:rsid w:val="00F3441B"/>
    <w:rsid w:val="00F35C8F"/>
    <w:rsid w:val="00F5180D"/>
    <w:rsid w:val="00F63781"/>
    <w:rsid w:val="00F67496"/>
    <w:rsid w:val="00F70813"/>
    <w:rsid w:val="00F72074"/>
    <w:rsid w:val="00F72577"/>
    <w:rsid w:val="00F737B5"/>
    <w:rsid w:val="00F801BA"/>
    <w:rsid w:val="00F9366A"/>
    <w:rsid w:val="00F93A95"/>
    <w:rsid w:val="00F946C9"/>
    <w:rsid w:val="00FA0EA5"/>
    <w:rsid w:val="00FA74EE"/>
    <w:rsid w:val="00FC3711"/>
    <w:rsid w:val="00FC46E7"/>
    <w:rsid w:val="00FC5D25"/>
    <w:rsid w:val="00FD0D7E"/>
    <w:rsid w:val="00FD4FFB"/>
    <w:rsid w:val="00FE07F0"/>
    <w:rsid w:val="00FE5AB1"/>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4416EC1"/>
  <w15:docId w15:val="{3511714D-A59E-4759-8D65-0C21011E2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9"/>
    <w:qFormat/>
    <w:rsid w:val="00C826D4"/>
    <w:pPr>
      <w:pageBreakBefore/>
      <w:spacing w:after="360"/>
      <w:outlineLvl w:val="0"/>
    </w:pPr>
    <w:rPr>
      <w:rFonts w:ascii="Georgia" w:hAnsi="Georgia"/>
      <w:color w:val="000000" w:themeColor="text1"/>
      <w:spacing w:val="-10"/>
      <w:sz w:val="72"/>
    </w:rPr>
  </w:style>
  <w:style w:type="paragraph" w:styleId="Heading2">
    <w:name w:val="heading 2"/>
    <w:basedOn w:val="Normal"/>
    <w:next w:val="Normal"/>
    <w:link w:val="Heading2Char"/>
    <w:uiPriority w:val="9"/>
    <w:qFormat/>
    <w:rsid w:val="00C826D4"/>
    <w:pPr>
      <w:keepNext/>
      <w:spacing w:before="480" w:after="180"/>
      <w:outlineLvl w:val="1"/>
    </w:pPr>
    <w:rPr>
      <w:b/>
      <w:color w:val="000000" w:themeColor="text1"/>
      <w:spacing w:val="-5"/>
      <w:sz w:val="48"/>
    </w:rPr>
  </w:style>
  <w:style w:type="paragraph" w:styleId="Heading3">
    <w:name w:val="heading 3"/>
    <w:basedOn w:val="Normal"/>
    <w:next w:val="Normal"/>
    <w:link w:val="Heading3Char"/>
    <w:uiPriority w:val="9"/>
    <w:qFormat/>
    <w:rsid w:val="00C826D4"/>
    <w:pPr>
      <w:keepNext/>
      <w:spacing w:before="360" w:after="180"/>
      <w:outlineLvl w:val="2"/>
    </w:pPr>
    <w:rPr>
      <w:color w:val="000000" w:themeColor="text1"/>
      <w:spacing w:val="-5"/>
      <w:sz w:val="36"/>
    </w:rPr>
  </w:style>
  <w:style w:type="paragraph" w:styleId="Heading4">
    <w:name w:val="heading 4"/>
    <w:basedOn w:val="Normal"/>
    <w:next w:val="Normal"/>
    <w:link w:val="Heading4Char"/>
    <w:uiPriority w:val="9"/>
    <w:qFormat/>
    <w:rsid w:val="00C826D4"/>
    <w:pPr>
      <w:keepNext/>
      <w:spacing w:before="240" w:after="120"/>
      <w:outlineLvl w:val="3"/>
    </w:pPr>
    <w:rPr>
      <w:color w:val="000000" w:themeColor="text1"/>
      <w:sz w:val="28"/>
    </w:rPr>
  </w:style>
  <w:style w:type="paragraph" w:styleId="Heading5">
    <w:name w:val="heading 5"/>
    <w:basedOn w:val="Normal"/>
    <w:next w:val="Normal"/>
    <w:link w:val="Heading5Char"/>
    <w:uiPriority w:val="9"/>
    <w:qFormat/>
    <w:rsid w:val="00B00CF5"/>
    <w:pPr>
      <w:keepNext/>
      <w:spacing w:before="120" w:after="120"/>
      <w:outlineLvl w:val="4"/>
    </w:pPr>
    <w:rPr>
      <w:color w:val="0A6AB4"/>
      <w:sz w:val="24"/>
    </w:rPr>
  </w:style>
  <w:style w:type="paragraph" w:styleId="Heading6">
    <w:name w:val="heading 6"/>
    <w:basedOn w:val="Normal"/>
    <w:next w:val="Normal"/>
    <w:link w:val="Heading6Char"/>
    <w:uiPriority w:val="9"/>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832C8"/>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D46603"/>
    <w:pPr>
      <w:tabs>
        <w:tab w:val="right" w:pos="8080"/>
      </w:tabs>
      <w:spacing w:before="50"/>
      <w:ind w:left="284" w:right="567"/>
    </w:pPr>
    <w:rPr>
      <w:sz w:val="22"/>
    </w:rPr>
  </w:style>
  <w:style w:type="paragraph" w:styleId="TOC3">
    <w:name w:val="toc 3"/>
    <w:basedOn w:val="Normal"/>
    <w:next w:val="Normal"/>
    <w:uiPriority w:val="39"/>
    <w:qFormat/>
    <w:rsid w:val="006A3E9B"/>
    <w:pPr>
      <w:tabs>
        <w:tab w:val="right" w:pos="8080"/>
      </w:tabs>
      <w:spacing w:before="65"/>
      <w:ind w:left="1134" w:right="567" w:hanging="1134"/>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9"/>
    <w:rsid w:val="00C826D4"/>
    <w:rPr>
      <w:rFonts w:ascii="Georgia" w:hAnsi="Georgia"/>
      <w:color w:val="000000" w:themeColor="text1"/>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9"/>
    <w:rsid w:val="00C826D4"/>
    <w:rPr>
      <w:rFonts w:ascii="Segoe UI" w:hAnsi="Segoe UI"/>
      <w:b/>
      <w:color w:val="000000" w:themeColor="text1"/>
      <w:spacing w:val="-5"/>
      <w:sz w:val="48"/>
      <w:lang w:eastAsia="en-GB"/>
    </w:rPr>
  </w:style>
  <w:style w:type="character" w:customStyle="1" w:styleId="Heading3Char">
    <w:name w:val="Heading 3 Char"/>
    <w:link w:val="Heading3"/>
    <w:uiPriority w:val="9"/>
    <w:rsid w:val="00C826D4"/>
    <w:rPr>
      <w:rFonts w:ascii="Segoe UI" w:hAnsi="Segoe UI"/>
      <w:color w:val="000000" w:themeColor="text1"/>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9"/>
    <w:rsid w:val="00C826D4"/>
    <w:rPr>
      <w:rFonts w:ascii="Segoe UI" w:hAnsi="Segoe UI"/>
      <w:color w:val="000000" w:themeColor="text1"/>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5"/>
      </w:numPr>
      <w:spacing w:before="180"/>
    </w:pPr>
    <w:rPr>
      <w:szCs w:val="24"/>
    </w:rPr>
  </w:style>
  <w:style w:type="paragraph" w:customStyle="1" w:styleId="Letter">
    <w:name w:val="Letter"/>
    <w:basedOn w:val="Normal"/>
    <w:qFormat/>
    <w:rsid w:val="00F140B2"/>
    <w:pPr>
      <w:numPr>
        <w:ilvl w:val="1"/>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E30985"/>
    <w:pPr>
      <w:spacing w:after="120"/>
    </w:pPr>
    <w:rPr>
      <w:rFonts w:eastAsia="Arial Unicode MS"/>
    </w:rPr>
  </w:style>
  <w:style w:type="paragraph" w:customStyle="1" w:styleId="Shadedboxtext">
    <w:name w:val="Shaded box text"/>
    <w:basedOn w:val="Normal"/>
    <w:qFormat/>
    <w:rsid w:val="00E30985"/>
    <w:pPr>
      <w:spacing w:line="228" w:lineRule="auto"/>
      <w:ind w:right="142"/>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paragraph" w:styleId="TOC4">
    <w:name w:val="toc 4"/>
    <w:basedOn w:val="Normal"/>
    <w:next w:val="Normal"/>
    <w:autoRedefine/>
    <w:uiPriority w:val="39"/>
    <w:unhideWhenUsed/>
    <w:rsid w:val="00BC5678"/>
    <w:pPr>
      <w:spacing w:after="100" w:line="259" w:lineRule="auto"/>
      <w:ind w:left="660"/>
    </w:pPr>
    <w:rPr>
      <w:rFonts w:asciiTheme="minorHAnsi" w:eastAsiaTheme="minorEastAsia" w:hAnsiTheme="minorHAnsi" w:cstheme="minorBidi"/>
      <w:sz w:val="22"/>
      <w:szCs w:val="22"/>
      <w:lang w:eastAsia="en-NZ"/>
    </w:rPr>
  </w:style>
  <w:style w:type="paragraph" w:styleId="TOC5">
    <w:name w:val="toc 5"/>
    <w:basedOn w:val="Normal"/>
    <w:next w:val="Normal"/>
    <w:autoRedefine/>
    <w:uiPriority w:val="39"/>
    <w:unhideWhenUsed/>
    <w:rsid w:val="00BC5678"/>
    <w:pPr>
      <w:spacing w:after="100" w:line="259" w:lineRule="auto"/>
      <w:ind w:left="880"/>
    </w:pPr>
    <w:rPr>
      <w:rFonts w:asciiTheme="minorHAnsi" w:eastAsiaTheme="minorEastAsia" w:hAnsiTheme="minorHAnsi" w:cstheme="minorBidi"/>
      <w:sz w:val="22"/>
      <w:szCs w:val="22"/>
      <w:lang w:eastAsia="en-NZ"/>
    </w:rPr>
  </w:style>
  <w:style w:type="paragraph" w:styleId="TOC6">
    <w:name w:val="toc 6"/>
    <w:basedOn w:val="Normal"/>
    <w:next w:val="Normal"/>
    <w:autoRedefine/>
    <w:uiPriority w:val="39"/>
    <w:unhideWhenUsed/>
    <w:rsid w:val="00BC5678"/>
    <w:pPr>
      <w:spacing w:after="100" w:line="259" w:lineRule="auto"/>
      <w:ind w:left="1100"/>
    </w:pPr>
    <w:rPr>
      <w:rFonts w:asciiTheme="minorHAnsi" w:eastAsiaTheme="minorEastAsia" w:hAnsiTheme="minorHAnsi" w:cstheme="minorBidi"/>
      <w:sz w:val="22"/>
      <w:szCs w:val="22"/>
      <w:lang w:eastAsia="en-NZ"/>
    </w:rPr>
  </w:style>
  <w:style w:type="paragraph" w:styleId="TOC7">
    <w:name w:val="toc 7"/>
    <w:basedOn w:val="Normal"/>
    <w:next w:val="Normal"/>
    <w:autoRedefine/>
    <w:uiPriority w:val="39"/>
    <w:unhideWhenUsed/>
    <w:rsid w:val="00BC5678"/>
    <w:pPr>
      <w:spacing w:after="100" w:line="259" w:lineRule="auto"/>
      <w:ind w:left="1320"/>
    </w:pPr>
    <w:rPr>
      <w:rFonts w:asciiTheme="minorHAnsi" w:eastAsiaTheme="minorEastAsia" w:hAnsiTheme="minorHAnsi" w:cstheme="minorBidi"/>
      <w:sz w:val="22"/>
      <w:szCs w:val="22"/>
      <w:lang w:eastAsia="en-NZ"/>
    </w:rPr>
  </w:style>
  <w:style w:type="paragraph" w:styleId="TOC8">
    <w:name w:val="toc 8"/>
    <w:basedOn w:val="Normal"/>
    <w:next w:val="Normal"/>
    <w:autoRedefine/>
    <w:uiPriority w:val="39"/>
    <w:unhideWhenUsed/>
    <w:rsid w:val="00BC5678"/>
    <w:pPr>
      <w:spacing w:after="100" w:line="259" w:lineRule="auto"/>
      <w:ind w:left="1540"/>
    </w:pPr>
    <w:rPr>
      <w:rFonts w:asciiTheme="minorHAnsi" w:eastAsiaTheme="minorEastAsia" w:hAnsiTheme="minorHAnsi" w:cstheme="minorBidi"/>
      <w:sz w:val="22"/>
      <w:szCs w:val="22"/>
      <w:lang w:eastAsia="en-NZ"/>
    </w:rPr>
  </w:style>
  <w:style w:type="paragraph" w:styleId="TOC9">
    <w:name w:val="toc 9"/>
    <w:basedOn w:val="Normal"/>
    <w:next w:val="Normal"/>
    <w:autoRedefine/>
    <w:uiPriority w:val="39"/>
    <w:unhideWhenUsed/>
    <w:rsid w:val="00BC5678"/>
    <w:pPr>
      <w:spacing w:after="100" w:line="259" w:lineRule="auto"/>
      <w:ind w:left="1760"/>
    </w:pPr>
    <w:rPr>
      <w:rFonts w:asciiTheme="minorHAnsi" w:eastAsiaTheme="minorEastAsia" w:hAnsiTheme="minorHAnsi" w:cstheme="minorBidi"/>
      <w:sz w:val="22"/>
      <w:szCs w:val="22"/>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5.png"/><Relationship Id="rId39" Type="http://schemas.openxmlformats.org/officeDocument/2006/relationships/image" Target="media/image16.png"/><Relationship Id="rId21" Type="http://schemas.openxmlformats.org/officeDocument/2006/relationships/footer" Target="footer7.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hyperlink" Target="http://www.health.govt.nz/publication/new-zealand-suicide-" TargetMode="External"/><Relationship Id="rId84" Type="http://schemas.openxmlformats.org/officeDocument/2006/relationships/hyperlink" Target="http://www.hqsc.govt.nz/our-programmes/mrc/sumrc/publications-and-resources/" TargetMode="External"/><Relationship Id="rId89" Type="http://schemas.openxmlformats.org/officeDocument/2006/relationships/footer" Target="footer12.xml"/><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nzlii.org/nz/" TargetMode="External"/><Relationship Id="rId11" Type="http://schemas.openxmlformats.org/officeDocument/2006/relationships/image" Target="media/image4.png"/><Relationship Id="rId24" Type="http://schemas.openxmlformats.org/officeDocument/2006/relationships/footer" Target="footer10.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hyperlink" Target="http://www.health.govt.nz/" TargetMode="External"/><Relationship Id="rId87"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hyperlink" Target="http://www.oag.govt.nz/2017/mental-health/" TargetMode="External"/><Relationship Id="rId90" Type="http://schemas.openxmlformats.org/officeDocument/2006/relationships/fontTable" Target="fontTable.xml"/><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image" Target="media/image6.png"/><Relationship Id="rId30" Type="http://schemas.openxmlformats.org/officeDocument/2006/relationships/hyperlink" Target="http://www.tepou.co.nz/initiatives/lets-get-real/107"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hyperlink" Target="http://www.health.govt.nz/nz-" TargetMode="External"/><Relationship Id="rId8" Type="http://schemas.openxmlformats.org/officeDocument/2006/relationships/header" Target="header1.xml"/><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hyperlink" Target="http://www.health.govt.nz/publication/mental-health-" TargetMode="External"/><Relationship Id="rId85" Type="http://schemas.openxmlformats.org/officeDocument/2006/relationships/hyperlink" Target="http://www.hqsc.govt.nz/our-"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www.health.govt.nz/publications"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footer" Target="footer6.xm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hyperlink" Target="http://www.peoplesmentalhealthreport.com/" TargetMode="External"/><Relationship Id="rId83" Type="http://schemas.openxmlformats.org/officeDocument/2006/relationships/hyperlink" Target="http://www.odi.govt.nz/nz-disability-" TargetMode="External"/><Relationship Id="rId88" Type="http://schemas.openxmlformats.org/officeDocument/2006/relationships/footer" Target="footer1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9.xml"/><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image" Target="media/image3.png"/><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hyperlink" Target="http://www.health.govt.nz/publication/specialist-" TargetMode="External"/><Relationship Id="rId81" Type="http://schemas.openxmlformats.org/officeDocument/2006/relationships/hyperlink" Target="http://www.health.govt.nz/publication/night-safety-procedures-" TargetMode="External"/><Relationship Id="rId86" Type="http://schemas.openxmlformats.org/officeDocument/2006/relationships/hyperlink" Target="http://superu.govt.nz/ymh" TargetMode="Externa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hqsc.govt.nz/our-programmes/adverse-events/national-adverse-events-policy" TargetMode="External"/><Relationship Id="rId2" Type="http://schemas.openxmlformats.org/officeDocument/2006/relationships/hyperlink" Target="http://www.hqsc.govt.nz/our-programmes/adverse-events/publications-and-resources/" TargetMode="External"/><Relationship Id="rId1" Type="http://schemas.openxmlformats.org/officeDocument/2006/relationships/hyperlink" Target="http://www.health.govt.nz/nz-health-statistics/data-references/code-tables/common-code-tables/" TargetMode="External"/><Relationship Id="rId5" Type="http://schemas.openxmlformats.org/officeDocument/2006/relationships/hyperlink" Target="http://www.ihi.org/resources/Pages/IHIWhitePapers/" TargetMode="External"/><Relationship Id="rId4" Type="http://schemas.openxmlformats.org/officeDocument/2006/relationships/hyperlink" Target="http://www.imperial.ac.uk/media/imperia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D4F83-7642-4E8F-AEA9-ED0E37E77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3</TotalTime>
  <Pages>115</Pages>
  <Words>31194</Words>
  <Characters>178873</Characters>
  <Application>Microsoft Office Word</Application>
  <DocSecurity>0</DocSecurity>
  <Lines>1490</Lines>
  <Paragraphs>419</Paragraphs>
  <ScaleCrop>false</ScaleCrop>
  <HeadingPairs>
    <vt:vector size="2" baseType="variant">
      <vt:variant>
        <vt:lpstr>Title</vt:lpstr>
      </vt:variant>
      <vt:variant>
        <vt:i4>1</vt:i4>
      </vt:variant>
    </vt:vector>
  </HeadingPairs>
  <TitlesOfParts>
    <vt:vector size="1" baseType="lpstr">
      <vt:lpstr>Office of the Director of Mental Health and Addiction Services: Annual Report 2017</vt:lpstr>
    </vt:vector>
  </TitlesOfParts>
  <Company>Microsoft</Company>
  <LinksUpToDate>false</LinksUpToDate>
  <CharactersWithSpaces>209648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the Director of Mental Health and Addiction Services: Annual Report 2017</dc:title>
  <dc:creator>Office of the Director of Mental Health and Addiction Services</dc:creator>
  <cp:lastModifiedBy>Berni Marwick</cp:lastModifiedBy>
  <cp:revision>3</cp:revision>
  <cp:lastPrinted>2015-11-17T05:02:00Z</cp:lastPrinted>
  <dcterms:created xsi:type="dcterms:W3CDTF">2019-03-06T21:05:00Z</dcterms:created>
  <dcterms:modified xsi:type="dcterms:W3CDTF">2019-03-06T21:08:00Z</dcterms:modified>
</cp:coreProperties>
</file>