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EC6C3" w14:textId="5E142861" w:rsidR="004C5500" w:rsidRPr="009E7223" w:rsidRDefault="00F92292" w:rsidP="00AB0BAB">
      <w:pPr>
        <w:rPr>
          <w:noProof/>
        </w:rPr>
      </w:pPr>
      <w:r w:rsidRPr="009E7223">
        <w:rPr>
          <w:noProof/>
          <w:lang w:eastAsia="en-NZ"/>
        </w:rPr>
        <w:drawing>
          <wp:anchor distT="0" distB="0" distL="114300" distR="114300" simplePos="0" relativeHeight="251665408" behindDoc="1" locked="0" layoutInCell="1" allowOverlap="1" wp14:anchorId="465DF15F" wp14:editId="6915B17B">
            <wp:simplePos x="0" y="0"/>
            <wp:positionH relativeFrom="page">
              <wp:align>right</wp:align>
            </wp:positionH>
            <wp:positionV relativeFrom="paragraph">
              <wp:posOffset>-1116330</wp:posOffset>
            </wp:positionV>
            <wp:extent cx="7543800" cy="5028923"/>
            <wp:effectExtent l="0" t="0" r="0" b="635"/>
            <wp:wrapNone/>
            <wp:docPr id="4" name="Picture 4" descr="A picture containing person, indoor, working, ma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li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3800" cy="5028923"/>
                    </a:xfrm>
                    <a:prstGeom prst="rect">
                      <a:avLst/>
                    </a:prstGeom>
                  </pic:spPr>
                </pic:pic>
              </a:graphicData>
            </a:graphic>
            <wp14:sizeRelH relativeFrom="margin">
              <wp14:pctWidth>0</wp14:pctWidth>
            </wp14:sizeRelH>
            <wp14:sizeRelV relativeFrom="margin">
              <wp14:pctHeight>0</wp14:pctHeight>
            </wp14:sizeRelV>
          </wp:anchor>
        </w:drawing>
      </w:r>
    </w:p>
    <w:sdt>
      <w:sdtPr>
        <w:rPr>
          <w:noProof/>
          <w:highlight w:val="yellow"/>
        </w:rPr>
        <w:id w:val="-1233782457"/>
        <w:docPartObj>
          <w:docPartGallery w:val="Cover Pages"/>
          <w:docPartUnique/>
        </w:docPartObj>
      </w:sdtPr>
      <w:sdtEndPr>
        <w:rPr>
          <w:rFonts w:asciiTheme="majorHAnsi" w:hAnsiTheme="majorHAnsi"/>
          <w:b/>
          <w:noProof w:val="0"/>
          <w:sz w:val="28"/>
        </w:rPr>
      </w:sdtEndPr>
      <w:sdtContent>
        <w:p w14:paraId="1FF291BD" w14:textId="56211E28" w:rsidR="005B31DA" w:rsidRPr="009E7223" w:rsidRDefault="005B31DA" w:rsidP="00AB0BAB">
          <w:pPr>
            <w:rPr>
              <w:noProof/>
              <w:highlight w:val="yellow"/>
            </w:rPr>
          </w:pPr>
        </w:p>
        <w:p w14:paraId="37CDB409" w14:textId="400855B7" w:rsidR="005B31DA" w:rsidRPr="009E7223" w:rsidRDefault="005B31DA" w:rsidP="00AB0BAB">
          <w:pPr>
            <w:rPr>
              <w:highlight w:val="yellow"/>
            </w:rPr>
          </w:pPr>
          <w:r w:rsidRPr="009E7223">
            <w:rPr>
              <w:noProof/>
              <w:highlight w:val="yellow"/>
              <w:lang w:eastAsia="en-NZ"/>
            </w:rPr>
            <mc:AlternateContent>
              <mc:Choice Requires="wps">
                <w:drawing>
                  <wp:anchor distT="0" distB="0" distL="114300" distR="114300" simplePos="0" relativeHeight="251661312" behindDoc="0" locked="1" layoutInCell="1" allowOverlap="1" wp14:anchorId="6E785628" wp14:editId="4A731195">
                    <wp:simplePos x="0" y="0"/>
                    <wp:positionH relativeFrom="margin">
                      <wp:posOffset>-1270</wp:posOffset>
                    </wp:positionH>
                    <wp:positionV relativeFrom="margin">
                      <wp:posOffset>240030</wp:posOffset>
                    </wp:positionV>
                    <wp:extent cx="2814320" cy="899795"/>
                    <wp:effectExtent l="0" t="1905"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0D7CF" w14:textId="77777777" w:rsidR="00723291" w:rsidRPr="00B453C6" w:rsidRDefault="00723291" w:rsidP="00AB0BAB">
                                <w:pPr>
                                  <w:rPr>
                                    <w:b/>
                                    <w:color w:val="FF0000"/>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785628" id="_x0000_t202" coordsize="21600,21600" o:spt="202" path="m,l,21600r21600,l21600,xe">
                    <v:stroke joinstyle="miter"/>
                    <v:path gradientshapeok="t" o:connecttype="rect"/>
                  </v:shapetype>
                  <v:shape id="Text Box 3" o:spid="_x0000_s1026" type="#_x0000_t202" style="position:absolute;margin-left:-.1pt;margin-top:18.9pt;width:221.6pt;height:70.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b1rA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" filled="f" stroked="f">
                    <v:textbox inset="0,0,0,0">
                      <w:txbxContent>
                        <w:p w14:paraId="2450D7CF" w14:textId="77777777" w:rsidR="00723291" w:rsidRPr="00B453C6" w:rsidRDefault="00723291" w:rsidP="00AB0BAB">
                          <w:pPr>
                            <w:rPr>
                              <w:b/>
                              <w:color w:val="FF0000"/>
                              <w:sz w:val="18"/>
                              <w:szCs w:val="18"/>
                            </w:rPr>
                          </w:pPr>
                        </w:p>
                      </w:txbxContent>
                    </v:textbox>
                    <w10:wrap anchorx="margin" anchory="margin"/>
                    <w10:anchorlock/>
                  </v:shape>
                </w:pict>
              </mc:Fallback>
            </mc:AlternateContent>
          </w:r>
        </w:p>
        <w:p w14:paraId="698095D5" w14:textId="2CFF13E2" w:rsidR="005B31DA" w:rsidRPr="009E7223" w:rsidRDefault="005B31DA" w:rsidP="00AB0BAB">
          <w:pPr>
            <w:rPr>
              <w:highlight w:val="yellow"/>
            </w:rPr>
          </w:pPr>
        </w:p>
        <w:p w14:paraId="0501010C" w14:textId="6C509444" w:rsidR="005B31DA" w:rsidRPr="009E7223" w:rsidRDefault="005B31DA" w:rsidP="00AB0BAB">
          <w:pPr>
            <w:rPr>
              <w:highlight w:val="yellow"/>
            </w:rPr>
          </w:pPr>
        </w:p>
        <w:p w14:paraId="1291D5B8" w14:textId="0351E196" w:rsidR="005B31DA" w:rsidRPr="009E7223" w:rsidRDefault="005B31DA" w:rsidP="00AB0BAB">
          <w:pPr>
            <w:rPr>
              <w:highlight w:val="yellow"/>
            </w:rPr>
          </w:pPr>
        </w:p>
        <w:p w14:paraId="2E455DE1" w14:textId="77777777" w:rsidR="00280DF5" w:rsidRPr="009E7223" w:rsidRDefault="00280DF5" w:rsidP="00AB0BAB">
          <w:pPr>
            <w:rPr>
              <w:b/>
              <w:noProof/>
              <w:highlight w:val="yellow"/>
            </w:rPr>
          </w:pPr>
        </w:p>
        <w:p w14:paraId="7FC0BBB2" w14:textId="0DFD3817" w:rsidR="005B31DA" w:rsidRPr="009E7223" w:rsidRDefault="005B31DA" w:rsidP="00AB0BAB">
          <w:pPr>
            <w:rPr>
              <w:highlight w:val="yellow"/>
            </w:rPr>
          </w:pPr>
        </w:p>
        <w:p w14:paraId="1FEDA349" w14:textId="77777777" w:rsidR="005B31DA" w:rsidRPr="009E7223" w:rsidRDefault="005B31DA" w:rsidP="00AB0BAB">
          <w:pPr>
            <w:rPr>
              <w:highlight w:val="yellow"/>
            </w:rPr>
          </w:pPr>
        </w:p>
        <w:p w14:paraId="7A9DF8AA" w14:textId="77777777" w:rsidR="005B31DA" w:rsidRPr="009E7223" w:rsidRDefault="005B31DA" w:rsidP="00AB0BAB">
          <w:pPr>
            <w:rPr>
              <w:highlight w:val="yellow"/>
            </w:rPr>
          </w:pPr>
        </w:p>
        <w:p w14:paraId="19598719" w14:textId="54B40681" w:rsidR="005B31DA" w:rsidRPr="009E7223" w:rsidRDefault="005B31DA" w:rsidP="00AB0BAB">
          <w:pPr>
            <w:rPr>
              <w:highlight w:val="yellow"/>
            </w:rPr>
          </w:pPr>
        </w:p>
        <w:p w14:paraId="1AA08EF2" w14:textId="29EEEDCF" w:rsidR="005B31DA" w:rsidRPr="009E7223" w:rsidRDefault="008C286A" w:rsidP="00AB0BAB">
          <w:pPr>
            <w:rPr>
              <w:b/>
              <w:highlight w:val="yellow"/>
            </w:rPr>
          </w:pPr>
          <w:r w:rsidRPr="009E7223">
            <w:rPr>
              <w:b/>
              <w:noProof/>
              <w:highlight w:val="yellow"/>
              <w:lang w:eastAsia="en-NZ"/>
            </w:rPr>
            <w:drawing>
              <wp:anchor distT="0" distB="0" distL="114300" distR="114300" simplePos="0" relativeHeight="251663360" behindDoc="1" locked="0" layoutInCell="1" allowOverlap="1" wp14:anchorId="29189135" wp14:editId="1F2EAF9D">
                <wp:simplePos x="0" y="0"/>
                <wp:positionH relativeFrom="column">
                  <wp:posOffset>275913</wp:posOffset>
                </wp:positionH>
                <wp:positionV relativeFrom="paragraph">
                  <wp:posOffset>4297528</wp:posOffset>
                </wp:positionV>
                <wp:extent cx="5407660" cy="1229995"/>
                <wp:effectExtent l="0" t="0" r="2540" b="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7660" cy="1229995"/>
                        </a:xfrm>
                        <a:prstGeom prst="rect">
                          <a:avLst/>
                        </a:prstGeom>
                        <a:noFill/>
                        <a:ln>
                          <a:noFill/>
                        </a:ln>
                      </pic:spPr>
                    </pic:pic>
                  </a:graphicData>
                </a:graphic>
              </wp:anchor>
            </w:drawing>
          </w:r>
          <w:r w:rsidR="005B31DA" w:rsidRPr="009E7223">
            <w:rPr>
              <w:noProof/>
              <w:highlight w:val="yellow"/>
              <w:lang w:eastAsia="en-NZ"/>
            </w:rPr>
            <mc:AlternateContent>
              <mc:Choice Requires="wps">
                <w:drawing>
                  <wp:anchor distT="0" distB="0" distL="114300" distR="114300" simplePos="0" relativeHeight="251659264" behindDoc="0" locked="1" layoutInCell="1" allowOverlap="1" wp14:anchorId="09F49488" wp14:editId="4FAF4E20">
                    <wp:simplePos x="0" y="0"/>
                    <wp:positionH relativeFrom="page">
                      <wp:align>center</wp:align>
                    </wp:positionH>
                    <wp:positionV relativeFrom="margin">
                      <wp:posOffset>4203700</wp:posOffset>
                    </wp:positionV>
                    <wp:extent cx="6903720" cy="27901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279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1F985" w14:textId="2DFA8A96" w:rsidR="00723291" w:rsidRPr="008C286A" w:rsidRDefault="00723291" w:rsidP="00280DF5">
                                <w:pPr>
                                  <w:pStyle w:val="MainTitleHeading"/>
                                  <w:jc w:val="left"/>
                                  <w:rPr>
                                    <w:sz w:val="80"/>
                                    <w:szCs w:val="80"/>
                                  </w:rPr>
                                </w:pPr>
                                <w:r w:rsidRPr="008C286A">
                                  <w:rPr>
                                    <w:sz w:val="80"/>
                                    <w:szCs w:val="80"/>
                                  </w:rPr>
                                  <w:t>strategy to prevent and minimise gambling harm</w:t>
                                </w:r>
                              </w:p>
                              <w:p w14:paraId="2D9EF91D" w14:textId="37CE1AAC" w:rsidR="00723291" w:rsidRPr="00E67805" w:rsidRDefault="00723291" w:rsidP="00280DF5">
                                <w:pPr>
                                  <w:pStyle w:val="MainTitleHeading"/>
                                  <w:jc w:val="left"/>
                                </w:pPr>
                                <w:r>
                                  <w:t>2019/20 – 2021/22</w:t>
                                </w:r>
                              </w:p>
                              <w:p w14:paraId="46C7A739" w14:textId="69A369F1" w:rsidR="00723291" w:rsidRDefault="00723291" w:rsidP="00280DF5">
                                <w:pPr>
                                  <w:pStyle w:val="SubTitleHeading"/>
                                  <w:jc w:val="left"/>
                                </w:pPr>
                                <w:r>
                                  <w:t>Submissions Analysis for the Ministry of Health</w:t>
                                </w:r>
                              </w:p>
                              <w:p w14:paraId="727481F5" w14:textId="3DA9268B" w:rsidR="00723291" w:rsidRPr="00D62D9B" w:rsidRDefault="00723291" w:rsidP="00280DF5">
                                <w:pPr>
                                  <w:pStyle w:val="SubTitleHeading"/>
                                  <w:tabs>
                                    <w:tab w:val="right" w:pos="7066"/>
                                  </w:tabs>
                                  <w:jc w:val="left"/>
                                </w:pPr>
                                <w:r>
                                  <w:t>Final Report: 2 November 2018</w:t>
                                </w:r>
                              </w:p>
                              <w:p w14:paraId="3D243D0F" w14:textId="77777777" w:rsidR="00723291" w:rsidRPr="00E67805" w:rsidRDefault="00723291" w:rsidP="00280DF5">
                                <w:pPr>
                                  <w:pStyle w:val="SubTitleHeading"/>
                                  <w:jc w:val="left"/>
                                </w:pPr>
                              </w:p>
                            </w:txbxContent>
                          </wps:txbx>
                          <wps:bodyPr rot="0" vert="horz" wrap="square" lIns="144000" tIns="72000" rIns="144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49488" id="Text Box 1" o:spid="_x0000_s1027" type="#_x0000_t202" style="position:absolute;margin-left:0;margin-top:331pt;width:543.6pt;height:219.7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" filled="f" stroked="f">
                    <v:textbox inset="4mm,2mm,4mm,2mm">
                      <w:txbxContent>
                        <w:p w14:paraId="78E1F985" w14:textId="2DFA8A96" w:rsidR="00723291" w:rsidRPr="008C286A" w:rsidRDefault="00723291" w:rsidP="00280DF5">
                          <w:pPr>
                            <w:pStyle w:val="MainTitleHeading"/>
                            <w:jc w:val="left"/>
                            <w:rPr>
                              <w:sz w:val="80"/>
                              <w:szCs w:val="80"/>
                            </w:rPr>
                          </w:pPr>
                          <w:r w:rsidRPr="008C286A">
                            <w:rPr>
                              <w:sz w:val="80"/>
                              <w:szCs w:val="80"/>
                            </w:rPr>
                            <w:t>strategy to prevent and minimise gambling harm</w:t>
                          </w:r>
                        </w:p>
                        <w:p w14:paraId="2D9EF91D" w14:textId="37CE1AAC" w:rsidR="00723291" w:rsidRPr="00E67805" w:rsidRDefault="00723291" w:rsidP="00280DF5">
                          <w:pPr>
                            <w:pStyle w:val="MainTitleHeading"/>
                            <w:jc w:val="left"/>
                          </w:pPr>
                          <w:r>
                            <w:t>2019/20 – 2021/22</w:t>
                          </w:r>
                        </w:p>
                        <w:p w14:paraId="46C7A739" w14:textId="69A369F1" w:rsidR="00723291" w:rsidRDefault="00723291" w:rsidP="00280DF5">
                          <w:pPr>
                            <w:pStyle w:val="SubTitleHeading"/>
                            <w:jc w:val="left"/>
                          </w:pPr>
                          <w:r>
                            <w:t>Submissions Analysis for the Ministry of Health</w:t>
                          </w:r>
                        </w:p>
                        <w:p w14:paraId="727481F5" w14:textId="3DA9268B" w:rsidR="00723291" w:rsidRPr="00D62D9B" w:rsidRDefault="00723291" w:rsidP="00280DF5">
                          <w:pPr>
                            <w:pStyle w:val="SubTitleHeading"/>
                            <w:tabs>
                              <w:tab w:val="right" w:pos="7066"/>
                            </w:tabs>
                            <w:jc w:val="left"/>
                          </w:pPr>
                          <w:r>
                            <w:t>Final Report: 2 November 2018</w:t>
                          </w:r>
                        </w:p>
                        <w:p w14:paraId="3D243D0F" w14:textId="77777777" w:rsidR="00723291" w:rsidRPr="00E67805" w:rsidRDefault="00723291" w:rsidP="00280DF5">
                          <w:pPr>
                            <w:pStyle w:val="SubTitleHeading"/>
                            <w:jc w:val="left"/>
                          </w:pPr>
                        </w:p>
                      </w:txbxContent>
                    </v:textbox>
                    <w10:wrap anchorx="page" anchory="margin"/>
                    <w10:anchorlock/>
                  </v:shape>
                </w:pict>
              </mc:Fallback>
            </mc:AlternateContent>
          </w:r>
          <w:r w:rsidR="005B31DA" w:rsidRPr="009E7223">
            <w:rPr>
              <w:b/>
              <w:highlight w:val="yellow"/>
            </w:rPr>
            <w:br w:type="page"/>
          </w:r>
        </w:p>
        <w:sdt>
          <w:sdtPr>
            <w:rPr>
              <w:rFonts w:asciiTheme="minorHAnsi" w:eastAsiaTheme="minorHAnsi" w:hAnsiTheme="minorHAnsi" w:cstheme="minorBidi"/>
              <w:b/>
              <w:caps/>
              <w:color w:val="36424A" w:themeColor="text2"/>
              <w:sz w:val="22"/>
              <w:szCs w:val="22"/>
              <w:highlight w:val="yellow"/>
            </w:rPr>
            <w:id w:val="-2021844152"/>
            <w:docPartObj>
              <w:docPartGallery w:val="Table of Contents"/>
              <w:docPartUnique/>
            </w:docPartObj>
          </w:sdtPr>
          <w:sdtEndPr>
            <w:rPr>
              <w:b w:val="0"/>
              <w:caps w:val="0"/>
              <w:color w:val="auto"/>
            </w:rPr>
          </w:sdtEndPr>
          <w:sdtContent>
            <w:p w14:paraId="2ADDA644" w14:textId="4E047E5B" w:rsidR="006A33C8" w:rsidRPr="009E7223" w:rsidRDefault="006A33C8">
              <w:pPr>
                <w:pStyle w:val="TOCHeading"/>
                <w:rPr>
                  <w:rFonts w:asciiTheme="minorHAnsi" w:eastAsiaTheme="minorHAnsi" w:hAnsiTheme="minorHAnsi" w:cstheme="minorBidi"/>
                  <w:b/>
                  <w:caps/>
                  <w:color w:val="36424A" w:themeColor="text2"/>
                  <w:sz w:val="22"/>
                  <w:szCs w:val="22"/>
                  <w:highlight w:val="yellow"/>
                </w:rPr>
              </w:pPr>
            </w:p>
            <w:p w14:paraId="1D70412D" w14:textId="0AFECBD9" w:rsidR="006A33C8" w:rsidRPr="009E7223" w:rsidRDefault="006A33C8" w:rsidP="006A33C8">
              <w:pPr>
                <w:rPr>
                  <w:highlight w:val="yellow"/>
                </w:rPr>
              </w:pPr>
            </w:p>
            <w:p w14:paraId="6BDF010C" w14:textId="599B8280" w:rsidR="006A33C8" w:rsidRPr="009E7223" w:rsidRDefault="006A33C8" w:rsidP="006A33C8">
              <w:pPr>
                <w:rPr>
                  <w:highlight w:val="yellow"/>
                </w:rPr>
              </w:pPr>
            </w:p>
            <w:p w14:paraId="3DEA5D2A" w14:textId="6304E6FA" w:rsidR="006A33C8" w:rsidRPr="009E7223" w:rsidRDefault="006A33C8" w:rsidP="006A33C8">
              <w:pPr>
                <w:rPr>
                  <w:highlight w:val="yellow"/>
                </w:rPr>
              </w:pPr>
            </w:p>
            <w:p w14:paraId="4E1DF30A" w14:textId="6E01A7E3" w:rsidR="006A33C8" w:rsidRPr="009E7223" w:rsidRDefault="006A33C8" w:rsidP="006A33C8">
              <w:pPr>
                <w:rPr>
                  <w:highlight w:val="yellow"/>
                </w:rPr>
              </w:pPr>
            </w:p>
            <w:p w14:paraId="5092A6D3" w14:textId="2516D421" w:rsidR="006A33C8" w:rsidRPr="009E7223" w:rsidRDefault="006A33C8" w:rsidP="006A33C8">
              <w:pPr>
                <w:rPr>
                  <w:highlight w:val="yellow"/>
                </w:rPr>
              </w:pPr>
            </w:p>
            <w:p w14:paraId="77D4C9E8" w14:textId="3952B3E8" w:rsidR="006A33C8" w:rsidRPr="009E7223" w:rsidRDefault="006A33C8" w:rsidP="006A33C8">
              <w:pPr>
                <w:rPr>
                  <w:highlight w:val="yellow"/>
                </w:rPr>
              </w:pPr>
            </w:p>
            <w:p w14:paraId="34CC910A" w14:textId="26E50A98" w:rsidR="006A33C8" w:rsidRPr="009E7223" w:rsidRDefault="006A33C8" w:rsidP="006A33C8">
              <w:pPr>
                <w:rPr>
                  <w:highlight w:val="yellow"/>
                </w:rPr>
              </w:pPr>
            </w:p>
            <w:p w14:paraId="3BD43A84" w14:textId="57D5B6DD" w:rsidR="006A33C8" w:rsidRPr="009E7223" w:rsidRDefault="006A33C8" w:rsidP="006A33C8">
              <w:pPr>
                <w:rPr>
                  <w:highlight w:val="yellow"/>
                </w:rPr>
              </w:pPr>
            </w:p>
            <w:p w14:paraId="3CD51F1E" w14:textId="57178BC7" w:rsidR="006A33C8" w:rsidRPr="009E7223" w:rsidRDefault="006A33C8" w:rsidP="006A33C8">
              <w:pPr>
                <w:rPr>
                  <w:highlight w:val="yellow"/>
                </w:rPr>
              </w:pPr>
            </w:p>
            <w:p w14:paraId="3D5A2EE1" w14:textId="47C5428F" w:rsidR="006A33C8" w:rsidRPr="009E7223" w:rsidRDefault="006A33C8" w:rsidP="006A33C8">
              <w:pPr>
                <w:rPr>
                  <w:highlight w:val="yellow"/>
                </w:rPr>
              </w:pPr>
            </w:p>
            <w:p w14:paraId="75973319" w14:textId="44904D67" w:rsidR="006A33C8" w:rsidRPr="009E7223" w:rsidRDefault="006A33C8" w:rsidP="006A33C8">
              <w:pPr>
                <w:rPr>
                  <w:highlight w:val="yellow"/>
                </w:rPr>
              </w:pPr>
            </w:p>
            <w:p w14:paraId="6EF6440D" w14:textId="789DAC8B" w:rsidR="006A33C8" w:rsidRPr="009E7223" w:rsidRDefault="006A33C8" w:rsidP="006A33C8">
              <w:pPr>
                <w:rPr>
                  <w:highlight w:val="yellow"/>
                </w:rPr>
              </w:pPr>
            </w:p>
            <w:p w14:paraId="53F13A38" w14:textId="68535B92" w:rsidR="006A33C8" w:rsidRPr="009E7223" w:rsidRDefault="006A33C8" w:rsidP="006A33C8">
              <w:pPr>
                <w:rPr>
                  <w:highlight w:val="yellow"/>
                </w:rPr>
              </w:pPr>
            </w:p>
            <w:p w14:paraId="60ECD916" w14:textId="79511427" w:rsidR="006A33C8" w:rsidRPr="009E7223" w:rsidRDefault="006A33C8" w:rsidP="006A33C8">
              <w:pPr>
                <w:rPr>
                  <w:highlight w:val="yellow"/>
                </w:rPr>
              </w:pPr>
            </w:p>
            <w:p w14:paraId="367F2357" w14:textId="467B8E28" w:rsidR="006A33C8" w:rsidRPr="009E7223" w:rsidRDefault="006A33C8" w:rsidP="006A33C8">
              <w:pPr>
                <w:rPr>
                  <w:highlight w:val="yellow"/>
                </w:rPr>
              </w:pPr>
            </w:p>
            <w:p w14:paraId="0D096E4C" w14:textId="3DD92450" w:rsidR="006A33C8" w:rsidRPr="009E7223" w:rsidRDefault="006A33C8" w:rsidP="006A33C8">
              <w:pPr>
                <w:rPr>
                  <w:highlight w:val="yellow"/>
                </w:rPr>
              </w:pPr>
            </w:p>
            <w:p w14:paraId="4E52EE93" w14:textId="5E974B40" w:rsidR="006A33C8" w:rsidRPr="009E7223" w:rsidRDefault="006A33C8" w:rsidP="006A33C8">
              <w:pPr>
                <w:rPr>
                  <w:highlight w:val="yellow"/>
                </w:rPr>
              </w:pPr>
            </w:p>
            <w:p w14:paraId="6D2ECBE3" w14:textId="3750A40C" w:rsidR="006A33C8" w:rsidRPr="009E7223" w:rsidRDefault="006A33C8" w:rsidP="006A33C8">
              <w:pPr>
                <w:rPr>
                  <w:highlight w:val="yellow"/>
                </w:rPr>
              </w:pPr>
            </w:p>
            <w:p w14:paraId="2BB23F72" w14:textId="7038BF25" w:rsidR="006A33C8" w:rsidRPr="009E7223" w:rsidRDefault="006A33C8" w:rsidP="006A33C8">
              <w:pPr>
                <w:rPr>
                  <w:highlight w:val="yellow"/>
                </w:rPr>
              </w:pPr>
            </w:p>
            <w:p w14:paraId="4C09DA43" w14:textId="310724DE" w:rsidR="006A33C8" w:rsidRPr="009E7223" w:rsidRDefault="006A33C8" w:rsidP="006A33C8">
              <w:pPr>
                <w:rPr>
                  <w:highlight w:val="yellow"/>
                </w:rPr>
              </w:pPr>
            </w:p>
            <w:p w14:paraId="7A1E1B08" w14:textId="6FFFFF8F" w:rsidR="006A33C8" w:rsidRPr="009E7223" w:rsidRDefault="006A33C8" w:rsidP="006A33C8">
              <w:pPr>
                <w:rPr>
                  <w:highlight w:val="yellow"/>
                </w:rPr>
              </w:pPr>
            </w:p>
            <w:p w14:paraId="4AFC0251" w14:textId="40F1B086" w:rsidR="006A33C8" w:rsidRPr="009E7223" w:rsidRDefault="006A33C8" w:rsidP="006A33C8">
              <w:pPr>
                <w:rPr>
                  <w:highlight w:val="yellow"/>
                </w:rPr>
              </w:pPr>
            </w:p>
            <w:p w14:paraId="130DC904" w14:textId="77777777" w:rsidR="006A33C8" w:rsidRPr="009E7223" w:rsidRDefault="006A33C8" w:rsidP="006A33C8">
              <w:pPr>
                <w:rPr>
                  <w:highlight w:val="yellow"/>
                </w:rPr>
              </w:pPr>
            </w:p>
            <w:tbl>
              <w:tblPr>
                <w:tblStyle w:val="TableGrid"/>
                <w:tblW w:w="5078" w:type="pct"/>
                <w:tblLayout w:type="fixed"/>
                <w:tblLook w:val="0480" w:firstRow="0" w:lastRow="0" w:firstColumn="1" w:lastColumn="0" w:noHBand="0" w:noVBand="1"/>
              </w:tblPr>
              <w:tblGrid>
                <w:gridCol w:w="1867"/>
                <w:gridCol w:w="4030"/>
                <w:gridCol w:w="3456"/>
              </w:tblGrid>
              <w:tr w:rsidR="006A33C8" w:rsidRPr="009E7223" w14:paraId="5ED883B8" w14:textId="77777777" w:rsidTr="002D3006">
                <w:tc>
                  <w:tcPr>
                    <w:tcW w:w="1838" w:type="dxa"/>
                  </w:tcPr>
                  <w:p w14:paraId="144049EF" w14:textId="77777777" w:rsidR="006A33C8" w:rsidRPr="009E7223" w:rsidRDefault="006A33C8" w:rsidP="002D3006">
                    <w:pPr>
                      <w:pStyle w:val="Footer"/>
                      <w:rPr>
                        <w:b/>
                      </w:rPr>
                    </w:pPr>
                    <w:r w:rsidRPr="009E7223">
                      <w:rPr>
                        <w:b/>
                      </w:rPr>
                      <w:t xml:space="preserve">Document status: </w:t>
                    </w:r>
                  </w:p>
                </w:tc>
                <w:tc>
                  <w:tcPr>
                    <w:tcW w:w="3968" w:type="dxa"/>
                    <w:tcBorders>
                      <w:right w:val="single" w:sz="4" w:space="0" w:color="auto"/>
                    </w:tcBorders>
                  </w:tcPr>
                  <w:p w14:paraId="01611764" w14:textId="7E8FF9E5" w:rsidR="006A33C8" w:rsidRPr="009E7223" w:rsidRDefault="006A33C8" w:rsidP="002D3006">
                    <w:pPr>
                      <w:pStyle w:val="Footer"/>
                    </w:pPr>
                    <w:r w:rsidRPr="009E7223">
                      <w:t xml:space="preserve">Final Report </w:t>
                    </w:r>
                  </w:p>
                </w:tc>
                <w:tc>
                  <w:tcPr>
                    <w:tcW w:w="3402" w:type="dxa"/>
                    <w:vMerge w:val="restart"/>
                    <w:tcBorders>
                      <w:top w:val="nil"/>
                      <w:left w:val="single" w:sz="4" w:space="0" w:color="auto"/>
                      <w:bottom w:val="nil"/>
                      <w:right w:val="nil"/>
                    </w:tcBorders>
                  </w:tcPr>
                  <w:p w14:paraId="04CB0856" w14:textId="77777777" w:rsidR="006A33C8" w:rsidRPr="009E7223" w:rsidRDefault="006A33C8" w:rsidP="002D3006">
                    <w:pPr>
                      <w:pStyle w:val="Table-para"/>
                      <w:ind w:left="320"/>
                      <w:jc w:val="right"/>
                    </w:pPr>
                    <w:r w:rsidRPr="009E7223">
                      <w:rPr>
                        <w:i/>
                        <w:noProof/>
                        <w:lang w:eastAsia="en-NZ"/>
                      </w:rPr>
                      <w:drawing>
                        <wp:anchor distT="0" distB="0" distL="114300" distR="114300" simplePos="0" relativeHeight="251668480" behindDoc="0" locked="0" layoutInCell="1" allowOverlap="1" wp14:anchorId="1F16A062" wp14:editId="42138A32">
                          <wp:simplePos x="0" y="0"/>
                          <wp:positionH relativeFrom="column">
                            <wp:posOffset>1720850</wp:posOffset>
                          </wp:positionH>
                          <wp:positionV relativeFrom="paragraph">
                            <wp:posOffset>887730</wp:posOffset>
                          </wp:positionV>
                          <wp:extent cx="540000" cy="1065600"/>
                          <wp:effectExtent l="0" t="0" r="0" b="127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larc-Registration-ISO-9001 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 cy="1065600"/>
                                  </a:xfrm>
                                  <a:prstGeom prst="rect">
                                    <a:avLst/>
                                  </a:prstGeom>
                                </pic:spPr>
                              </pic:pic>
                            </a:graphicData>
                          </a:graphic>
                          <wp14:sizeRelH relativeFrom="margin">
                            <wp14:pctWidth>0</wp14:pctWidth>
                          </wp14:sizeRelH>
                          <wp14:sizeRelV relativeFrom="margin">
                            <wp14:pctHeight>0</wp14:pctHeight>
                          </wp14:sizeRelV>
                        </wp:anchor>
                      </w:drawing>
                    </w:r>
                    <w:r w:rsidRPr="009E7223">
                      <w:rPr>
                        <w:i/>
                      </w:rPr>
                      <w:t>Allen + Clarke</w:t>
                    </w:r>
                    <w:r w:rsidRPr="009E7223">
                      <w:t xml:space="preserve"> has been independently certified as compliant with ISO9001:2015 Quality Management Systems</w:t>
                    </w:r>
                  </w:p>
                  <w:p w14:paraId="7C0B76C6" w14:textId="77777777" w:rsidR="006A33C8" w:rsidRPr="009E7223" w:rsidRDefault="006A33C8" w:rsidP="002D3006">
                    <w:pPr>
                      <w:pStyle w:val="Table-para"/>
                      <w:ind w:left="320"/>
                      <w:jc w:val="right"/>
                      <w:rPr>
                        <w:noProof/>
                      </w:rPr>
                    </w:pPr>
                    <w:r w:rsidRPr="009E7223">
                      <w:rPr>
                        <w:noProof/>
                      </w:rPr>
                      <w:t xml:space="preserve"> </w:t>
                    </w:r>
                  </w:p>
                </w:tc>
              </w:tr>
              <w:tr w:rsidR="006A33C8" w:rsidRPr="009E7223" w14:paraId="55D6A002" w14:textId="77777777" w:rsidTr="002D3006">
                <w:tc>
                  <w:tcPr>
                    <w:tcW w:w="1838" w:type="dxa"/>
                  </w:tcPr>
                  <w:p w14:paraId="3342191D" w14:textId="77777777" w:rsidR="006A33C8" w:rsidRPr="009E7223" w:rsidRDefault="006A33C8" w:rsidP="002D3006">
                    <w:pPr>
                      <w:pStyle w:val="Footer"/>
                      <w:rPr>
                        <w:b/>
                      </w:rPr>
                    </w:pPr>
                    <w:r w:rsidRPr="009E7223">
                      <w:rPr>
                        <w:b/>
                      </w:rPr>
                      <w:t>Version and date:</w:t>
                    </w:r>
                  </w:p>
                </w:tc>
                <w:tc>
                  <w:tcPr>
                    <w:tcW w:w="3968" w:type="dxa"/>
                    <w:tcBorders>
                      <w:right w:val="single" w:sz="4" w:space="0" w:color="auto"/>
                    </w:tcBorders>
                  </w:tcPr>
                  <w:p w14:paraId="09CA3D43" w14:textId="41CF185F" w:rsidR="006A33C8" w:rsidRPr="009E7223" w:rsidRDefault="006A33C8" w:rsidP="002D3006">
                    <w:pPr>
                      <w:pStyle w:val="Footer"/>
                    </w:pPr>
                    <w:r w:rsidRPr="009E7223">
                      <w:t>2.</w:t>
                    </w:r>
                    <w:r w:rsidR="00DE7176">
                      <w:t>2</w:t>
                    </w:r>
                    <w:r w:rsidRPr="009E7223">
                      <w:t xml:space="preserve"> </w:t>
                    </w:r>
                  </w:p>
                </w:tc>
                <w:tc>
                  <w:tcPr>
                    <w:tcW w:w="3402" w:type="dxa"/>
                    <w:vMerge/>
                    <w:tcBorders>
                      <w:left w:val="single" w:sz="4" w:space="0" w:color="auto"/>
                      <w:bottom w:val="nil"/>
                      <w:right w:val="nil"/>
                    </w:tcBorders>
                  </w:tcPr>
                  <w:p w14:paraId="2E9CF102" w14:textId="77777777" w:rsidR="006A33C8" w:rsidRPr="009E7223" w:rsidRDefault="006A33C8" w:rsidP="002D3006">
                    <w:pPr>
                      <w:pStyle w:val="Table-para"/>
                      <w:rPr>
                        <w:sz w:val="18"/>
                      </w:rPr>
                    </w:pPr>
                  </w:p>
                </w:tc>
              </w:tr>
              <w:tr w:rsidR="006A33C8" w:rsidRPr="009E7223" w14:paraId="2780ABC5" w14:textId="77777777" w:rsidTr="002D3006">
                <w:tc>
                  <w:tcPr>
                    <w:tcW w:w="1838" w:type="dxa"/>
                  </w:tcPr>
                  <w:p w14:paraId="25C5551B" w14:textId="77777777" w:rsidR="006A33C8" w:rsidRPr="009E7223" w:rsidRDefault="006A33C8" w:rsidP="002D3006">
                    <w:pPr>
                      <w:pStyle w:val="Footer"/>
                      <w:rPr>
                        <w:b/>
                      </w:rPr>
                    </w:pPr>
                    <w:r w:rsidRPr="009E7223">
                      <w:rPr>
                        <w:b/>
                      </w:rPr>
                      <w:t>Author(s):</w:t>
                    </w:r>
                  </w:p>
                </w:tc>
                <w:tc>
                  <w:tcPr>
                    <w:tcW w:w="3968" w:type="dxa"/>
                    <w:tcBorders>
                      <w:right w:val="single" w:sz="4" w:space="0" w:color="auto"/>
                    </w:tcBorders>
                  </w:tcPr>
                  <w:p w14:paraId="1E5EA143" w14:textId="66EA7B4F" w:rsidR="006A33C8" w:rsidRPr="009E7223" w:rsidRDefault="006A33C8" w:rsidP="002D3006">
                    <w:pPr>
                      <w:pStyle w:val="Footer"/>
                    </w:pPr>
                    <w:r w:rsidRPr="009E7223">
                      <w:t>Carolyn Hooper and Stephanie James</w:t>
                    </w:r>
                  </w:p>
                </w:tc>
                <w:tc>
                  <w:tcPr>
                    <w:tcW w:w="3402" w:type="dxa"/>
                    <w:vMerge/>
                    <w:tcBorders>
                      <w:left w:val="single" w:sz="4" w:space="0" w:color="auto"/>
                      <w:bottom w:val="nil"/>
                      <w:right w:val="nil"/>
                    </w:tcBorders>
                  </w:tcPr>
                  <w:p w14:paraId="2F5D4083" w14:textId="77777777" w:rsidR="006A33C8" w:rsidRPr="009E7223" w:rsidRDefault="006A33C8" w:rsidP="002D3006">
                    <w:pPr>
                      <w:pStyle w:val="Table-para"/>
                      <w:rPr>
                        <w:sz w:val="18"/>
                      </w:rPr>
                    </w:pPr>
                  </w:p>
                </w:tc>
              </w:tr>
              <w:tr w:rsidR="006A33C8" w:rsidRPr="009E7223" w14:paraId="3746C162" w14:textId="77777777" w:rsidTr="002D3006">
                <w:tc>
                  <w:tcPr>
                    <w:tcW w:w="1838" w:type="dxa"/>
                  </w:tcPr>
                  <w:p w14:paraId="0E4A77AA" w14:textId="77777777" w:rsidR="006A33C8" w:rsidRPr="009E7223" w:rsidRDefault="006A33C8" w:rsidP="002D3006">
                    <w:pPr>
                      <w:pStyle w:val="Footer"/>
                      <w:rPr>
                        <w:b/>
                      </w:rPr>
                    </w:pPr>
                    <w:r w:rsidRPr="009E7223">
                      <w:rPr>
                        <w:b/>
                      </w:rPr>
                      <w:t>Filing Location:</w:t>
                    </w:r>
                  </w:p>
                </w:tc>
                <w:tc>
                  <w:tcPr>
                    <w:tcW w:w="3968" w:type="dxa"/>
                    <w:tcBorders>
                      <w:right w:val="single" w:sz="4" w:space="0" w:color="auto"/>
                    </w:tcBorders>
                  </w:tcPr>
                  <w:p w14:paraId="59DD7917" w14:textId="4421569C" w:rsidR="006A33C8" w:rsidRPr="009E7223" w:rsidRDefault="006A33C8" w:rsidP="002D3006">
                    <w:pPr>
                      <w:pStyle w:val="Footer"/>
                    </w:pPr>
                    <w:r w:rsidRPr="009E7223">
                      <w:t>W:\MoH Public Health\Problem gambling\2018 Gambling Strategy Subs Analysis\04 Deliverables\Reports\Submitted Reports</w:t>
                    </w:r>
                  </w:p>
                </w:tc>
                <w:tc>
                  <w:tcPr>
                    <w:tcW w:w="3402" w:type="dxa"/>
                    <w:vMerge/>
                    <w:tcBorders>
                      <w:left w:val="single" w:sz="4" w:space="0" w:color="auto"/>
                      <w:bottom w:val="nil"/>
                      <w:right w:val="nil"/>
                    </w:tcBorders>
                  </w:tcPr>
                  <w:p w14:paraId="207B5A5F" w14:textId="77777777" w:rsidR="006A33C8" w:rsidRPr="009E7223" w:rsidRDefault="006A33C8" w:rsidP="002D3006">
                    <w:pPr>
                      <w:pStyle w:val="Table-para"/>
                      <w:rPr>
                        <w:sz w:val="18"/>
                      </w:rPr>
                    </w:pPr>
                  </w:p>
                </w:tc>
              </w:tr>
              <w:tr w:rsidR="006A33C8" w:rsidRPr="009E7223" w14:paraId="7B8BD8DB" w14:textId="77777777" w:rsidTr="002D3006">
                <w:tc>
                  <w:tcPr>
                    <w:tcW w:w="1838" w:type="dxa"/>
                  </w:tcPr>
                  <w:p w14:paraId="3075A265" w14:textId="77777777" w:rsidR="006A33C8" w:rsidRPr="009E7223" w:rsidRDefault="006A33C8" w:rsidP="002D3006">
                    <w:pPr>
                      <w:pStyle w:val="Footer"/>
                      <w:rPr>
                        <w:b/>
                      </w:rPr>
                    </w:pPr>
                    <w:r w:rsidRPr="009E7223">
                      <w:rPr>
                        <w:b/>
                      </w:rPr>
                      <w:t>Peer / technical review:</w:t>
                    </w:r>
                  </w:p>
                </w:tc>
                <w:tc>
                  <w:tcPr>
                    <w:tcW w:w="3968" w:type="dxa"/>
                    <w:tcBorders>
                      <w:right w:val="single" w:sz="4" w:space="0" w:color="auto"/>
                    </w:tcBorders>
                  </w:tcPr>
                  <w:p w14:paraId="2BE3D5B5" w14:textId="5915A011" w:rsidR="006A33C8" w:rsidRPr="009E7223" w:rsidRDefault="006A33C8" w:rsidP="002D3006">
                    <w:pPr>
                      <w:pStyle w:val="Footer"/>
                    </w:pPr>
                    <w:r w:rsidRPr="009E7223">
                      <w:t>Anna Gribble</w:t>
                    </w:r>
                  </w:p>
                </w:tc>
                <w:tc>
                  <w:tcPr>
                    <w:tcW w:w="3402" w:type="dxa"/>
                    <w:vMerge/>
                    <w:tcBorders>
                      <w:left w:val="single" w:sz="4" w:space="0" w:color="auto"/>
                      <w:bottom w:val="nil"/>
                      <w:right w:val="nil"/>
                    </w:tcBorders>
                  </w:tcPr>
                  <w:p w14:paraId="5E8A5280" w14:textId="77777777" w:rsidR="006A33C8" w:rsidRPr="009E7223" w:rsidRDefault="006A33C8" w:rsidP="002D3006">
                    <w:pPr>
                      <w:pStyle w:val="Table-para"/>
                      <w:rPr>
                        <w:sz w:val="18"/>
                      </w:rPr>
                    </w:pPr>
                  </w:p>
                </w:tc>
              </w:tr>
              <w:tr w:rsidR="006A33C8" w:rsidRPr="009E7223" w14:paraId="0C6BA3B9" w14:textId="77777777" w:rsidTr="002D3006">
                <w:tc>
                  <w:tcPr>
                    <w:tcW w:w="1838" w:type="dxa"/>
                  </w:tcPr>
                  <w:p w14:paraId="3F0B3A07" w14:textId="77777777" w:rsidR="006A33C8" w:rsidRPr="009E7223" w:rsidRDefault="006A33C8" w:rsidP="002D3006">
                    <w:pPr>
                      <w:pStyle w:val="Footer"/>
                      <w:rPr>
                        <w:b/>
                      </w:rPr>
                    </w:pPr>
                    <w:r w:rsidRPr="009E7223">
                      <w:rPr>
                        <w:b/>
                      </w:rPr>
                      <w:t>Verification that QA changes made:</w:t>
                    </w:r>
                  </w:p>
                </w:tc>
                <w:tc>
                  <w:tcPr>
                    <w:tcW w:w="3968" w:type="dxa"/>
                    <w:tcBorders>
                      <w:right w:val="single" w:sz="4" w:space="0" w:color="auto"/>
                    </w:tcBorders>
                  </w:tcPr>
                  <w:p w14:paraId="2CBDEABF" w14:textId="7C3F2917" w:rsidR="006A33C8" w:rsidRPr="009E7223" w:rsidRDefault="006A33C8" w:rsidP="002D3006">
                    <w:pPr>
                      <w:pStyle w:val="Footer"/>
                    </w:pPr>
                    <w:r w:rsidRPr="009E7223">
                      <w:t>Carolyn Hooper</w:t>
                    </w:r>
                  </w:p>
                </w:tc>
                <w:tc>
                  <w:tcPr>
                    <w:tcW w:w="3402" w:type="dxa"/>
                    <w:vMerge/>
                    <w:tcBorders>
                      <w:left w:val="single" w:sz="4" w:space="0" w:color="auto"/>
                      <w:bottom w:val="nil"/>
                      <w:right w:val="nil"/>
                    </w:tcBorders>
                  </w:tcPr>
                  <w:p w14:paraId="0CE370D0" w14:textId="77777777" w:rsidR="006A33C8" w:rsidRPr="009E7223" w:rsidRDefault="006A33C8" w:rsidP="002D3006">
                    <w:pPr>
                      <w:pStyle w:val="Table-para"/>
                      <w:rPr>
                        <w:sz w:val="18"/>
                      </w:rPr>
                    </w:pPr>
                  </w:p>
                </w:tc>
              </w:tr>
              <w:tr w:rsidR="006A33C8" w:rsidRPr="009E7223" w14:paraId="06594DB5" w14:textId="77777777" w:rsidTr="002D3006">
                <w:tc>
                  <w:tcPr>
                    <w:tcW w:w="1838" w:type="dxa"/>
                  </w:tcPr>
                  <w:p w14:paraId="1874A09D" w14:textId="77777777" w:rsidR="006A33C8" w:rsidRPr="009E7223" w:rsidRDefault="006A33C8" w:rsidP="002D3006">
                    <w:pPr>
                      <w:pStyle w:val="Footer"/>
                      <w:rPr>
                        <w:b/>
                      </w:rPr>
                    </w:pPr>
                    <w:r w:rsidRPr="009E7223">
                      <w:rPr>
                        <w:b/>
                      </w:rPr>
                      <w:t>Proof read:</w:t>
                    </w:r>
                  </w:p>
                </w:tc>
                <w:tc>
                  <w:tcPr>
                    <w:tcW w:w="3968" w:type="dxa"/>
                    <w:tcBorders>
                      <w:right w:val="single" w:sz="4" w:space="0" w:color="auto"/>
                    </w:tcBorders>
                  </w:tcPr>
                  <w:p w14:paraId="4D42678C" w14:textId="5E2F981A" w:rsidR="006A33C8" w:rsidRPr="009E7223" w:rsidRDefault="006A33C8" w:rsidP="002D3006">
                    <w:pPr>
                      <w:pStyle w:val="Footer"/>
                    </w:pPr>
                    <w:r w:rsidRPr="009E7223">
                      <w:t>Jacqui Ha</w:t>
                    </w:r>
                    <w:r w:rsidR="009E48F3">
                      <w:t>g</w:t>
                    </w:r>
                    <w:r w:rsidRPr="009E7223">
                      <w:t>gland</w:t>
                    </w:r>
                  </w:p>
                </w:tc>
                <w:tc>
                  <w:tcPr>
                    <w:tcW w:w="3402" w:type="dxa"/>
                    <w:vMerge/>
                    <w:tcBorders>
                      <w:left w:val="single" w:sz="4" w:space="0" w:color="auto"/>
                      <w:bottom w:val="nil"/>
                      <w:right w:val="nil"/>
                    </w:tcBorders>
                  </w:tcPr>
                  <w:p w14:paraId="078B4EC3" w14:textId="77777777" w:rsidR="006A33C8" w:rsidRPr="009E7223" w:rsidRDefault="006A33C8" w:rsidP="002D3006">
                    <w:pPr>
                      <w:pStyle w:val="Table-para"/>
                      <w:rPr>
                        <w:sz w:val="18"/>
                      </w:rPr>
                    </w:pPr>
                  </w:p>
                </w:tc>
              </w:tr>
              <w:tr w:rsidR="006A33C8" w:rsidRPr="009E7223" w14:paraId="3301E9EA" w14:textId="77777777" w:rsidTr="002D3006">
                <w:tc>
                  <w:tcPr>
                    <w:tcW w:w="1838" w:type="dxa"/>
                  </w:tcPr>
                  <w:p w14:paraId="2B06DB71" w14:textId="77777777" w:rsidR="006A33C8" w:rsidRPr="009E7223" w:rsidRDefault="006A33C8" w:rsidP="002D3006">
                    <w:pPr>
                      <w:pStyle w:val="Footer"/>
                      <w:rPr>
                        <w:b/>
                      </w:rPr>
                    </w:pPr>
                    <w:r w:rsidRPr="009E7223">
                      <w:rPr>
                        <w:b/>
                      </w:rPr>
                      <w:t>Formatting:</w:t>
                    </w:r>
                  </w:p>
                </w:tc>
                <w:tc>
                  <w:tcPr>
                    <w:tcW w:w="3968" w:type="dxa"/>
                    <w:tcBorders>
                      <w:right w:val="single" w:sz="4" w:space="0" w:color="auto"/>
                    </w:tcBorders>
                  </w:tcPr>
                  <w:p w14:paraId="411D4ADA" w14:textId="62EB04D8" w:rsidR="006A33C8" w:rsidRPr="009E7223" w:rsidRDefault="006A33C8" w:rsidP="002D3006">
                    <w:pPr>
                      <w:pStyle w:val="Footer"/>
                    </w:pPr>
                    <w:r w:rsidRPr="009E7223">
                      <w:t>Stephanie James</w:t>
                    </w:r>
                  </w:p>
                </w:tc>
                <w:tc>
                  <w:tcPr>
                    <w:tcW w:w="3402" w:type="dxa"/>
                    <w:vMerge/>
                    <w:tcBorders>
                      <w:left w:val="single" w:sz="4" w:space="0" w:color="auto"/>
                      <w:bottom w:val="nil"/>
                      <w:right w:val="nil"/>
                    </w:tcBorders>
                  </w:tcPr>
                  <w:p w14:paraId="1BCD6E01" w14:textId="77777777" w:rsidR="006A33C8" w:rsidRPr="009E7223" w:rsidRDefault="006A33C8" w:rsidP="002D3006">
                    <w:pPr>
                      <w:pStyle w:val="Table-para"/>
                      <w:rPr>
                        <w:sz w:val="18"/>
                      </w:rPr>
                    </w:pPr>
                  </w:p>
                </w:tc>
              </w:tr>
              <w:tr w:rsidR="006A33C8" w:rsidRPr="009E7223" w14:paraId="10762282" w14:textId="77777777" w:rsidTr="002D3006">
                <w:tc>
                  <w:tcPr>
                    <w:tcW w:w="1838" w:type="dxa"/>
                  </w:tcPr>
                  <w:p w14:paraId="6B778FC5" w14:textId="77777777" w:rsidR="006A33C8" w:rsidRPr="009E7223" w:rsidRDefault="006A33C8" w:rsidP="002D3006">
                    <w:pPr>
                      <w:pStyle w:val="Footer"/>
                      <w:rPr>
                        <w:b/>
                      </w:rPr>
                    </w:pPr>
                    <w:r w:rsidRPr="009E7223">
                      <w:rPr>
                        <w:b/>
                      </w:rPr>
                      <w:t>Final QA check and approved for release:</w:t>
                    </w:r>
                  </w:p>
                </w:tc>
                <w:tc>
                  <w:tcPr>
                    <w:tcW w:w="3968" w:type="dxa"/>
                    <w:tcBorders>
                      <w:right w:val="single" w:sz="4" w:space="0" w:color="auto"/>
                    </w:tcBorders>
                  </w:tcPr>
                  <w:p w14:paraId="64D369A2" w14:textId="5E1753D8" w:rsidR="006A33C8" w:rsidRPr="009E7223" w:rsidRDefault="006A33C8" w:rsidP="002D3006">
                    <w:pPr>
                      <w:pStyle w:val="Footer"/>
                    </w:pPr>
                    <w:r w:rsidRPr="009E7223">
                      <w:t xml:space="preserve">Carolyn Hooper, Project Manager </w:t>
                    </w:r>
                  </w:p>
                </w:tc>
                <w:tc>
                  <w:tcPr>
                    <w:tcW w:w="3402" w:type="dxa"/>
                    <w:vMerge/>
                    <w:tcBorders>
                      <w:left w:val="single" w:sz="4" w:space="0" w:color="auto"/>
                      <w:bottom w:val="nil"/>
                      <w:right w:val="nil"/>
                    </w:tcBorders>
                  </w:tcPr>
                  <w:p w14:paraId="1D884970" w14:textId="77777777" w:rsidR="006A33C8" w:rsidRPr="009E7223" w:rsidRDefault="006A33C8" w:rsidP="002D3006">
                    <w:pPr>
                      <w:pStyle w:val="Table-para"/>
                      <w:rPr>
                        <w:sz w:val="18"/>
                      </w:rPr>
                    </w:pPr>
                  </w:p>
                </w:tc>
              </w:tr>
            </w:tbl>
            <w:p w14:paraId="1C988A9F" w14:textId="1603CD0A" w:rsidR="004B594D" w:rsidRPr="009E7223" w:rsidRDefault="004B594D">
              <w:pPr>
                <w:pStyle w:val="TOCHeading"/>
                <w:rPr>
                  <w:rFonts w:asciiTheme="minorHAnsi" w:eastAsiaTheme="minorHAnsi" w:hAnsiTheme="minorHAnsi" w:cstheme="minorBidi"/>
                  <w:b/>
                  <w:caps/>
                  <w:color w:val="36424A" w:themeColor="text2"/>
                  <w:sz w:val="22"/>
                  <w:szCs w:val="22"/>
                  <w:highlight w:val="yellow"/>
                </w:rPr>
              </w:pPr>
              <w:r w:rsidRPr="009E7223">
                <w:rPr>
                  <w:rFonts w:asciiTheme="minorHAnsi" w:eastAsiaTheme="minorHAnsi" w:hAnsiTheme="minorHAnsi" w:cstheme="minorBidi"/>
                  <w:b/>
                  <w:caps/>
                  <w:color w:val="36424A" w:themeColor="text2"/>
                  <w:sz w:val="22"/>
                  <w:szCs w:val="22"/>
                  <w:highlight w:val="yellow"/>
                </w:rPr>
                <w:br w:type="page"/>
              </w:r>
            </w:p>
            <w:p w14:paraId="230AABCA" w14:textId="77777777" w:rsidR="00192847" w:rsidRPr="009E7223" w:rsidRDefault="00192847" w:rsidP="00AD2A9B">
              <w:pPr>
                <w:pStyle w:val="Heading1"/>
              </w:pPr>
              <w:bookmarkStart w:id="0" w:name="_Toc531098131"/>
              <w:r w:rsidRPr="009E7223">
                <w:lastRenderedPageBreak/>
                <w:t>Contents</w:t>
              </w:r>
              <w:bookmarkEnd w:id="0"/>
            </w:p>
            <w:p w14:paraId="68857811" w14:textId="77777777" w:rsidR="00D16F86" w:rsidRDefault="00D16F86">
              <w:pPr>
                <w:pStyle w:val="TOC1"/>
                <w:rPr>
                  <w:rFonts w:asciiTheme="minorHAnsi" w:eastAsiaTheme="minorEastAsia" w:hAnsiTheme="minorHAnsi"/>
                  <w:b w:val="0"/>
                  <w:caps w:val="0"/>
                  <w:lang w:eastAsia="en-NZ"/>
                </w:rPr>
              </w:pPr>
              <w:r>
                <w:rPr>
                  <w:highlight w:val="yellow"/>
                </w:rPr>
                <w:fldChar w:fldCharType="begin"/>
              </w:r>
              <w:r>
                <w:rPr>
                  <w:highlight w:val="yellow"/>
                </w:rPr>
                <w:instrText xml:space="preserve"> TOC \o "1-3" \h \z \u </w:instrText>
              </w:r>
              <w:r>
                <w:rPr>
                  <w:highlight w:val="yellow"/>
                </w:rPr>
                <w:fldChar w:fldCharType="separate"/>
              </w:r>
              <w:hyperlink w:anchor="_Toc531098131" w:history="1">
                <w:r w:rsidRPr="00687C52">
                  <w:rPr>
                    <w:rStyle w:val="Hyperlink"/>
                  </w:rPr>
                  <w:t>Contents</w:t>
                </w:r>
                <w:r>
                  <w:rPr>
                    <w:webHidden/>
                  </w:rPr>
                  <w:tab/>
                </w:r>
                <w:r>
                  <w:rPr>
                    <w:webHidden/>
                  </w:rPr>
                  <w:fldChar w:fldCharType="begin"/>
                </w:r>
                <w:r>
                  <w:rPr>
                    <w:webHidden/>
                  </w:rPr>
                  <w:instrText xml:space="preserve"> PAGEREF _Toc531098131 \h </w:instrText>
                </w:r>
                <w:r>
                  <w:rPr>
                    <w:webHidden/>
                  </w:rPr>
                </w:r>
                <w:r>
                  <w:rPr>
                    <w:webHidden/>
                  </w:rPr>
                  <w:fldChar w:fldCharType="separate"/>
                </w:r>
                <w:r>
                  <w:rPr>
                    <w:webHidden/>
                  </w:rPr>
                  <w:t>3</w:t>
                </w:r>
                <w:r>
                  <w:rPr>
                    <w:webHidden/>
                  </w:rPr>
                  <w:fldChar w:fldCharType="end"/>
                </w:r>
              </w:hyperlink>
            </w:p>
            <w:p w14:paraId="635C0B5A" w14:textId="77777777" w:rsidR="00D16F86" w:rsidRDefault="00D16F86">
              <w:pPr>
                <w:pStyle w:val="TOC1"/>
                <w:rPr>
                  <w:rFonts w:asciiTheme="minorHAnsi" w:eastAsiaTheme="minorEastAsia" w:hAnsiTheme="minorHAnsi"/>
                  <w:b w:val="0"/>
                  <w:caps w:val="0"/>
                  <w:lang w:eastAsia="en-NZ"/>
                </w:rPr>
              </w:pPr>
              <w:hyperlink w:anchor="_Toc531098132" w:history="1">
                <w:r w:rsidRPr="00687C52">
                  <w:rPr>
                    <w:rStyle w:val="Hyperlink"/>
                  </w:rPr>
                  <w:t>Glossary</w:t>
                </w:r>
                <w:r>
                  <w:rPr>
                    <w:webHidden/>
                  </w:rPr>
                  <w:tab/>
                </w:r>
                <w:r>
                  <w:rPr>
                    <w:webHidden/>
                  </w:rPr>
                  <w:fldChar w:fldCharType="begin"/>
                </w:r>
                <w:r>
                  <w:rPr>
                    <w:webHidden/>
                  </w:rPr>
                  <w:instrText xml:space="preserve"> PAGEREF _Toc531098132 \h </w:instrText>
                </w:r>
                <w:r>
                  <w:rPr>
                    <w:webHidden/>
                  </w:rPr>
                </w:r>
                <w:r>
                  <w:rPr>
                    <w:webHidden/>
                  </w:rPr>
                  <w:fldChar w:fldCharType="separate"/>
                </w:r>
                <w:r>
                  <w:rPr>
                    <w:webHidden/>
                  </w:rPr>
                  <w:t>7</w:t>
                </w:r>
                <w:r>
                  <w:rPr>
                    <w:webHidden/>
                  </w:rPr>
                  <w:fldChar w:fldCharType="end"/>
                </w:r>
              </w:hyperlink>
            </w:p>
            <w:p w14:paraId="5D2C5A1A" w14:textId="77777777" w:rsidR="00D16F86" w:rsidRDefault="00D16F86">
              <w:pPr>
                <w:pStyle w:val="TOC1"/>
                <w:rPr>
                  <w:rFonts w:asciiTheme="minorHAnsi" w:eastAsiaTheme="minorEastAsia" w:hAnsiTheme="minorHAnsi"/>
                  <w:b w:val="0"/>
                  <w:caps w:val="0"/>
                  <w:lang w:eastAsia="en-NZ"/>
                </w:rPr>
              </w:pPr>
              <w:hyperlink w:anchor="_Toc531098133" w:history="1">
                <w:r w:rsidRPr="00687C52">
                  <w:rPr>
                    <w:rStyle w:val="Hyperlink"/>
                  </w:rPr>
                  <w:t>Tables</w:t>
                </w:r>
                <w:r>
                  <w:rPr>
                    <w:webHidden/>
                  </w:rPr>
                  <w:tab/>
                </w:r>
                <w:r>
                  <w:rPr>
                    <w:webHidden/>
                  </w:rPr>
                  <w:fldChar w:fldCharType="begin"/>
                </w:r>
                <w:r>
                  <w:rPr>
                    <w:webHidden/>
                  </w:rPr>
                  <w:instrText xml:space="preserve"> PAGEREF _Toc531098133 \h </w:instrText>
                </w:r>
                <w:r>
                  <w:rPr>
                    <w:webHidden/>
                  </w:rPr>
                </w:r>
                <w:r>
                  <w:rPr>
                    <w:webHidden/>
                  </w:rPr>
                  <w:fldChar w:fldCharType="separate"/>
                </w:r>
                <w:r>
                  <w:rPr>
                    <w:webHidden/>
                  </w:rPr>
                  <w:t>7</w:t>
                </w:r>
                <w:r>
                  <w:rPr>
                    <w:webHidden/>
                  </w:rPr>
                  <w:fldChar w:fldCharType="end"/>
                </w:r>
              </w:hyperlink>
            </w:p>
            <w:p w14:paraId="0989928E" w14:textId="77777777" w:rsidR="00D16F86" w:rsidRDefault="00D16F86">
              <w:pPr>
                <w:pStyle w:val="TOC1"/>
                <w:rPr>
                  <w:rFonts w:asciiTheme="minorHAnsi" w:eastAsiaTheme="minorEastAsia" w:hAnsiTheme="minorHAnsi"/>
                  <w:b w:val="0"/>
                  <w:caps w:val="0"/>
                  <w:lang w:eastAsia="en-NZ"/>
                </w:rPr>
              </w:pPr>
              <w:hyperlink w:anchor="_Toc531098134" w:history="1">
                <w:r w:rsidRPr="00687C52">
                  <w:rPr>
                    <w:rStyle w:val="Hyperlink"/>
                  </w:rPr>
                  <w:t>Figures</w:t>
                </w:r>
                <w:r>
                  <w:rPr>
                    <w:webHidden/>
                  </w:rPr>
                  <w:tab/>
                </w:r>
                <w:r>
                  <w:rPr>
                    <w:webHidden/>
                  </w:rPr>
                  <w:fldChar w:fldCharType="begin"/>
                </w:r>
                <w:r>
                  <w:rPr>
                    <w:webHidden/>
                  </w:rPr>
                  <w:instrText xml:space="preserve"> PAGEREF _Toc531098134 \h </w:instrText>
                </w:r>
                <w:r>
                  <w:rPr>
                    <w:webHidden/>
                  </w:rPr>
                </w:r>
                <w:r>
                  <w:rPr>
                    <w:webHidden/>
                  </w:rPr>
                  <w:fldChar w:fldCharType="separate"/>
                </w:r>
                <w:r>
                  <w:rPr>
                    <w:webHidden/>
                  </w:rPr>
                  <w:t>7</w:t>
                </w:r>
                <w:r>
                  <w:rPr>
                    <w:webHidden/>
                  </w:rPr>
                  <w:fldChar w:fldCharType="end"/>
                </w:r>
              </w:hyperlink>
            </w:p>
            <w:p w14:paraId="7DC815C4" w14:textId="77777777" w:rsidR="00D16F86" w:rsidRDefault="00D16F86">
              <w:pPr>
                <w:pStyle w:val="TOC1"/>
                <w:rPr>
                  <w:rFonts w:asciiTheme="minorHAnsi" w:eastAsiaTheme="minorEastAsia" w:hAnsiTheme="minorHAnsi"/>
                  <w:b w:val="0"/>
                  <w:caps w:val="0"/>
                  <w:lang w:eastAsia="en-NZ"/>
                </w:rPr>
              </w:pPr>
              <w:hyperlink w:anchor="_Toc531098135" w:history="1">
                <w:r w:rsidRPr="00687C52">
                  <w:rPr>
                    <w:rStyle w:val="Hyperlink"/>
                  </w:rPr>
                  <w:t>Executive summary</w:t>
                </w:r>
                <w:r>
                  <w:rPr>
                    <w:webHidden/>
                  </w:rPr>
                  <w:tab/>
                </w:r>
                <w:r>
                  <w:rPr>
                    <w:webHidden/>
                  </w:rPr>
                  <w:fldChar w:fldCharType="begin"/>
                </w:r>
                <w:r>
                  <w:rPr>
                    <w:webHidden/>
                  </w:rPr>
                  <w:instrText xml:space="preserve"> PAGEREF _Toc531098135 \h </w:instrText>
                </w:r>
                <w:r>
                  <w:rPr>
                    <w:webHidden/>
                  </w:rPr>
                </w:r>
                <w:r>
                  <w:rPr>
                    <w:webHidden/>
                  </w:rPr>
                  <w:fldChar w:fldCharType="separate"/>
                </w:r>
                <w:r>
                  <w:rPr>
                    <w:webHidden/>
                  </w:rPr>
                  <w:t>8</w:t>
                </w:r>
                <w:r>
                  <w:rPr>
                    <w:webHidden/>
                  </w:rPr>
                  <w:fldChar w:fldCharType="end"/>
                </w:r>
              </w:hyperlink>
            </w:p>
            <w:p w14:paraId="7FF80BA4" w14:textId="77777777" w:rsidR="00D16F86" w:rsidRDefault="00D16F86">
              <w:pPr>
                <w:pStyle w:val="TOC2"/>
                <w:rPr>
                  <w:rFonts w:asciiTheme="minorHAnsi" w:eastAsiaTheme="minorEastAsia" w:hAnsiTheme="minorHAnsi"/>
                  <w:lang w:eastAsia="en-NZ"/>
                </w:rPr>
              </w:pPr>
              <w:hyperlink w:anchor="_Toc531098136" w:history="1">
                <w:r w:rsidRPr="00687C52">
                  <w:rPr>
                    <w:rStyle w:val="Hyperlink"/>
                  </w:rPr>
                  <w:t>Eighty-two submissions received</w:t>
                </w:r>
                <w:r>
                  <w:rPr>
                    <w:webHidden/>
                  </w:rPr>
                  <w:tab/>
                </w:r>
                <w:r>
                  <w:rPr>
                    <w:webHidden/>
                  </w:rPr>
                  <w:fldChar w:fldCharType="begin"/>
                </w:r>
                <w:r>
                  <w:rPr>
                    <w:webHidden/>
                  </w:rPr>
                  <w:instrText xml:space="preserve"> PAGEREF _Toc531098136 \h </w:instrText>
                </w:r>
                <w:r>
                  <w:rPr>
                    <w:webHidden/>
                  </w:rPr>
                </w:r>
                <w:r>
                  <w:rPr>
                    <w:webHidden/>
                  </w:rPr>
                  <w:fldChar w:fldCharType="separate"/>
                </w:r>
                <w:r>
                  <w:rPr>
                    <w:webHidden/>
                  </w:rPr>
                  <w:t>8</w:t>
                </w:r>
                <w:r>
                  <w:rPr>
                    <w:webHidden/>
                  </w:rPr>
                  <w:fldChar w:fldCharType="end"/>
                </w:r>
              </w:hyperlink>
            </w:p>
            <w:p w14:paraId="69E39420" w14:textId="77777777" w:rsidR="00D16F86" w:rsidRDefault="00D16F86">
              <w:pPr>
                <w:pStyle w:val="TOC2"/>
                <w:rPr>
                  <w:rFonts w:asciiTheme="minorHAnsi" w:eastAsiaTheme="minorEastAsia" w:hAnsiTheme="minorHAnsi"/>
                  <w:lang w:eastAsia="en-NZ"/>
                </w:rPr>
              </w:pPr>
              <w:hyperlink w:anchor="_Toc531098137" w:history="1">
                <w:r w:rsidRPr="00687C52">
                  <w:rPr>
                    <w:rStyle w:val="Hyperlink"/>
                  </w:rPr>
                  <w:t>Question-based thematic analysis by sector</w:t>
                </w:r>
                <w:r>
                  <w:rPr>
                    <w:webHidden/>
                  </w:rPr>
                  <w:tab/>
                </w:r>
                <w:r>
                  <w:rPr>
                    <w:webHidden/>
                  </w:rPr>
                  <w:fldChar w:fldCharType="begin"/>
                </w:r>
                <w:r>
                  <w:rPr>
                    <w:webHidden/>
                  </w:rPr>
                  <w:instrText xml:space="preserve"> PAGEREF _Toc531098137 \h </w:instrText>
                </w:r>
                <w:r>
                  <w:rPr>
                    <w:webHidden/>
                  </w:rPr>
                </w:r>
                <w:r>
                  <w:rPr>
                    <w:webHidden/>
                  </w:rPr>
                  <w:fldChar w:fldCharType="separate"/>
                </w:r>
                <w:r>
                  <w:rPr>
                    <w:webHidden/>
                  </w:rPr>
                  <w:t>8</w:t>
                </w:r>
                <w:r>
                  <w:rPr>
                    <w:webHidden/>
                  </w:rPr>
                  <w:fldChar w:fldCharType="end"/>
                </w:r>
              </w:hyperlink>
            </w:p>
            <w:p w14:paraId="5AB69213" w14:textId="77777777" w:rsidR="00D16F86" w:rsidRDefault="00D16F86">
              <w:pPr>
                <w:pStyle w:val="TOC2"/>
                <w:rPr>
                  <w:rFonts w:asciiTheme="minorHAnsi" w:eastAsiaTheme="minorEastAsia" w:hAnsiTheme="minorHAnsi"/>
                  <w:lang w:eastAsia="en-NZ"/>
                </w:rPr>
              </w:pPr>
              <w:hyperlink w:anchor="_Toc531098138" w:history="1">
                <w:r w:rsidRPr="00687C52">
                  <w:rPr>
                    <w:rStyle w:val="Hyperlink"/>
                  </w:rPr>
                  <w:t>Analysis of key themes by sector</w:t>
                </w:r>
                <w:r>
                  <w:rPr>
                    <w:webHidden/>
                  </w:rPr>
                  <w:tab/>
                </w:r>
                <w:r>
                  <w:rPr>
                    <w:webHidden/>
                  </w:rPr>
                  <w:fldChar w:fldCharType="begin"/>
                </w:r>
                <w:r>
                  <w:rPr>
                    <w:webHidden/>
                  </w:rPr>
                  <w:instrText xml:space="preserve"> PAGEREF _Toc531098138 \h </w:instrText>
                </w:r>
                <w:r>
                  <w:rPr>
                    <w:webHidden/>
                  </w:rPr>
                </w:r>
                <w:r>
                  <w:rPr>
                    <w:webHidden/>
                  </w:rPr>
                  <w:fldChar w:fldCharType="separate"/>
                </w:r>
                <w:r>
                  <w:rPr>
                    <w:webHidden/>
                  </w:rPr>
                  <w:t>8</w:t>
                </w:r>
                <w:r>
                  <w:rPr>
                    <w:webHidden/>
                  </w:rPr>
                  <w:fldChar w:fldCharType="end"/>
                </w:r>
              </w:hyperlink>
            </w:p>
            <w:p w14:paraId="290EC5CF" w14:textId="77777777" w:rsidR="00D16F86" w:rsidRDefault="00D16F86">
              <w:pPr>
                <w:pStyle w:val="TOC2"/>
                <w:rPr>
                  <w:rFonts w:asciiTheme="minorHAnsi" w:eastAsiaTheme="minorEastAsia" w:hAnsiTheme="minorHAnsi"/>
                  <w:lang w:eastAsia="en-NZ"/>
                </w:rPr>
              </w:pPr>
              <w:hyperlink w:anchor="_Toc531098139" w:history="1">
                <w:r w:rsidRPr="00687C52">
                  <w:rPr>
                    <w:rStyle w:val="Hyperlink"/>
                  </w:rPr>
                  <w:t>Summary of key themes</w:t>
                </w:r>
                <w:r>
                  <w:rPr>
                    <w:webHidden/>
                  </w:rPr>
                  <w:tab/>
                </w:r>
                <w:r>
                  <w:rPr>
                    <w:webHidden/>
                  </w:rPr>
                  <w:fldChar w:fldCharType="begin"/>
                </w:r>
                <w:r>
                  <w:rPr>
                    <w:webHidden/>
                  </w:rPr>
                  <w:instrText xml:space="preserve"> PAGEREF _Toc531098139 \h </w:instrText>
                </w:r>
                <w:r>
                  <w:rPr>
                    <w:webHidden/>
                  </w:rPr>
                </w:r>
                <w:r>
                  <w:rPr>
                    <w:webHidden/>
                  </w:rPr>
                  <w:fldChar w:fldCharType="separate"/>
                </w:r>
                <w:r>
                  <w:rPr>
                    <w:webHidden/>
                  </w:rPr>
                  <w:t>8</w:t>
                </w:r>
                <w:r>
                  <w:rPr>
                    <w:webHidden/>
                  </w:rPr>
                  <w:fldChar w:fldCharType="end"/>
                </w:r>
              </w:hyperlink>
            </w:p>
            <w:p w14:paraId="36C7670C" w14:textId="77777777" w:rsidR="00D16F86" w:rsidRDefault="00D16F86">
              <w:pPr>
                <w:pStyle w:val="TOC3"/>
                <w:rPr>
                  <w:rFonts w:asciiTheme="minorHAnsi" w:eastAsiaTheme="minorEastAsia" w:hAnsiTheme="minorHAnsi"/>
                  <w:sz w:val="22"/>
                  <w:lang w:eastAsia="en-NZ"/>
                </w:rPr>
              </w:pPr>
              <w:hyperlink w:anchor="_Toc531098140" w:history="1">
                <w:r w:rsidRPr="00687C52">
                  <w:rPr>
                    <w:rStyle w:val="Hyperlink"/>
                  </w:rPr>
                  <w:t>The need for a refocus and rethink was generally supported, but there were divergent views on the preferred direction of change</w:t>
                </w:r>
                <w:r>
                  <w:rPr>
                    <w:webHidden/>
                  </w:rPr>
                  <w:tab/>
                </w:r>
                <w:r>
                  <w:rPr>
                    <w:webHidden/>
                  </w:rPr>
                  <w:fldChar w:fldCharType="begin"/>
                </w:r>
                <w:r>
                  <w:rPr>
                    <w:webHidden/>
                  </w:rPr>
                  <w:instrText xml:space="preserve"> PAGEREF _Toc531098140 \h </w:instrText>
                </w:r>
                <w:r>
                  <w:rPr>
                    <w:webHidden/>
                  </w:rPr>
                </w:r>
                <w:r>
                  <w:rPr>
                    <w:webHidden/>
                  </w:rPr>
                  <w:fldChar w:fldCharType="separate"/>
                </w:r>
                <w:r>
                  <w:rPr>
                    <w:webHidden/>
                  </w:rPr>
                  <w:t>8</w:t>
                </w:r>
                <w:r>
                  <w:rPr>
                    <w:webHidden/>
                  </w:rPr>
                  <w:fldChar w:fldCharType="end"/>
                </w:r>
              </w:hyperlink>
            </w:p>
            <w:p w14:paraId="1AC910D4" w14:textId="77777777" w:rsidR="00D16F86" w:rsidRDefault="00D16F86">
              <w:pPr>
                <w:pStyle w:val="TOC3"/>
                <w:rPr>
                  <w:rFonts w:asciiTheme="minorHAnsi" w:eastAsiaTheme="minorEastAsia" w:hAnsiTheme="minorHAnsi"/>
                  <w:sz w:val="22"/>
                  <w:lang w:eastAsia="en-NZ"/>
                </w:rPr>
              </w:pPr>
              <w:hyperlink w:anchor="_Toc531098141" w:history="1">
                <w:r w:rsidRPr="00687C52">
                  <w:rPr>
                    <w:rStyle w:val="Hyperlink"/>
                  </w:rPr>
                  <w:t>Submitters considered that harm minimisation efforts could be significantly enhanced by using emerging technologies</w:t>
                </w:r>
                <w:r>
                  <w:rPr>
                    <w:webHidden/>
                  </w:rPr>
                  <w:tab/>
                </w:r>
                <w:r>
                  <w:rPr>
                    <w:webHidden/>
                  </w:rPr>
                  <w:fldChar w:fldCharType="begin"/>
                </w:r>
                <w:r>
                  <w:rPr>
                    <w:webHidden/>
                  </w:rPr>
                  <w:instrText xml:space="preserve"> PAGEREF _Toc531098141 \h </w:instrText>
                </w:r>
                <w:r>
                  <w:rPr>
                    <w:webHidden/>
                  </w:rPr>
                </w:r>
                <w:r>
                  <w:rPr>
                    <w:webHidden/>
                  </w:rPr>
                  <w:fldChar w:fldCharType="separate"/>
                </w:r>
                <w:r>
                  <w:rPr>
                    <w:webHidden/>
                  </w:rPr>
                  <w:t>9</w:t>
                </w:r>
                <w:r>
                  <w:rPr>
                    <w:webHidden/>
                  </w:rPr>
                  <w:fldChar w:fldCharType="end"/>
                </w:r>
              </w:hyperlink>
            </w:p>
            <w:p w14:paraId="2E9743D9" w14:textId="77777777" w:rsidR="00D16F86" w:rsidRDefault="00D16F86">
              <w:pPr>
                <w:pStyle w:val="TOC3"/>
                <w:rPr>
                  <w:rFonts w:asciiTheme="minorHAnsi" w:eastAsiaTheme="minorEastAsia" w:hAnsiTheme="minorHAnsi"/>
                  <w:sz w:val="22"/>
                  <w:lang w:eastAsia="en-NZ"/>
                </w:rPr>
              </w:pPr>
              <w:hyperlink w:anchor="_Toc531098142" w:history="1">
                <w:r w:rsidRPr="00687C52">
                  <w:rPr>
                    <w:rStyle w:val="Hyperlink"/>
                  </w:rPr>
                  <w:t>The proposed management of the $5m underspend was polarising</w:t>
                </w:r>
                <w:r>
                  <w:rPr>
                    <w:webHidden/>
                  </w:rPr>
                  <w:tab/>
                </w:r>
                <w:r>
                  <w:rPr>
                    <w:webHidden/>
                  </w:rPr>
                  <w:fldChar w:fldCharType="begin"/>
                </w:r>
                <w:r>
                  <w:rPr>
                    <w:webHidden/>
                  </w:rPr>
                  <w:instrText xml:space="preserve"> PAGEREF _Toc531098142 \h </w:instrText>
                </w:r>
                <w:r>
                  <w:rPr>
                    <w:webHidden/>
                  </w:rPr>
                </w:r>
                <w:r>
                  <w:rPr>
                    <w:webHidden/>
                  </w:rPr>
                  <w:fldChar w:fldCharType="separate"/>
                </w:r>
                <w:r>
                  <w:rPr>
                    <w:webHidden/>
                  </w:rPr>
                  <w:t>9</w:t>
                </w:r>
                <w:r>
                  <w:rPr>
                    <w:webHidden/>
                  </w:rPr>
                  <w:fldChar w:fldCharType="end"/>
                </w:r>
              </w:hyperlink>
            </w:p>
            <w:p w14:paraId="7C12A376" w14:textId="77777777" w:rsidR="00D16F86" w:rsidRDefault="00D16F86">
              <w:pPr>
                <w:pStyle w:val="TOC3"/>
                <w:rPr>
                  <w:rFonts w:asciiTheme="minorHAnsi" w:eastAsiaTheme="minorEastAsia" w:hAnsiTheme="minorHAnsi"/>
                  <w:sz w:val="22"/>
                  <w:lang w:eastAsia="en-NZ"/>
                </w:rPr>
              </w:pPr>
              <w:hyperlink w:anchor="_Toc531098143" w:history="1">
                <w:r w:rsidRPr="00687C52">
                  <w:rPr>
                    <w:rStyle w:val="Hyperlink"/>
                  </w:rPr>
                  <w:t>The proposed funding allocations drew comments that were often siloed by sector</w:t>
                </w:r>
                <w:r>
                  <w:rPr>
                    <w:webHidden/>
                  </w:rPr>
                  <w:tab/>
                </w:r>
                <w:r>
                  <w:rPr>
                    <w:webHidden/>
                  </w:rPr>
                  <w:fldChar w:fldCharType="begin"/>
                </w:r>
                <w:r>
                  <w:rPr>
                    <w:webHidden/>
                  </w:rPr>
                  <w:instrText xml:space="preserve"> PAGEREF _Toc531098143 \h </w:instrText>
                </w:r>
                <w:r>
                  <w:rPr>
                    <w:webHidden/>
                  </w:rPr>
                </w:r>
                <w:r>
                  <w:rPr>
                    <w:webHidden/>
                  </w:rPr>
                  <w:fldChar w:fldCharType="separate"/>
                </w:r>
                <w:r>
                  <w:rPr>
                    <w:webHidden/>
                  </w:rPr>
                  <w:t>10</w:t>
                </w:r>
                <w:r>
                  <w:rPr>
                    <w:webHidden/>
                  </w:rPr>
                  <w:fldChar w:fldCharType="end"/>
                </w:r>
              </w:hyperlink>
            </w:p>
            <w:p w14:paraId="7215D894" w14:textId="77777777" w:rsidR="00D16F86" w:rsidRDefault="00D16F86">
              <w:pPr>
                <w:pStyle w:val="TOC3"/>
                <w:rPr>
                  <w:rFonts w:asciiTheme="minorHAnsi" w:eastAsiaTheme="minorEastAsia" w:hAnsiTheme="minorHAnsi"/>
                  <w:sz w:val="22"/>
                  <w:lang w:eastAsia="en-NZ"/>
                </w:rPr>
              </w:pPr>
              <w:hyperlink w:anchor="_Toc531098144" w:history="1">
                <w:r w:rsidRPr="00687C52">
                  <w:rPr>
                    <w:rStyle w:val="Hyperlink"/>
                  </w:rPr>
                  <w:t>There was broad support for the development of comprehensive culturally-specific health promotion, treatment and support services</w:t>
                </w:r>
                <w:r>
                  <w:rPr>
                    <w:webHidden/>
                  </w:rPr>
                  <w:tab/>
                </w:r>
                <w:r>
                  <w:rPr>
                    <w:webHidden/>
                  </w:rPr>
                  <w:fldChar w:fldCharType="begin"/>
                </w:r>
                <w:r>
                  <w:rPr>
                    <w:webHidden/>
                  </w:rPr>
                  <w:instrText xml:space="preserve"> PAGEREF _Toc531098144 \h </w:instrText>
                </w:r>
                <w:r>
                  <w:rPr>
                    <w:webHidden/>
                  </w:rPr>
                </w:r>
                <w:r>
                  <w:rPr>
                    <w:webHidden/>
                  </w:rPr>
                  <w:fldChar w:fldCharType="separate"/>
                </w:r>
                <w:r>
                  <w:rPr>
                    <w:webHidden/>
                  </w:rPr>
                  <w:t>10</w:t>
                </w:r>
                <w:r>
                  <w:rPr>
                    <w:webHidden/>
                  </w:rPr>
                  <w:fldChar w:fldCharType="end"/>
                </w:r>
              </w:hyperlink>
            </w:p>
            <w:p w14:paraId="4B22A990" w14:textId="77777777" w:rsidR="00D16F86" w:rsidRDefault="00D16F86">
              <w:pPr>
                <w:pStyle w:val="TOC3"/>
                <w:rPr>
                  <w:rFonts w:asciiTheme="minorHAnsi" w:eastAsiaTheme="minorEastAsia" w:hAnsiTheme="minorHAnsi"/>
                  <w:sz w:val="22"/>
                  <w:lang w:eastAsia="en-NZ"/>
                </w:rPr>
              </w:pPr>
              <w:hyperlink w:anchor="_Toc531098145" w:history="1">
                <w:r w:rsidRPr="00687C52">
                  <w:rPr>
                    <w:rStyle w:val="Hyperlink"/>
                  </w:rPr>
                  <w:t>The convergence of online gaming and gambling was particularly concerning, especially because of the implications for youth</w:t>
                </w:r>
                <w:r>
                  <w:rPr>
                    <w:webHidden/>
                  </w:rPr>
                  <w:tab/>
                </w:r>
                <w:r>
                  <w:rPr>
                    <w:webHidden/>
                  </w:rPr>
                  <w:fldChar w:fldCharType="begin"/>
                </w:r>
                <w:r>
                  <w:rPr>
                    <w:webHidden/>
                  </w:rPr>
                  <w:instrText xml:space="preserve"> PAGEREF _Toc531098145 \h </w:instrText>
                </w:r>
                <w:r>
                  <w:rPr>
                    <w:webHidden/>
                  </w:rPr>
                </w:r>
                <w:r>
                  <w:rPr>
                    <w:webHidden/>
                  </w:rPr>
                  <w:fldChar w:fldCharType="separate"/>
                </w:r>
                <w:r>
                  <w:rPr>
                    <w:webHidden/>
                  </w:rPr>
                  <w:t>10</w:t>
                </w:r>
                <w:r>
                  <w:rPr>
                    <w:webHidden/>
                  </w:rPr>
                  <w:fldChar w:fldCharType="end"/>
                </w:r>
              </w:hyperlink>
            </w:p>
            <w:p w14:paraId="0BCFE6A3" w14:textId="77777777" w:rsidR="00D16F86" w:rsidRDefault="00D16F86">
              <w:pPr>
                <w:pStyle w:val="TOC3"/>
                <w:rPr>
                  <w:rFonts w:asciiTheme="minorHAnsi" w:eastAsiaTheme="minorEastAsia" w:hAnsiTheme="minorHAnsi"/>
                  <w:sz w:val="22"/>
                  <w:lang w:eastAsia="en-NZ"/>
                </w:rPr>
              </w:pPr>
              <w:hyperlink w:anchor="_Toc531098146" w:history="1">
                <w:r w:rsidRPr="00687C52">
                  <w:rPr>
                    <w:rStyle w:val="Hyperlink"/>
                  </w:rPr>
                  <w:t>Sectors opinions and preferences varied concerning the expenditure/presentation weightings</w:t>
                </w:r>
                <w:r>
                  <w:rPr>
                    <w:webHidden/>
                  </w:rPr>
                  <w:tab/>
                </w:r>
                <w:r>
                  <w:rPr>
                    <w:webHidden/>
                  </w:rPr>
                  <w:fldChar w:fldCharType="begin"/>
                </w:r>
                <w:r>
                  <w:rPr>
                    <w:webHidden/>
                  </w:rPr>
                  <w:instrText xml:space="preserve"> PAGEREF _Toc531098146 \h </w:instrText>
                </w:r>
                <w:r>
                  <w:rPr>
                    <w:webHidden/>
                  </w:rPr>
                </w:r>
                <w:r>
                  <w:rPr>
                    <w:webHidden/>
                  </w:rPr>
                  <w:fldChar w:fldCharType="separate"/>
                </w:r>
                <w:r>
                  <w:rPr>
                    <w:webHidden/>
                  </w:rPr>
                  <w:t>10</w:t>
                </w:r>
                <w:r>
                  <w:rPr>
                    <w:webHidden/>
                  </w:rPr>
                  <w:fldChar w:fldCharType="end"/>
                </w:r>
              </w:hyperlink>
            </w:p>
            <w:p w14:paraId="41CFAF37" w14:textId="77777777" w:rsidR="00D16F86" w:rsidRDefault="00D16F86">
              <w:pPr>
                <w:pStyle w:val="TOC3"/>
                <w:rPr>
                  <w:rFonts w:asciiTheme="minorHAnsi" w:eastAsiaTheme="minorEastAsia" w:hAnsiTheme="minorHAnsi"/>
                  <w:sz w:val="22"/>
                  <w:lang w:eastAsia="en-NZ"/>
                </w:rPr>
              </w:pPr>
              <w:hyperlink w:anchor="_Toc531098147" w:history="1">
                <w:r w:rsidRPr="00687C52">
                  <w:rPr>
                    <w:rStyle w:val="Hyperlink"/>
                  </w:rPr>
                  <w:t>Online gambling providers with business in New Zealand, including those based outside New Zealand, should all be subject to the levy</w:t>
                </w:r>
                <w:r>
                  <w:rPr>
                    <w:webHidden/>
                  </w:rPr>
                  <w:tab/>
                </w:r>
                <w:r>
                  <w:rPr>
                    <w:webHidden/>
                  </w:rPr>
                  <w:fldChar w:fldCharType="begin"/>
                </w:r>
                <w:r>
                  <w:rPr>
                    <w:webHidden/>
                  </w:rPr>
                  <w:instrText xml:space="preserve"> PAGEREF _Toc531098147 \h </w:instrText>
                </w:r>
                <w:r>
                  <w:rPr>
                    <w:webHidden/>
                  </w:rPr>
                </w:r>
                <w:r>
                  <w:rPr>
                    <w:webHidden/>
                  </w:rPr>
                  <w:fldChar w:fldCharType="separate"/>
                </w:r>
                <w:r>
                  <w:rPr>
                    <w:webHidden/>
                  </w:rPr>
                  <w:t>11</w:t>
                </w:r>
                <w:r>
                  <w:rPr>
                    <w:webHidden/>
                  </w:rPr>
                  <w:fldChar w:fldCharType="end"/>
                </w:r>
              </w:hyperlink>
            </w:p>
            <w:p w14:paraId="5781AD11" w14:textId="77777777" w:rsidR="00D16F86" w:rsidRDefault="00D16F86">
              <w:pPr>
                <w:pStyle w:val="TOC3"/>
                <w:rPr>
                  <w:rFonts w:asciiTheme="minorHAnsi" w:eastAsiaTheme="minorEastAsia" w:hAnsiTheme="minorHAnsi"/>
                  <w:sz w:val="22"/>
                  <w:lang w:eastAsia="en-NZ"/>
                </w:rPr>
              </w:pPr>
              <w:hyperlink w:anchor="_Toc531098148" w:history="1">
                <w:r w:rsidRPr="00687C52">
                  <w:rPr>
                    <w:rStyle w:val="Hyperlink"/>
                  </w:rPr>
                  <w:t>Removing NCGM venues from lower socioeconomic areas was broadly supported, but there was little support for incentivising moves to higher socioeconomic areas</w:t>
                </w:r>
                <w:r>
                  <w:rPr>
                    <w:webHidden/>
                  </w:rPr>
                  <w:tab/>
                </w:r>
                <w:r>
                  <w:rPr>
                    <w:webHidden/>
                  </w:rPr>
                  <w:fldChar w:fldCharType="begin"/>
                </w:r>
                <w:r>
                  <w:rPr>
                    <w:webHidden/>
                  </w:rPr>
                  <w:instrText xml:space="preserve"> PAGEREF _Toc531098148 \h </w:instrText>
                </w:r>
                <w:r>
                  <w:rPr>
                    <w:webHidden/>
                  </w:rPr>
                </w:r>
                <w:r>
                  <w:rPr>
                    <w:webHidden/>
                  </w:rPr>
                  <w:fldChar w:fldCharType="separate"/>
                </w:r>
                <w:r>
                  <w:rPr>
                    <w:webHidden/>
                  </w:rPr>
                  <w:t>11</w:t>
                </w:r>
                <w:r>
                  <w:rPr>
                    <w:webHidden/>
                  </w:rPr>
                  <w:fldChar w:fldCharType="end"/>
                </w:r>
              </w:hyperlink>
            </w:p>
            <w:p w14:paraId="24D94815" w14:textId="77777777" w:rsidR="00D16F86" w:rsidRDefault="00D16F86">
              <w:pPr>
                <w:pStyle w:val="TOC1"/>
                <w:rPr>
                  <w:rFonts w:asciiTheme="minorHAnsi" w:eastAsiaTheme="minorEastAsia" w:hAnsiTheme="minorHAnsi"/>
                  <w:b w:val="0"/>
                  <w:caps w:val="0"/>
                  <w:lang w:eastAsia="en-NZ"/>
                </w:rPr>
              </w:pPr>
              <w:hyperlink w:anchor="_Toc531098149" w:history="1">
                <w:r w:rsidRPr="00687C52">
                  <w:rPr>
                    <w:rStyle w:val="Hyperlink"/>
                  </w:rPr>
                  <w:t>1.</w:t>
                </w:r>
                <w:r>
                  <w:rPr>
                    <w:rFonts w:asciiTheme="minorHAnsi" w:eastAsiaTheme="minorEastAsia" w:hAnsiTheme="minorHAnsi"/>
                    <w:b w:val="0"/>
                    <w:caps w:val="0"/>
                    <w:lang w:eastAsia="en-NZ"/>
                  </w:rPr>
                  <w:tab/>
                </w:r>
                <w:r w:rsidRPr="00687C52">
                  <w:rPr>
                    <w:rStyle w:val="Hyperlink"/>
                  </w:rPr>
                  <w:t>Introduction</w:t>
                </w:r>
                <w:r>
                  <w:rPr>
                    <w:webHidden/>
                  </w:rPr>
                  <w:tab/>
                </w:r>
                <w:r>
                  <w:rPr>
                    <w:webHidden/>
                  </w:rPr>
                  <w:fldChar w:fldCharType="begin"/>
                </w:r>
                <w:r>
                  <w:rPr>
                    <w:webHidden/>
                  </w:rPr>
                  <w:instrText xml:space="preserve"> PAGEREF _Toc531098149 \h </w:instrText>
                </w:r>
                <w:r>
                  <w:rPr>
                    <w:webHidden/>
                  </w:rPr>
                </w:r>
                <w:r>
                  <w:rPr>
                    <w:webHidden/>
                  </w:rPr>
                  <w:fldChar w:fldCharType="separate"/>
                </w:r>
                <w:r>
                  <w:rPr>
                    <w:webHidden/>
                  </w:rPr>
                  <w:t>12</w:t>
                </w:r>
                <w:r>
                  <w:rPr>
                    <w:webHidden/>
                  </w:rPr>
                  <w:fldChar w:fldCharType="end"/>
                </w:r>
              </w:hyperlink>
            </w:p>
            <w:p w14:paraId="3EAF1E7A" w14:textId="77777777" w:rsidR="00D16F86" w:rsidRDefault="00D16F86">
              <w:pPr>
                <w:pStyle w:val="TOC2"/>
                <w:rPr>
                  <w:rFonts w:asciiTheme="minorHAnsi" w:eastAsiaTheme="minorEastAsia" w:hAnsiTheme="minorHAnsi"/>
                  <w:lang w:eastAsia="en-NZ"/>
                </w:rPr>
              </w:pPr>
              <w:hyperlink w:anchor="_Toc531098150" w:history="1">
                <w:r w:rsidRPr="00687C52">
                  <w:rPr>
                    <w:rStyle w:val="Hyperlink"/>
                  </w:rPr>
                  <w:t>1.1.</w:t>
                </w:r>
                <w:r>
                  <w:rPr>
                    <w:rFonts w:asciiTheme="minorHAnsi" w:eastAsiaTheme="minorEastAsia" w:hAnsiTheme="minorHAnsi"/>
                    <w:lang w:eastAsia="en-NZ"/>
                  </w:rPr>
                  <w:tab/>
                </w:r>
                <w:r w:rsidRPr="00687C52">
                  <w:rPr>
                    <w:rStyle w:val="Hyperlink"/>
                  </w:rPr>
                  <w:t>Purpose of this report</w:t>
                </w:r>
                <w:r>
                  <w:rPr>
                    <w:webHidden/>
                  </w:rPr>
                  <w:tab/>
                </w:r>
                <w:r>
                  <w:rPr>
                    <w:webHidden/>
                  </w:rPr>
                  <w:fldChar w:fldCharType="begin"/>
                </w:r>
                <w:r>
                  <w:rPr>
                    <w:webHidden/>
                  </w:rPr>
                  <w:instrText xml:space="preserve"> PAGEREF _Toc531098150 \h </w:instrText>
                </w:r>
                <w:r>
                  <w:rPr>
                    <w:webHidden/>
                  </w:rPr>
                </w:r>
                <w:r>
                  <w:rPr>
                    <w:webHidden/>
                  </w:rPr>
                  <w:fldChar w:fldCharType="separate"/>
                </w:r>
                <w:r>
                  <w:rPr>
                    <w:webHidden/>
                  </w:rPr>
                  <w:t>13</w:t>
                </w:r>
                <w:r>
                  <w:rPr>
                    <w:webHidden/>
                  </w:rPr>
                  <w:fldChar w:fldCharType="end"/>
                </w:r>
              </w:hyperlink>
            </w:p>
            <w:p w14:paraId="5F3107C8" w14:textId="77777777" w:rsidR="00D16F86" w:rsidRDefault="00D16F86">
              <w:pPr>
                <w:pStyle w:val="TOC2"/>
                <w:rPr>
                  <w:rFonts w:asciiTheme="minorHAnsi" w:eastAsiaTheme="minorEastAsia" w:hAnsiTheme="minorHAnsi"/>
                  <w:lang w:eastAsia="en-NZ"/>
                </w:rPr>
              </w:pPr>
              <w:hyperlink w:anchor="_Toc531098151" w:history="1">
                <w:r w:rsidRPr="00687C52">
                  <w:rPr>
                    <w:rStyle w:val="Hyperlink"/>
                  </w:rPr>
                  <w:t>1.2.</w:t>
                </w:r>
                <w:r>
                  <w:rPr>
                    <w:rFonts w:asciiTheme="minorHAnsi" w:eastAsiaTheme="minorEastAsia" w:hAnsiTheme="minorHAnsi"/>
                    <w:lang w:eastAsia="en-NZ"/>
                  </w:rPr>
                  <w:tab/>
                </w:r>
                <w:r w:rsidRPr="00687C52">
                  <w:rPr>
                    <w:rStyle w:val="Hyperlink"/>
                  </w:rPr>
                  <w:t>Methodology</w:t>
                </w:r>
                <w:r>
                  <w:rPr>
                    <w:webHidden/>
                  </w:rPr>
                  <w:tab/>
                </w:r>
                <w:r>
                  <w:rPr>
                    <w:webHidden/>
                  </w:rPr>
                  <w:fldChar w:fldCharType="begin"/>
                </w:r>
                <w:r>
                  <w:rPr>
                    <w:webHidden/>
                  </w:rPr>
                  <w:instrText xml:space="preserve"> PAGEREF _Toc531098151 \h </w:instrText>
                </w:r>
                <w:r>
                  <w:rPr>
                    <w:webHidden/>
                  </w:rPr>
                </w:r>
                <w:r>
                  <w:rPr>
                    <w:webHidden/>
                  </w:rPr>
                  <w:fldChar w:fldCharType="separate"/>
                </w:r>
                <w:r>
                  <w:rPr>
                    <w:webHidden/>
                  </w:rPr>
                  <w:t>13</w:t>
                </w:r>
                <w:r>
                  <w:rPr>
                    <w:webHidden/>
                  </w:rPr>
                  <w:fldChar w:fldCharType="end"/>
                </w:r>
              </w:hyperlink>
            </w:p>
            <w:p w14:paraId="77047F36" w14:textId="77777777" w:rsidR="00D16F86" w:rsidRDefault="00D16F86">
              <w:pPr>
                <w:pStyle w:val="TOC2"/>
                <w:rPr>
                  <w:rFonts w:asciiTheme="minorHAnsi" w:eastAsiaTheme="minorEastAsia" w:hAnsiTheme="minorHAnsi"/>
                  <w:lang w:eastAsia="en-NZ"/>
                </w:rPr>
              </w:pPr>
              <w:hyperlink w:anchor="_Toc531098152" w:history="1">
                <w:r w:rsidRPr="00687C52">
                  <w:rPr>
                    <w:rStyle w:val="Hyperlink"/>
                  </w:rPr>
                  <w:t>1.3.</w:t>
                </w:r>
                <w:r>
                  <w:rPr>
                    <w:rFonts w:asciiTheme="minorHAnsi" w:eastAsiaTheme="minorEastAsia" w:hAnsiTheme="minorHAnsi"/>
                    <w:lang w:eastAsia="en-NZ"/>
                  </w:rPr>
                  <w:tab/>
                </w:r>
                <w:r w:rsidRPr="00687C52">
                  <w:rPr>
                    <w:rStyle w:val="Hyperlink"/>
                  </w:rPr>
                  <w:t>Summary of submitters</w:t>
                </w:r>
                <w:r>
                  <w:rPr>
                    <w:webHidden/>
                  </w:rPr>
                  <w:tab/>
                </w:r>
                <w:r>
                  <w:rPr>
                    <w:webHidden/>
                  </w:rPr>
                  <w:fldChar w:fldCharType="begin"/>
                </w:r>
                <w:r>
                  <w:rPr>
                    <w:webHidden/>
                  </w:rPr>
                  <w:instrText xml:space="preserve"> PAGEREF _Toc531098152 \h </w:instrText>
                </w:r>
                <w:r>
                  <w:rPr>
                    <w:webHidden/>
                  </w:rPr>
                </w:r>
                <w:r>
                  <w:rPr>
                    <w:webHidden/>
                  </w:rPr>
                  <w:fldChar w:fldCharType="separate"/>
                </w:r>
                <w:r>
                  <w:rPr>
                    <w:webHidden/>
                  </w:rPr>
                  <w:t>14</w:t>
                </w:r>
                <w:r>
                  <w:rPr>
                    <w:webHidden/>
                  </w:rPr>
                  <w:fldChar w:fldCharType="end"/>
                </w:r>
              </w:hyperlink>
            </w:p>
            <w:p w14:paraId="0291289E" w14:textId="77777777" w:rsidR="00D16F86" w:rsidRDefault="00D16F86">
              <w:pPr>
                <w:pStyle w:val="TOC3"/>
                <w:tabs>
                  <w:tab w:val="left" w:pos="2268"/>
                </w:tabs>
                <w:rPr>
                  <w:rFonts w:asciiTheme="minorHAnsi" w:eastAsiaTheme="minorEastAsia" w:hAnsiTheme="minorHAnsi"/>
                  <w:sz w:val="22"/>
                  <w:lang w:eastAsia="en-NZ"/>
                </w:rPr>
              </w:pPr>
              <w:hyperlink w:anchor="_Toc531098153" w:history="1">
                <w:r w:rsidRPr="00687C52">
                  <w:rPr>
                    <w:rStyle w:val="Hyperlink"/>
                  </w:rPr>
                  <w:t>1.3.1.</w:t>
                </w:r>
                <w:r>
                  <w:rPr>
                    <w:rFonts w:asciiTheme="minorHAnsi" w:eastAsiaTheme="minorEastAsia" w:hAnsiTheme="minorHAnsi"/>
                    <w:sz w:val="22"/>
                    <w:lang w:eastAsia="en-NZ"/>
                  </w:rPr>
                  <w:tab/>
                </w:r>
                <w:r w:rsidRPr="00687C52">
                  <w:rPr>
                    <w:rStyle w:val="Hyperlink"/>
                  </w:rPr>
                  <w:t>Number and type of submitters</w:t>
                </w:r>
                <w:r>
                  <w:rPr>
                    <w:webHidden/>
                  </w:rPr>
                  <w:tab/>
                </w:r>
                <w:r>
                  <w:rPr>
                    <w:webHidden/>
                  </w:rPr>
                  <w:fldChar w:fldCharType="begin"/>
                </w:r>
                <w:r>
                  <w:rPr>
                    <w:webHidden/>
                  </w:rPr>
                  <w:instrText xml:space="preserve"> PAGEREF _Toc531098153 \h </w:instrText>
                </w:r>
                <w:r>
                  <w:rPr>
                    <w:webHidden/>
                  </w:rPr>
                </w:r>
                <w:r>
                  <w:rPr>
                    <w:webHidden/>
                  </w:rPr>
                  <w:fldChar w:fldCharType="separate"/>
                </w:r>
                <w:r>
                  <w:rPr>
                    <w:webHidden/>
                  </w:rPr>
                  <w:t>14</w:t>
                </w:r>
                <w:r>
                  <w:rPr>
                    <w:webHidden/>
                  </w:rPr>
                  <w:fldChar w:fldCharType="end"/>
                </w:r>
              </w:hyperlink>
            </w:p>
            <w:p w14:paraId="15CFDB64" w14:textId="77777777" w:rsidR="00D16F86" w:rsidRDefault="00D16F86">
              <w:pPr>
                <w:pStyle w:val="TOC2"/>
                <w:rPr>
                  <w:rFonts w:asciiTheme="minorHAnsi" w:eastAsiaTheme="minorEastAsia" w:hAnsiTheme="minorHAnsi"/>
                  <w:lang w:eastAsia="en-NZ"/>
                </w:rPr>
              </w:pPr>
              <w:hyperlink w:anchor="_Toc531098154" w:history="1">
                <w:r w:rsidRPr="00687C52">
                  <w:rPr>
                    <w:rStyle w:val="Hyperlink"/>
                  </w:rPr>
                  <w:t>1.4.</w:t>
                </w:r>
                <w:r>
                  <w:rPr>
                    <w:rFonts w:asciiTheme="minorHAnsi" w:eastAsiaTheme="minorEastAsia" w:hAnsiTheme="minorHAnsi"/>
                    <w:lang w:eastAsia="en-NZ"/>
                  </w:rPr>
                  <w:tab/>
                </w:r>
                <w:r w:rsidRPr="00687C52">
                  <w:rPr>
                    <w:rStyle w:val="Hyperlink"/>
                  </w:rPr>
                  <w:t>General comments on submissions received</w:t>
                </w:r>
                <w:r>
                  <w:rPr>
                    <w:webHidden/>
                  </w:rPr>
                  <w:tab/>
                </w:r>
                <w:r>
                  <w:rPr>
                    <w:webHidden/>
                  </w:rPr>
                  <w:fldChar w:fldCharType="begin"/>
                </w:r>
                <w:r>
                  <w:rPr>
                    <w:webHidden/>
                  </w:rPr>
                  <w:instrText xml:space="preserve"> PAGEREF _Toc531098154 \h </w:instrText>
                </w:r>
                <w:r>
                  <w:rPr>
                    <w:webHidden/>
                  </w:rPr>
                </w:r>
                <w:r>
                  <w:rPr>
                    <w:webHidden/>
                  </w:rPr>
                  <w:fldChar w:fldCharType="separate"/>
                </w:r>
                <w:r>
                  <w:rPr>
                    <w:webHidden/>
                  </w:rPr>
                  <w:t>16</w:t>
                </w:r>
                <w:r>
                  <w:rPr>
                    <w:webHidden/>
                  </w:rPr>
                  <w:fldChar w:fldCharType="end"/>
                </w:r>
              </w:hyperlink>
            </w:p>
            <w:p w14:paraId="62204253" w14:textId="77777777" w:rsidR="00D16F86" w:rsidRDefault="00D16F86">
              <w:pPr>
                <w:pStyle w:val="TOC2"/>
                <w:rPr>
                  <w:rFonts w:asciiTheme="minorHAnsi" w:eastAsiaTheme="minorEastAsia" w:hAnsiTheme="minorHAnsi"/>
                  <w:lang w:eastAsia="en-NZ"/>
                </w:rPr>
              </w:pPr>
              <w:hyperlink w:anchor="_Toc531098155" w:history="1">
                <w:r w:rsidRPr="00687C52">
                  <w:rPr>
                    <w:rStyle w:val="Hyperlink"/>
                  </w:rPr>
                  <w:t>1.5.</w:t>
                </w:r>
                <w:r>
                  <w:rPr>
                    <w:rFonts w:asciiTheme="minorHAnsi" w:eastAsiaTheme="minorEastAsia" w:hAnsiTheme="minorHAnsi"/>
                    <w:lang w:eastAsia="en-NZ"/>
                  </w:rPr>
                  <w:tab/>
                </w:r>
                <w:r w:rsidRPr="00687C52">
                  <w:rPr>
                    <w:rStyle w:val="Hyperlink"/>
                  </w:rPr>
                  <w:t>How to navigate this report</w:t>
                </w:r>
                <w:r>
                  <w:rPr>
                    <w:webHidden/>
                  </w:rPr>
                  <w:tab/>
                </w:r>
                <w:r>
                  <w:rPr>
                    <w:webHidden/>
                  </w:rPr>
                  <w:fldChar w:fldCharType="begin"/>
                </w:r>
                <w:r>
                  <w:rPr>
                    <w:webHidden/>
                  </w:rPr>
                  <w:instrText xml:space="preserve"> PAGEREF _Toc531098155 \h </w:instrText>
                </w:r>
                <w:r>
                  <w:rPr>
                    <w:webHidden/>
                  </w:rPr>
                </w:r>
                <w:r>
                  <w:rPr>
                    <w:webHidden/>
                  </w:rPr>
                  <w:fldChar w:fldCharType="separate"/>
                </w:r>
                <w:r>
                  <w:rPr>
                    <w:webHidden/>
                  </w:rPr>
                  <w:t>17</w:t>
                </w:r>
                <w:r>
                  <w:rPr>
                    <w:webHidden/>
                  </w:rPr>
                  <w:fldChar w:fldCharType="end"/>
                </w:r>
              </w:hyperlink>
            </w:p>
            <w:p w14:paraId="0A9D6770" w14:textId="77777777" w:rsidR="00D16F86" w:rsidRDefault="00D16F86">
              <w:pPr>
                <w:pStyle w:val="TOC1"/>
                <w:rPr>
                  <w:rFonts w:asciiTheme="minorHAnsi" w:eastAsiaTheme="minorEastAsia" w:hAnsiTheme="minorHAnsi"/>
                  <w:b w:val="0"/>
                  <w:caps w:val="0"/>
                  <w:lang w:eastAsia="en-NZ"/>
                </w:rPr>
              </w:pPr>
              <w:hyperlink w:anchor="_Toc531098156" w:history="1">
                <w:r w:rsidRPr="00687C52">
                  <w:rPr>
                    <w:rStyle w:val="Hyperlink"/>
                  </w:rPr>
                  <w:t>2.</w:t>
                </w:r>
                <w:r>
                  <w:rPr>
                    <w:rFonts w:asciiTheme="minorHAnsi" w:eastAsiaTheme="minorEastAsia" w:hAnsiTheme="minorHAnsi"/>
                    <w:b w:val="0"/>
                    <w:caps w:val="0"/>
                    <w:lang w:eastAsia="en-NZ"/>
                  </w:rPr>
                  <w:tab/>
                </w:r>
                <w:r w:rsidRPr="00687C52">
                  <w:rPr>
                    <w:rStyle w:val="Hyperlink"/>
                  </w:rPr>
                  <w:t>The draft Strategic Direction</w:t>
                </w:r>
                <w:r>
                  <w:rPr>
                    <w:webHidden/>
                  </w:rPr>
                  <w:tab/>
                </w:r>
                <w:r>
                  <w:rPr>
                    <w:webHidden/>
                  </w:rPr>
                  <w:fldChar w:fldCharType="begin"/>
                </w:r>
                <w:r>
                  <w:rPr>
                    <w:webHidden/>
                  </w:rPr>
                  <w:instrText xml:space="preserve"> PAGEREF _Toc531098156 \h </w:instrText>
                </w:r>
                <w:r>
                  <w:rPr>
                    <w:webHidden/>
                  </w:rPr>
                </w:r>
                <w:r>
                  <w:rPr>
                    <w:webHidden/>
                  </w:rPr>
                  <w:fldChar w:fldCharType="separate"/>
                </w:r>
                <w:r>
                  <w:rPr>
                    <w:webHidden/>
                  </w:rPr>
                  <w:t>18</w:t>
                </w:r>
                <w:r>
                  <w:rPr>
                    <w:webHidden/>
                  </w:rPr>
                  <w:fldChar w:fldCharType="end"/>
                </w:r>
              </w:hyperlink>
            </w:p>
            <w:p w14:paraId="5395DBC6" w14:textId="77777777" w:rsidR="00D16F86" w:rsidRDefault="00D16F86">
              <w:pPr>
                <w:pStyle w:val="TOC2"/>
                <w:rPr>
                  <w:rFonts w:asciiTheme="minorHAnsi" w:eastAsiaTheme="minorEastAsia" w:hAnsiTheme="minorHAnsi"/>
                  <w:lang w:eastAsia="en-NZ"/>
                </w:rPr>
              </w:pPr>
              <w:hyperlink w:anchor="_Toc531098157" w:history="1">
                <w:r w:rsidRPr="00687C52">
                  <w:rPr>
                    <w:rStyle w:val="Hyperlink"/>
                  </w:rPr>
                  <w:t>2.1.</w:t>
                </w:r>
                <w:r>
                  <w:rPr>
                    <w:rFonts w:asciiTheme="minorHAnsi" w:eastAsiaTheme="minorEastAsia" w:hAnsiTheme="minorHAnsi"/>
                    <w:lang w:eastAsia="en-NZ"/>
                  </w:rPr>
                  <w:tab/>
                </w:r>
                <w:r w:rsidRPr="00687C52">
                  <w:rPr>
                    <w:rStyle w:val="Hyperlink"/>
                  </w:rPr>
                  <w:t>Degree of support for the draft strategic direction</w:t>
                </w:r>
                <w:r>
                  <w:rPr>
                    <w:webHidden/>
                  </w:rPr>
                  <w:tab/>
                </w:r>
                <w:r>
                  <w:rPr>
                    <w:webHidden/>
                  </w:rPr>
                  <w:fldChar w:fldCharType="begin"/>
                </w:r>
                <w:r>
                  <w:rPr>
                    <w:webHidden/>
                  </w:rPr>
                  <w:instrText xml:space="preserve"> PAGEREF _Toc531098157 \h </w:instrText>
                </w:r>
                <w:r>
                  <w:rPr>
                    <w:webHidden/>
                  </w:rPr>
                </w:r>
                <w:r>
                  <w:rPr>
                    <w:webHidden/>
                  </w:rPr>
                  <w:fldChar w:fldCharType="separate"/>
                </w:r>
                <w:r>
                  <w:rPr>
                    <w:webHidden/>
                  </w:rPr>
                  <w:t>18</w:t>
                </w:r>
                <w:r>
                  <w:rPr>
                    <w:webHidden/>
                  </w:rPr>
                  <w:fldChar w:fldCharType="end"/>
                </w:r>
              </w:hyperlink>
            </w:p>
            <w:p w14:paraId="371D1B97" w14:textId="77777777" w:rsidR="00D16F86" w:rsidRDefault="00D16F86">
              <w:pPr>
                <w:pStyle w:val="TOC3"/>
                <w:tabs>
                  <w:tab w:val="left" w:pos="2268"/>
                </w:tabs>
                <w:rPr>
                  <w:rFonts w:asciiTheme="minorHAnsi" w:eastAsiaTheme="minorEastAsia" w:hAnsiTheme="minorHAnsi"/>
                  <w:sz w:val="22"/>
                  <w:lang w:eastAsia="en-NZ"/>
                </w:rPr>
              </w:pPr>
              <w:hyperlink w:anchor="_Toc531098158" w:history="1">
                <w:r w:rsidRPr="00687C52">
                  <w:rPr>
                    <w:rStyle w:val="Hyperlink"/>
                  </w:rPr>
                  <w:t>2.1.1.</w:t>
                </w:r>
                <w:r>
                  <w:rPr>
                    <w:rFonts w:asciiTheme="minorHAnsi" w:eastAsiaTheme="minorEastAsia" w:hAnsiTheme="minorHAnsi"/>
                    <w:sz w:val="22"/>
                    <w:lang w:eastAsia="en-NZ"/>
                  </w:rPr>
                  <w:tab/>
                </w:r>
                <w:r w:rsidRPr="00687C52">
                  <w:rPr>
                    <w:rStyle w:val="Hyperlink"/>
                  </w:rPr>
                  <w:t>Roughly half of the submitters supported the draft strategic direction to some degree</w:t>
                </w:r>
                <w:r>
                  <w:rPr>
                    <w:webHidden/>
                  </w:rPr>
                  <w:tab/>
                </w:r>
                <w:r>
                  <w:rPr>
                    <w:webHidden/>
                  </w:rPr>
                  <w:fldChar w:fldCharType="begin"/>
                </w:r>
                <w:r>
                  <w:rPr>
                    <w:webHidden/>
                  </w:rPr>
                  <w:instrText xml:space="preserve"> PAGEREF _Toc531098158 \h </w:instrText>
                </w:r>
                <w:r>
                  <w:rPr>
                    <w:webHidden/>
                  </w:rPr>
                </w:r>
                <w:r>
                  <w:rPr>
                    <w:webHidden/>
                  </w:rPr>
                  <w:fldChar w:fldCharType="separate"/>
                </w:r>
                <w:r>
                  <w:rPr>
                    <w:webHidden/>
                  </w:rPr>
                  <w:t>18</w:t>
                </w:r>
                <w:r>
                  <w:rPr>
                    <w:webHidden/>
                  </w:rPr>
                  <w:fldChar w:fldCharType="end"/>
                </w:r>
              </w:hyperlink>
            </w:p>
            <w:p w14:paraId="72B82F78" w14:textId="77777777" w:rsidR="00D16F86" w:rsidRDefault="00D16F86">
              <w:pPr>
                <w:pStyle w:val="TOC3"/>
                <w:tabs>
                  <w:tab w:val="left" w:pos="2268"/>
                </w:tabs>
                <w:rPr>
                  <w:rFonts w:asciiTheme="minorHAnsi" w:eastAsiaTheme="minorEastAsia" w:hAnsiTheme="minorHAnsi"/>
                  <w:sz w:val="22"/>
                  <w:lang w:eastAsia="en-NZ"/>
                </w:rPr>
              </w:pPr>
              <w:hyperlink w:anchor="_Toc531098159" w:history="1">
                <w:r w:rsidRPr="00687C52">
                  <w:rPr>
                    <w:rStyle w:val="Hyperlink"/>
                  </w:rPr>
                  <w:t>2.1.2.</w:t>
                </w:r>
                <w:r>
                  <w:rPr>
                    <w:rFonts w:asciiTheme="minorHAnsi" w:eastAsiaTheme="minorEastAsia" w:hAnsiTheme="minorHAnsi"/>
                    <w:sz w:val="22"/>
                    <w:lang w:eastAsia="en-NZ"/>
                  </w:rPr>
                  <w:tab/>
                </w:r>
                <w:r w:rsidRPr="00687C52">
                  <w:rPr>
                    <w:rStyle w:val="Hyperlink"/>
                  </w:rPr>
                  <w:t>Some submitters had concerns about the proposed strategic direction</w:t>
                </w:r>
                <w:r>
                  <w:rPr>
                    <w:webHidden/>
                  </w:rPr>
                  <w:tab/>
                </w:r>
                <w:r>
                  <w:rPr>
                    <w:webHidden/>
                  </w:rPr>
                  <w:fldChar w:fldCharType="begin"/>
                </w:r>
                <w:r>
                  <w:rPr>
                    <w:webHidden/>
                  </w:rPr>
                  <w:instrText xml:space="preserve"> PAGEREF _Toc531098159 \h </w:instrText>
                </w:r>
                <w:r>
                  <w:rPr>
                    <w:webHidden/>
                  </w:rPr>
                </w:r>
                <w:r>
                  <w:rPr>
                    <w:webHidden/>
                  </w:rPr>
                  <w:fldChar w:fldCharType="separate"/>
                </w:r>
                <w:r>
                  <w:rPr>
                    <w:webHidden/>
                  </w:rPr>
                  <w:t>20</w:t>
                </w:r>
                <w:r>
                  <w:rPr>
                    <w:webHidden/>
                  </w:rPr>
                  <w:fldChar w:fldCharType="end"/>
                </w:r>
              </w:hyperlink>
            </w:p>
            <w:p w14:paraId="1F01F09A" w14:textId="77777777" w:rsidR="00D16F86" w:rsidRDefault="00D16F86">
              <w:pPr>
                <w:pStyle w:val="TOC3"/>
                <w:tabs>
                  <w:tab w:val="left" w:pos="2268"/>
                </w:tabs>
                <w:rPr>
                  <w:rFonts w:asciiTheme="minorHAnsi" w:eastAsiaTheme="minorEastAsia" w:hAnsiTheme="minorHAnsi"/>
                  <w:sz w:val="22"/>
                  <w:lang w:eastAsia="en-NZ"/>
                </w:rPr>
              </w:pPr>
              <w:hyperlink w:anchor="_Toc531098160" w:history="1">
                <w:r w:rsidRPr="00687C52">
                  <w:rPr>
                    <w:rStyle w:val="Hyperlink"/>
                  </w:rPr>
                  <w:t>2.1.3.</w:t>
                </w:r>
                <w:r>
                  <w:rPr>
                    <w:rFonts w:asciiTheme="minorHAnsi" w:eastAsiaTheme="minorEastAsia" w:hAnsiTheme="minorHAnsi"/>
                    <w:sz w:val="22"/>
                    <w:lang w:eastAsia="en-NZ"/>
                  </w:rPr>
                  <w:tab/>
                </w:r>
                <w:r w:rsidRPr="00687C52">
                  <w:rPr>
                    <w:rStyle w:val="Hyperlink"/>
                  </w:rPr>
                  <w:t>Some submitters agreed that the strategic direction adequately reflected changes in the gambling environment</w:t>
                </w:r>
                <w:r>
                  <w:rPr>
                    <w:webHidden/>
                  </w:rPr>
                  <w:tab/>
                </w:r>
                <w:r>
                  <w:rPr>
                    <w:webHidden/>
                  </w:rPr>
                  <w:fldChar w:fldCharType="begin"/>
                </w:r>
                <w:r>
                  <w:rPr>
                    <w:webHidden/>
                  </w:rPr>
                  <w:instrText xml:space="preserve"> PAGEREF _Toc531098160 \h </w:instrText>
                </w:r>
                <w:r>
                  <w:rPr>
                    <w:webHidden/>
                  </w:rPr>
                </w:r>
                <w:r>
                  <w:rPr>
                    <w:webHidden/>
                  </w:rPr>
                  <w:fldChar w:fldCharType="separate"/>
                </w:r>
                <w:r>
                  <w:rPr>
                    <w:webHidden/>
                  </w:rPr>
                  <w:t>31</w:t>
                </w:r>
                <w:r>
                  <w:rPr>
                    <w:webHidden/>
                  </w:rPr>
                  <w:fldChar w:fldCharType="end"/>
                </w:r>
              </w:hyperlink>
            </w:p>
            <w:p w14:paraId="28780DE7" w14:textId="77777777" w:rsidR="00D16F86" w:rsidRDefault="00D16F86">
              <w:pPr>
                <w:pStyle w:val="TOC3"/>
                <w:tabs>
                  <w:tab w:val="left" w:pos="2268"/>
                </w:tabs>
                <w:rPr>
                  <w:rFonts w:asciiTheme="minorHAnsi" w:eastAsiaTheme="minorEastAsia" w:hAnsiTheme="minorHAnsi"/>
                  <w:sz w:val="22"/>
                  <w:lang w:eastAsia="en-NZ"/>
                </w:rPr>
              </w:pPr>
              <w:hyperlink w:anchor="_Toc531098161" w:history="1">
                <w:r w:rsidRPr="00687C52">
                  <w:rPr>
                    <w:rStyle w:val="Hyperlink"/>
                  </w:rPr>
                  <w:t>2.1.4.</w:t>
                </w:r>
                <w:r>
                  <w:rPr>
                    <w:rFonts w:asciiTheme="minorHAnsi" w:eastAsiaTheme="minorEastAsia" w:hAnsiTheme="minorHAnsi"/>
                    <w:sz w:val="22"/>
                    <w:lang w:eastAsia="en-NZ"/>
                  </w:rPr>
                  <w:tab/>
                </w:r>
                <w:r w:rsidRPr="00687C52">
                  <w:rPr>
                    <w:rStyle w:val="Hyperlink"/>
                  </w:rPr>
                  <w:t>Others stated that the strategic direction needed strengthening to recognise new challenges and opportunities in the gambling environment</w:t>
                </w:r>
                <w:r>
                  <w:rPr>
                    <w:webHidden/>
                  </w:rPr>
                  <w:tab/>
                </w:r>
                <w:r>
                  <w:rPr>
                    <w:webHidden/>
                  </w:rPr>
                  <w:fldChar w:fldCharType="begin"/>
                </w:r>
                <w:r>
                  <w:rPr>
                    <w:webHidden/>
                  </w:rPr>
                  <w:instrText xml:space="preserve"> PAGEREF _Toc531098161 \h </w:instrText>
                </w:r>
                <w:r>
                  <w:rPr>
                    <w:webHidden/>
                  </w:rPr>
                </w:r>
                <w:r>
                  <w:rPr>
                    <w:webHidden/>
                  </w:rPr>
                  <w:fldChar w:fldCharType="separate"/>
                </w:r>
                <w:r>
                  <w:rPr>
                    <w:webHidden/>
                  </w:rPr>
                  <w:t>32</w:t>
                </w:r>
                <w:r>
                  <w:rPr>
                    <w:webHidden/>
                  </w:rPr>
                  <w:fldChar w:fldCharType="end"/>
                </w:r>
              </w:hyperlink>
            </w:p>
            <w:p w14:paraId="20BA151C" w14:textId="77777777" w:rsidR="00D16F86" w:rsidRDefault="00D16F86">
              <w:pPr>
                <w:pStyle w:val="TOC2"/>
                <w:rPr>
                  <w:rFonts w:asciiTheme="minorHAnsi" w:eastAsiaTheme="minorEastAsia" w:hAnsiTheme="minorHAnsi"/>
                  <w:lang w:eastAsia="en-NZ"/>
                </w:rPr>
              </w:pPr>
              <w:hyperlink w:anchor="_Toc531098162" w:history="1">
                <w:r w:rsidRPr="00687C52">
                  <w:rPr>
                    <w:rStyle w:val="Hyperlink"/>
                  </w:rPr>
                  <w:t>2.2.</w:t>
                </w:r>
                <w:r>
                  <w:rPr>
                    <w:rFonts w:asciiTheme="minorHAnsi" w:eastAsiaTheme="minorEastAsia" w:hAnsiTheme="minorHAnsi"/>
                    <w:lang w:eastAsia="en-NZ"/>
                  </w:rPr>
                  <w:tab/>
                </w:r>
                <w:r w:rsidRPr="00687C52">
                  <w:rPr>
                    <w:rStyle w:val="Hyperlink"/>
                  </w:rPr>
                  <w:t>The degree of support for draft objectives and priorities for action</w:t>
                </w:r>
                <w:r>
                  <w:rPr>
                    <w:webHidden/>
                  </w:rPr>
                  <w:tab/>
                </w:r>
                <w:r>
                  <w:rPr>
                    <w:webHidden/>
                  </w:rPr>
                  <w:fldChar w:fldCharType="begin"/>
                </w:r>
                <w:r>
                  <w:rPr>
                    <w:webHidden/>
                  </w:rPr>
                  <w:instrText xml:space="preserve"> PAGEREF _Toc531098162 \h </w:instrText>
                </w:r>
                <w:r>
                  <w:rPr>
                    <w:webHidden/>
                  </w:rPr>
                </w:r>
                <w:r>
                  <w:rPr>
                    <w:webHidden/>
                  </w:rPr>
                  <w:fldChar w:fldCharType="separate"/>
                </w:r>
                <w:r>
                  <w:rPr>
                    <w:webHidden/>
                  </w:rPr>
                  <w:t>33</w:t>
                </w:r>
                <w:r>
                  <w:rPr>
                    <w:webHidden/>
                  </w:rPr>
                  <w:fldChar w:fldCharType="end"/>
                </w:r>
              </w:hyperlink>
            </w:p>
            <w:p w14:paraId="1DC8A3DF" w14:textId="77777777" w:rsidR="00D16F86" w:rsidRDefault="00D16F86">
              <w:pPr>
                <w:pStyle w:val="TOC3"/>
                <w:tabs>
                  <w:tab w:val="left" w:pos="2268"/>
                </w:tabs>
                <w:rPr>
                  <w:rFonts w:asciiTheme="minorHAnsi" w:eastAsiaTheme="minorEastAsia" w:hAnsiTheme="minorHAnsi"/>
                  <w:sz w:val="22"/>
                  <w:lang w:eastAsia="en-NZ"/>
                </w:rPr>
              </w:pPr>
              <w:hyperlink w:anchor="_Toc531098163" w:history="1">
                <w:r w:rsidRPr="00687C52">
                  <w:rPr>
                    <w:rStyle w:val="Hyperlink"/>
                  </w:rPr>
                  <w:t>2.2.1.</w:t>
                </w:r>
                <w:r>
                  <w:rPr>
                    <w:rFonts w:asciiTheme="minorHAnsi" w:eastAsiaTheme="minorEastAsia" w:hAnsiTheme="minorHAnsi"/>
                    <w:sz w:val="22"/>
                    <w:lang w:eastAsia="en-NZ"/>
                  </w:rPr>
                  <w:tab/>
                </w:r>
                <w:r w:rsidRPr="00687C52">
                  <w:rPr>
                    <w:rStyle w:val="Hyperlink"/>
                  </w:rPr>
                  <w:t>Some objectives were identified as more important than others</w:t>
                </w:r>
                <w:r>
                  <w:rPr>
                    <w:webHidden/>
                  </w:rPr>
                  <w:tab/>
                </w:r>
                <w:r>
                  <w:rPr>
                    <w:webHidden/>
                  </w:rPr>
                  <w:fldChar w:fldCharType="begin"/>
                </w:r>
                <w:r>
                  <w:rPr>
                    <w:webHidden/>
                  </w:rPr>
                  <w:instrText xml:space="preserve"> PAGEREF _Toc531098163 \h </w:instrText>
                </w:r>
                <w:r>
                  <w:rPr>
                    <w:webHidden/>
                  </w:rPr>
                </w:r>
                <w:r>
                  <w:rPr>
                    <w:webHidden/>
                  </w:rPr>
                  <w:fldChar w:fldCharType="separate"/>
                </w:r>
                <w:r>
                  <w:rPr>
                    <w:webHidden/>
                  </w:rPr>
                  <w:t>34</w:t>
                </w:r>
                <w:r>
                  <w:rPr>
                    <w:webHidden/>
                  </w:rPr>
                  <w:fldChar w:fldCharType="end"/>
                </w:r>
              </w:hyperlink>
            </w:p>
            <w:p w14:paraId="35436D8A" w14:textId="77777777" w:rsidR="00D16F86" w:rsidRDefault="00D16F86">
              <w:pPr>
                <w:pStyle w:val="TOC3"/>
                <w:tabs>
                  <w:tab w:val="left" w:pos="2268"/>
                </w:tabs>
                <w:rPr>
                  <w:rFonts w:asciiTheme="minorHAnsi" w:eastAsiaTheme="minorEastAsia" w:hAnsiTheme="minorHAnsi"/>
                  <w:sz w:val="22"/>
                  <w:lang w:eastAsia="en-NZ"/>
                </w:rPr>
              </w:pPr>
              <w:hyperlink w:anchor="_Toc531098164" w:history="1">
                <w:r w:rsidRPr="00687C52">
                  <w:rPr>
                    <w:rStyle w:val="Hyperlink"/>
                  </w:rPr>
                  <w:t>2.2.2.</w:t>
                </w:r>
                <w:r>
                  <w:rPr>
                    <w:rFonts w:asciiTheme="minorHAnsi" w:eastAsiaTheme="minorEastAsia" w:hAnsiTheme="minorHAnsi"/>
                    <w:sz w:val="22"/>
                    <w:lang w:eastAsia="en-NZ"/>
                  </w:rPr>
                  <w:tab/>
                </w:r>
                <w:r w:rsidRPr="00687C52">
                  <w:rPr>
                    <w:rStyle w:val="Hyperlink"/>
                  </w:rPr>
                  <w:t>Priority actions to reduce inequality and inequity were broadly supported, with Service Providers strongly advocating for culturally-specific supports services</w:t>
                </w:r>
                <w:r>
                  <w:rPr>
                    <w:webHidden/>
                  </w:rPr>
                  <w:tab/>
                </w:r>
                <w:r>
                  <w:rPr>
                    <w:webHidden/>
                  </w:rPr>
                  <w:fldChar w:fldCharType="begin"/>
                </w:r>
                <w:r>
                  <w:rPr>
                    <w:webHidden/>
                  </w:rPr>
                  <w:instrText xml:space="preserve"> PAGEREF _Toc531098164 \h </w:instrText>
                </w:r>
                <w:r>
                  <w:rPr>
                    <w:webHidden/>
                  </w:rPr>
                </w:r>
                <w:r>
                  <w:rPr>
                    <w:webHidden/>
                  </w:rPr>
                  <w:fldChar w:fldCharType="separate"/>
                </w:r>
                <w:r>
                  <w:rPr>
                    <w:webHidden/>
                  </w:rPr>
                  <w:t>35</w:t>
                </w:r>
                <w:r>
                  <w:rPr>
                    <w:webHidden/>
                  </w:rPr>
                  <w:fldChar w:fldCharType="end"/>
                </w:r>
              </w:hyperlink>
            </w:p>
            <w:p w14:paraId="76CE2491" w14:textId="77777777" w:rsidR="00D16F86" w:rsidRDefault="00D16F86">
              <w:pPr>
                <w:pStyle w:val="TOC3"/>
                <w:tabs>
                  <w:tab w:val="left" w:pos="2268"/>
                </w:tabs>
                <w:rPr>
                  <w:rFonts w:asciiTheme="minorHAnsi" w:eastAsiaTheme="minorEastAsia" w:hAnsiTheme="minorHAnsi"/>
                  <w:sz w:val="22"/>
                  <w:lang w:eastAsia="en-NZ"/>
                </w:rPr>
              </w:pPr>
              <w:hyperlink w:anchor="_Toc531098165" w:history="1">
                <w:r w:rsidRPr="00687C52">
                  <w:rPr>
                    <w:rStyle w:val="Hyperlink"/>
                  </w:rPr>
                  <w:t>2.2.3.</w:t>
                </w:r>
                <w:r>
                  <w:rPr>
                    <w:rFonts w:asciiTheme="minorHAnsi" w:eastAsiaTheme="minorEastAsia" w:hAnsiTheme="minorHAnsi"/>
                    <w:sz w:val="22"/>
                    <w:lang w:eastAsia="en-NZ"/>
                  </w:rPr>
                  <w:tab/>
                </w:r>
                <w:r w:rsidRPr="00687C52">
                  <w:rPr>
                    <w:rStyle w:val="Hyperlink"/>
                  </w:rPr>
                  <w:t>Additional objectives and priority actions were suggested, especially technological enhancements for harm minimisation</w:t>
                </w:r>
                <w:r>
                  <w:rPr>
                    <w:webHidden/>
                  </w:rPr>
                  <w:tab/>
                </w:r>
                <w:r>
                  <w:rPr>
                    <w:webHidden/>
                  </w:rPr>
                  <w:fldChar w:fldCharType="begin"/>
                </w:r>
                <w:r>
                  <w:rPr>
                    <w:webHidden/>
                  </w:rPr>
                  <w:instrText xml:space="preserve"> PAGEREF _Toc531098165 \h </w:instrText>
                </w:r>
                <w:r>
                  <w:rPr>
                    <w:webHidden/>
                  </w:rPr>
                </w:r>
                <w:r>
                  <w:rPr>
                    <w:webHidden/>
                  </w:rPr>
                  <w:fldChar w:fldCharType="separate"/>
                </w:r>
                <w:r>
                  <w:rPr>
                    <w:webHidden/>
                  </w:rPr>
                  <w:t>39</w:t>
                </w:r>
                <w:r>
                  <w:rPr>
                    <w:webHidden/>
                  </w:rPr>
                  <w:fldChar w:fldCharType="end"/>
                </w:r>
              </w:hyperlink>
            </w:p>
            <w:p w14:paraId="5D5DBBEB" w14:textId="77777777" w:rsidR="00D16F86" w:rsidRDefault="00D16F86">
              <w:pPr>
                <w:pStyle w:val="TOC1"/>
                <w:rPr>
                  <w:rFonts w:asciiTheme="minorHAnsi" w:eastAsiaTheme="minorEastAsia" w:hAnsiTheme="minorHAnsi"/>
                  <w:b w:val="0"/>
                  <w:caps w:val="0"/>
                  <w:lang w:eastAsia="en-NZ"/>
                </w:rPr>
              </w:pPr>
              <w:hyperlink w:anchor="_Toc531098166" w:history="1">
                <w:r w:rsidRPr="00687C52">
                  <w:rPr>
                    <w:rStyle w:val="Hyperlink"/>
                  </w:rPr>
                  <w:t>3.</w:t>
                </w:r>
                <w:r>
                  <w:rPr>
                    <w:rFonts w:asciiTheme="minorHAnsi" w:eastAsiaTheme="minorEastAsia" w:hAnsiTheme="minorHAnsi"/>
                    <w:b w:val="0"/>
                    <w:caps w:val="0"/>
                    <w:lang w:eastAsia="en-NZ"/>
                  </w:rPr>
                  <w:tab/>
                </w:r>
                <w:r w:rsidRPr="00687C52">
                  <w:rPr>
                    <w:rStyle w:val="Hyperlink"/>
                  </w:rPr>
                  <w:t>The draft Service Plan</w:t>
                </w:r>
                <w:r>
                  <w:rPr>
                    <w:webHidden/>
                  </w:rPr>
                  <w:tab/>
                </w:r>
                <w:r>
                  <w:rPr>
                    <w:webHidden/>
                  </w:rPr>
                  <w:fldChar w:fldCharType="begin"/>
                </w:r>
                <w:r>
                  <w:rPr>
                    <w:webHidden/>
                  </w:rPr>
                  <w:instrText xml:space="preserve"> PAGEREF _Toc531098166 \h </w:instrText>
                </w:r>
                <w:r>
                  <w:rPr>
                    <w:webHidden/>
                  </w:rPr>
                </w:r>
                <w:r>
                  <w:rPr>
                    <w:webHidden/>
                  </w:rPr>
                  <w:fldChar w:fldCharType="separate"/>
                </w:r>
                <w:r>
                  <w:rPr>
                    <w:webHidden/>
                  </w:rPr>
                  <w:t>43</w:t>
                </w:r>
                <w:r>
                  <w:rPr>
                    <w:webHidden/>
                  </w:rPr>
                  <w:fldChar w:fldCharType="end"/>
                </w:r>
              </w:hyperlink>
            </w:p>
            <w:p w14:paraId="6FFF2047" w14:textId="77777777" w:rsidR="00D16F86" w:rsidRDefault="00D16F86">
              <w:pPr>
                <w:pStyle w:val="TOC2"/>
                <w:rPr>
                  <w:rFonts w:asciiTheme="minorHAnsi" w:eastAsiaTheme="minorEastAsia" w:hAnsiTheme="minorHAnsi"/>
                  <w:lang w:eastAsia="en-NZ"/>
                </w:rPr>
              </w:pPr>
              <w:hyperlink w:anchor="_Toc531098167" w:history="1">
                <w:r w:rsidRPr="00687C52">
                  <w:rPr>
                    <w:rStyle w:val="Hyperlink"/>
                  </w:rPr>
                  <w:t>3.1.</w:t>
                </w:r>
                <w:r>
                  <w:rPr>
                    <w:rFonts w:asciiTheme="minorHAnsi" w:eastAsiaTheme="minorEastAsia" w:hAnsiTheme="minorHAnsi"/>
                    <w:lang w:eastAsia="en-NZ"/>
                  </w:rPr>
                  <w:tab/>
                </w:r>
                <w:r w:rsidRPr="00687C52">
                  <w:rPr>
                    <w:rStyle w:val="Hyperlink"/>
                  </w:rPr>
                  <w:t>The degree of support for the proposed funding allocation</w:t>
                </w:r>
                <w:r>
                  <w:rPr>
                    <w:webHidden/>
                  </w:rPr>
                  <w:tab/>
                </w:r>
                <w:r>
                  <w:rPr>
                    <w:webHidden/>
                  </w:rPr>
                  <w:fldChar w:fldCharType="begin"/>
                </w:r>
                <w:r>
                  <w:rPr>
                    <w:webHidden/>
                  </w:rPr>
                  <w:instrText xml:space="preserve"> PAGEREF _Toc531098167 \h </w:instrText>
                </w:r>
                <w:r>
                  <w:rPr>
                    <w:webHidden/>
                  </w:rPr>
                </w:r>
                <w:r>
                  <w:rPr>
                    <w:webHidden/>
                  </w:rPr>
                  <w:fldChar w:fldCharType="separate"/>
                </w:r>
                <w:r>
                  <w:rPr>
                    <w:webHidden/>
                  </w:rPr>
                  <w:t>44</w:t>
                </w:r>
                <w:r>
                  <w:rPr>
                    <w:webHidden/>
                  </w:rPr>
                  <w:fldChar w:fldCharType="end"/>
                </w:r>
              </w:hyperlink>
            </w:p>
            <w:p w14:paraId="298631F0" w14:textId="77777777" w:rsidR="00D16F86" w:rsidRDefault="00D16F86">
              <w:pPr>
                <w:pStyle w:val="TOC3"/>
                <w:tabs>
                  <w:tab w:val="left" w:pos="2268"/>
                </w:tabs>
                <w:rPr>
                  <w:rFonts w:asciiTheme="minorHAnsi" w:eastAsiaTheme="minorEastAsia" w:hAnsiTheme="minorHAnsi"/>
                  <w:sz w:val="22"/>
                  <w:lang w:eastAsia="en-NZ"/>
                </w:rPr>
              </w:pPr>
              <w:hyperlink w:anchor="_Toc531098168" w:history="1">
                <w:r w:rsidRPr="00687C52">
                  <w:rPr>
                    <w:rStyle w:val="Hyperlink"/>
                  </w:rPr>
                  <w:t>3.1.1.</w:t>
                </w:r>
                <w:r>
                  <w:rPr>
                    <w:rFonts w:asciiTheme="minorHAnsi" w:eastAsiaTheme="minorEastAsia" w:hAnsiTheme="minorHAnsi"/>
                    <w:sz w:val="22"/>
                    <w:lang w:eastAsia="en-NZ"/>
                  </w:rPr>
                  <w:tab/>
                </w:r>
                <w:r w:rsidRPr="00687C52">
                  <w:rPr>
                    <w:rStyle w:val="Hyperlink"/>
                  </w:rPr>
                  <w:t>Submitters argued for and against the proposed funding appropriation</w:t>
                </w:r>
                <w:r>
                  <w:rPr>
                    <w:webHidden/>
                  </w:rPr>
                  <w:tab/>
                </w:r>
                <w:r>
                  <w:rPr>
                    <w:webHidden/>
                  </w:rPr>
                  <w:fldChar w:fldCharType="begin"/>
                </w:r>
                <w:r>
                  <w:rPr>
                    <w:webHidden/>
                  </w:rPr>
                  <w:instrText xml:space="preserve"> PAGEREF _Toc531098168 \h </w:instrText>
                </w:r>
                <w:r>
                  <w:rPr>
                    <w:webHidden/>
                  </w:rPr>
                </w:r>
                <w:r>
                  <w:rPr>
                    <w:webHidden/>
                  </w:rPr>
                  <w:fldChar w:fldCharType="separate"/>
                </w:r>
                <w:r>
                  <w:rPr>
                    <w:webHidden/>
                  </w:rPr>
                  <w:t>45</w:t>
                </w:r>
                <w:r>
                  <w:rPr>
                    <w:webHidden/>
                  </w:rPr>
                  <w:fldChar w:fldCharType="end"/>
                </w:r>
              </w:hyperlink>
            </w:p>
            <w:p w14:paraId="1C369EA1" w14:textId="77777777" w:rsidR="00D16F86" w:rsidRDefault="00D16F86">
              <w:pPr>
                <w:pStyle w:val="TOC3"/>
                <w:tabs>
                  <w:tab w:val="left" w:pos="2268"/>
                </w:tabs>
                <w:rPr>
                  <w:rFonts w:asciiTheme="minorHAnsi" w:eastAsiaTheme="minorEastAsia" w:hAnsiTheme="minorHAnsi"/>
                  <w:sz w:val="22"/>
                  <w:lang w:eastAsia="en-NZ"/>
                </w:rPr>
              </w:pPr>
              <w:hyperlink w:anchor="_Toc531098169" w:history="1">
                <w:r w:rsidRPr="00687C52">
                  <w:rPr>
                    <w:rStyle w:val="Hyperlink"/>
                  </w:rPr>
                  <w:t>3.1.2.</w:t>
                </w:r>
                <w:r>
                  <w:rPr>
                    <w:rFonts w:asciiTheme="minorHAnsi" w:eastAsiaTheme="minorEastAsia" w:hAnsiTheme="minorHAnsi"/>
                    <w:sz w:val="22"/>
                    <w:lang w:eastAsia="en-NZ"/>
                  </w:rPr>
                  <w:tab/>
                </w:r>
                <w:r w:rsidRPr="00687C52">
                  <w:rPr>
                    <w:rStyle w:val="Hyperlink"/>
                  </w:rPr>
                  <w:t>For NCGM sector submitters, reduced presentations and uninspiring spending proposals made the proposed funding appropriation inappropriate</w:t>
                </w:r>
                <w:r>
                  <w:rPr>
                    <w:webHidden/>
                  </w:rPr>
                  <w:tab/>
                </w:r>
                <w:r>
                  <w:rPr>
                    <w:webHidden/>
                  </w:rPr>
                  <w:fldChar w:fldCharType="begin"/>
                </w:r>
                <w:r>
                  <w:rPr>
                    <w:webHidden/>
                  </w:rPr>
                  <w:instrText xml:space="preserve"> PAGEREF _Toc531098169 \h </w:instrText>
                </w:r>
                <w:r>
                  <w:rPr>
                    <w:webHidden/>
                  </w:rPr>
                </w:r>
                <w:r>
                  <w:rPr>
                    <w:webHidden/>
                  </w:rPr>
                  <w:fldChar w:fldCharType="separate"/>
                </w:r>
                <w:r>
                  <w:rPr>
                    <w:webHidden/>
                  </w:rPr>
                  <w:t>45</w:t>
                </w:r>
                <w:r>
                  <w:rPr>
                    <w:webHidden/>
                  </w:rPr>
                  <w:fldChar w:fldCharType="end"/>
                </w:r>
              </w:hyperlink>
            </w:p>
            <w:p w14:paraId="7670432D" w14:textId="77777777" w:rsidR="00D16F86" w:rsidRDefault="00D16F86">
              <w:pPr>
                <w:pStyle w:val="TOC3"/>
                <w:tabs>
                  <w:tab w:val="left" w:pos="2268"/>
                </w:tabs>
                <w:rPr>
                  <w:rFonts w:asciiTheme="minorHAnsi" w:eastAsiaTheme="minorEastAsia" w:hAnsiTheme="minorHAnsi"/>
                  <w:sz w:val="22"/>
                  <w:lang w:eastAsia="en-NZ"/>
                </w:rPr>
              </w:pPr>
              <w:hyperlink w:anchor="_Toc531098170" w:history="1">
                <w:r w:rsidRPr="00687C52">
                  <w:rPr>
                    <w:rStyle w:val="Hyperlink"/>
                  </w:rPr>
                  <w:t>3.1.3.</w:t>
                </w:r>
                <w:r>
                  <w:rPr>
                    <w:rFonts w:asciiTheme="minorHAnsi" w:eastAsiaTheme="minorEastAsia" w:hAnsiTheme="minorHAnsi"/>
                    <w:sz w:val="22"/>
                    <w:lang w:eastAsia="en-NZ"/>
                  </w:rPr>
                  <w:tab/>
                </w:r>
                <w:r w:rsidRPr="00687C52">
                  <w:rPr>
                    <w:rStyle w:val="Hyperlink"/>
                  </w:rPr>
                  <w:t>Opinions about the size of the appropriation were split by sector</w:t>
                </w:r>
                <w:r>
                  <w:rPr>
                    <w:webHidden/>
                  </w:rPr>
                  <w:tab/>
                </w:r>
                <w:r>
                  <w:rPr>
                    <w:webHidden/>
                  </w:rPr>
                  <w:fldChar w:fldCharType="begin"/>
                </w:r>
                <w:r>
                  <w:rPr>
                    <w:webHidden/>
                  </w:rPr>
                  <w:instrText xml:space="preserve"> PAGEREF _Toc531098170 \h </w:instrText>
                </w:r>
                <w:r>
                  <w:rPr>
                    <w:webHidden/>
                  </w:rPr>
                </w:r>
                <w:r>
                  <w:rPr>
                    <w:webHidden/>
                  </w:rPr>
                  <w:fldChar w:fldCharType="separate"/>
                </w:r>
                <w:r>
                  <w:rPr>
                    <w:webHidden/>
                  </w:rPr>
                  <w:t>47</w:t>
                </w:r>
                <w:r>
                  <w:rPr>
                    <w:webHidden/>
                  </w:rPr>
                  <w:fldChar w:fldCharType="end"/>
                </w:r>
              </w:hyperlink>
            </w:p>
            <w:p w14:paraId="4BCE1A7F" w14:textId="77777777" w:rsidR="00D16F86" w:rsidRDefault="00D16F86">
              <w:pPr>
                <w:pStyle w:val="TOC3"/>
                <w:tabs>
                  <w:tab w:val="left" w:pos="2268"/>
                </w:tabs>
                <w:rPr>
                  <w:rFonts w:asciiTheme="minorHAnsi" w:eastAsiaTheme="minorEastAsia" w:hAnsiTheme="minorHAnsi"/>
                  <w:sz w:val="22"/>
                  <w:lang w:eastAsia="en-NZ"/>
                </w:rPr>
              </w:pPr>
              <w:hyperlink w:anchor="_Toc531098171" w:history="1">
                <w:r w:rsidRPr="00687C52">
                  <w:rPr>
                    <w:rStyle w:val="Hyperlink"/>
                  </w:rPr>
                  <w:t>3.1.4.</w:t>
                </w:r>
                <w:r>
                  <w:rPr>
                    <w:rFonts w:asciiTheme="minorHAnsi" w:eastAsiaTheme="minorEastAsia" w:hAnsiTheme="minorHAnsi"/>
                    <w:sz w:val="22"/>
                    <w:lang w:eastAsia="en-NZ"/>
                  </w:rPr>
                  <w:tab/>
                </w:r>
                <w:r w:rsidRPr="00687C52">
                  <w:rPr>
                    <w:rStyle w:val="Hyperlink"/>
                  </w:rPr>
                  <w:t>High-level change for the funding of gambling harm minimisation was sought by some submitters</w:t>
                </w:r>
                <w:r>
                  <w:rPr>
                    <w:webHidden/>
                  </w:rPr>
                  <w:tab/>
                </w:r>
                <w:r>
                  <w:rPr>
                    <w:webHidden/>
                  </w:rPr>
                  <w:fldChar w:fldCharType="begin"/>
                </w:r>
                <w:r>
                  <w:rPr>
                    <w:webHidden/>
                  </w:rPr>
                  <w:instrText xml:space="preserve"> PAGEREF _Toc531098171 \h </w:instrText>
                </w:r>
                <w:r>
                  <w:rPr>
                    <w:webHidden/>
                  </w:rPr>
                </w:r>
                <w:r>
                  <w:rPr>
                    <w:webHidden/>
                  </w:rPr>
                  <w:fldChar w:fldCharType="separate"/>
                </w:r>
                <w:r>
                  <w:rPr>
                    <w:webHidden/>
                  </w:rPr>
                  <w:t>48</w:t>
                </w:r>
                <w:r>
                  <w:rPr>
                    <w:webHidden/>
                  </w:rPr>
                  <w:fldChar w:fldCharType="end"/>
                </w:r>
              </w:hyperlink>
            </w:p>
            <w:p w14:paraId="3CDB4B6F" w14:textId="77777777" w:rsidR="00D16F86" w:rsidRDefault="00D16F86">
              <w:pPr>
                <w:pStyle w:val="TOC2"/>
                <w:rPr>
                  <w:rFonts w:asciiTheme="minorHAnsi" w:eastAsiaTheme="minorEastAsia" w:hAnsiTheme="minorHAnsi"/>
                  <w:lang w:eastAsia="en-NZ"/>
                </w:rPr>
              </w:pPr>
              <w:hyperlink w:anchor="_Toc531098172" w:history="1">
                <w:r w:rsidRPr="00687C52">
                  <w:rPr>
                    <w:rStyle w:val="Hyperlink"/>
                  </w:rPr>
                  <w:t>3.2.</w:t>
                </w:r>
                <w:r>
                  <w:rPr>
                    <w:rFonts w:asciiTheme="minorHAnsi" w:eastAsiaTheme="minorEastAsia" w:hAnsiTheme="minorHAnsi"/>
                    <w:lang w:eastAsia="en-NZ"/>
                  </w:rPr>
                  <w:tab/>
                </w:r>
                <w:r w:rsidRPr="00687C52">
                  <w:rPr>
                    <w:rStyle w:val="Hyperlink"/>
                  </w:rPr>
                  <w:t>The degree of support for the proposed Service Plan</w:t>
                </w:r>
                <w:r>
                  <w:rPr>
                    <w:webHidden/>
                  </w:rPr>
                  <w:tab/>
                </w:r>
                <w:r>
                  <w:rPr>
                    <w:webHidden/>
                  </w:rPr>
                  <w:fldChar w:fldCharType="begin"/>
                </w:r>
                <w:r>
                  <w:rPr>
                    <w:webHidden/>
                  </w:rPr>
                  <w:instrText xml:space="preserve"> PAGEREF _Toc531098172 \h </w:instrText>
                </w:r>
                <w:r>
                  <w:rPr>
                    <w:webHidden/>
                  </w:rPr>
                </w:r>
                <w:r>
                  <w:rPr>
                    <w:webHidden/>
                  </w:rPr>
                  <w:fldChar w:fldCharType="separate"/>
                </w:r>
                <w:r>
                  <w:rPr>
                    <w:webHidden/>
                  </w:rPr>
                  <w:t>48</w:t>
                </w:r>
                <w:r>
                  <w:rPr>
                    <w:webHidden/>
                  </w:rPr>
                  <w:fldChar w:fldCharType="end"/>
                </w:r>
              </w:hyperlink>
            </w:p>
            <w:p w14:paraId="43E9BE3C" w14:textId="77777777" w:rsidR="00D16F86" w:rsidRDefault="00D16F86">
              <w:pPr>
                <w:pStyle w:val="TOC3"/>
                <w:tabs>
                  <w:tab w:val="left" w:pos="2268"/>
                </w:tabs>
                <w:rPr>
                  <w:rFonts w:asciiTheme="minorHAnsi" w:eastAsiaTheme="minorEastAsia" w:hAnsiTheme="minorHAnsi"/>
                  <w:sz w:val="22"/>
                  <w:lang w:eastAsia="en-NZ"/>
                </w:rPr>
              </w:pPr>
              <w:hyperlink w:anchor="_Toc531098173" w:history="1">
                <w:r w:rsidRPr="00687C52">
                  <w:rPr>
                    <w:rStyle w:val="Hyperlink"/>
                  </w:rPr>
                  <w:t>3.2.1.</w:t>
                </w:r>
                <w:r>
                  <w:rPr>
                    <w:rFonts w:asciiTheme="minorHAnsi" w:eastAsiaTheme="minorEastAsia" w:hAnsiTheme="minorHAnsi"/>
                    <w:sz w:val="22"/>
                    <w:lang w:eastAsia="en-NZ"/>
                  </w:rPr>
                  <w:tab/>
                </w:r>
                <w:r w:rsidRPr="00687C52">
                  <w:rPr>
                    <w:rStyle w:val="Hyperlink"/>
                  </w:rPr>
                  <w:t>Collaborative, innovative treatments, that were culturally tailored to priority populations, were requested</w:t>
                </w:r>
                <w:r>
                  <w:rPr>
                    <w:webHidden/>
                  </w:rPr>
                  <w:tab/>
                </w:r>
                <w:r>
                  <w:rPr>
                    <w:webHidden/>
                  </w:rPr>
                  <w:fldChar w:fldCharType="begin"/>
                </w:r>
                <w:r>
                  <w:rPr>
                    <w:webHidden/>
                  </w:rPr>
                  <w:instrText xml:space="preserve"> PAGEREF _Toc531098173 \h </w:instrText>
                </w:r>
                <w:r>
                  <w:rPr>
                    <w:webHidden/>
                  </w:rPr>
                </w:r>
                <w:r>
                  <w:rPr>
                    <w:webHidden/>
                  </w:rPr>
                  <w:fldChar w:fldCharType="separate"/>
                </w:r>
                <w:r>
                  <w:rPr>
                    <w:webHidden/>
                  </w:rPr>
                  <w:t>48</w:t>
                </w:r>
                <w:r>
                  <w:rPr>
                    <w:webHidden/>
                  </w:rPr>
                  <w:fldChar w:fldCharType="end"/>
                </w:r>
              </w:hyperlink>
            </w:p>
            <w:p w14:paraId="7933E6A0" w14:textId="77777777" w:rsidR="00D16F86" w:rsidRDefault="00D16F86">
              <w:pPr>
                <w:pStyle w:val="TOC3"/>
                <w:tabs>
                  <w:tab w:val="left" w:pos="2268"/>
                </w:tabs>
                <w:rPr>
                  <w:rFonts w:asciiTheme="minorHAnsi" w:eastAsiaTheme="minorEastAsia" w:hAnsiTheme="minorHAnsi"/>
                  <w:sz w:val="22"/>
                  <w:lang w:eastAsia="en-NZ"/>
                </w:rPr>
              </w:pPr>
              <w:hyperlink w:anchor="_Toc531098174" w:history="1">
                <w:r w:rsidRPr="00687C52">
                  <w:rPr>
                    <w:rStyle w:val="Hyperlink"/>
                  </w:rPr>
                  <w:t>3.2.2.</w:t>
                </w:r>
                <w:r>
                  <w:rPr>
                    <w:rFonts w:asciiTheme="minorHAnsi" w:eastAsiaTheme="minorEastAsia" w:hAnsiTheme="minorHAnsi"/>
                    <w:sz w:val="22"/>
                    <w:lang w:eastAsia="en-NZ"/>
                  </w:rPr>
                  <w:tab/>
                </w:r>
                <w:r w:rsidRPr="00687C52">
                  <w:rPr>
                    <w:rStyle w:val="Hyperlink"/>
                  </w:rPr>
                  <w:t>Accountability, prevention, and collaboration were important to submitters</w:t>
                </w:r>
                <w:r>
                  <w:rPr>
                    <w:webHidden/>
                  </w:rPr>
                  <w:tab/>
                </w:r>
                <w:r>
                  <w:rPr>
                    <w:webHidden/>
                  </w:rPr>
                  <w:fldChar w:fldCharType="begin"/>
                </w:r>
                <w:r>
                  <w:rPr>
                    <w:webHidden/>
                  </w:rPr>
                  <w:instrText xml:space="preserve"> PAGEREF _Toc531098174 \h </w:instrText>
                </w:r>
                <w:r>
                  <w:rPr>
                    <w:webHidden/>
                  </w:rPr>
                </w:r>
                <w:r>
                  <w:rPr>
                    <w:webHidden/>
                  </w:rPr>
                  <w:fldChar w:fldCharType="separate"/>
                </w:r>
                <w:r>
                  <w:rPr>
                    <w:webHidden/>
                  </w:rPr>
                  <w:t>49</w:t>
                </w:r>
                <w:r>
                  <w:rPr>
                    <w:webHidden/>
                  </w:rPr>
                  <w:fldChar w:fldCharType="end"/>
                </w:r>
              </w:hyperlink>
            </w:p>
            <w:p w14:paraId="5723785E" w14:textId="77777777" w:rsidR="00D16F86" w:rsidRDefault="00D16F86">
              <w:pPr>
                <w:pStyle w:val="TOC2"/>
                <w:rPr>
                  <w:rFonts w:asciiTheme="minorHAnsi" w:eastAsiaTheme="minorEastAsia" w:hAnsiTheme="minorHAnsi"/>
                  <w:lang w:eastAsia="en-NZ"/>
                </w:rPr>
              </w:pPr>
              <w:hyperlink w:anchor="_Toc531098175" w:history="1">
                <w:r w:rsidRPr="00687C52">
                  <w:rPr>
                    <w:rStyle w:val="Hyperlink"/>
                  </w:rPr>
                  <w:t>3.3.</w:t>
                </w:r>
                <w:r>
                  <w:rPr>
                    <w:rFonts w:asciiTheme="minorHAnsi" w:eastAsiaTheme="minorEastAsia" w:hAnsiTheme="minorHAnsi"/>
                    <w:lang w:eastAsia="en-NZ"/>
                  </w:rPr>
                  <w:tab/>
                </w:r>
                <w:r w:rsidRPr="00687C52">
                  <w:rPr>
                    <w:rStyle w:val="Hyperlink"/>
                  </w:rPr>
                  <w:t>The degree of support for Public Health Services draft priorities</w:t>
                </w:r>
                <w:r>
                  <w:rPr>
                    <w:webHidden/>
                  </w:rPr>
                  <w:tab/>
                </w:r>
                <w:r>
                  <w:rPr>
                    <w:webHidden/>
                  </w:rPr>
                  <w:fldChar w:fldCharType="begin"/>
                </w:r>
                <w:r>
                  <w:rPr>
                    <w:webHidden/>
                  </w:rPr>
                  <w:instrText xml:space="preserve"> PAGEREF _Toc531098175 \h </w:instrText>
                </w:r>
                <w:r>
                  <w:rPr>
                    <w:webHidden/>
                  </w:rPr>
                </w:r>
                <w:r>
                  <w:rPr>
                    <w:webHidden/>
                  </w:rPr>
                  <w:fldChar w:fldCharType="separate"/>
                </w:r>
                <w:r>
                  <w:rPr>
                    <w:webHidden/>
                  </w:rPr>
                  <w:t>50</w:t>
                </w:r>
                <w:r>
                  <w:rPr>
                    <w:webHidden/>
                  </w:rPr>
                  <w:fldChar w:fldCharType="end"/>
                </w:r>
              </w:hyperlink>
            </w:p>
            <w:p w14:paraId="06CD8BE3" w14:textId="77777777" w:rsidR="00D16F86" w:rsidRDefault="00D16F86">
              <w:pPr>
                <w:pStyle w:val="TOC3"/>
                <w:tabs>
                  <w:tab w:val="left" w:pos="2268"/>
                </w:tabs>
                <w:rPr>
                  <w:rFonts w:asciiTheme="minorHAnsi" w:eastAsiaTheme="minorEastAsia" w:hAnsiTheme="minorHAnsi"/>
                  <w:sz w:val="22"/>
                  <w:lang w:eastAsia="en-NZ"/>
                </w:rPr>
              </w:pPr>
              <w:hyperlink w:anchor="_Toc531098176" w:history="1">
                <w:r w:rsidRPr="00687C52">
                  <w:rPr>
                    <w:rStyle w:val="Hyperlink"/>
                  </w:rPr>
                  <w:t>3.3.1.</w:t>
                </w:r>
                <w:r>
                  <w:rPr>
                    <w:rFonts w:asciiTheme="minorHAnsi" w:eastAsiaTheme="minorEastAsia" w:hAnsiTheme="minorHAnsi"/>
                    <w:sz w:val="22"/>
                    <w:lang w:eastAsia="en-NZ"/>
                  </w:rPr>
                  <w:tab/>
                </w:r>
                <w:r w:rsidRPr="00687C52">
                  <w:rPr>
                    <w:rStyle w:val="Hyperlink"/>
                  </w:rPr>
                  <w:t>Additional funding and assurances that priority populations will benefit were requested</w:t>
                </w:r>
                <w:r>
                  <w:rPr>
                    <w:webHidden/>
                  </w:rPr>
                  <w:tab/>
                </w:r>
                <w:r>
                  <w:rPr>
                    <w:webHidden/>
                  </w:rPr>
                  <w:fldChar w:fldCharType="begin"/>
                </w:r>
                <w:r>
                  <w:rPr>
                    <w:webHidden/>
                  </w:rPr>
                  <w:instrText xml:space="preserve"> PAGEREF _Toc531098176 \h </w:instrText>
                </w:r>
                <w:r>
                  <w:rPr>
                    <w:webHidden/>
                  </w:rPr>
                </w:r>
                <w:r>
                  <w:rPr>
                    <w:webHidden/>
                  </w:rPr>
                  <w:fldChar w:fldCharType="separate"/>
                </w:r>
                <w:r>
                  <w:rPr>
                    <w:webHidden/>
                  </w:rPr>
                  <w:t>50</w:t>
                </w:r>
                <w:r>
                  <w:rPr>
                    <w:webHidden/>
                  </w:rPr>
                  <w:fldChar w:fldCharType="end"/>
                </w:r>
              </w:hyperlink>
            </w:p>
            <w:p w14:paraId="167C3FDC" w14:textId="77777777" w:rsidR="00D16F86" w:rsidRDefault="00D16F86">
              <w:pPr>
                <w:pStyle w:val="TOC2"/>
                <w:rPr>
                  <w:rFonts w:asciiTheme="minorHAnsi" w:eastAsiaTheme="minorEastAsia" w:hAnsiTheme="minorHAnsi"/>
                  <w:lang w:eastAsia="en-NZ"/>
                </w:rPr>
              </w:pPr>
              <w:hyperlink w:anchor="_Toc531098177" w:history="1">
                <w:r w:rsidRPr="00687C52">
                  <w:rPr>
                    <w:rStyle w:val="Hyperlink"/>
                  </w:rPr>
                  <w:t>3.4.</w:t>
                </w:r>
                <w:r>
                  <w:rPr>
                    <w:rFonts w:asciiTheme="minorHAnsi" w:eastAsiaTheme="minorEastAsia" w:hAnsiTheme="minorHAnsi"/>
                    <w:lang w:eastAsia="en-NZ"/>
                  </w:rPr>
                  <w:tab/>
                </w:r>
                <w:r w:rsidRPr="00687C52">
                  <w:rPr>
                    <w:rStyle w:val="Hyperlink"/>
                  </w:rPr>
                  <w:t>The degree of support for Intervention Services draft priorities</w:t>
                </w:r>
                <w:r>
                  <w:rPr>
                    <w:webHidden/>
                  </w:rPr>
                  <w:tab/>
                </w:r>
                <w:r>
                  <w:rPr>
                    <w:webHidden/>
                  </w:rPr>
                  <w:fldChar w:fldCharType="begin"/>
                </w:r>
                <w:r>
                  <w:rPr>
                    <w:webHidden/>
                  </w:rPr>
                  <w:instrText xml:space="preserve"> PAGEREF _Toc531098177 \h </w:instrText>
                </w:r>
                <w:r>
                  <w:rPr>
                    <w:webHidden/>
                  </w:rPr>
                </w:r>
                <w:r>
                  <w:rPr>
                    <w:webHidden/>
                  </w:rPr>
                  <w:fldChar w:fldCharType="separate"/>
                </w:r>
                <w:r>
                  <w:rPr>
                    <w:webHidden/>
                  </w:rPr>
                  <w:t>51</w:t>
                </w:r>
                <w:r>
                  <w:rPr>
                    <w:webHidden/>
                  </w:rPr>
                  <w:fldChar w:fldCharType="end"/>
                </w:r>
              </w:hyperlink>
            </w:p>
            <w:p w14:paraId="37AA9DD5" w14:textId="77777777" w:rsidR="00D16F86" w:rsidRDefault="00D16F86">
              <w:pPr>
                <w:pStyle w:val="TOC3"/>
                <w:tabs>
                  <w:tab w:val="left" w:pos="2268"/>
                </w:tabs>
                <w:rPr>
                  <w:rFonts w:asciiTheme="minorHAnsi" w:eastAsiaTheme="minorEastAsia" w:hAnsiTheme="minorHAnsi"/>
                  <w:sz w:val="22"/>
                  <w:lang w:eastAsia="en-NZ"/>
                </w:rPr>
              </w:pPr>
              <w:hyperlink w:anchor="_Toc531098178" w:history="1">
                <w:r w:rsidRPr="00687C52">
                  <w:rPr>
                    <w:rStyle w:val="Hyperlink"/>
                  </w:rPr>
                  <w:t>3.4.1.</w:t>
                </w:r>
                <w:r>
                  <w:rPr>
                    <w:rFonts w:asciiTheme="minorHAnsi" w:eastAsiaTheme="minorEastAsia" w:hAnsiTheme="minorHAnsi"/>
                    <w:sz w:val="22"/>
                    <w:lang w:eastAsia="en-NZ"/>
                  </w:rPr>
                  <w:tab/>
                </w:r>
                <w:r w:rsidRPr="00687C52">
                  <w:rPr>
                    <w:rStyle w:val="Hyperlink"/>
                  </w:rPr>
                  <w:t>A wide range of additional intervention activities were requested</w:t>
                </w:r>
                <w:r>
                  <w:rPr>
                    <w:webHidden/>
                  </w:rPr>
                  <w:tab/>
                </w:r>
                <w:r>
                  <w:rPr>
                    <w:webHidden/>
                  </w:rPr>
                  <w:fldChar w:fldCharType="begin"/>
                </w:r>
                <w:r>
                  <w:rPr>
                    <w:webHidden/>
                  </w:rPr>
                  <w:instrText xml:space="preserve"> PAGEREF _Toc531098178 \h </w:instrText>
                </w:r>
                <w:r>
                  <w:rPr>
                    <w:webHidden/>
                  </w:rPr>
                </w:r>
                <w:r>
                  <w:rPr>
                    <w:webHidden/>
                  </w:rPr>
                  <w:fldChar w:fldCharType="separate"/>
                </w:r>
                <w:r>
                  <w:rPr>
                    <w:webHidden/>
                  </w:rPr>
                  <w:t>51</w:t>
                </w:r>
                <w:r>
                  <w:rPr>
                    <w:webHidden/>
                  </w:rPr>
                  <w:fldChar w:fldCharType="end"/>
                </w:r>
              </w:hyperlink>
            </w:p>
            <w:p w14:paraId="2775D616" w14:textId="77777777" w:rsidR="00D16F86" w:rsidRDefault="00D16F86">
              <w:pPr>
                <w:pStyle w:val="TOC3"/>
                <w:tabs>
                  <w:tab w:val="left" w:pos="2268"/>
                </w:tabs>
                <w:rPr>
                  <w:rFonts w:asciiTheme="minorHAnsi" w:eastAsiaTheme="minorEastAsia" w:hAnsiTheme="minorHAnsi"/>
                  <w:sz w:val="22"/>
                  <w:lang w:eastAsia="en-NZ"/>
                </w:rPr>
              </w:pPr>
              <w:hyperlink w:anchor="_Toc531098179" w:history="1">
                <w:r w:rsidRPr="00687C52">
                  <w:rPr>
                    <w:rStyle w:val="Hyperlink"/>
                  </w:rPr>
                  <w:t>3.4.2.</w:t>
                </w:r>
                <w:r>
                  <w:rPr>
                    <w:rFonts w:asciiTheme="minorHAnsi" w:eastAsiaTheme="minorEastAsia" w:hAnsiTheme="minorHAnsi"/>
                    <w:sz w:val="22"/>
                    <w:lang w:eastAsia="en-NZ"/>
                  </w:rPr>
                  <w:tab/>
                </w:r>
                <w:r w:rsidRPr="00687C52">
                  <w:rPr>
                    <w:rStyle w:val="Hyperlink"/>
                  </w:rPr>
                  <w:t>NCGM sector submitters withheld support for a range of intervention activities</w:t>
                </w:r>
                <w:r>
                  <w:rPr>
                    <w:webHidden/>
                  </w:rPr>
                  <w:tab/>
                </w:r>
                <w:r>
                  <w:rPr>
                    <w:webHidden/>
                  </w:rPr>
                  <w:fldChar w:fldCharType="begin"/>
                </w:r>
                <w:r>
                  <w:rPr>
                    <w:webHidden/>
                  </w:rPr>
                  <w:instrText xml:space="preserve"> PAGEREF _Toc531098179 \h </w:instrText>
                </w:r>
                <w:r>
                  <w:rPr>
                    <w:webHidden/>
                  </w:rPr>
                </w:r>
                <w:r>
                  <w:rPr>
                    <w:webHidden/>
                  </w:rPr>
                  <w:fldChar w:fldCharType="separate"/>
                </w:r>
                <w:r>
                  <w:rPr>
                    <w:webHidden/>
                  </w:rPr>
                  <w:t>53</w:t>
                </w:r>
                <w:r>
                  <w:rPr>
                    <w:webHidden/>
                  </w:rPr>
                  <w:fldChar w:fldCharType="end"/>
                </w:r>
              </w:hyperlink>
            </w:p>
            <w:p w14:paraId="6EA2DE6F" w14:textId="77777777" w:rsidR="00D16F86" w:rsidRDefault="00D16F86">
              <w:pPr>
                <w:pStyle w:val="TOC2"/>
                <w:rPr>
                  <w:rFonts w:asciiTheme="minorHAnsi" w:eastAsiaTheme="minorEastAsia" w:hAnsiTheme="minorHAnsi"/>
                  <w:lang w:eastAsia="en-NZ"/>
                </w:rPr>
              </w:pPr>
              <w:hyperlink w:anchor="_Toc531098180" w:history="1">
                <w:r w:rsidRPr="00687C52">
                  <w:rPr>
                    <w:rStyle w:val="Hyperlink"/>
                  </w:rPr>
                  <w:t>3.5.</w:t>
                </w:r>
                <w:r>
                  <w:rPr>
                    <w:rFonts w:asciiTheme="minorHAnsi" w:eastAsiaTheme="minorEastAsia" w:hAnsiTheme="minorHAnsi"/>
                    <w:lang w:eastAsia="en-NZ"/>
                  </w:rPr>
                  <w:tab/>
                </w:r>
                <w:r w:rsidRPr="00687C52">
                  <w:rPr>
                    <w:rStyle w:val="Hyperlink"/>
                  </w:rPr>
                  <w:t>The degree of support for Research and Evaluation draft priorities</w:t>
                </w:r>
                <w:r>
                  <w:rPr>
                    <w:webHidden/>
                  </w:rPr>
                  <w:tab/>
                </w:r>
                <w:r>
                  <w:rPr>
                    <w:webHidden/>
                  </w:rPr>
                  <w:fldChar w:fldCharType="begin"/>
                </w:r>
                <w:r>
                  <w:rPr>
                    <w:webHidden/>
                  </w:rPr>
                  <w:instrText xml:space="preserve"> PAGEREF _Toc531098180 \h </w:instrText>
                </w:r>
                <w:r>
                  <w:rPr>
                    <w:webHidden/>
                  </w:rPr>
                </w:r>
                <w:r>
                  <w:rPr>
                    <w:webHidden/>
                  </w:rPr>
                  <w:fldChar w:fldCharType="separate"/>
                </w:r>
                <w:r>
                  <w:rPr>
                    <w:webHidden/>
                  </w:rPr>
                  <w:t>54</w:t>
                </w:r>
                <w:r>
                  <w:rPr>
                    <w:webHidden/>
                  </w:rPr>
                  <w:fldChar w:fldCharType="end"/>
                </w:r>
              </w:hyperlink>
            </w:p>
            <w:p w14:paraId="793C3D5C" w14:textId="77777777" w:rsidR="00D16F86" w:rsidRDefault="00D16F86">
              <w:pPr>
                <w:pStyle w:val="TOC3"/>
                <w:tabs>
                  <w:tab w:val="left" w:pos="2268"/>
                </w:tabs>
                <w:rPr>
                  <w:rFonts w:asciiTheme="minorHAnsi" w:eastAsiaTheme="minorEastAsia" w:hAnsiTheme="minorHAnsi"/>
                  <w:sz w:val="22"/>
                  <w:lang w:eastAsia="en-NZ"/>
                </w:rPr>
              </w:pPr>
              <w:hyperlink w:anchor="_Toc531098181" w:history="1">
                <w:r w:rsidRPr="00687C52">
                  <w:rPr>
                    <w:rStyle w:val="Hyperlink"/>
                  </w:rPr>
                  <w:t>3.5.1.</w:t>
                </w:r>
                <w:r>
                  <w:rPr>
                    <w:rFonts w:asciiTheme="minorHAnsi" w:eastAsiaTheme="minorEastAsia" w:hAnsiTheme="minorHAnsi"/>
                    <w:sz w:val="22"/>
                    <w:lang w:eastAsia="en-NZ"/>
                  </w:rPr>
                  <w:tab/>
                </w:r>
                <w:r w:rsidRPr="00687C52">
                  <w:rPr>
                    <w:rStyle w:val="Hyperlink"/>
                  </w:rPr>
                  <w:t>A range of research and evaluation activities were supported by most sectors</w:t>
                </w:r>
                <w:r>
                  <w:rPr>
                    <w:webHidden/>
                  </w:rPr>
                  <w:tab/>
                </w:r>
                <w:r>
                  <w:rPr>
                    <w:webHidden/>
                  </w:rPr>
                  <w:fldChar w:fldCharType="begin"/>
                </w:r>
                <w:r>
                  <w:rPr>
                    <w:webHidden/>
                  </w:rPr>
                  <w:instrText xml:space="preserve"> PAGEREF _Toc531098181 \h </w:instrText>
                </w:r>
                <w:r>
                  <w:rPr>
                    <w:webHidden/>
                  </w:rPr>
                </w:r>
                <w:r>
                  <w:rPr>
                    <w:webHidden/>
                  </w:rPr>
                  <w:fldChar w:fldCharType="separate"/>
                </w:r>
                <w:r>
                  <w:rPr>
                    <w:webHidden/>
                  </w:rPr>
                  <w:t>54</w:t>
                </w:r>
                <w:r>
                  <w:rPr>
                    <w:webHidden/>
                  </w:rPr>
                  <w:fldChar w:fldCharType="end"/>
                </w:r>
              </w:hyperlink>
            </w:p>
            <w:p w14:paraId="170AE823" w14:textId="77777777" w:rsidR="00D16F86" w:rsidRDefault="00D16F86">
              <w:pPr>
                <w:pStyle w:val="TOC3"/>
                <w:tabs>
                  <w:tab w:val="left" w:pos="2268"/>
                </w:tabs>
                <w:rPr>
                  <w:rFonts w:asciiTheme="minorHAnsi" w:eastAsiaTheme="minorEastAsia" w:hAnsiTheme="minorHAnsi"/>
                  <w:sz w:val="22"/>
                  <w:lang w:eastAsia="en-NZ"/>
                </w:rPr>
              </w:pPr>
              <w:hyperlink w:anchor="_Toc531098182" w:history="1">
                <w:r w:rsidRPr="00687C52">
                  <w:rPr>
                    <w:rStyle w:val="Hyperlink"/>
                  </w:rPr>
                  <w:t>3.5.2.</w:t>
                </w:r>
                <w:r>
                  <w:rPr>
                    <w:rFonts w:asciiTheme="minorHAnsi" w:eastAsiaTheme="minorEastAsia" w:hAnsiTheme="minorHAnsi"/>
                    <w:sz w:val="22"/>
                    <w:lang w:eastAsia="en-NZ"/>
                  </w:rPr>
                  <w:tab/>
                </w:r>
                <w:r w:rsidRPr="00687C52">
                  <w:rPr>
                    <w:rStyle w:val="Hyperlink"/>
                  </w:rPr>
                  <w:t>There was cross-sector agreement about research and evaluation priorities</w:t>
                </w:r>
                <w:r>
                  <w:rPr>
                    <w:webHidden/>
                  </w:rPr>
                  <w:tab/>
                </w:r>
                <w:r>
                  <w:rPr>
                    <w:webHidden/>
                  </w:rPr>
                  <w:fldChar w:fldCharType="begin"/>
                </w:r>
                <w:r>
                  <w:rPr>
                    <w:webHidden/>
                  </w:rPr>
                  <w:instrText xml:space="preserve"> PAGEREF _Toc531098182 \h </w:instrText>
                </w:r>
                <w:r>
                  <w:rPr>
                    <w:webHidden/>
                  </w:rPr>
                </w:r>
                <w:r>
                  <w:rPr>
                    <w:webHidden/>
                  </w:rPr>
                  <w:fldChar w:fldCharType="separate"/>
                </w:r>
                <w:r>
                  <w:rPr>
                    <w:webHidden/>
                  </w:rPr>
                  <w:t>55</w:t>
                </w:r>
                <w:r>
                  <w:rPr>
                    <w:webHidden/>
                  </w:rPr>
                  <w:fldChar w:fldCharType="end"/>
                </w:r>
              </w:hyperlink>
            </w:p>
            <w:p w14:paraId="187847FB" w14:textId="77777777" w:rsidR="00D16F86" w:rsidRDefault="00D16F86">
              <w:pPr>
                <w:pStyle w:val="TOC2"/>
                <w:rPr>
                  <w:rFonts w:asciiTheme="minorHAnsi" w:eastAsiaTheme="minorEastAsia" w:hAnsiTheme="minorHAnsi"/>
                  <w:lang w:eastAsia="en-NZ"/>
                </w:rPr>
              </w:pPr>
              <w:hyperlink w:anchor="_Toc531098183" w:history="1">
                <w:r w:rsidRPr="00687C52">
                  <w:rPr>
                    <w:rStyle w:val="Hyperlink"/>
                  </w:rPr>
                  <w:t>3.6.</w:t>
                </w:r>
                <w:r>
                  <w:rPr>
                    <w:rFonts w:asciiTheme="minorHAnsi" w:eastAsiaTheme="minorEastAsia" w:hAnsiTheme="minorHAnsi"/>
                    <w:lang w:eastAsia="en-NZ"/>
                  </w:rPr>
                  <w:tab/>
                </w:r>
                <w:r w:rsidRPr="00687C52">
                  <w:rPr>
                    <w:rStyle w:val="Hyperlink"/>
                  </w:rPr>
                  <w:t>Ministry Operating Costs</w:t>
                </w:r>
                <w:r>
                  <w:rPr>
                    <w:webHidden/>
                  </w:rPr>
                  <w:tab/>
                </w:r>
                <w:r>
                  <w:rPr>
                    <w:webHidden/>
                  </w:rPr>
                  <w:fldChar w:fldCharType="begin"/>
                </w:r>
                <w:r>
                  <w:rPr>
                    <w:webHidden/>
                  </w:rPr>
                  <w:instrText xml:space="preserve"> PAGEREF _Toc531098183 \h </w:instrText>
                </w:r>
                <w:r>
                  <w:rPr>
                    <w:webHidden/>
                  </w:rPr>
                </w:r>
                <w:r>
                  <w:rPr>
                    <w:webHidden/>
                  </w:rPr>
                  <w:fldChar w:fldCharType="separate"/>
                </w:r>
                <w:r>
                  <w:rPr>
                    <w:webHidden/>
                  </w:rPr>
                  <w:t>56</w:t>
                </w:r>
                <w:r>
                  <w:rPr>
                    <w:webHidden/>
                  </w:rPr>
                  <w:fldChar w:fldCharType="end"/>
                </w:r>
              </w:hyperlink>
            </w:p>
            <w:p w14:paraId="596E23AD" w14:textId="77777777" w:rsidR="00D16F86" w:rsidRDefault="00D16F86">
              <w:pPr>
                <w:pStyle w:val="TOC1"/>
                <w:rPr>
                  <w:rFonts w:asciiTheme="minorHAnsi" w:eastAsiaTheme="minorEastAsia" w:hAnsiTheme="minorHAnsi"/>
                  <w:b w:val="0"/>
                  <w:caps w:val="0"/>
                  <w:lang w:eastAsia="en-NZ"/>
                </w:rPr>
              </w:pPr>
              <w:hyperlink w:anchor="_Toc531098184" w:history="1">
                <w:r w:rsidRPr="00687C52">
                  <w:rPr>
                    <w:rStyle w:val="Hyperlink"/>
                  </w:rPr>
                  <w:t>4.</w:t>
                </w:r>
                <w:r>
                  <w:rPr>
                    <w:rFonts w:asciiTheme="minorHAnsi" w:eastAsiaTheme="minorEastAsia" w:hAnsiTheme="minorHAnsi"/>
                    <w:b w:val="0"/>
                    <w:caps w:val="0"/>
                    <w:lang w:eastAsia="en-NZ"/>
                  </w:rPr>
                  <w:tab/>
                </w:r>
                <w:r w:rsidRPr="00687C52">
                  <w:rPr>
                    <w:rStyle w:val="Hyperlink"/>
                  </w:rPr>
                  <w:t>The levy formula and alternate levy weightings</w:t>
                </w:r>
                <w:r>
                  <w:rPr>
                    <w:webHidden/>
                  </w:rPr>
                  <w:tab/>
                </w:r>
                <w:r>
                  <w:rPr>
                    <w:webHidden/>
                  </w:rPr>
                  <w:fldChar w:fldCharType="begin"/>
                </w:r>
                <w:r>
                  <w:rPr>
                    <w:webHidden/>
                  </w:rPr>
                  <w:instrText xml:space="preserve"> PAGEREF _Toc531098184 \h </w:instrText>
                </w:r>
                <w:r>
                  <w:rPr>
                    <w:webHidden/>
                  </w:rPr>
                </w:r>
                <w:r>
                  <w:rPr>
                    <w:webHidden/>
                  </w:rPr>
                  <w:fldChar w:fldCharType="separate"/>
                </w:r>
                <w:r>
                  <w:rPr>
                    <w:webHidden/>
                  </w:rPr>
                  <w:t>57</w:t>
                </w:r>
                <w:r>
                  <w:rPr>
                    <w:webHidden/>
                  </w:rPr>
                  <w:fldChar w:fldCharType="end"/>
                </w:r>
              </w:hyperlink>
            </w:p>
            <w:p w14:paraId="715B863A" w14:textId="77777777" w:rsidR="00D16F86" w:rsidRDefault="00D16F86">
              <w:pPr>
                <w:pStyle w:val="TOC2"/>
                <w:rPr>
                  <w:rFonts w:asciiTheme="minorHAnsi" w:eastAsiaTheme="minorEastAsia" w:hAnsiTheme="minorHAnsi"/>
                  <w:lang w:eastAsia="en-NZ"/>
                </w:rPr>
              </w:pPr>
              <w:hyperlink w:anchor="_Toc531098185" w:history="1">
                <w:r w:rsidRPr="00687C52">
                  <w:rPr>
                    <w:rStyle w:val="Hyperlink"/>
                  </w:rPr>
                  <w:t>4.1.</w:t>
                </w:r>
                <w:r>
                  <w:rPr>
                    <w:rFonts w:asciiTheme="minorHAnsi" w:eastAsiaTheme="minorEastAsia" w:hAnsiTheme="minorHAnsi"/>
                    <w:lang w:eastAsia="en-NZ"/>
                  </w:rPr>
                  <w:tab/>
                </w:r>
                <w:r w:rsidRPr="00687C52">
                  <w:rPr>
                    <w:rStyle w:val="Hyperlink"/>
                  </w:rPr>
                  <w:t>The degree of support for player expenditure forecasts</w:t>
                </w:r>
                <w:r>
                  <w:rPr>
                    <w:webHidden/>
                  </w:rPr>
                  <w:tab/>
                </w:r>
                <w:r>
                  <w:rPr>
                    <w:webHidden/>
                  </w:rPr>
                  <w:fldChar w:fldCharType="begin"/>
                </w:r>
                <w:r>
                  <w:rPr>
                    <w:webHidden/>
                  </w:rPr>
                  <w:instrText xml:space="preserve"> PAGEREF _Toc531098185 \h </w:instrText>
                </w:r>
                <w:r>
                  <w:rPr>
                    <w:webHidden/>
                  </w:rPr>
                </w:r>
                <w:r>
                  <w:rPr>
                    <w:webHidden/>
                  </w:rPr>
                  <w:fldChar w:fldCharType="separate"/>
                </w:r>
                <w:r>
                  <w:rPr>
                    <w:webHidden/>
                  </w:rPr>
                  <w:t>57</w:t>
                </w:r>
                <w:r>
                  <w:rPr>
                    <w:webHidden/>
                  </w:rPr>
                  <w:fldChar w:fldCharType="end"/>
                </w:r>
              </w:hyperlink>
            </w:p>
            <w:p w14:paraId="5F394BDD" w14:textId="77777777" w:rsidR="00D16F86" w:rsidRDefault="00D16F86">
              <w:pPr>
                <w:pStyle w:val="TOC3"/>
                <w:tabs>
                  <w:tab w:val="left" w:pos="2268"/>
                </w:tabs>
                <w:rPr>
                  <w:rFonts w:asciiTheme="minorHAnsi" w:eastAsiaTheme="minorEastAsia" w:hAnsiTheme="minorHAnsi"/>
                  <w:sz w:val="22"/>
                  <w:lang w:eastAsia="en-NZ"/>
                </w:rPr>
              </w:pPr>
              <w:hyperlink w:anchor="_Toc531098186" w:history="1">
                <w:r w:rsidRPr="00687C52">
                  <w:rPr>
                    <w:rStyle w:val="Hyperlink"/>
                  </w:rPr>
                  <w:t>4.1.1.</w:t>
                </w:r>
                <w:r>
                  <w:rPr>
                    <w:rFonts w:asciiTheme="minorHAnsi" w:eastAsiaTheme="minorEastAsia" w:hAnsiTheme="minorHAnsi"/>
                    <w:sz w:val="22"/>
                    <w:lang w:eastAsia="en-NZ"/>
                  </w:rPr>
                  <w:tab/>
                </w:r>
                <w:r w:rsidRPr="00687C52">
                  <w:rPr>
                    <w:rStyle w:val="Hyperlink"/>
                  </w:rPr>
                  <w:t>Forecasts were considered unrealistic, because they do not reflect the full scope of harmful products or the impact of that harm to individual gamblers</w:t>
                </w:r>
                <w:r>
                  <w:rPr>
                    <w:webHidden/>
                  </w:rPr>
                  <w:tab/>
                </w:r>
                <w:r>
                  <w:rPr>
                    <w:webHidden/>
                  </w:rPr>
                  <w:fldChar w:fldCharType="begin"/>
                </w:r>
                <w:r>
                  <w:rPr>
                    <w:webHidden/>
                  </w:rPr>
                  <w:instrText xml:space="preserve"> PAGEREF _Toc531098186 \h </w:instrText>
                </w:r>
                <w:r>
                  <w:rPr>
                    <w:webHidden/>
                  </w:rPr>
                </w:r>
                <w:r>
                  <w:rPr>
                    <w:webHidden/>
                  </w:rPr>
                  <w:fldChar w:fldCharType="separate"/>
                </w:r>
                <w:r>
                  <w:rPr>
                    <w:webHidden/>
                  </w:rPr>
                  <w:t>57</w:t>
                </w:r>
                <w:r>
                  <w:rPr>
                    <w:webHidden/>
                  </w:rPr>
                  <w:fldChar w:fldCharType="end"/>
                </w:r>
              </w:hyperlink>
            </w:p>
            <w:p w14:paraId="34205399" w14:textId="77777777" w:rsidR="00D16F86" w:rsidRDefault="00D16F86">
              <w:pPr>
                <w:pStyle w:val="TOC2"/>
                <w:rPr>
                  <w:rFonts w:asciiTheme="minorHAnsi" w:eastAsiaTheme="minorEastAsia" w:hAnsiTheme="minorHAnsi"/>
                  <w:lang w:eastAsia="en-NZ"/>
                </w:rPr>
              </w:pPr>
              <w:hyperlink w:anchor="_Toc531098187" w:history="1">
                <w:r w:rsidRPr="00687C52">
                  <w:rPr>
                    <w:rStyle w:val="Hyperlink"/>
                  </w:rPr>
                  <w:t>4.2.</w:t>
                </w:r>
                <w:r>
                  <w:rPr>
                    <w:rFonts w:asciiTheme="minorHAnsi" w:eastAsiaTheme="minorEastAsia" w:hAnsiTheme="minorHAnsi"/>
                    <w:lang w:eastAsia="en-NZ"/>
                  </w:rPr>
                  <w:tab/>
                </w:r>
                <w:r w:rsidRPr="00687C52">
                  <w:rPr>
                    <w:rStyle w:val="Hyperlink"/>
                  </w:rPr>
                  <w:t>The degree of support for the various weighting options</w:t>
                </w:r>
                <w:r>
                  <w:rPr>
                    <w:webHidden/>
                  </w:rPr>
                  <w:tab/>
                </w:r>
                <w:r>
                  <w:rPr>
                    <w:webHidden/>
                  </w:rPr>
                  <w:fldChar w:fldCharType="begin"/>
                </w:r>
                <w:r>
                  <w:rPr>
                    <w:webHidden/>
                  </w:rPr>
                  <w:instrText xml:space="preserve"> PAGEREF _Toc531098187 \h </w:instrText>
                </w:r>
                <w:r>
                  <w:rPr>
                    <w:webHidden/>
                  </w:rPr>
                </w:r>
                <w:r>
                  <w:rPr>
                    <w:webHidden/>
                  </w:rPr>
                  <w:fldChar w:fldCharType="separate"/>
                </w:r>
                <w:r>
                  <w:rPr>
                    <w:webHidden/>
                  </w:rPr>
                  <w:t>58</w:t>
                </w:r>
                <w:r>
                  <w:rPr>
                    <w:webHidden/>
                  </w:rPr>
                  <w:fldChar w:fldCharType="end"/>
                </w:r>
              </w:hyperlink>
            </w:p>
            <w:p w14:paraId="5733E727" w14:textId="77777777" w:rsidR="00D16F86" w:rsidRDefault="00D16F86">
              <w:pPr>
                <w:pStyle w:val="TOC3"/>
                <w:tabs>
                  <w:tab w:val="left" w:pos="2268"/>
                </w:tabs>
                <w:rPr>
                  <w:rFonts w:asciiTheme="minorHAnsi" w:eastAsiaTheme="minorEastAsia" w:hAnsiTheme="minorHAnsi"/>
                  <w:sz w:val="22"/>
                  <w:lang w:eastAsia="en-NZ"/>
                </w:rPr>
              </w:pPr>
              <w:hyperlink w:anchor="_Toc531098188" w:history="1">
                <w:r w:rsidRPr="00687C52">
                  <w:rPr>
                    <w:rStyle w:val="Hyperlink"/>
                  </w:rPr>
                  <w:t>4.2.1.</w:t>
                </w:r>
                <w:r>
                  <w:rPr>
                    <w:rFonts w:asciiTheme="minorHAnsi" w:eastAsiaTheme="minorEastAsia" w:hAnsiTheme="minorHAnsi"/>
                    <w:sz w:val="22"/>
                    <w:lang w:eastAsia="en-NZ"/>
                  </w:rPr>
                  <w:tab/>
                </w:r>
                <w:r w:rsidRPr="00687C52">
                  <w:rPr>
                    <w:rStyle w:val="Hyperlink"/>
                  </w:rPr>
                  <w:t>The NCGM Sector and some Gambling Industry (other) submitters preferred the 30/70 weighting</w:t>
                </w:r>
                <w:r>
                  <w:rPr>
                    <w:webHidden/>
                  </w:rPr>
                  <w:tab/>
                </w:r>
                <w:r>
                  <w:rPr>
                    <w:webHidden/>
                  </w:rPr>
                  <w:fldChar w:fldCharType="begin"/>
                </w:r>
                <w:r>
                  <w:rPr>
                    <w:webHidden/>
                  </w:rPr>
                  <w:instrText xml:space="preserve"> PAGEREF _Toc531098188 \h </w:instrText>
                </w:r>
                <w:r>
                  <w:rPr>
                    <w:webHidden/>
                  </w:rPr>
                </w:r>
                <w:r>
                  <w:rPr>
                    <w:webHidden/>
                  </w:rPr>
                  <w:fldChar w:fldCharType="separate"/>
                </w:r>
                <w:r>
                  <w:rPr>
                    <w:webHidden/>
                  </w:rPr>
                  <w:t>59</w:t>
                </w:r>
                <w:r>
                  <w:rPr>
                    <w:webHidden/>
                  </w:rPr>
                  <w:fldChar w:fldCharType="end"/>
                </w:r>
              </w:hyperlink>
            </w:p>
            <w:p w14:paraId="7D37A373" w14:textId="77777777" w:rsidR="00D16F86" w:rsidRDefault="00D16F86">
              <w:pPr>
                <w:pStyle w:val="TOC3"/>
                <w:tabs>
                  <w:tab w:val="left" w:pos="2268"/>
                </w:tabs>
                <w:rPr>
                  <w:rFonts w:asciiTheme="minorHAnsi" w:eastAsiaTheme="minorEastAsia" w:hAnsiTheme="minorHAnsi"/>
                  <w:sz w:val="22"/>
                  <w:lang w:eastAsia="en-NZ"/>
                </w:rPr>
              </w:pPr>
              <w:hyperlink w:anchor="_Toc531098189" w:history="1">
                <w:r w:rsidRPr="00687C52">
                  <w:rPr>
                    <w:rStyle w:val="Hyperlink"/>
                  </w:rPr>
                  <w:t>4.2.2.</w:t>
                </w:r>
                <w:r>
                  <w:rPr>
                    <w:rFonts w:asciiTheme="minorHAnsi" w:eastAsiaTheme="minorEastAsia" w:hAnsiTheme="minorHAnsi"/>
                    <w:sz w:val="22"/>
                    <w:lang w:eastAsia="en-NZ"/>
                  </w:rPr>
                  <w:tab/>
                </w:r>
                <w:r w:rsidRPr="00687C52">
                  <w:rPr>
                    <w:rStyle w:val="Hyperlink"/>
                  </w:rPr>
                  <w:t>Gambling Industry (other) submitters preferred the 10/90 weighting</w:t>
                </w:r>
                <w:r>
                  <w:rPr>
                    <w:webHidden/>
                  </w:rPr>
                  <w:tab/>
                </w:r>
                <w:r>
                  <w:rPr>
                    <w:webHidden/>
                  </w:rPr>
                  <w:fldChar w:fldCharType="begin"/>
                </w:r>
                <w:r>
                  <w:rPr>
                    <w:webHidden/>
                  </w:rPr>
                  <w:instrText xml:space="preserve"> PAGEREF _Toc531098189 \h </w:instrText>
                </w:r>
                <w:r>
                  <w:rPr>
                    <w:webHidden/>
                  </w:rPr>
                </w:r>
                <w:r>
                  <w:rPr>
                    <w:webHidden/>
                  </w:rPr>
                  <w:fldChar w:fldCharType="separate"/>
                </w:r>
                <w:r>
                  <w:rPr>
                    <w:webHidden/>
                  </w:rPr>
                  <w:t>61</w:t>
                </w:r>
                <w:r>
                  <w:rPr>
                    <w:webHidden/>
                  </w:rPr>
                  <w:fldChar w:fldCharType="end"/>
                </w:r>
              </w:hyperlink>
            </w:p>
            <w:p w14:paraId="5A865C46" w14:textId="77777777" w:rsidR="00D16F86" w:rsidRDefault="00D16F86">
              <w:pPr>
                <w:pStyle w:val="TOC3"/>
                <w:tabs>
                  <w:tab w:val="left" w:pos="2268"/>
                </w:tabs>
                <w:rPr>
                  <w:rFonts w:asciiTheme="minorHAnsi" w:eastAsiaTheme="minorEastAsia" w:hAnsiTheme="minorHAnsi"/>
                  <w:sz w:val="22"/>
                  <w:lang w:eastAsia="en-NZ"/>
                </w:rPr>
              </w:pPr>
              <w:hyperlink w:anchor="_Toc531098190" w:history="1">
                <w:r w:rsidRPr="00687C52">
                  <w:rPr>
                    <w:rStyle w:val="Hyperlink"/>
                  </w:rPr>
                  <w:t>4.2.3.</w:t>
                </w:r>
                <w:r>
                  <w:rPr>
                    <w:rFonts w:asciiTheme="minorHAnsi" w:eastAsiaTheme="minorEastAsia" w:hAnsiTheme="minorHAnsi"/>
                    <w:sz w:val="22"/>
                    <w:lang w:eastAsia="en-NZ"/>
                  </w:rPr>
                  <w:tab/>
                </w:r>
                <w:r w:rsidRPr="00687C52">
                  <w:rPr>
                    <w:rStyle w:val="Hyperlink"/>
                  </w:rPr>
                  <w:t>A Health sector submitter preferred the 20/80 weighting</w:t>
                </w:r>
                <w:r>
                  <w:rPr>
                    <w:webHidden/>
                  </w:rPr>
                  <w:tab/>
                </w:r>
                <w:r>
                  <w:rPr>
                    <w:webHidden/>
                  </w:rPr>
                  <w:fldChar w:fldCharType="begin"/>
                </w:r>
                <w:r>
                  <w:rPr>
                    <w:webHidden/>
                  </w:rPr>
                  <w:instrText xml:space="preserve"> PAGEREF _Toc531098190 \h </w:instrText>
                </w:r>
                <w:r>
                  <w:rPr>
                    <w:webHidden/>
                  </w:rPr>
                </w:r>
                <w:r>
                  <w:rPr>
                    <w:webHidden/>
                  </w:rPr>
                  <w:fldChar w:fldCharType="separate"/>
                </w:r>
                <w:r>
                  <w:rPr>
                    <w:webHidden/>
                  </w:rPr>
                  <w:t>62</w:t>
                </w:r>
                <w:r>
                  <w:rPr>
                    <w:webHidden/>
                  </w:rPr>
                  <w:fldChar w:fldCharType="end"/>
                </w:r>
              </w:hyperlink>
            </w:p>
            <w:p w14:paraId="6F8EE00A" w14:textId="77777777" w:rsidR="00D16F86" w:rsidRDefault="00D16F86">
              <w:pPr>
                <w:pStyle w:val="TOC3"/>
                <w:tabs>
                  <w:tab w:val="left" w:pos="2268"/>
                </w:tabs>
                <w:rPr>
                  <w:rFonts w:asciiTheme="minorHAnsi" w:eastAsiaTheme="minorEastAsia" w:hAnsiTheme="minorHAnsi"/>
                  <w:sz w:val="22"/>
                  <w:lang w:eastAsia="en-NZ"/>
                </w:rPr>
              </w:pPr>
              <w:hyperlink w:anchor="_Toc531098191" w:history="1">
                <w:r w:rsidRPr="00687C52">
                  <w:rPr>
                    <w:rStyle w:val="Hyperlink"/>
                  </w:rPr>
                  <w:t>4.2.4.</w:t>
                </w:r>
                <w:r>
                  <w:rPr>
                    <w:rFonts w:asciiTheme="minorHAnsi" w:eastAsiaTheme="minorEastAsia" w:hAnsiTheme="minorHAnsi"/>
                    <w:sz w:val="22"/>
                    <w:lang w:eastAsia="en-NZ"/>
                  </w:rPr>
                  <w:tab/>
                </w:r>
                <w:r w:rsidRPr="00687C52">
                  <w:rPr>
                    <w:rStyle w:val="Hyperlink"/>
                  </w:rPr>
                  <w:t>Alternative weighting options were suggested</w:t>
                </w:r>
                <w:r>
                  <w:rPr>
                    <w:webHidden/>
                  </w:rPr>
                  <w:tab/>
                </w:r>
                <w:r>
                  <w:rPr>
                    <w:webHidden/>
                  </w:rPr>
                  <w:fldChar w:fldCharType="begin"/>
                </w:r>
                <w:r>
                  <w:rPr>
                    <w:webHidden/>
                  </w:rPr>
                  <w:instrText xml:space="preserve"> PAGEREF _Toc531098191 \h </w:instrText>
                </w:r>
                <w:r>
                  <w:rPr>
                    <w:webHidden/>
                  </w:rPr>
                </w:r>
                <w:r>
                  <w:rPr>
                    <w:webHidden/>
                  </w:rPr>
                  <w:fldChar w:fldCharType="separate"/>
                </w:r>
                <w:r>
                  <w:rPr>
                    <w:webHidden/>
                  </w:rPr>
                  <w:t>62</w:t>
                </w:r>
                <w:r>
                  <w:rPr>
                    <w:webHidden/>
                  </w:rPr>
                  <w:fldChar w:fldCharType="end"/>
                </w:r>
              </w:hyperlink>
            </w:p>
            <w:p w14:paraId="5735CE13" w14:textId="77777777" w:rsidR="00D16F86" w:rsidRDefault="00D16F86">
              <w:pPr>
                <w:pStyle w:val="TOC3"/>
                <w:tabs>
                  <w:tab w:val="left" w:pos="2268"/>
                </w:tabs>
                <w:rPr>
                  <w:rFonts w:asciiTheme="minorHAnsi" w:eastAsiaTheme="minorEastAsia" w:hAnsiTheme="minorHAnsi"/>
                  <w:sz w:val="22"/>
                  <w:lang w:eastAsia="en-NZ"/>
                </w:rPr>
              </w:pPr>
              <w:hyperlink w:anchor="_Toc531098192" w:history="1">
                <w:r w:rsidRPr="00687C52">
                  <w:rPr>
                    <w:rStyle w:val="Hyperlink"/>
                  </w:rPr>
                  <w:t>4.2.5.</w:t>
                </w:r>
                <w:r>
                  <w:rPr>
                    <w:rFonts w:asciiTheme="minorHAnsi" w:eastAsiaTheme="minorEastAsia" w:hAnsiTheme="minorHAnsi"/>
                    <w:sz w:val="22"/>
                    <w:lang w:eastAsia="en-NZ"/>
                  </w:rPr>
                  <w:tab/>
                </w:r>
                <w:r w:rsidRPr="00687C52">
                  <w:rPr>
                    <w:rStyle w:val="Hyperlink"/>
                  </w:rPr>
                  <w:t>Other comments about weightings were made</w:t>
                </w:r>
                <w:r>
                  <w:rPr>
                    <w:webHidden/>
                  </w:rPr>
                  <w:tab/>
                </w:r>
                <w:r>
                  <w:rPr>
                    <w:webHidden/>
                  </w:rPr>
                  <w:fldChar w:fldCharType="begin"/>
                </w:r>
                <w:r>
                  <w:rPr>
                    <w:webHidden/>
                  </w:rPr>
                  <w:instrText xml:space="preserve"> PAGEREF _Toc531098192 \h </w:instrText>
                </w:r>
                <w:r>
                  <w:rPr>
                    <w:webHidden/>
                  </w:rPr>
                </w:r>
                <w:r>
                  <w:rPr>
                    <w:webHidden/>
                  </w:rPr>
                  <w:fldChar w:fldCharType="separate"/>
                </w:r>
                <w:r>
                  <w:rPr>
                    <w:webHidden/>
                  </w:rPr>
                  <w:t>63</w:t>
                </w:r>
                <w:r>
                  <w:rPr>
                    <w:webHidden/>
                  </w:rPr>
                  <w:fldChar w:fldCharType="end"/>
                </w:r>
              </w:hyperlink>
            </w:p>
            <w:p w14:paraId="462FA537" w14:textId="77777777" w:rsidR="00D16F86" w:rsidRDefault="00D16F86">
              <w:pPr>
                <w:pStyle w:val="TOC2"/>
                <w:rPr>
                  <w:rFonts w:asciiTheme="minorHAnsi" w:eastAsiaTheme="minorEastAsia" w:hAnsiTheme="minorHAnsi"/>
                  <w:lang w:eastAsia="en-NZ"/>
                </w:rPr>
              </w:pPr>
              <w:hyperlink w:anchor="_Toc531098193" w:history="1">
                <w:r w:rsidRPr="00687C52">
                  <w:rPr>
                    <w:rStyle w:val="Hyperlink"/>
                  </w:rPr>
                  <w:t>4.3.</w:t>
                </w:r>
                <w:r>
                  <w:rPr>
                    <w:rFonts w:asciiTheme="minorHAnsi" w:eastAsiaTheme="minorEastAsia" w:hAnsiTheme="minorHAnsi"/>
                    <w:lang w:eastAsia="en-NZ"/>
                  </w:rPr>
                  <w:tab/>
                </w:r>
                <w:r w:rsidRPr="00687C52">
                  <w:rPr>
                    <w:rStyle w:val="Hyperlink"/>
                  </w:rPr>
                  <w:t>The degree of support for the levy rates</w:t>
                </w:r>
                <w:r>
                  <w:rPr>
                    <w:webHidden/>
                  </w:rPr>
                  <w:tab/>
                </w:r>
                <w:r>
                  <w:rPr>
                    <w:webHidden/>
                  </w:rPr>
                  <w:fldChar w:fldCharType="begin"/>
                </w:r>
                <w:r>
                  <w:rPr>
                    <w:webHidden/>
                  </w:rPr>
                  <w:instrText xml:space="preserve"> PAGEREF _Toc531098193 \h </w:instrText>
                </w:r>
                <w:r>
                  <w:rPr>
                    <w:webHidden/>
                  </w:rPr>
                </w:r>
                <w:r>
                  <w:rPr>
                    <w:webHidden/>
                  </w:rPr>
                  <w:fldChar w:fldCharType="separate"/>
                </w:r>
                <w:r>
                  <w:rPr>
                    <w:webHidden/>
                  </w:rPr>
                  <w:t>63</w:t>
                </w:r>
                <w:r>
                  <w:rPr>
                    <w:webHidden/>
                  </w:rPr>
                  <w:fldChar w:fldCharType="end"/>
                </w:r>
              </w:hyperlink>
            </w:p>
            <w:p w14:paraId="2CE2018E" w14:textId="77777777" w:rsidR="00D16F86" w:rsidRDefault="00D16F86">
              <w:pPr>
                <w:pStyle w:val="TOC3"/>
                <w:tabs>
                  <w:tab w:val="left" w:pos="2268"/>
                </w:tabs>
                <w:rPr>
                  <w:rFonts w:asciiTheme="minorHAnsi" w:eastAsiaTheme="minorEastAsia" w:hAnsiTheme="minorHAnsi"/>
                  <w:sz w:val="22"/>
                  <w:lang w:eastAsia="en-NZ"/>
                </w:rPr>
              </w:pPr>
              <w:hyperlink w:anchor="_Toc531098194" w:history="1">
                <w:r w:rsidRPr="00687C52">
                  <w:rPr>
                    <w:rStyle w:val="Hyperlink"/>
                  </w:rPr>
                  <w:t>4.3.1.</w:t>
                </w:r>
                <w:r>
                  <w:rPr>
                    <w:rFonts w:asciiTheme="minorHAnsi" w:eastAsiaTheme="minorEastAsia" w:hAnsiTheme="minorHAnsi"/>
                    <w:sz w:val="22"/>
                    <w:lang w:eastAsia="en-NZ"/>
                  </w:rPr>
                  <w:tab/>
                </w:r>
                <w:r w:rsidRPr="00687C52">
                  <w:rPr>
                    <w:rStyle w:val="Hyperlink"/>
                  </w:rPr>
                  <w:t>The use of presentation data in the levy formula is contested by NCGM sector and Service Provider submitters</w:t>
                </w:r>
                <w:r>
                  <w:rPr>
                    <w:webHidden/>
                  </w:rPr>
                  <w:tab/>
                </w:r>
                <w:r>
                  <w:rPr>
                    <w:webHidden/>
                  </w:rPr>
                  <w:fldChar w:fldCharType="begin"/>
                </w:r>
                <w:r>
                  <w:rPr>
                    <w:webHidden/>
                  </w:rPr>
                  <w:instrText xml:space="preserve"> PAGEREF _Toc531098194 \h </w:instrText>
                </w:r>
                <w:r>
                  <w:rPr>
                    <w:webHidden/>
                  </w:rPr>
                </w:r>
                <w:r>
                  <w:rPr>
                    <w:webHidden/>
                  </w:rPr>
                  <w:fldChar w:fldCharType="separate"/>
                </w:r>
                <w:r>
                  <w:rPr>
                    <w:webHidden/>
                  </w:rPr>
                  <w:t>64</w:t>
                </w:r>
                <w:r>
                  <w:rPr>
                    <w:webHidden/>
                  </w:rPr>
                  <w:fldChar w:fldCharType="end"/>
                </w:r>
              </w:hyperlink>
            </w:p>
            <w:p w14:paraId="75625E81" w14:textId="77777777" w:rsidR="00D16F86" w:rsidRDefault="00D16F86">
              <w:pPr>
                <w:pStyle w:val="TOC3"/>
                <w:tabs>
                  <w:tab w:val="left" w:pos="2268"/>
                </w:tabs>
                <w:rPr>
                  <w:rFonts w:asciiTheme="minorHAnsi" w:eastAsiaTheme="minorEastAsia" w:hAnsiTheme="minorHAnsi"/>
                  <w:sz w:val="22"/>
                  <w:lang w:eastAsia="en-NZ"/>
                </w:rPr>
              </w:pPr>
              <w:hyperlink w:anchor="_Toc531098195" w:history="1">
                <w:r w:rsidRPr="00687C52">
                  <w:rPr>
                    <w:rStyle w:val="Hyperlink"/>
                  </w:rPr>
                  <w:t>4.3.2.</w:t>
                </w:r>
                <w:r>
                  <w:rPr>
                    <w:rFonts w:asciiTheme="minorHAnsi" w:eastAsiaTheme="minorEastAsia" w:hAnsiTheme="minorHAnsi"/>
                    <w:sz w:val="22"/>
                    <w:lang w:eastAsia="en-NZ"/>
                  </w:rPr>
                  <w:tab/>
                </w:r>
                <w:r w:rsidRPr="00687C52">
                  <w:rPr>
                    <w:rStyle w:val="Hyperlink"/>
                  </w:rPr>
                  <w:t>There is some support for increased complexity in levy setting for the NCGM sector</w:t>
                </w:r>
                <w:r>
                  <w:rPr>
                    <w:webHidden/>
                  </w:rPr>
                  <w:tab/>
                </w:r>
                <w:r>
                  <w:rPr>
                    <w:webHidden/>
                  </w:rPr>
                  <w:fldChar w:fldCharType="begin"/>
                </w:r>
                <w:r>
                  <w:rPr>
                    <w:webHidden/>
                  </w:rPr>
                  <w:instrText xml:space="preserve"> PAGEREF _Toc531098195 \h </w:instrText>
                </w:r>
                <w:r>
                  <w:rPr>
                    <w:webHidden/>
                  </w:rPr>
                </w:r>
                <w:r>
                  <w:rPr>
                    <w:webHidden/>
                  </w:rPr>
                  <w:fldChar w:fldCharType="separate"/>
                </w:r>
                <w:r>
                  <w:rPr>
                    <w:webHidden/>
                  </w:rPr>
                  <w:t>64</w:t>
                </w:r>
                <w:r>
                  <w:rPr>
                    <w:webHidden/>
                  </w:rPr>
                  <w:fldChar w:fldCharType="end"/>
                </w:r>
              </w:hyperlink>
            </w:p>
            <w:p w14:paraId="59D0645C" w14:textId="77777777" w:rsidR="00D16F86" w:rsidRDefault="00D16F86">
              <w:pPr>
                <w:pStyle w:val="TOC3"/>
                <w:tabs>
                  <w:tab w:val="left" w:pos="2268"/>
                </w:tabs>
                <w:rPr>
                  <w:rFonts w:asciiTheme="minorHAnsi" w:eastAsiaTheme="minorEastAsia" w:hAnsiTheme="minorHAnsi"/>
                  <w:sz w:val="22"/>
                  <w:lang w:eastAsia="en-NZ"/>
                </w:rPr>
              </w:pPr>
              <w:hyperlink w:anchor="_Toc531098196" w:history="1">
                <w:r w:rsidRPr="00687C52">
                  <w:rPr>
                    <w:rStyle w:val="Hyperlink"/>
                  </w:rPr>
                  <w:t>4.3.3.</w:t>
                </w:r>
                <w:r>
                  <w:rPr>
                    <w:rFonts w:asciiTheme="minorHAnsi" w:eastAsiaTheme="minorEastAsia" w:hAnsiTheme="minorHAnsi"/>
                    <w:sz w:val="22"/>
                    <w:lang w:eastAsia="en-NZ"/>
                  </w:rPr>
                  <w:tab/>
                </w:r>
                <w:r w:rsidRPr="00687C52">
                  <w:rPr>
                    <w:rStyle w:val="Hyperlink"/>
                  </w:rPr>
                  <w:t>A Gambling Industry (other) submitter commented that the levy does not reflect casino host responsibility initiatives</w:t>
                </w:r>
                <w:r>
                  <w:rPr>
                    <w:webHidden/>
                  </w:rPr>
                  <w:tab/>
                </w:r>
                <w:r>
                  <w:rPr>
                    <w:webHidden/>
                  </w:rPr>
                  <w:fldChar w:fldCharType="begin"/>
                </w:r>
                <w:r>
                  <w:rPr>
                    <w:webHidden/>
                  </w:rPr>
                  <w:instrText xml:space="preserve"> PAGEREF _Toc531098196 \h </w:instrText>
                </w:r>
                <w:r>
                  <w:rPr>
                    <w:webHidden/>
                  </w:rPr>
                </w:r>
                <w:r>
                  <w:rPr>
                    <w:webHidden/>
                  </w:rPr>
                  <w:fldChar w:fldCharType="separate"/>
                </w:r>
                <w:r>
                  <w:rPr>
                    <w:webHidden/>
                  </w:rPr>
                  <w:t>65</w:t>
                </w:r>
                <w:r>
                  <w:rPr>
                    <w:webHidden/>
                  </w:rPr>
                  <w:fldChar w:fldCharType="end"/>
                </w:r>
              </w:hyperlink>
            </w:p>
            <w:p w14:paraId="2AA71409" w14:textId="77777777" w:rsidR="00D16F86" w:rsidRDefault="00D16F86">
              <w:pPr>
                <w:pStyle w:val="TOC3"/>
                <w:tabs>
                  <w:tab w:val="left" w:pos="2268"/>
                </w:tabs>
                <w:rPr>
                  <w:rFonts w:asciiTheme="minorHAnsi" w:eastAsiaTheme="minorEastAsia" w:hAnsiTheme="minorHAnsi"/>
                  <w:sz w:val="22"/>
                  <w:lang w:eastAsia="en-NZ"/>
                </w:rPr>
              </w:pPr>
              <w:hyperlink w:anchor="_Toc531098197" w:history="1">
                <w:r w:rsidRPr="00687C52">
                  <w:rPr>
                    <w:rStyle w:val="Hyperlink"/>
                  </w:rPr>
                  <w:t>4.3.4.</w:t>
                </w:r>
                <w:r>
                  <w:rPr>
                    <w:rFonts w:asciiTheme="minorHAnsi" w:eastAsiaTheme="minorEastAsia" w:hAnsiTheme="minorHAnsi"/>
                    <w:sz w:val="22"/>
                    <w:lang w:eastAsia="en-NZ"/>
                  </w:rPr>
                  <w:tab/>
                </w:r>
                <w:r w:rsidRPr="00687C52">
                  <w:rPr>
                    <w:rStyle w:val="Hyperlink"/>
                  </w:rPr>
                  <w:t>Additional considerations were proposed for setting levy rates</w:t>
                </w:r>
                <w:r>
                  <w:rPr>
                    <w:webHidden/>
                  </w:rPr>
                  <w:tab/>
                </w:r>
                <w:r>
                  <w:rPr>
                    <w:webHidden/>
                  </w:rPr>
                  <w:fldChar w:fldCharType="begin"/>
                </w:r>
                <w:r>
                  <w:rPr>
                    <w:webHidden/>
                  </w:rPr>
                  <w:instrText xml:space="preserve"> PAGEREF _Toc531098197 \h </w:instrText>
                </w:r>
                <w:r>
                  <w:rPr>
                    <w:webHidden/>
                  </w:rPr>
                </w:r>
                <w:r>
                  <w:rPr>
                    <w:webHidden/>
                  </w:rPr>
                  <w:fldChar w:fldCharType="separate"/>
                </w:r>
                <w:r>
                  <w:rPr>
                    <w:webHidden/>
                  </w:rPr>
                  <w:t>65</w:t>
                </w:r>
                <w:r>
                  <w:rPr>
                    <w:webHidden/>
                  </w:rPr>
                  <w:fldChar w:fldCharType="end"/>
                </w:r>
              </w:hyperlink>
            </w:p>
            <w:p w14:paraId="66B86559" w14:textId="77777777" w:rsidR="00D16F86" w:rsidRDefault="00D16F86">
              <w:pPr>
                <w:pStyle w:val="TOC3"/>
                <w:tabs>
                  <w:tab w:val="left" w:pos="2268"/>
                </w:tabs>
                <w:rPr>
                  <w:rFonts w:asciiTheme="minorHAnsi" w:eastAsiaTheme="minorEastAsia" w:hAnsiTheme="minorHAnsi"/>
                  <w:sz w:val="22"/>
                  <w:lang w:eastAsia="en-NZ"/>
                </w:rPr>
              </w:pPr>
              <w:hyperlink w:anchor="_Toc531098198" w:history="1">
                <w:r w:rsidRPr="00687C52">
                  <w:rPr>
                    <w:rStyle w:val="Hyperlink"/>
                  </w:rPr>
                  <w:t>4.3.5.</w:t>
                </w:r>
                <w:r>
                  <w:rPr>
                    <w:rFonts w:asciiTheme="minorHAnsi" w:eastAsiaTheme="minorEastAsia" w:hAnsiTheme="minorHAnsi"/>
                    <w:sz w:val="22"/>
                    <w:lang w:eastAsia="en-NZ"/>
                  </w:rPr>
                  <w:tab/>
                </w:r>
                <w:r w:rsidRPr="00687C52">
                  <w:rPr>
                    <w:rStyle w:val="Hyperlink"/>
                  </w:rPr>
                  <w:t>Research and evaluation costs should be borne equally by all four gambling sectors</w:t>
                </w:r>
                <w:r>
                  <w:rPr>
                    <w:webHidden/>
                  </w:rPr>
                  <w:tab/>
                </w:r>
                <w:r>
                  <w:rPr>
                    <w:webHidden/>
                  </w:rPr>
                  <w:fldChar w:fldCharType="begin"/>
                </w:r>
                <w:r>
                  <w:rPr>
                    <w:webHidden/>
                  </w:rPr>
                  <w:instrText xml:space="preserve"> PAGEREF _Toc531098198 \h </w:instrText>
                </w:r>
                <w:r>
                  <w:rPr>
                    <w:webHidden/>
                  </w:rPr>
                </w:r>
                <w:r>
                  <w:rPr>
                    <w:webHidden/>
                  </w:rPr>
                  <w:fldChar w:fldCharType="separate"/>
                </w:r>
                <w:r>
                  <w:rPr>
                    <w:webHidden/>
                  </w:rPr>
                  <w:t>66</w:t>
                </w:r>
                <w:r>
                  <w:rPr>
                    <w:webHidden/>
                  </w:rPr>
                  <w:fldChar w:fldCharType="end"/>
                </w:r>
              </w:hyperlink>
            </w:p>
            <w:p w14:paraId="4B14FD7E" w14:textId="77777777" w:rsidR="00D16F86" w:rsidRDefault="00D16F86">
              <w:pPr>
                <w:pStyle w:val="TOC1"/>
                <w:rPr>
                  <w:rFonts w:asciiTheme="minorHAnsi" w:eastAsiaTheme="minorEastAsia" w:hAnsiTheme="minorHAnsi"/>
                  <w:b w:val="0"/>
                  <w:caps w:val="0"/>
                  <w:lang w:eastAsia="en-NZ"/>
                </w:rPr>
              </w:pPr>
              <w:hyperlink w:anchor="_Toc531098199" w:history="1">
                <w:r w:rsidRPr="00687C52">
                  <w:rPr>
                    <w:rStyle w:val="Hyperlink"/>
                  </w:rPr>
                  <w:t>5.</w:t>
                </w:r>
                <w:r>
                  <w:rPr>
                    <w:rFonts w:asciiTheme="minorHAnsi" w:eastAsiaTheme="minorEastAsia" w:hAnsiTheme="minorHAnsi"/>
                    <w:b w:val="0"/>
                    <w:caps w:val="0"/>
                    <w:lang w:eastAsia="en-NZ"/>
                  </w:rPr>
                  <w:tab/>
                </w:r>
                <w:r w:rsidRPr="00687C52">
                  <w:rPr>
                    <w:rStyle w:val="Hyperlink"/>
                  </w:rPr>
                  <w:t>Policy in relation to NCGM venues and the levy formula</w:t>
                </w:r>
                <w:r>
                  <w:rPr>
                    <w:webHidden/>
                  </w:rPr>
                  <w:tab/>
                </w:r>
                <w:r>
                  <w:rPr>
                    <w:webHidden/>
                  </w:rPr>
                  <w:fldChar w:fldCharType="begin"/>
                </w:r>
                <w:r>
                  <w:rPr>
                    <w:webHidden/>
                  </w:rPr>
                  <w:instrText xml:space="preserve"> PAGEREF _Toc531098199 \h </w:instrText>
                </w:r>
                <w:r>
                  <w:rPr>
                    <w:webHidden/>
                  </w:rPr>
                </w:r>
                <w:r>
                  <w:rPr>
                    <w:webHidden/>
                  </w:rPr>
                  <w:fldChar w:fldCharType="separate"/>
                </w:r>
                <w:r>
                  <w:rPr>
                    <w:webHidden/>
                  </w:rPr>
                  <w:t>67</w:t>
                </w:r>
                <w:r>
                  <w:rPr>
                    <w:webHidden/>
                  </w:rPr>
                  <w:fldChar w:fldCharType="end"/>
                </w:r>
              </w:hyperlink>
            </w:p>
            <w:p w14:paraId="7F4DB5C4" w14:textId="77777777" w:rsidR="00D16F86" w:rsidRDefault="00D16F86">
              <w:pPr>
                <w:pStyle w:val="TOC2"/>
                <w:rPr>
                  <w:rFonts w:asciiTheme="minorHAnsi" w:eastAsiaTheme="minorEastAsia" w:hAnsiTheme="minorHAnsi"/>
                  <w:lang w:eastAsia="en-NZ"/>
                </w:rPr>
              </w:pPr>
              <w:hyperlink w:anchor="_Toc531098200" w:history="1">
                <w:r w:rsidRPr="00687C52">
                  <w:rPr>
                    <w:rStyle w:val="Hyperlink"/>
                  </w:rPr>
                  <w:t>5.1.</w:t>
                </w:r>
                <w:r>
                  <w:rPr>
                    <w:rFonts w:asciiTheme="minorHAnsi" w:eastAsiaTheme="minorEastAsia" w:hAnsiTheme="minorHAnsi"/>
                    <w:lang w:eastAsia="en-NZ"/>
                  </w:rPr>
                  <w:tab/>
                </w:r>
                <w:r w:rsidRPr="00687C52">
                  <w:rPr>
                    <w:rStyle w:val="Hyperlink"/>
                  </w:rPr>
                  <w:t>The degree of support for incentivised relocation of NCGM venues</w:t>
                </w:r>
                <w:r>
                  <w:rPr>
                    <w:webHidden/>
                  </w:rPr>
                  <w:tab/>
                </w:r>
                <w:r>
                  <w:rPr>
                    <w:webHidden/>
                  </w:rPr>
                  <w:fldChar w:fldCharType="begin"/>
                </w:r>
                <w:r>
                  <w:rPr>
                    <w:webHidden/>
                  </w:rPr>
                  <w:instrText xml:space="preserve"> PAGEREF _Toc531098200 \h </w:instrText>
                </w:r>
                <w:r>
                  <w:rPr>
                    <w:webHidden/>
                  </w:rPr>
                </w:r>
                <w:r>
                  <w:rPr>
                    <w:webHidden/>
                  </w:rPr>
                  <w:fldChar w:fldCharType="separate"/>
                </w:r>
                <w:r>
                  <w:rPr>
                    <w:webHidden/>
                  </w:rPr>
                  <w:t>67</w:t>
                </w:r>
                <w:r>
                  <w:rPr>
                    <w:webHidden/>
                  </w:rPr>
                  <w:fldChar w:fldCharType="end"/>
                </w:r>
              </w:hyperlink>
            </w:p>
            <w:p w14:paraId="63432F17" w14:textId="77777777" w:rsidR="00D16F86" w:rsidRDefault="00D16F86">
              <w:pPr>
                <w:pStyle w:val="TOC3"/>
                <w:tabs>
                  <w:tab w:val="left" w:pos="2268"/>
                </w:tabs>
                <w:rPr>
                  <w:rFonts w:asciiTheme="minorHAnsi" w:eastAsiaTheme="minorEastAsia" w:hAnsiTheme="minorHAnsi"/>
                  <w:sz w:val="22"/>
                  <w:lang w:eastAsia="en-NZ"/>
                </w:rPr>
              </w:pPr>
              <w:hyperlink w:anchor="_Toc531098201" w:history="1">
                <w:r w:rsidRPr="00687C52">
                  <w:rPr>
                    <w:rStyle w:val="Hyperlink"/>
                  </w:rPr>
                  <w:t>5.1.1.</w:t>
                </w:r>
                <w:r>
                  <w:rPr>
                    <w:rFonts w:asciiTheme="minorHAnsi" w:eastAsiaTheme="minorEastAsia" w:hAnsiTheme="minorHAnsi"/>
                    <w:sz w:val="22"/>
                    <w:lang w:eastAsia="en-NZ"/>
                  </w:rPr>
                  <w:tab/>
                </w:r>
                <w:r w:rsidRPr="00687C52">
                  <w:rPr>
                    <w:rStyle w:val="Hyperlink"/>
                  </w:rPr>
                  <w:t>There was broad support for allowing NCGM venues to relocate, however, incentivisation was not generally supported</w:t>
                </w:r>
                <w:r>
                  <w:rPr>
                    <w:webHidden/>
                  </w:rPr>
                  <w:tab/>
                </w:r>
                <w:r>
                  <w:rPr>
                    <w:webHidden/>
                  </w:rPr>
                  <w:fldChar w:fldCharType="begin"/>
                </w:r>
                <w:r>
                  <w:rPr>
                    <w:webHidden/>
                  </w:rPr>
                  <w:instrText xml:space="preserve"> PAGEREF _Toc531098201 \h </w:instrText>
                </w:r>
                <w:r>
                  <w:rPr>
                    <w:webHidden/>
                  </w:rPr>
                </w:r>
                <w:r>
                  <w:rPr>
                    <w:webHidden/>
                  </w:rPr>
                  <w:fldChar w:fldCharType="separate"/>
                </w:r>
                <w:r>
                  <w:rPr>
                    <w:webHidden/>
                  </w:rPr>
                  <w:t>67</w:t>
                </w:r>
                <w:r>
                  <w:rPr>
                    <w:webHidden/>
                  </w:rPr>
                  <w:fldChar w:fldCharType="end"/>
                </w:r>
              </w:hyperlink>
            </w:p>
            <w:p w14:paraId="23726E2F" w14:textId="77777777" w:rsidR="00D16F86" w:rsidRDefault="00D16F86">
              <w:pPr>
                <w:pStyle w:val="TOC2"/>
                <w:rPr>
                  <w:rFonts w:asciiTheme="minorHAnsi" w:eastAsiaTheme="minorEastAsia" w:hAnsiTheme="minorHAnsi"/>
                  <w:lang w:eastAsia="en-NZ"/>
                </w:rPr>
              </w:pPr>
              <w:hyperlink w:anchor="_Toc531098202" w:history="1">
                <w:r w:rsidRPr="00687C52">
                  <w:rPr>
                    <w:rStyle w:val="Hyperlink"/>
                  </w:rPr>
                  <w:t>5.2.</w:t>
                </w:r>
                <w:r>
                  <w:rPr>
                    <w:rFonts w:asciiTheme="minorHAnsi" w:eastAsiaTheme="minorEastAsia" w:hAnsiTheme="minorHAnsi"/>
                    <w:lang w:eastAsia="en-NZ"/>
                  </w:rPr>
                  <w:tab/>
                </w:r>
                <w:r w:rsidRPr="00687C52">
                  <w:rPr>
                    <w:rStyle w:val="Hyperlink"/>
                  </w:rPr>
                  <w:t>Structural barriers to relocating NCGM venues were identified</w:t>
                </w:r>
                <w:r>
                  <w:rPr>
                    <w:webHidden/>
                  </w:rPr>
                  <w:tab/>
                </w:r>
                <w:r>
                  <w:rPr>
                    <w:webHidden/>
                  </w:rPr>
                  <w:fldChar w:fldCharType="begin"/>
                </w:r>
                <w:r>
                  <w:rPr>
                    <w:webHidden/>
                  </w:rPr>
                  <w:instrText xml:space="preserve"> PAGEREF _Toc531098202 \h </w:instrText>
                </w:r>
                <w:r>
                  <w:rPr>
                    <w:webHidden/>
                  </w:rPr>
                </w:r>
                <w:r>
                  <w:rPr>
                    <w:webHidden/>
                  </w:rPr>
                  <w:fldChar w:fldCharType="separate"/>
                </w:r>
                <w:r>
                  <w:rPr>
                    <w:webHidden/>
                  </w:rPr>
                  <w:t>69</w:t>
                </w:r>
                <w:r>
                  <w:rPr>
                    <w:webHidden/>
                  </w:rPr>
                  <w:fldChar w:fldCharType="end"/>
                </w:r>
              </w:hyperlink>
            </w:p>
            <w:p w14:paraId="77F9B8F8" w14:textId="77777777" w:rsidR="00D16F86" w:rsidRDefault="00D16F86">
              <w:pPr>
                <w:pStyle w:val="TOC2"/>
                <w:rPr>
                  <w:rFonts w:asciiTheme="minorHAnsi" w:eastAsiaTheme="minorEastAsia" w:hAnsiTheme="minorHAnsi"/>
                  <w:lang w:eastAsia="en-NZ"/>
                </w:rPr>
              </w:pPr>
              <w:hyperlink w:anchor="_Toc531098203" w:history="1">
                <w:r w:rsidRPr="00687C52">
                  <w:rPr>
                    <w:rStyle w:val="Hyperlink"/>
                  </w:rPr>
                  <w:t>5.3.</w:t>
                </w:r>
                <w:r>
                  <w:rPr>
                    <w:rFonts w:asciiTheme="minorHAnsi" w:eastAsiaTheme="minorEastAsia" w:hAnsiTheme="minorHAnsi"/>
                    <w:lang w:eastAsia="en-NZ"/>
                  </w:rPr>
                  <w:tab/>
                </w:r>
                <w:r w:rsidRPr="00687C52">
                  <w:rPr>
                    <w:rStyle w:val="Hyperlink"/>
                  </w:rPr>
                  <w:t>Incentives to support relocation were suggested</w:t>
                </w:r>
                <w:r>
                  <w:rPr>
                    <w:webHidden/>
                  </w:rPr>
                  <w:tab/>
                </w:r>
                <w:r>
                  <w:rPr>
                    <w:webHidden/>
                  </w:rPr>
                  <w:fldChar w:fldCharType="begin"/>
                </w:r>
                <w:r>
                  <w:rPr>
                    <w:webHidden/>
                  </w:rPr>
                  <w:instrText xml:space="preserve"> PAGEREF _Toc531098203 \h </w:instrText>
                </w:r>
                <w:r>
                  <w:rPr>
                    <w:webHidden/>
                  </w:rPr>
                </w:r>
                <w:r>
                  <w:rPr>
                    <w:webHidden/>
                  </w:rPr>
                  <w:fldChar w:fldCharType="separate"/>
                </w:r>
                <w:r>
                  <w:rPr>
                    <w:webHidden/>
                  </w:rPr>
                  <w:t>71</w:t>
                </w:r>
                <w:r>
                  <w:rPr>
                    <w:webHidden/>
                  </w:rPr>
                  <w:fldChar w:fldCharType="end"/>
                </w:r>
              </w:hyperlink>
            </w:p>
            <w:p w14:paraId="4239EF44" w14:textId="77777777" w:rsidR="00D16F86" w:rsidRDefault="00D16F86">
              <w:pPr>
                <w:pStyle w:val="TOC2"/>
                <w:rPr>
                  <w:rFonts w:asciiTheme="minorHAnsi" w:eastAsiaTheme="minorEastAsia" w:hAnsiTheme="minorHAnsi"/>
                  <w:lang w:eastAsia="en-NZ"/>
                </w:rPr>
              </w:pPr>
              <w:hyperlink w:anchor="_Toc531098204" w:history="1">
                <w:r w:rsidRPr="00687C52">
                  <w:rPr>
                    <w:rStyle w:val="Hyperlink"/>
                  </w:rPr>
                  <w:t>5.4.</w:t>
                </w:r>
                <w:r>
                  <w:rPr>
                    <w:rFonts w:asciiTheme="minorHAnsi" w:eastAsiaTheme="minorEastAsia" w:hAnsiTheme="minorHAnsi"/>
                    <w:lang w:eastAsia="en-NZ"/>
                  </w:rPr>
                  <w:tab/>
                </w:r>
                <w:r w:rsidRPr="00687C52">
                  <w:rPr>
                    <w:rStyle w:val="Hyperlink"/>
                  </w:rPr>
                  <w:t>The degree of support for the levy formula policy</w:t>
                </w:r>
                <w:r>
                  <w:rPr>
                    <w:webHidden/>
                  </w:rPr>
                  <w:tab/>
                </w:r>
                <w:r>
                  <w:rPr>
                    <w:webHidden/>
                  </w:rPr>
                  <w:fldChar w:fldCharType="begin"/>
                </w:r>
                <w:r>
                  <w:rPr>
                    <w:webHidden/>
                  </w:rPr>
                  <w:instrText xml:space="preserve"> PAGEREF _Toc531098204 \h </w:instrText>
                </w:r>
                <w:r>
                  <w:rPr>
                    <w:webHidden/>
                  </w:rPr>
                </w:r>
                <w:r>
                  <w:rPr>
                    <w:webHidden/>
                  </w:rPr>
                  <w:fldChar w:fldCharType="separate"/>
                </w:r>
                <w:r>
                  <w:rPr>
                    <w:webHidden/>
                  </w:rPr>
                  <w:t>73</w:t>
                </w:r>
                <w:r>
                  <w:rPr>
                    <w:webHidden/>
                  </w:rPr>
                  <w:fldChar w:fldCharType="end"/>
                </w:r>
              </w:hyperlink>
            </w:p>
            <w:p w14:paraId="439CD034" w14:textId="77777777" w:rsidR="00D16F86" w:rsidRDefault="00D16F86">
              <w:pPr>
                <w:pStyle w:val="TOC3"/>
                <w:tabs>
                  <w:tab w:val="left" w:pos="2268"/>
                </w:tabs>
                <w:rPr>
                  <w:rFonts w:asciiTheme="minorHAnsi" w:eastAsiaTheme="minorEastAsia" w:hAnsiTheme="minorHAnsi"/>
                  <w:sz w:val="22"/>
                  <w:lang w:eastAsia="en-NZ"/>
                </w:rPr>
              </w:pPr>
              <w:hyperlink w:anchor="_Toc531098205" w:history="1">
                <w:r w:rsidRPr="00687C52">
                  <w:rPr>
                    <w:rStyle w:val="Hyperlink"/>
                  </w:rPr>
                  <w:t>5.4.1.</w:t>
                </w:r>
                <w:r>
                  <w:rPr>
                    <w:rFonts w:asciiTheme="minorHAnsi" w:eastAsiaTheme="minorEastAsia" w:hAnsiTheme="minorHAnsi"/>
                    <w:sz w:val="22"/>
                    <w:lang w:eastAsia="en-NZ"/>
                  </w:rPr>
                  <w:tab/>
                </w:r>
                <w:r w:rsidRPr="00687C52">
                  <w:rPr>
                    <w:rStyle w:val="Hyperlink"/>
                  </w:rPr>
                  <w:t>Suggestions were made for improving the levy formula</w:t>
                </w:r>
                <w:r>
                  <w:rPr>
                    <w:webHidden/>
                  </w:rPr>
                  <w:tab/>
                </w:r>
                <w:r>
                  <w:rPr>
                    <w:webHidden/>
                  </w:rPr>
                  <w:fldChar w:fldCharType="begin"/>
                </w:r>
                <w:r>
                  <w:rPr>
                    <w:webHidden/>
                  </w:rPr>
                  <w:instrText xml:space="preserve"> PAGEREF _Toc531098205 \h </w:instrText>
                </w:r>
                <w:r>
                  <w:rPr>
                    <w:webHidden/>
                  </w:rPr>
                </w:r>
                <w:r>
                  <w:rPr>
                    <w:webHidden/>
                  </w:rPr>
                  <w:fldChar w:fldCharType="separate"/>
                </w:r>
                <w:r>
                  <w:rPr>
                    <w:webHidden/>
                  </w:rPr>
                  <w:t>73</w:t>
                </w:r>
                <w:r>
                  <w:rPr>
                    <w:webHidden/>
                  </w:rPr>
                  <w:fldChar w:fldCharType="end"/>
                </w:r>
              </w:hyperlink>
            </w:p>
            <w:p w14:paraId="71EC462F" w14:textId="77777777" w:rsidR="00D16F86" w:rsidRDefault="00D16F86">
              <w:pPr>
                <w:pStyle w:val="TOC3"/>
                <w:tabs>
                  <w:tab w:val="left" w:pos="2268"/>
                </w:tabs>
                <w:rPr>
                  <w:rFonts w:asciiTheme="minorHAnsi" w:eastAsiaTheme="minorEastAsia" w:hAnsiTheme="minorHAnsi"/>
                  <w:sz w:val="22"/>
                  <w:lang w:eastAsia="en-NZ"/>
                </w:rPr>
              </w:pPr>
              <w:hyperlink w:anchor="_Toc531098206" w:history="1">
                <w:r w:rsidRPr="00687C52">
                  <w:rPr>
                    <w:rStyle w:val="Hyperlink"/>
                  </w:rPr>
                  <w:t>5.4.2.</w:t>
                </w:r>
                <w:r>
                  <w:rPr>
                    <w:rFonts w:asciiTheme="minorHAnsi" w:eastAsiaTheme="minorEastAsia" w:hAnsiTheme="minorHAnsi"/>
                    <w:sz w:val="22"/>
                    <w:lang w:eastAsia="en-NZ"/>
                  </w:rPr>
                  <w:tab/>
                </w:r>
                <w:r w:rsidRPr="00687C52">
                  <w:rPr>
                    <w:rStyle w:val="Hyperlink"/>
                  </w:rPr>
                  <w:t>Service Providers identified other considerations which needed to be included when developing the formula</w:t>
                </w:r>
                <w:r>
                  <w:rPr>
                    <w:webHidden/>
                  </w:rPr>
                  <w:tab/>
                </w:r>
                <w:r>
                  <w:rPr>
                    <w:webHidden/>
                  </w:rPr>
                  <w:fldChar w:fldCharType="begin"/>
                </w:r>
                <w:r>
                  <w:rPr>
                    <w:webHidden/>
                  </w:rPr>
                  <w:instrText xml:space="preserve"> PAGEREF _Toc531098206 \h </w:instrText>
                </w:r>
                <w:r>
                  <w:rPr>
                    <w:webHidden/>
                  </w:rPr>
                </w:r>
                <w:r>
                  <w:rPr>
                    <w:webHidden/>
                  </w:rPr>
                  <w:fldChar w:fldCharType="separate"/>
                </w:r>
                <w:r>
                  <w:rPr>
                    <w:webHidden/>
                  </w:rPr>
                  <w:t>75</w:t>
                </w:r>
                <w:r>
                  <w:rPr>
                    <w:webHidden/>
                  </w:rPr>
                  <w:fldChar w:fldCharType="end"/>
                </w:r>
              </w:hyperlink>
            </w:p>
            <w:p w14:paraId="104D7D7A" w14:textId="77777777" w:rsidR="00D16F86" w:rsidRDefault="00D16F86">
              <w:pPr>
                <w:pStyle w:val="TOC3"/>
                <w:tabs>
                  <w:tab w:val="left" w:pos="2268"/>
                </w:tabs>
                <w:rPr>
                  <w:rFonts w:asciiTheme="minorHAnsi" w:eastAsiaTheme="minorEastAsia" w:hAnsiTheme="minorHAnsi"/>
                  <w:sz w:val="22"/>
                  <w:lang w:eastAsia="en-NZ"/>
                </w:rPr>
              </w:pPr>
              <w:hyperlink w:anchor="_Toc531098207" w:history="1">
                <w:r w:rsidRPr="00687C52">
                  <w:rPr>
                    <w:rStyle w:val="Hyperlink"/>
                  </w:rPr>
                  <w:t>5.4.3.</w:t>
                </w:r>
                <w:r>
                  <w:rPr>
                    <w:rFonts w:asciiTheme="minorHAnsi" w:eastAsiaTheme="minorEastAsia" w:hAnsiTheme="minorHAnsi"/>
                    <w:sz w:val="22"/>
                    <w:lang w:eastAsia="en-NZ"/>
                  </w:rPr>
                  <w:tab/>
                </w:r>
                <w:r w:rsidRPr="00687C52">
                  <w:rPr>
                    <w:rStyle w:val="Hyperlink"/>
                  </w:rPr>
                  <w:t>A Local Government submitter commented that the financial burden of administering the Act needs to be reduced</w:t>
                </w:r>
                <w:r>
                  <w:rPr>
                    <w:webHidden/>
                  </w:rPr>
                  <w:tab/>
                </w:r>
                <w:r>
                  <w:rPr>
                    <w:webHidden/>
                  </w:rPr>
                  <w:fldChar w:fldCharType="begin"/>
                </w:r>
                <w:r>
                  <w:rPr>
                    <w:webHidden/>
                  </w:rPr>
                  <w:instrText xml:space="preserve"> PAGEREF _Toc531098207 \h </w:instrText>
                </w:r>
                <w:r>
                  <w:rPr>
                    <w:webHidden/>
                  </w:rPr>
                </w:r>
                <w:r>
                  <w:rPr>
                    <w:webHidden/>
                  </w:rPr>
                  <w:fldChar w:fldCharType="separate"/>
                </w:r>
                <w:r>
                  <w:rPr>
                    <w:webHidden/>
                  </w:rPr>
                  <w:t>75</w:t>
                </w:r>
                <w:r>
                  <w:rPr>
                    <w:webHidden/>
                  </w:rPr>
                  <w:fldChar w:fldCharType="end"/>
                </w:r>
              </w:hyperlink>
            </w:p>
            <w:p w14:paraId="07D3634D" w14:textId="77777777" w:rsidR="00D16F86" w:rsidRDefault="00D16F86">
              <w:pPr>
                <w:pStyle w:val="TOC3"/>
                <w:tabs>
                  <w:tab w:val="left" w:pos="2268"/>
                </w:tabs>
                <w:rPr>
                  <w:rFonts w:asciiTheme="minorHAnsi" w:eastAsiaTheme="minorEastAsia" w:hAnsiTheme="minorHAnsi"/>
                  <w:sz w:val="22"/>
                  <w:lang w:eastAsia="en-NZ"/>
                </w:rPr>
              </w:pPr>
              <w:hyperlink w:anchor="_Toc531098208" w:history="1">
                <w:r w:rsidRPr="00687C52">
                  <w:rPr>
                    <w:rStyle w:val="Hyperlink"/>
                  </w:rPr>
                  <w:t>5.4.4.</w:t>
                </w:r>
                <w:r>
                  <w:rPr>
                    <w:rFonts w:asciiTheme="minorHAnsi" w:eastAsiaTheme="minorEastAsia" w:hAnsiTheme="minorHAnsi"/>
                    <w:sz w:val="22"/>
                    <w:lang w:eastAsia="en-NZ"/>
                  </w:rPr>
                  <w:tab/>
                </w:r>
                <w:r w:rsidRPr="00687C52">
                  <w:rPr>
                    <w:rStyle w:val="Hyperlink"/>
                  </w:rPr>
                  <w:t>Some submitters did not understand the formula</w:t>
                </w:r>
                <w:r>
                  <w:rPr>
                    <w:webHidden/>
                  </w:rPr>
                  <w:tab/>
                </w:r>
                <w:r>
                  <w:rPr>
                    <w:webHidden/>
                  </w:rPr>
                  <w:fldChar w:fldCharType="begin"/>
                </w:r>
                <w:r>
                  <w:rPr>
                    <w:webHidden/>
                  </w:rPr>
                  <w:instrText xml:space="preserve"> PAGEREF _Toc531098208 \h </w:instrText>
                </w:r>
                <w:r>
                  <w:rPr>
                    <w:webHidden/>
                  </w:rPr>
                </w:r>
                <w:r>
                  <w:rPr>
                    <w:webHidden/>
                  </w:rPr>
                  <w:fldChar w:fldCharType="separate"/>
                </w:r>
                <w:r>
                  <w:rPr>
                    <w:webHidden/>
                  </w:rPr>
                  <w:t>76</w:t>
                </w:r>
                <w:r>
                  <w:rPr>
                    <w:webHidden/>
                  </w:rPr>
                  <w:fldChar w:fldCharType="end"/>
                </w:r>
              </w:hyperlink>
            </w:p>
            <w:p w14:paraId="53953A5E" w14:textId="77777777" w:rsidR="00D16F86" w:rsidRDefault="00D16F86">
              <w:pPr>
                <w:pStyle w:val="TOC1"/>
                <w:rPr>
                  <w:rFonts w:asciiTheme="minorHAnsi" w:eastAsiaTheme="minorEastAsia" w:hAnsiTheme="minorHAnsi"/>
                  <w:b w:val="0"/>
                  <w:caps w:val="0"/>
                  <w:lang w:eastAsia="en-NZ"/>
                </w:rPr>
              </w:pPr>
              <w:hyperlink w:anchor="_Toc531098209" w:history="1">
                <w:r w:rsidRPr="00687C52">
                  <w:rPr>
                    <w:rStyle w:val="Hyperlink"/>
                  </w:rPr>
                  <w:t>6.</w:t>
                </w:r>
                <w:r>
                  <w:rPr>
                    <w:rFonts w:asciiTheme="minorHAnsi" w:eastAsiaTheme="minorEastAsia" w:hAnsiTheme="minorHAnsi"/>
                    <w:b w:val="0"/>
                    <w:caps w:val="0"/>
                    <w:lang w:eastAsia="en-NZ"/>
                  </w:rPr>
                  <w:tab/>
                </w:r>
                <w:r w:rsidRPr="00687C52">
                  <w:rPr>
                    <w:rStyle w:val="Hyperlink"/>
                  </w:rPr>
                  <w:t>Other issues raised by submitters</w:t>
                </w:r>
                <w:r>
                  <w:rPr>
                    <w:webHidden/>
                  </w:rPr>
                  <w:tab/>
                </w:r>
                <w:r>
                  <w:rPr>
                    <w:webHidden/>
                  </w:rPr>
                  <w:fldChar w:fldCharType="begin"/>
                </w:r>
                <w:r>
                  <w:rPr>
                    <w:webHidden/>
                  </w:rPr>
                  <w:instrText xml:space="preserve"> PAGEREF _Toc531098209 \h </w:instrText>
                </w:r>
                <w:r>
                  <w:rPr>
                    <w:webHidden/>
                  </w:rPr>
                </w:r>
                <w:r>
                  <w:rPr>
                    <w:webHidden/>
                  </w:rPr>
                  <w:fldChar w:fldCharType="separate"/>
                </w:r>
                <w:r>
                  <w:rPr>
                    <w:webHidden/>
                  </w:rPr>
                  <w:t>77</w:t>
                </w:r>
                <w:r>
                  <w:rPr>
                    <w:webHidden/>
                  </w:rPr>
                  <w:fldChar w:fldCharType="end"/>
                </w:r>
              </w:hyperlink>
            </w:p>
            <w:p w14:paraId="1EED073C" w14:textId="77777777" w:rsidR="00D16F86" w:rsidRDefault="00D16F86">
              <w:pPr>
                <w:pStyle w:val="TOC1"/>
                <w:rPr>
                  <w:rFonts w:asciiTheme="minorHAnsi" w:eastAsiaTheme="minorEastAsia" w:hAnsiTheme="minorHAnsi"/>
                  <w:b w:val="0"/>
                  <w:caps w:val="0"/>
                  <w:lang w:eastAsia="en-NZ"/>
                </w:rPr>
              </w:pPr>
              <w:hyperlink w:anchor="_Toc531098210" w:history="1">
                <w:r w:rsidRPr="00687C52">
                  <w:rPr>
                    <w:rStyle w:val="Hyperlink"/>
                  </w:rPr>
                  <w:t>7.</w:t>
                </w:r>
                <w:r>
                  <w:rPr>
                    <w:rFonts w:asciiTheme="minorHAnsi" w:eastAsiaTheme="minorEastAsia" w:hAnsiTheme="minorHAnsi"/>
                    <w:b w:val="0"/>
                    <w:caps w:val="0"/>
                    <w:lang w:eastAsia="en-NZ"/>
                  </w:rPr>
                  <w:tab/>
                </w:r>
                <w:r w:rsidRPr="00687C52">
                  <w:rPr>
                    <w:rStyle w:val="Hyperlink"/>
                  </w:rPr>
                  <w:t>Thematic analysis by sector</w:t>
                </w:r>
                <w:r>
                  <w:rPr>
                    <w:webHidden/>
                  </w:rPr>
                  <w:tab/>
                </w:r>
                <w:r>
                  <w:rPr>
                    <w:webHidden/>
                  </w:rPr>
                  <w:fldChar w:fldCharType="begin"/>
                </w:r>
                <w:r>
                  <w:rPr>
                    <w:webHidden/>
                  </w:rPr>
                  <w:instrText xml:space="preserve"> PAGEREF _Toc531098210 \h </w:instrText>
                </w:r>
                <w:r>
                  <w:rPr>
                    <w:webHidden/>
                  </w:rPr>
                </w:r>
                <w:r>
                  <w:rPr>
                    <w:webHidden/>
                  </w:rPr>
                  <w:fldChar w:fldCharType="separate"/>
                </w:r>
                <w:r>
                  <w:rPr>
                    <w:webHidden/>
                  </w:rPr>
                  <w:t>79</w:t>
                </w:r>
                <w:r>
                  <w:rPr>
                    <w:webHidden/>
                  </w:rPr>
                  <w:fldChar w:fldCharType="end"/>
                </w:r>
              </w:hyperlink>
            </w:p>
            <w:p w14:paraId="063B4F88" w14:textId="77777777" w:rsidR="00D16F86" w:rsidRDefault="00D16F86">
              <w:pPr>
                <w:pStyle w:val="TOC2"/>
                <w:rPr>
                  <w:rFonts w:asciiTheme="minorHAnsi" w:eastAsiaTheme="minorEastAsia" w:hAnsiTheme="minorHAnsi"/>
                  <w:lang w:eastAsia="en-NZ"/>
                </w:rPr>
              </w:pPr>
              <w:hyperlink w:anchor="_Toc531098211" w:history="1">
                <w:r w:rsidRPr="00687C52">
                  <w:rPr>
                    <w:rStyle w:val="Hyperlink"/>
                  </w:rPr>
                  <w:t>7.1.</w:t>
                </w:r>
                <w:r>
                  <w:rPr>
                    <w:rFonts w:asciiTheme="minorHAnsi" w:eastAsiaTheme="minorEastAsia" w:hAnsiTheme="minorHAnsi"/>
                    <w:lang w:eastAsia="en-NZ"/>
                  </w:rPr>
                  <w:tab/>
                </w:r>
                <w:r w:rsidRPr="00687C52">
                  <w:rPr>
                    <w:rStyle w:val="Hyperlink"/>
                  </w:rPr>
                  <w:t>Use of presentation rates in calculating the levy</w:t>
                </w:r>
                <w:r>
                  <w:rPr>
                    <w:webHidden/>
                  </w:rPr>
                  <w:tab/>
                </w:r>
                <w:r>
                  <w:rPr>
                    <w:webHidden/>
                  </w:rPr>
                  <w:fldChar w:fldCharType="begin"/>
                </w:r>
                <w:r>
                  <w:rPr>
                    <w:webHidden/>
                  </w:rPr>
                  <w:instrText xml:space="preserve"> PAGEREF _Toc531098211 \h </w:instrText>
                </w:r>
                <w:r>
                  <w:rPr>
                    <w:webHidden/>
                  </w:rPr>
                </w:r>
                <w:r>
                  <w:rPr>
                    <w:webHidden/>
                  </w:rPr>
                  <w:fldChar w:fldCharType="separate"/>
                </w:r>
                <w:r>
                  <w:rPr>
                    <w:webHidden/>
                  </w:rPr>
                  <w:t>79</w:t>
                </w:r>
                <w:r>
                  <w:rPr>
                    <w:webHidden/>
                  </w:rPr>
                  <w:fldChar w:fldCharType="end"/>
                </w:r>
              </w:hyperlink>
            </w:p>
            <w:p w14:paraId="2C66D9DE" w14:textId="77777777" w:rsidR="00D16F86" w:rsidRDefault="00D16F86">
              <w:pPr>
                <w:pStyle w:val="TOC3"/>
                <w:tabs>
                  <w:tab w:val="left" w:pos="2268"/>
                </w:tabs>
                <w:rPr>
                  <w:rFonts w:asciiTheme="minorHAnsi" w:eastAsiaTheme="minorEastAsia" w:hAnsiTheme="minorHAnsi"/>
                  <w:sz w:val="22"/>
                  <w:lang w:eastAsia="en-NZ"/>
                </w:rPr>
              </w:pPr>
              <w:hyperlink w:anchor="_Toc531098212" w:history="1">
                <w:r w:rsidRPr="00687C52">
                  <w:rPr>
                    <w:rStyle w:val="Hyperlink"/>
                  </w:rPr>
                  <w:t>7.1.1.</w:t>
                </w:r>
                <w:r>
                  <w:rPr>
                    <w:rFonts w:asciiTheme="minorHAnsi" w:eastAsiaTheme="minorEastAsia" w:hAnsiTheme="minorHAnsi"/>
                    <w:sz w:val="22"/>
                    <w:lang w:eastAsia="en-NZ"/>
                  </w:rPr>
                  <w:tab/>
                </w:r>
                <w:r w:rsidRPr="00687C52">
                  <w:rPr>
                    <w:rStyle w:val="Hyperlink"/>
                  </w:rPr>
                  <w:t>Service Provider submitters did not support reliance on presentations</w:t>
                </w:r>
                <w:r>
                  <w:rPr>
                    <w:webHidden/>
                  </w:rPr>
                  <w:tab/>
                </w:r>
                <w:r>
                  <w:rPr>
                    <w:webHidden/>
                  </w:rPr>
                  <w:fldChar w:fldCharType="begin"/>
                </w:r>
                <w:r>
                  <w:rPr>
                    <w:webHidden/>
                  </w:rPr>
                  <w:instrText xml:space="preserve"> PAGEREF _Toc531098212 \h </w:instrText>
                </w:r>
                <w:r>
                  <w:rPr>
                    <w:webHidden/>
                  </w:rPr>
                </w:r>
                <w:r>
                  <w:rPr>
                    <w:webHidden/>
                  </w:rPr>
                  <w:fldChar w:fldCharType="separate"/>
                </w:r>
                <w:r>
                  <w:rPr>
                    <w:webHidden/>
                  </w:rPr>
                  <w:t>79</w:t>
                </w:r>
                <w:r>
                  <w:rPr>
                    <w:webHidden/>
                  </w:rPr>
                  <w:fldChar w:fldCharType="end"/>
                </w:r>
              </w:hyperlink>
            </w:p>
            <w:p w14:paraId="00C0DBBD" w14:textId="77777777" w:rsidR="00D16F86" w:rsidRDefault="00D16F86">
              <w:pPr>
                <w:pStyle w:val="TOC3"/>
                <w:tabs>
                  <w:tab w:val="left" w:pos="2268"/>
                </w:tabs>
                <w:rPr>
                  <w:rFonts w:asciiTheme="minorHAnsi" w:eastAsiaTheme="minorEastAsia" w:hAnsiTheme="minorHAnsi"/>
                  <w:sz w:val="22"/>
                  <w:lang w:eastAsia="en-NZ"/>
                </w:rPr>
              </w:pPr>
              <w:hyperlink w:anchor="_Toc531098213" w:history="1">
                <w:r w:rsidRPr="00687C52">
                  <w:rPr>
                    <w:rStyle w:val="Hyperlink"/>
                  </w:rPr>
                  <w:t>7.1.2.</w:t>
                </w:r>
                <w:r>
                  <w:rPr>
                    <w:rFonts w:asciiTheme="minorHAnsi" w:eastAsiaTheme="minorEastAsia" w:hAnsiTheme="minorHAnsi"/>
                    <w:sz w:val="22"/>
                    <w:lang w:eastAsia="en-NZ"/>
                  </w:rPr>
                  <w:tab/>
                </w:r>
                <w:r w:rsidRPr="00687C52">
                  <w:rPr>
                    <w:rStyle w:val="Hyperlink"/>
                  </w:rPr>
                  <w:t>NCGM sector submitters considered there should be less emphasis on presentations</w:t>
                </w:r>
                <w:r>
                  <w:rPr>
                    <w:webHidden/>
                  </w:rPr>
                  <w:tab/>
                </w:r>
                <w:r>
                  <w:rPr>
                    <w:webHidden/>
                  </w:rPr>
                  <w:fldChar w:fldCharType="begin"/>
                </w:r>
                <w:r>
                  <w:rPr>
                    <w:webHidden/>
                  </w:rPr>
                  <w:instrText xml:space="preserve"> PAGEREF _Toc531098213 \h </w:instrText>
                </w:r>
                <w:r>
                  <w:rPr>
                    <w:webHidden/>
                  </w:rPr>
                </w:r>
                <w:r>
                  <w:rPr>
                    <w:webHidden/>
                  </w:rPr>
                  <w:fldChar w:fldCharType="separate"/>
                </w:r>
                <w:r>
                  <w:rPr>
                    <w:webHidden/>
                  </w:rPr>
                  <w:t>79</w:t>
                </w:r>
                <w:r>
                  <w:rPr>
                    <w:webHidden/>
                  </w:rPr>
                  <w:fldChar w:fldCharType="end"/>
                </w:r>
              </w:hyperlink>
            </w:p>
            <w:p w14:paraId="01BA9D15" w14:textId="77777777" w:rsidR="00D16F86" w:rsidRDefault="00D16F86">
              <w:pPr>
                <w:pStyle w:val="TOC3"/>
                <w:tabs>
                  <w:tab w:val="left" w:pos="2268"/>
                </w:tabs>
                <w:rPr>
                  <w:rFonts w:asciiTheme="minorHAnsi" w:eastAsiaTheme="minorEastAsia" w:hAnsiTheme="minorHAnsi"/>
                  <w:sz w:val="22"/>
                  <w:lang w:eastAsia="en-NZ"/>
                </w:rPr>
              </w:pPr>
              <w:hyperlink w:anchor="_Toc531098214" w:history="1">
                <w:r w:rsidRPr="00687C52">
                  <w:rPr>
                    <w:rStyle w:val="Hyperlink"/>
                  </w:rPr>
                  <w:t>7.1.3.</w:t>
                </w:r>
                <w:r>
                  <w:rPr>
                    <w:rFonts w:asciiTheme="minorHAnsi" w:eastAsiaTheme="minorEastAsia" w:hAnsiTheme="minorHAnsi"/>
                    <w:sz w:val="22"/>
                    <w:lang w:eastAsia="en-NZ"/>
                  </w:rPr>
                  <w:tab/>
                </w:r>
                <w:r w:rsidRPr="00687C52">
                  <w:rPr>
                    <w:rStyle w:val="Hyperlink"/>
                  </w:rPr>
                  <w:t>Gambling Industry (other) submitters supported a higher presentations weighting</w:t>
                </w:r>
                <w:r>
                  <w:rPr>
                    <w:webHidden/>
                  </w:rPr>
                  <w:tab/>
                </w:r>
                <w:r>
                  <w:rPr>
                    <w:webHidden/>
                  </w:rPr>
                  <w:fldChar w:fldCharType="begin"/>
                </w:r>
                <w:r>
                  <w:rPr>
                    <w:webHidden/>
                  </w:rPr>
                  <w:instrText xml:space="preserve"> PAGEREF _Toc531098214 \h </w:instrText>
                </w:r>
                <w:r>
                  <w:rPr>
                    <w:webHidden/>
                  </w:rPr>
                </w:r>
                <w:r>
                  <w:rPr>
                    <w:webHidden/>
                  </w:rPr>
                  <w:fldChar w:fldCharType="separate"/>
                </w:r>
                <w:r>
                  <w:rPr>
                    <w:webHidden/>
                  </w:rPr>
                  <w:t>79</w:t>
                </w:r>
                <w:r>
                  <w:rPr>
                    <w:webHidden/>
                  </w:rPr>
                  <w:fldChar w:fldCharType="end"/>
                </w:r>
              </w:hyperlink>
            </w:p>
            <w:p w14:paraId="6F28E3AD" w14:textId="77777777" w:rsidR="00D16F86" w:rsidRDefault="00D16F86">
              <w:pPr>
                <w:pStyle w:val="TOC3"/>
                <w:tabs>
                  <w:tab w:val="left" w:pos="2268"/>
                </w:tabs>
                <w:rPr>
                  <w:rFonts w:asciiTheme="minorHAnsi" w:eastAsiaTheme="minorEastAsia" w:hAnsiTheme="minorHAnsi"/>
                  <w:sz w:val="22"/>
                  <w:lang w:eastAsia="en-NZ"/>
                </w:rPr>
              </w:pPr>
              <w:hyperlink w:anchor="_Toc531098215" w:history="1">
                <w:r w:rsidRPr="00687C52">
                  <w:rPr>
                    <w:rStyle w:val="Hyperlink"/>
                  </w:rPr>
                  <w:t>7.1.4.</w:t>
                </w:r>
                <w:r>
                  <w:rPr>
                    <w:rFonts w:asciiTheme="minorHAnsi" w:eastAsiaTheme="minorEastAsia" w:hAnsiTheme="minorHAnsi"/>
                    <w:sz w:val="22"/>
                    <w:lang w:eastAsia="en-NZ"/>
                  </w:rPr>
                  <w:tab/>
                </w:r>
                <w:r w:rsidRPr="00687C52">
                  <w:rPr>
                    <w:rStyle w:val="Hyperlink"/>
                  </w:rPr>
                  <w:t>Local Government submitters supported a higher presentations weighting</w:t>
                </w:r>
                <w:r>
                  <w:rPr>
                    <w:webHidden/>
                  </w:rPr>
                  <w:tab/>
                </w:r>
                <w:r>
                  <w:rPr>
                    <w:webHidden/>
                  </w:rPr>
                  <w:fldChar w:fldCharType="begin"/>
                </w:r>
                <w:r>
                  <w:rPr>
                    <w:webHidden/>
                  </w:rPr>
                  <w:instrText xml:space="preserve"> PAGEREF _Toc531098215 \h </w:instrText>
                </w:r>
                <w:r>
                  <w:rPr>
                    <w:webHidden/>
                  </w:rPr>
                </w:r>
                <w:r>
                  <w:rPr>
                    <w:webHidden/>
                  </w:rPr>
                  <w:fldChar w:fldCharType="separate"/>
                </w:r>
                <w:r>
                  <w:rPr>
                    <w:webHidden/>
                  </w:rPr>
                  <w:t>80</w:t>
                </w:r>
                <w:r>
                  <w:rPr>
                    <w:webHidden/>
                  </w:rPr>
                  <w:fldChar w:fldCharType="end"/>
                </w:r>
              </w:hyperlink>
            </w:p>
            <w:p w14:paraId="0EB36044" w14:textId="77777777" w:rsidR="00D16F86" w:rsidRDefault="00D16F86">
              <w:pPr>
                <w:pStyle w:val="TOC2"/>
                <w:rPr>
                  <w:rFonts w:asciiTheme="minorHAnsi" w:eastAsiaTheme="minorEastAsia" w:hAnsiTheme="minorHAnsi"/>
                  <w:lang w:eastAsia="en-NZ"/>
                </w:rPr>
              </w:pPr>
              <w:hyperlink w:anchor="_Toc531098216" w:history="1">
                <w:r w:rsidRPr="00687C52">
                  <w:rPr>
                    <w:rStyle w:val="Hyperlink"/>
                  </w:rPr>
                  <w:t>7.2.</w:t>
                </w:r>
                <w:r>
                  <w:rPr>
                    <w:rFonts w:asciiTheme="minorHAnsi" w:eastAsiaTheme="minorEastAsia" w:hAnsiTheme="minorHAnsi"/>
                    <w:lang w:eastAsia="en-NZ"/>
                  </w:rPr>
                  <w:tab/>
                </w:r>
                <w:r w:rsidRPr="00687C52">
                  <w:rPr>
                    <w:rStyle w:val="Hyperlink"/>
                  </w:rPr>
                  <w:t>Player expenditure forecasts were considered unrealistic</w:t>
                </w:r>
                <w:r>
                  <w:rPr>
                    <w:webHidden/>
                  </w:rPr>
                  <w:tab/>
                </w:r>
                <w:r>
                  <w:rPr>
                    <w:webHidden/>
                  </w:rPr>
                  <w:fldChar w:fldCharType="begin"/>
                </w:r>
                <w:r>
                  <w:rPr>
                    <w:webHidden/>
                  </w:rPr>
                  <w:instrText xml:space="preserve"> PAGEREF _Toc531098216 \h </w:instrText>
                </w:r>
                <w:r>
                  <w:rPr>
                    <w:webHidden/>
                  </w:rPr>
                </w:r>
                <w:r>
                  <w:rPr>
                    <w:webHidden/>
                  </w:rPr>
                  <w:fldChar w:fldCharType="separate"/>
                </w:r>
                <w:r>
                  <w:rPr>
                    <w:webHidden/>
                  </w:rPr>
                  <w:t>80</w:t>
                </w:r>
                <w:r>
                  <w:rPr>
                    <w:webHidden/>
                  </w:rPr>
                  <w:fldChar w:fldCharType="end"/>
                </w:r>
              </w:hyperlink>
            </w:p>
            <w:p w14:paraId="1280D7F7" w14:textId="77777777" w:rsidR="00D16F86" w:rsidRDefault="00D16F86">
              <w:pPr>
                <w:pStyle w:val="TOC3"/>
                <w:tabs>
                  <w:tab w:val="left" w:pos="2268"/>
                </w:tabs>
                <w:rPr>
                  <w:rFonts w:asciiTheme="minorHAnsi" w:eastAsiaTheme="minorEastAsia" w:hAnsiTheme="minorHAnsi"/>
                  <w:sz w:val="22"/>
                  <w:lang w:eastAsia="en-NZ"/>
                </w:rPr>
              </w:pPr>
              <w:hyperlink w:anchor="_Toc531098217" w:history="1">
                <w:r w:rsidRPr="00687C52">
                  <w:rPr>
                    <w:rStyle w:val="Hyperlink"/>
                  </w:rPr>
                  <w:t>7.2.1.</w:t>
                </w:r>
                <w:r>
                  <w:rPr>
                    <w:rFonts w:asciiTheme="minorHAnsi" w:eastAsiaTheme="minorEastAsia" w:hAnsiTheme="minorHAnsi"/>
                    <w:sz w:val="22"/>
                    <w:lang w:eastAsia="en-NZ"/>
                  </w:rPr>
                  <w:tab/>
                </w:r>
                <w:r w:rsidRPr="00687C52">
                  <w:rPr>
                    <w:rStyle w:val="Hyperlink"/>
                  </w:rPr>
                  <w:t>Service Provider submitters</w:t>
                </w:r>
                <w:r>
                  <w:rPr>
                    <w:webHidden/>
                  </w:rPr>
                  <w:tab/>
                </w:r>
                <w:r>
                  <w:rPr>
                    <w:webHidden/>
                  </w:rPr>
                  <w:fldChar w:fldCharType="begin"/>
                </w:r>
                <w:r>
                  <w:rPr>
                    <w:webHidden/>
                  </w:rPr>
                  <w:instrText xml:space="preserve"> PAGEREF _Toc531098217 \h </w:instrText>
                </w:r>
                <w:r>
                  <w:rPr>
                    <w:webHidden/>
                  </w:rPr>
                </w:r>
                <w:r>
                  <w:rPr>
                    <w:webHidden/>
                  </w:rPr>
                  <w:fldChar w:fldCharType="separate"/>
                </w:r>
                <w:r>
                  <w:rPr>
                    <w:webHidden/>
                  </w:rPr>
                  <w:t>80</w:t>
                </w:r>
                <w:r>
                  <w:rPr>
                    <w:webHidden/>
                  </w:rPr>
                  <w:fldChar w:fldCharType="end"/>
                </w:r>
              </w:hyperlink>
            </w:p>
            <w:p w14:paraId="73E9C83D" w14:textId="77777777" w:rsidR="00D16F86" w:rsidRDefault="00D16F86">
              <w:pPr>
                <w:pStyle w:val="TOC3"/>
                <w:tabs>
                  <w:tab w:val="left" w:pos="2268"/>
                </w:tabs>
                <w:rPr>
                  <w:rFonts w:asciiTheme="minorHAnsi" w:eastAsiaTheme="minorEastAsia" w:hAnsiTheme="minorHAnsi"/>
                  <w:sz w:val="22"/>
                  <w:lang w:eastAsia="en-NZ"/>
                </w:rPr>
              </w:pPr>
              <w:hyperlink w:anchor="_Toc531098218" w:history="1">
                <w:r w:rsidRPr="00687C52">
                  <w:rPr>
                    <w:rStyle w:val="Hyperlink"/>
                  </w:rPr>
                  <w:t>7.2.2.</w:t>
                </w:r>
                <w:r>
                  <w:rPr>
                    <w:rFonts w:asciiTheme="minorHAnsi" w:eastAsiaTheme="minorEastAsia" w:hAnsiTheme="minorHAnsi"/>
                    <w:sz w:val="22"/>
                    <w:lang w:eastAsia="en-NZ"/>
                  </w:rPr>
                  <w:tab/>
                </w:r>
                <w:r w:rsidRPr="00687C52">
                  <w:rPr>
                    <w:rStyle w:val="Hyperlink"/>
                  </w:rPr>
                  <w:t>Individuals</w:t>
                </w:r>
                <w:r>
                  <w:rPr>
                    <w:webHidden/>
                  </w:rPr>
                  <w:tab/>
                </w:r>
                <w:r>
                  <w:rPr>
                    <w:webHidden/>
                  </w:rPr>
                  <w:fldChar w:fldCharType="begin"/>
                </w:r>
                <w:r>
                  <w:rPr>
                    <w:webHidden/>
                  </w:rPr>
                  <w:instrText xml:space="preserve"> PAGEREF _Toc531098218 \h </w:instrText>
                </w:r>
                <w:r>
                  <w:rPr>
                    <w:webHidden/>
                  </w:rPr>
                </w:r>
                <w:r>
                  <w:rPr>
                    <w:webHidden/>
                  </w:rPr>
                  <w:fldChar w:fldCharType="separate"/>
                </w:r>
                <w:r>
                  <w:rPr>
                    <w:webHidden/>
                  </w:rPr>
                  <w:t>80</w:t>
                </w:r>
                <w:r>
                  <w:rPr>
                    <w:webHidden/>
                  </w:rPr>
                  <w:fldChar w:fldCharType="end"/>
                </w:r>
              </w:hyperlink>
            </w:p>
            <w:p w14:paraId="6AB3BE20" w14:textId="77777777" w:rsidR="00D16F86" w:rsidRDefault="00D16F86">
              <w:pPr>
                <w:pStyle w:val="TOC3"/>
                <w:tabs>
                  <w:tab w:val="left" w:pos="2268"/>
                </w:tabs>
                <w:rPr>
                  <w:rFonts w:asciiTheme="minorHAnsi" w:eastAsiaTheme="minorEastAsia" w:hAnsiTheme="minorHAnsi"/>
                  <w:sz w:val="22"/>
                  <w:lang w:eastAsia="en-NZ"/>
                </w:rPr>
              </w:pPr>
              <w:hyperlink w:anchor="_Toc531098219" w:history="1">
                <w:r w:rsidRPr="00687C52">
                  <w:rPr>
                    <w:rStyle w:val="Hyperlink"/>
                  </w:rPr>
                  <w:t>7.2.3.</w:t>
                </w:r>
                <w:r>
                  <w:rPr>
                    <w:rFonts w:asciiTheme="minorHAnsi" w:eastAsiaTheme="minorEastAsia" w:hAnsiTheme="minorHAnsi"/>
                    <w:sz w:val="22"/>
                    <w:lang w:eastAsia="en-NZ"/>
                  </w:rPr>
                  <w:tab/>
                </w:r>
                <w:r w:rsidRPr="00687C52">
                  <w:rPr>
                    <w:rStyle w:val="Hyperlink"/>
                  </w:rPr>
                  <w:t>Gambling Industry (other) submitters</w:t>
                </w:r>
                <w:r>
                  <w:rPr>
                    <w:webHidden/>
                  </w:rPr>
                  <w:tab/>
                </w:r>
                <w:r>
                  <w:rPr>
                    <w:webHidden/>
                  </w:rPr>
                  <w:fldChar w:fldCharType="begin"/>
                </w:r>
                <w:r>
                  <w:rPr>
                    <w:webHidden/>
                  </w:rPr>
                  <w:instrText xml:space="preserve"> PAGEREF _Toc531098219 \h </w:instrText>
                </w:r>
                <w:r>
                  <w:rPr>
                    <w:webHidden/>
                  </w:rPr>
                </w:r>
                <w:r>
                  <w:rPr>
                    <w:webHidden/>
                  </w:rPr>
                  <w:fldChar w:fldCharType="separate"/>
                </w:r>
                <w:r>
                  <w:rPr>
                    <w:webHidden/>
                  </w:rPr>
                  <w:t>80</w:t>
                </w:r>
                <w:r>
                  <w:rPr>
                    <w:webHidden/>
                  </w:rPr>
                  <w:fldChar w:fldCharType="end"/>
                </w:r>
              </w:hyperlink>
            </w:p>
            <w:p w14:paraId="0C91B61B" w14:textId="77777777" w:rsidR="00D16F86" w:rsidRDefault="00D16F86">
              <w:pPr>
                <w:pStyle w:val="TOC2"/>
                <w:rPr>
                  <w:rFonts w:asciiTheme="minorHAnsi" w:eastAsiaTheme="minorEastAsia" w:hAnsiTheme="minorHAnsi"/>
                  <w:lang w:eastAsia="en-NZ"/>
                </w:rPr>
              </w:pPr>
              <w:hyperlink w:anchor="_Toc531098220" w:history="1">
                <w:r w:rsidRPr="00687C52">
                  <w:rPr>
                    <w:rStyle w:val="Hyperlink"/>
                  </w:rPr>
                  <w:t>7.3.</w:t>
                </w:r>
                <w:r>
                  <w:rPr>
                    <w:rFonts w:asciiTheme="minorHAnsi" w:eastAsiaTheme="minorEastAsia" w:hAnsiTheme="minorHAnsi"/>
                    <w:lang w:eastAsia="en-NZ"/>
                  </w:rPr>
                  <w:tab/>
                </w:r>
                <w:r w:rsidRPr="00687C52">
                  <w:rPr>
                    <w:rStyle w:val="Hyperlink"/>
                  </w:rPr>
                  <w:t>Culturally specific services are required for Māori</w:t>
                </w:r>
                <w:r>
                  <w:rPr>
                    <w:webHidden/>
                  </w:rPr>
                  <w:tab/>
                </w:r>
                <w:r>
                  <w:rPr>
                    <w:webHidden/>
                  </w:rPr>
                  <w:fldChar w:fldCharType="begin"/>
                </w:r>
                <w:r>
                  <w:rPr>
                    <w:webHidden/>
                  </w:rPr>
                  <w:instrText xml:space="preserve"> PAGEREF _Toc531098220 \h </w:instrText>
                </w:r>
                <w:r>
                  <w:rPr>
                    <w:webHidden/>
                  </w:rPr>
                </w:r>
                <w:r>
                  <w:rPr>
                    <w:webHidden/>
                  </w:rPr>
                  <w:fldChar w:fldCharType="separate"/>
                </w:r>
                <w:r>
                  <w:rPr>
                    <w:webHidden/>
                  </w:rPr>
                  <w:t>80</w:t>
                </w:r>
                <w:r>
                  <w:rPr>
                    <w:webHidden/>
                  </w:rPr>
                  <w:fldChar w:fldCharType="end"/>
                </w:r>
              </w:hyperlink>
            </w:p>
            <w:p w14:paraId="4D03F38A" w14:textId="77777777" w:rsidR="00D16F86" w:rsidRDefault="00D16F86">
              <w:pPr>
                <w:pStyle w:val="TOC3"/>
                <w:tabs>
                  <w:tab w:val="left" w:pos="2268"/>
                </w:tabs>
                <w:rPr>
                  <w:rFonts w:asciiTheme="minorHAnsi" w:eastAsiaTheme="minorEastAsia" w:hAnsiTheme="minorHAnsi"/>
                  <w:sz w:val="22"/>
                  <w:lang w:eastAsia="en-NZ"/>
                </w:rPr>
              </w:pPr>
              <w:hyperlink w:anchor="_Toc531098221" w:history="1">
                <w:r w:rsidRPr="00687C52">
                  <w:rPr>
                    <w:rStyle w:val="Hyperlink"/>
                  </w:rPr>
                  <w:t>7.3.1.</w:t>
                </w:r>
                <w:r>
                  <w:rPr>
                    <w:rFonts w:asciiTheme="minorHAnsi" w:eastAsiaTheme="minorEastAsia" w:hAnsiTheme="minorHAnsi"/>
                    <w:sz w:val="22"/>
                    <w:lang w:eastAsia="en-NZ"/>
                  </w:rPr>
                  <w:tab/>
                </w:r>
                <w:r w:rsidRPr="00687C52">
                  <w:rPr>
                    <w:rStyle w:val="Hyperlink"/>
                  </w:rPr>
                  <w:t>Service Provider submitters</w:t>
                </w:r>
                <w:r>
                  <w:rPr>
                    <w:webHidden/>
                  </w:rPr>
                  <w:tab/>
                </w:r>
                <w:r>
                  <w:rPr>
                    <w:webHidden/>
                  </w:rPr>
                  <w:fldChar w:fldCharType="begin"/>
                </w:r>
                <w:r>
                  <w:rPr>
                    <w:webHidden/>
                  </w:rPr>
                  <w:instrText xml:space="preserve"> PAGEREF _Toc531098221 \h </w:instrText>
                </w:r>
                <w:r>
                  <w:rPr>
                    <w:webHidden/>
                  </w:rPr>
                </w:r>
                <w:r>
                  <w:rPr>
                    <w:webHidden/>
                  </w:rPr>
                  <w:fldChar w:fldCharType="separate"/>
                </w:r>
                <w:r>
                  <w:rPr>
                    <w:webHidden/>
                  </w:rPr>
                  <w:t>80</w:t>
                </w:r>
                <w:r>
                  <w:rPr>
                    <w:webHidden/>
                  </w:rPr>
                  <w:fldChar w:fldCharType="end"/>
                </w:r>
              </w:hyperlink>
            </w:p>
            <w:p w14:paraId="2BA2C4C8" w14:textId="77777777" w:rsidR="00D16F86" w:rsidRDefault="00D16F86">
              <w:pPr>
                <w:pStyle w:val="TOC3"/>
                <w:tabs>
                  <w:tab w:val="left" w:pos="2268"/>
                </w:tabs>
                <w:rPr>
                  <w:rFonts w:asciiTheme="minorHAnsi" w:eastAsiaTheme="minorEastAsia" w:hAnsiTheme="minorHAnsi"/>
                  <w:sz w:val="22"/>
                  <w:lang w:eastAsia="en-NZ"/>
                </w:rPr>
              </w:pPr>
              <w:hyperlink w:anchor="_Toc531098222" w:history="1">
                <w:r w:rsidRPr="00687C52">
                  <w:rPr>
                    <w:rStyle w:val="Hyperlink"/>
                  </w:rPr>
                  <w:t>7.3.2.</w:t>
                </w:r>
                <w:r>
                  <w:rPr>
                    <w:rFonts w:asciiTheme="minorHAnsi" w:eastAsiaTheme="minorEastAsia" w:hAnsiTheme="minorHAnsi"/>
                    <w:sz w:val="22"/>
                    <w:lang w:eastAsia="en-NZ"/>
                  </w:rPr>
                  <w:tab/>
                </w:r>
                <w:r w:rsidRPr="00687C52">
                  <w:rPr>
                    <w:rStyle w:val="Hyperlink"/>
                  </w:rPr>
                  <w:t>Health sector submitters</w:t>
                </w:r>
                <w:r>
                  <w:rPr>
                    <w:webHidden/>
                  </w:rPr>
                  <w:tab/>
                </w:r>
                <w:r>
                  <w:rPr>
                    <w:webHidden/>
                  </w:rPr>
                  <w:fldChar w:fldCharType="begin"/>
                </w:r>
                <w:r>
                  <w:rPr>
                    <w:webHidden/>
                  </w:rPr>
                  <w:instrText xml:space="preserve"> PAGEREF _Toc531098222 \h </w:instrText>
                </w:r>
                <w:r>
                  <w:rPr>
                    <w:webHidden/>
                  </w:rPr>
                </w:r>
                <w:r>
                  <w:rPr>
                    <w:webHidden/>
                  </w:rPr>
                  <w:fldChar w:fldCharType="separate"/>
                </w:r>
                <w:r>
                  <w:rPr>
                    <w:webHidden/>
                  </w:rPr>
                  <w:t>81</w:t>
                </w:r>
                <w:r>
                  <w:rPr>
                    <w:webHidden/>
                  </w:rPr>
                  <w:fldChar w:fldCharType="end"/>
                </w:r>
              </w:hyperlink>
            </w:p>
            <w:p w14:paraId="1E6409B8" w14:textId="77777777" w:rsidR="00D16F86" w:rsidRDefault="00D16F86">
              <w:pPr>
                <w:pStyle w:val="TOC3"/>
                <w:tabs>
                  <w:tab w:val="left" w:pos="2268"/>
                </w:tabs>
                <w:rPr>
                  <w:rFonts w:asciiTheme="minorHAnsi" w:eastAsiaTheme="minorEastAsia" w:hAnsiTheme="minorHAnsi"/>
                  <w:sz w:val="22"/>
                  <w:lang w:eastAsia="en-NZ"/>
                </w:rPr>
              </w:pPr>
              <w:hyperlink w:anchor="_Toc531098223" w:history="1">
                <w:r w:rsidRPr="00687C52">
                  <w:rPr>
                    <w:rStyle w:val="Hyperlink"/>
                  </w:rPr>
                  <w:t>7.3.3.</w:t>
                </w:r>
                <w:r>
                  <w:rPr>
                    <w:rFonts w:asciiTheme="minorHAnsi" w:eastAsiaTheme="minorEastAsia" w:hAnsiTheme="minorHAnsi"/>
                    <w:sz w:val="22"/>
                    <w:lang w:eastAsia="en-NZ"/>
                  </w:rPr>
                  <w:tab/>
                </w:r>
                <w:r w:rsidRPr="00687C52">
                  <w:rPr>
                    <w:rStyle w:val="Hyperlink"/>
                  </w:rPr>
                  <w:t>Individual</w:t>
                </w:r>
                <w:r>
                  <w:rPr>
                    <w:webHidden/>
                  </w:rPr>
                  <w:tab/>
                </w:r>
                <w:r>
                  <w:rPr>
                    <w:webHidden/>
                  </w:rPr>
                  <w:fldChar w:fldCharType="begin"/>
                </w:r>
                <w:r>
                  <w:rPr>
                    <w:webHidden/>
                  </w:rPr>
                  <w:instrText xml:space="preserve"> PAGEREF _Toc531098223 \h </w:instrText>
                </w:r>
                <w:r>
                  <w:rPr>
                    <w:webHidden/>
                  </w:rPr>
                </w:r>
                <w:r>
                  <w:rPr>
                    <w:webHidden/>
                  </w:rPr>
                  <w:fldChar w:fldCharType="separate"/>
                </w:r>
                <w:r>
                  <w:rPr>
                    <w:webHidden/>
                  </w:rPr>
                  <w:t>81</w:t>
                </w:r>
                <w:r>
                  <w:rPr>
                    <w:webHidden/>
                  </w:rPr>
                  <w:fldChar w:fldCharType="end"/>
                </w:r>
              </w:hyperlink>
            </w:p>
            <w:p w14:paraId="7ED5A23E" w14:textId="77777777" w:rsidR="00D16F86" w:rsidRDefault="00D16F86">
              <w:pPr>
                <w:pStyle w:val="TOC2"/>
                <w:rPr>
                  <w:rFonts w:asciiTheme="minorHAnsi" w:eastAsiaTheme="minorEastAsia" w:hAnsiTheme="minorHAnsi"/>
                  <w:lang w:eastAsia="en-NZ"/>
                </w:rPr>
              </w:pPr>
              <w:hyperlink w:anchor="_Toc531098224" w:history="1">
                <w:r w:rsidRPr="00687C52">
                  <w:rPr>
                    <w:rStyle w:val="Hyperlink"/>
                  </w:rPr>
                  <w:t>7.4.</w:t>
                </w:r>
                <w:r>
                  <w:rPr>
                    <w:rFonts w:asciiTheme="minorHAnsi" w:eastAsiaTheme="minorEastAsia" w:hAnsiTheme="minorHAnsi"/>
                    <w:lang w:eastAsia="en-NZ"/>
                  </w:rPr>
                  <w:tab/>
                </w:r>
                <w:r w:rsidRPr="00687C52">
                  <w:rPr>
                    <w:rStyle w:val="Hyperlink"/>
                  </w:rPr>
                  <w:t>Culturally specific services are required for Pasifika</w:t>
                </w:r>
                <w:r>
                  <w:rPr>
                    <w:webHidden/>
                  </w:rPr>
                  <w:tab/>
                </w:r>
                <w:r>
                  <w:rPr>
                    <w:webHidden/>
                  </w:rPr>
                  <w:fldChar w:fldCharType="begin"/>
                </w:r>
                <w:r>
                  <w:rPr>
                    <w:webHidden/>
                  </w:rPr>
                  <w:instrText xml:space="preserve"> PAGEREF _Toc531098224 \h </w:instrText>
                </w:r>
                <w:r>
                  <w:rPr>
                    <w:webHidden/>
                  </w:rPr>
                </w:r>
                <w:r>
                  <w:rPr>
                    <w:webHidden/>
                  </w:rPr>
                  <w:fldChar w:fldCharType="separate"/>
                </w:r>
                <w:r>
                  <w:rPr>
                    <w:webHidden/>
                  </w:rPr>
                  <w:t>81</w:t>
                </w:r>
                <w:r>
                  <w:rPr>
                    <w:webHidden/>
                  </w:rPr>
                  <w:fldChar w:fldCharType="end"/>
                </w:r>
              </w:hyperlink>
            </w:p>
            <w:p w14:paraId="64BE32E3" w14:textId="77777777" w:rsidR="00D16F86" w:rsidRDefault="00D16F86">
              <w:pPr>
                <w:pStyle w:val="TOC3"/>
                <w:tabs>
                  <w:tab w:val="left" w:pos="2268"/>
                </w:tabs>
                <w:rPr>
                  <w:rFonts w:asciiTheme="minorHAnsi" w:eastAsiaTheme="minorEastAsia" w:hAnsiTheme="minorHAnsi"/>
                  <w:sz w:val="22"/>
                  <w:lang w:eastAsia="en-NZ"/>
                </w:rPr>
              </w:pPr>
              <w:hyperlink w:anchor="_Toc531098225" w:history="1">
                <w:r w:rsidRPr="00687C52">
                  <w:rPr>
                    <w:rStyle w:val="Hyperlink"/>
                  </w:rPr>
                  <w:t>7.4.1.</w:t>
                </w:r>
                <w:r>
                  <w:rPr>
                    <w:rFonts w:asciiTheme="minorHAnsi" w:eastAsiaTheme="minorEastAsia" w:hAnsiTheme="minorHAnsi"/>
                    <w:sz w:val="22"/>
                    <w:lang w:eastAsia="en-NZ"/>
                  </w:rPr>
                  <w:tab/>
                </w:r>
                <w:r w:rsidRPr="00687C52">
                  <w:rPr>
                    <w:rStyle w:val="Hyperlink"/>
                  </w:rPr>
                  <w:t>Service Provider submitters</w:t>
                </w:r>
                <w:r>
                  <w:rPr>
                    <w:webHidden/>
                  </w:rPr>
                  <w:tab/>
                </w:r>
                <w:r>
                  <w:rPr>
                    <w:webHidden/>
                  </w:rPr>
                  <w:fldChar w:fldCharType="begin"/>
                </w:r>
                <w:r>
                  <w:rPr>
                    <w:webHidden/>
                  </w:rPr>
                  <w:instrText xml:space="preserve"> PAGEREF _Toc531098225 \h </w:instrText>
                </w:r>
                <w:r>
                  <w:rPr>
                    <w:webHidden/>
                  </w:rPr>
                </w:r>
                <w:r>
                  <w:rPr>
                    <w:webHidden/>
                  </w:rPr>
                  <w:fldChar w:fldCharType="separate"/>
                </w:r>
                <w:r>
                  <w:rPr>
                    <w:webHidden/>
                  </w:rPr>
                  <w:t>81</w:t>
                </w:r>
                <w:r>
                  <w:rPr>
                    <w:webHidden/>
                  </w:rPr>
                  <w:fldChar w:fldCharType="end"/>
                </w:r>
              </w:hyperlink>
            </w:p>
            <w:p w14:paraId="6FB30CCC" w14:textId="77777777" w:rsidR="00D16F86" w:rsidRDefault="00D16F86">
              <w:pPr>
                <w:pStyle w:val="TOC3"/>
                <w:tabs>
                  <w:tab w:val="left" w:pos="2268"/>
                </w:tabs>
                <w:rPr>
                  <w:rFonts w:asciiTheme="minorHAnsi" w:eastAsiaTheme="minorEastAsia" w:hAnsiTheme="minorHAnsi"/>
                  <w:sz w:val="22"/>
                  <w:lang w:eastAsia="en-NZ"/>
                </w:rPr>
              </w:pPr>
              <w:hyperlink w:anchor="_Toc531098226" w:history="1">
                <w:r w:rsidRPr="00687C52">
                  <w:rPr>
                    <w:rStyle w:val="Hyperlink"/>
                  </w:rPr>
                  <w:t>7.4.2.</w:t>
                </w:r>
                <w:r>
                  <w:rPr>
                    <w:rFonts w:asciiTheme="minorHAnsi" w:eastAsiaTheme="minorEastAsia" w:hAnsiTheme="minorHAnsi"/>
                    <w:sz w:val="22"/>
                    <w:lang w:eastAsia="en-NZ"/>
                  </w:rPr>
                  <w:tab/>
                </w:r>
                <w:r w:rsidRPr="00687C52">
                  <w:rPr>
                    <w:rStyle w:val="Hyperlink"/>
                  </w:rPr>
                  <w:t>Health sector submitters</w:t>
                </w:r>
                <w:r>
                  <w:rPr>
                    <w:webHidden/>
                  </w:rPr>
                  <w:tab/>
                </w:r>
                <w:r>
                  <w:rPr>
                    <w:webHidden/>
                  </w:rPr>
                  <w:fldChar w:fldCharType="begin"/>
                </w:r>
                <w:r>
                  <w:rPr>
                    <w:webHidden/>
                  </w:rPr>
                  <w:instrText xml:space="preserve"> PAGEREF _Toc531098226 \h </w:instrText>
                </w:r>
                <w:r>
                  <w:rPr>
                    <w:webHidden/>
                  </w:rPr>
                </w:r>
                <w:r>
                  <w:rPr>
                    <w:webHidden/>
                  </w:rPr>
                  <w:fldChar w:fldCharType="separate"/>
                </w:r>
                <w:r>
                  <w:rPr>
                    <w:webHidden/>
                  </w:rPr>
                  <w:t>81</w:t>
                </w:r>
                <w:r>
                  <w:rPr>
                    <w:webHidden/>
                  </w:rPr>
                  <w:fldChar w:fldCharType="end"/>
                </w:r>
              </w:hyperlink>
            </w:p>
            <w:p w14:paraId="42FEE240" w14:textId="77777777" w:rsidR="00D16F86" w:rsidRDefault="00D16F86">
              <w:pPr>
                <w:pStyle w:val="TOC3"/>
                <w:tabs>
                  <w:tab w:val="left" w:pos="2268"/>
                </w:tabs>
                <w:rPr>
                  <w:rFonts w:asciiTheme="minorHAnsi" w:eastAsiaTheme="minorEastAsia" w:hAnsiTheme="minorHAnsi"/>
                  <w:sz w:val="22"/>
                  <w:lang w:eastAsia="en-NZ"/>
                </w:rPr>
              </w:pPr>
              <w:hyperlink w:anchor="_Toc531098227" w:history="1">
                <w:r w:rsidRPr="00687C52">
                  <w:rPr>
                    <w:rStyle w:val="Hyperlink"/>
                  </w:rPr>
                  <w:t>7.4.3.</w:t>
                </w:r>
                <w:r>
                  <w:rPr>
                    <w:rFonts w:asciiTheme="minorHAnsi" w:eastAsiaTheme="minorEastAsia" w:hAnsiTheme="minorHAnsi"/>
                    <w:sz w:val="22"/>
                    <w:lang w:eastAsia="en-NZ"/>
                  </w:rPr>
                  <w:tab/>
                </w:r>
                <w:r w:rsidRPr="00687C52">
                  <w:rPr>
                    <w:rStyle w:val="Hyperlink"/>
                  </w:rPr>
                  <w:t>Individual</w:t>
                </w:r>
                <w:r>
                  <w:rPr>
                    <w:webHidden/>
                  </w:rPr>
                  <w:tab/>
                </w:r>
                <w:r>
                  <w:rPr>
                    <w:webHidden/>
                  </w:rPr>
                  <w:fldChar w:fldCharType="begin"/>
                </w:r>
                <w:r>
                  <w:rPr>
                    <w:webHidden/>
                  </w:rPr>
                  <w:instrText xml:space="preserve"> PAGEREF _Toc531098227 \h </w:instrText>
                </w:r>
                <w:r>
                  <w:rPr>
                    <w:webHidden/>
                  </w:rPr>
                </w:r>
                <w:r>
                  <w:rPr>
                    <w:webHidden/>
                  </w:rPr>
                  <w:fldChar w:fldCharType="separate"/>
                </w:r>
                <w:r>
                  <w:rPr>
                    <w:webHidden/>
                  </w:rPr>
                  <w:t>81</w:t>
                </w:r>
                <w:r>
                  <w:rPr>
                    <w:webHidden/>
                  </w:rPr>
                  <w:fldChar w:fldCharType="end"/>
                </w:r>
              </w:hyperlink>
            </w:p>
            <w:p w14:paraId="473A79B5" w14:textId="77777777" w:rsidR="00D16F86" w:rsidRDefault="00D16F86">
              <w:pPr>
                <w:pStyle w:val="TOC2"/>
                <w:rPr>
                  <w:rFonts w:asciiTheme="minorHAnsi" w:eastAsiaTheme="minorEastAsia" w:hAnsiTheme="minorHAnsi"/>
                  <w:lang w:eastAsia="en-NZ"/>
                </w:rPr>
              </w:pPr>
              <w:hyperlink w:anchor="_Toc531098228" w:history="1">
                <w:r w:rsidRPr="00687C52">
                  <w:rPr>
                    <w:rStyle w:val="Hyperlink"/>
                  </w:rPr>
                  <w:t>7.5.</w:t>
                </w:r>
                <w:r>
                  <w:rPr>
                    <w:rFonts w:asciiTheme="minorHAnsi" w:eastAsiaTheme="minorEastAsia" w:hAnsiTheme="minorHAnsi"/>
                    <w:lang w:eastAsia="en-NZ"/>
                  </w:rPr>
                  <w:tab/>
                </w:r>
                <w:r w:rsidRPr="00687C52">
                  <w:rPr>
                    <w:rStyle w:val="Hyperlink"/>
                  </w:rPr>
                  <w:t>Culturally specific services are required for Asian populations</w:t>
                </w:r>
                <w:r>
                  <w:rPr>
                    <w:webHidden/>
                  </w:rPr>
                  <w:tab/>
                </w:r>
                <w:r>
                  <w:rPr>
                    <w:webHidden/>
                  </w:rPr>
                  <w:fldChar w:fldCharType="begin"/>
                </w:r>
                <w:r>
                  <w:rPr>
                    <w:webHidden/>
                  </w:rPr>
                  <w:instrText xml:space="preserve"> PAGEREF _Toc531098228 \h </w:instrText>
                </w:r>
                <w:r>
                  <w:rPr>
                    <w:webHidden/>
                  </w:rPr>
                </w:r>
                <w:r>
                  <w:rPr>
                    <w:webHidden/>
                  </w:rPr>
                  <w:fldChar w:fldCharType="separate"/>
                </w:r>
                <w:r>
                  <w:rPr>
                    <w:webHidden/>
                  </w:rPr>
                  <w:t>81</w:t>
                </w:r>
                <w:r>
                  <w:rPr>
                    <w:webHidden/>
                  </w:rPr>
                  <w:fldChar w:fldCharType="end"/>
                </w:r>
              </w:hyperlink>
            </w:p>
            <w:p w14:paraId="295BE108" w14:textId="77777777" w:rsidR="00D16F86" w:rsidRDefault="00D16F86">
              <w:pPr>
                <w:pStyle w:val="TOC3"/>
                <w:tabs>
                  <w:tab w:val="left" w:pos="2268"/>
                </w:tabs>
                <w:rPr>
                  <w:rFonts w:asciiTheme="minorHAnsi" w:eastAsiaTheme="minorEastAsia" w:hAnsiTheme="minorHAnsi"/>
                  <w:sz w:val="22"/>
                  <w:lang w:eastAsia="en-NZ"/>
                </w:rPr>
              </w:pPr>
              <w:hyperlink w:anchor="_Toc531098229" w:history="1">
                <w:r w:rsidRPr="00687C52">
                  <w:rPr>
                    <w:rStyle w:val="Hyperlink"/>
                  </w:rPr>
                  <w:t>7.5.1.</w:t>
                </w:r>
                <w:r>
                  <w:rPr>
                    <w:rFonts w:asciiTheme="minorHAnsi" w:eastAsiaTheme="minorEastAsia" w:hAnsiTheme="minorHAnsi"/>
                    <w:sz w:val="22"/>
                    <w:lang w:eastAsia="en-NZ"/>
                  </w:rPr>
                  <w:tab/>
                </w:r>
                <w:r w:rsidRPr="00687C52">
                  <w:rPr>
                    <w:rStyle w:val="Hyperlink"/>
                  </w:rPr>
                  <w:t>Service Provider submitters stressed that gambling is perceived very differently in Asian cultures compared to western or Pacific cultures</w:t>
                </w:r>
                <w:r>
                  <w:rPr>
                    <w:webHidden/>
                  </w:rPr>
                  <w:tab/>
                </w:r>
                <w:r>
                  <w:rPr>
                    <w:webHidden/>
                  </w:rPr>
                  <w:fldChar w:fldCharType="begin"/>
                </w:r>
                <w:r>
                  <w:rPr>
                    <w:webHidden/>
                  </w:rPr>
                  <w:instrText xml:space="preserve"> PAGEREF _Toc531098229 \h </w:instrText>
                </w:r>
                <w:r>
                  <w:rPr>
                    <w:webHidden/>
                  </w:rPr>
                </w:r>
                <w:r>
                  <w:rPr>
                    <w:webHidden/>
                  </w:rPr>
                  <w:fldChar w:fldCharType="separate"/>
                </w:r>
                <w:r>
                  <w:rPr>
                    <w:webHidden/>
                  </w:rPr>
                  <w:t>81</w:t>
                </w:r>
                <w:r>
                  <w:rPr>
                    <w:webHidden/>
                  </w:rPr>
                  <w:fldChar w:fldCharType="end"/>
                </w:r>
              </w:hyperlink>
            </w:p>
            <w:p w14:paraId="44D4C64C" w14:textId="77777777" w:rsidR="00D16F86" w:rsidRDefault="00D16F86">
              <w:pPr>
                <w:pStyle w:val="TOC3"/>
                <w:tabs>
                  <w:tab w:val="left" w:pos="2268"/>
                </w:tabs>
                <w:rPr>
                  <w:rFonts w:asciiTheme="minorHAnsi" w:eastAsiaTheme="minorEastAsia" w:hAnsiTheme="minorHAnsi"/>
                  <w:sz w:val="22"/>
                  <w:lang w:eastAsia="en-NZ"/>
                </w:rPr>
              </w:pPr>
              <w:hyperlink w:anchor="_Toc531098230" w:history="1">
                <w:r w:rsidRPr="00687C52">
                  <w:rPr>
                    <w:rStyle w:val="Hyperlink"/>
                  </w:rPr>
                  <w:t>7.5.2.</w:t>
                </w:r>
                <w:r>
                  <w:rPr>
                    <w:rFonts w:asciiTheme="minorHAnsi" w:eastAsiaTheme="minorEastAsia" w:hAnsiTheme="minorHAnsi"/>
                    <w:sz w:val="22"/>
                    <w:lang w:eastAsia="en-NZ"/>
                  </w:rPr>
                  <w:tab/>
                </w:r>
                <w:r w:rsidRPr="00687C52">
                  <w:rPr>
                    <w:rStyle w:val="Hyperlink"/>
                  </w:rPr>
                  <w:t>Individuals</w:t>
                </w:r>
                <w:r>
                  <w:rPr>
                    <w:webHidden/>
                  </w:rPr>
                  <w:tab/>
                </w:r>
                <w:r>
                  <w:rPr>
                    <w:webHidden/>
                  </w:rPr>
                  <w:fldChar w:fldCharType="begin"/>
                </w:r>
                <w:r>
                  <w:rPr>
                    <w:webHidden/>
                  </w:rPr>
                  <w:instrText xml:space="preserve"> PAGEREF _Toc531098230 \h </w:instrText>
                </w:r>
                <w:r>
                  <w:rPr>
                    <w:webHidden/>
                  </w:rPr>
                </w:r>
                <w:r>
                  <w:rPr>
                    <w:webHidden/>
                  </w:rPr>
                  <w:fldChar w:fldCharType="separate"/>
                </w:r>
                <w:r>
                  <w:rPr>
                    <w:webHidden/>
                  </w:rPr>
                  <w:t>82</w:t>
                </w:r>
                <w:r>
                  <w:rPr>
                    <w:webHidden/>
                  </w:rPr>
                  <w:fldChar w:fldCharType="end"/>
                </w:r>
              </w:hyperlink>
            </w:p>
            <w:p w14:paraId="31C83C02" w14:textId="77777777" w:rsidR="00D16F86" w:rsidRDefault="00D16F86">
              <w:pPr>
                <w:pStyle w:val="TOC2"/>
                <w:rPr>
                  <w:rFonts w:asciiTheme="minorHAnsi" w:eastAsiaTheme="minorEastAsia" w:hAnsiTheme="minorHAnsi"/>
                  <w:lang w:eastAsia="en-NZ"/>
                </w:rPr>
              </w:pPr>
              <w:hyperlink w:anchor="_Toc531098231" w:history="1">
                <w:r w:rsidRPr="00687C52">
                  <w:rPr>
                    <w:rStyle w:val="Hyperlink"/>
                  </w:rPr>
                  <w:t>7.6.</w:t>
                </w:r>
                <w:r>
                  <w:rPr>
                    <w:rFonts w:asciiTheme="minorHAnsi" w:eastAsiaTheme="minorEastAsia" w:hAnsiTheme="minorHAnsi"/>
                    <w:lang w:eastAsia="en-NZ"/>
                  </w:rPr>
                  <w:tab/>
                </w:r>
                <w:r w:rsidRPr="00687C52">
                  <w:rPr>
                    <w:rStyle w:val="Hyperlink"/>
                  </w:rPr>
                  <w:t>Increasing online gambling was a cross-sector concern</w:t>
                </w:r>
                <w:r>
                  <w:rPr>
                    <w:webHidden/>
                  </w:rPr>
                  <w:tab/>
                </w:r>
                <w:r>
                  <w:rPr>
                    <w:webHidden/>
                  </w:rPr>
                  <w:fldChar w:fldCharType="begin"/>
                </w:r>
                <w:r>
                  <w:rPr>
                    <w:webHidden/>
                  </w:rPr>
                  <w:instrText xml:space="preserve"> PAGEREF _Toc531098231 \h </w:instrText>
                </w:r>
                <w:r>
                  <w:rPr>
                    <w:webHidden/>
                  </w:rPr>
                </w:r>
                <w:r>
                  <w:rPr>
                    <w:webHidden/>
                  </w:rPr>
                  <w:fldChar w:fldCharType="separate"/>
                </w:r>
                <w:r>
                  <w:rPr>
                    <w:webHidden/>
                  </w:rPr>
                  <w:t>82</w:t>
                </w:r>
                <w:r>
                  <w:rPr>
                    <w:webHidden/>
                  </w:rPr>
                  <w:fldChar w:fldCharType="end"/>
                </w:r>
              </w:hyperlink>
            </w:p>
            <w:p w14:paraId="69B2EFDE" w14:textId="77777777" w:rsidR="00D16F86" w:rsidRDefault="00D16F86">
              <w:pPr>
                <w:pStyle w:val="TOC3"/>
                <w:tabs>
                  <w:tab w:val="left" w:pos="2268"/>
                </w:tabs>
                <w:rPr>
                  <w:rFonts w:asciiTheme="minorHAnsi" w:eastAsiaTheme="minorEastAsia" w:hAnsiTheme="minorHAnsi"/>
                  <w:sz w:val="22"/>
                  <w:lang w:eastAsia="en-NZ"/>
                </w:rPr>
              </w:pPr>
              <w:hyperlink w:anchor="_Toc531098232" w:history="1">
                <w:r w:rsidRPr="00687C52">
                  <w:rPr>
                    <w:rStyle w:val="Hyperlink"/>
                  </w:rPr>
                  <w:t>7.6.1.</w:t>
                </w:r>
                <w:r>
                  <w:rPr>
                    <w:rFonts w:asciiTheme="minorHAnsi" w:eastAsiaTheme="minorEastAsia" w:hAnsiTheme="minorHAnsi"/>
                    <w:sz w:val="22"/>
                    <w:lang w:eastAsia="en-NZ"/>
                  </w:rPr>
                  <w:tab/>
                </w:r>
                <w:r w:rsidRPr="00687C52">
                  <w:rPr>
                    <w:rStyle w:val="Hyperlink"/>
                  </w:rPr>
                  <w:t>Service Provider submitters focused on an increasing treatment need</w:t>
                </w:r>
                <w:r>
                  <w:rPr>
                    <w:webHidden/>
                  </w:rPr>
                  <w:tab/>
                </w:r>
                <w:r>
                  <w:rPr>
                    <w:webHidden/>
                  </w:rPr>
                  <w:fldChar w:fldCharType="begin"/>
                </w:r>
                <w:r>
                  <w:rPr>
                    <w:webHidden/>
                  </w:rPr>
                  <w:instrText xml:space="preserve"> PAGEREF _Toc531098232 \h </w:instrText>
                </w:r>
                <w:r>
                  <w:rPr>
                    <w:webHidden/>
                  </w:rPr>
                </w:r>
                <w:r>
                  <w:rPr>
                    <w:webHidden/>
                  </w:rPr>
                  <w:fldChar w:fldCharType="separate"/>
                </w:r>
                <w:r>
                  <w:rPr>
                    <w:webHidden/>
                  </w:rPr>
                  <w:t>82</w:t>
                </w:r>
                <w:r>
                  <w:rPr>
                    <w:webHidden/>
                  </w:rPr>
                  <w:fldChar w:fldCharType="end"/>
                </w:r>
              </w:hyperlink>
            </w:p>
            <w:p w14:paraId="10A8FB02" w14:textId="77777777" w:rsidR="00D16F86" w:rsidRDefault="00D16F86">
              <w:pPr>
                <w:pStyle w:val="TOC3"/>
                <w:tabs>
                  <w:tab w:val="left" w:pos="2268"/>
                </w:tabs>
                <w:rPr>
                  <w:rFonts w:asciiTheme="minorHAnsi" w:eastAsiaTheme="minorEastAsia" w:hAnsiTheme="minorHAnsi"/>
                  <w:sz w:val="22"/>
                  <w:lang w:eastAsia="en-NZ"/>
                </w:rPr>
              </w:pPr>
              <w:hyperlink w:anchor="_Toc531098233" w:history="1">
                <w:r w:rsidRPr="00687C52">
                  <w:rPr>
                    <w:rStyle w:val="Hyperlink"/>
                  </w:rPr>
                  <w:t>7.6.2.</w:t>
                </w:r>
                <w:r>
                  <w:rPr>
                    <w:rFonts w:asciiTheme="minorHAnsi" w:eastAsiaTheme="minorEastAsia" w:hAnsiTheme="minorHAnsi"/>
                    <w:sz w:val="22"/>
                    <w:lang w:eastAsia="en-NZ"/>
                  </w:rPr>
                  <w:tab/>
                </w:r>
                <w:r w:rsidRPr="00687C52">
                  <w:rPr>
                    <w:rStyle w:val="Hyperlink"/>
                  </w:rPr>
                  <w:t>Local Government submitters noted this an emerging concern</w:t>
                </w:r>
                <w:r>
                  <w:rPr>
                    <w:webHidden/>
                  </w:rPr>
                  <w:tab/>
                </w:r>
                <w:r>
                  <w:rPr>
                    <w:webHidden/>
                  </w:rPr>
                  <w:fldChar w:fldCharType="begin"/>
                </w:r>
                <w:r>
                  <w:rPr>
                    <w:webHidden/>
                  </w:rPr>
                  <w:instrText xml:space="preserve"> PAGEREF _Toc531098233 \h </w:instrText>
                </w:r>
                <w:r>
                  <w:rPr>
                    <w:webHidden/>
                  </w:rPr>
                </w:r>
                <w:r>
                  <w:rPr>
                    <w:webHidden/>
                  </w:rPr>
                  <w:fldChar w:fldCharType="separate"/>
                </w:r>
                <w:r>
                  <w:rPr>
                    <w:webHidden/>
                  </w:rPr>
                  <w:t>82</w:t>
                </w:r>
                <w:r>
                  <w:rPr>
                    <w:webHidden/>
                  </w:rPr>
                  <w:fldChar w:fldCharType="end"/>
                </w:r>
              </w:hyperlink>
            </w:p>
            <w:p w14:paraId="3DB229A8" w14:textId="77777777" w:rsidR="00D16F86" w:rsidRDefault="00D16F86">
              <w:pPr>
                <w:pStyle w:val="TOC3"/>
                <w:tabs>
                  <w:tab w:val="left" w:pos="2268"/>
                </w:tabs>
                <w:rPr>
                  <w:rFonts w:asciiTheme="minorHAnsi" w:eastAsiaTheme="minorEastAsia" w:hAnsiTheme="minorHAnsi"/>
                  <w:sz w:val="22"/>
                  <w:lang w:eastAsia="en-NZ"/>
                </w:rPr>
              </w:pPr>
              <w:hyperlink w:anchor="_Toc531098234" w:history="1">
                <w:r w:rsidRPr="00687C52">
                  <w:rPr>
                    <w:rStyle w:val="Hyperlink"/>
                  </w:rPr>
                  <w:t>7.6.3.</w:t>
                </w:r>
                <w:r>
                  <w:rPr>
                    <w:rFonts w:asciiTheme="minorHAnsi" w:eastAsiaTheme="minorEastAsia" w:hAnsiTheme="minorHAnsi"/>
                    <w:sz w:val="22"/>
                    <w:lang w:eastAsia="en-NZ"/>
                  </w:rPr>
                  <w:tab/>
                </w:r>
                <w:r w:rsidRPr="00687C52">
                  <w:rPr>
                    <w:rStyle w:val="Hyperlink"/>
                  </w:rPr>
                  <w:t>NCGM sector submitters were concerned that providers are not contributing to the levy</w:t>
                </w:r>
                <w:r>
                  <w:rPr>
                    <w:webHidden/>
                  </w:rPr>
                  <w:tab/>
                </w:r>
                <w:r>
                  <w:rPr>
                    <w:webHidden/>
                  </w:rPr>
                  <w:fldChar w:fldCharType="begin"/>
                </w:r>
                <w:r>
                  <w:rPr>
                    <w:webHidden/>
                  </w:rPr>
                  <w:instrText xml:space="preserve"> PAGEREF _Toc531098234 \h </w:instrText>
                </w:r>
                <w:r>
                  <w:rPr>
                    <w:webHidden/>
                  </w:rPr>
                </w:r>
                <w:r>
                  <w:rPr>
                    <w:webHidden/>
                  </w:rPr>
                  <w:fldChar w:fldCharType="separate"/>
                </w:r>
                <w:r>
                  <w:rPr>
                    <w:webHidden/>
                  </w:rPr>
                  <w:t>82</w:t>
                </w:r>
                <w:r>
                  <w:rPr>
                    <w:webHidden/>
                  </w:rPr>
                  <w:fldChar w:fldCharType="end"/>
                </w:r>
              </w:hyperlink>
            </w:p>
            <w:p w14:paraId="76F4F921" w14:textId="77777777" w:rsidR="00D16F86" w:rsidRDefault="00D16F86">
              <w:pPr>
                <w:pStyle w:val="TOC3"/>
                <w:tabs>
                  <w:tab w:val="left" w:pos="2268"/>
                </w:tabs>
                <w:rPr>
                  <w:rFonts w:asciiTheme="minorHAnsi" w:eastAsiaTheme="minorEastAsia" w:hAnsiTheme="minorHAnsi"/>
                  <w:sz w:val="22"/>
                  <w:lang w:eastAsia="en-NZ"/>
                </w:rPr>
              </w:pPr>
              <w:hyperlink w:anchor="_Toc531098235" w:history="1">
                <w:r w:rsidRPr="00687C52">
                  <w:rPr>
                    <w:rStyle w:val="Hyperlink"/>
                  </w:rPr>
                  <w:t>7.6.4.</w:t>
                </w:r>
                <w:r>
                  <w:rPr>
                    <w:rFonts w:asciiTheme="minorHAnsi" w:eastAsiaTheme="minorEastAsia" w:hAnsiTheme="minorHAnsi"/>
                    <w:sz w:val="22"/>
                    <w:lang w:eastAsia="en-NZ"/>
                  </w:rPr>
                  <w:tab/>
                </w:r>
                <w:r w:rsidRPr="00687C52">
                  <w:rPr>
                    <w:rStyle w:val="Hyperlink"/>
                  </w:rPr>
                  <w:t>Gambling Industry (other) submitters encouraged more research</w:t>
                </w:r>
                <w:r>
                  <w:rPr>
                    <w:webHidden/>
                  </w:rPr>
                  <w:tab/>
                </w:r>
                <w:r>
                  <w:rPr>
                    <w:webHidden/>
                  </w:rPr>
                  <w:fldChar w:fldCharType="begin"/>
                </w:r>
                <w:r>
                  <w:rPr>
                    <w:webHidden/>
                  </w:rPr>
                  <w:instrText xml:space="preserve"> PAGEREF _Toc531098235 \h </w:instrText>
                </w:r>
                <w:r>
                  <w:rPr>
                    <w:webHidden/>
                  </w:rPr>
                </w:r>
                <w:r>
                  <w:rPr>
                    <w:webHidden/>
                  </w:rPr>
                  <w:fldChar w:fldCharType="separate"/>
                </w:r>
                <w:r>
                  <w:rPr>
                    <w:webHidden/>
                  </w:rPr>
                  <w:t>83</w:t>
                </w:r>
                <w:r>
                  <w:rPr>
                    <w:webHidden/>
                  </w:rPr>
                  <w:fldChar w:fldCharType="end"/>
                </w:r>
              </w:hyperlink>
            </w:p>
            <w:p w14:paraId="2F0664CB" w14:textId="77777777" w:rsidR="00D16F86" w:rsidRDefault="00D16F86">
              <w:pPr>
                <w:pStyle w:val="TOC3"/>
                <w:tabs>
                  <w:tab w:val="left" w:pos="2268"/>
                </w:tabs>
                <w:rPr>
                  <w:rFonts w:asciiTheme="minorHAnsi" w:eastAsiaTheme="minorEastAsia" w:hAnsiTheme="minorHAnsi"/>
                  <w:sz w:val="22"/>
                  <w:lang w:eastAsia="en-NZ"/>
                </w:rPr>
              </w:pPr>
              <w:hyperlink w:anchor="_Toc531098236" w:history="1">
                <w:r w:rsidRPr="00687C52">
                  <w:rPr>
                    <w:rStyle w:val="Hyperlink"/>
                  </w:rPr>
                  <w:t>7.6.5.</w:t>
                </w:r>
                <w:r>
                  <w:rPr>
                    <w:rFonts w:asciiTheme="minorHAnsi" w:eastAsiaTheme="minorEastAsia" w:hAnsiTheme="minorHAnsi"/>
                    <w:sz w:val="22"/>
                    <w:lang w:eastAsia="en-NZ"/>
                  </w:rPr>
                  <w:tab/>
                </w:r>
                <w:r w:rsidRPr="00687C52">
                  <w:rPr>
                    <w:rStyle w:val="Hyperlink"/>
                  </w:rPr>
                  <w:t>Health Sector submitters encouraged more research</w:t>
                </w:r>
                <w:r>
                  <w:rPr>
                    <w:webHidden/>
                  </w:rPr>
                  <w:tab/>
                </w:r>
                <w:r>
                  <w:rPr>
                    <w:webHidden/>
                  </w:rPr>
                  <w:fldChar w:fldCharType="begin"/>
                </w:r>
                <w:r>
                  <w:rPr>
                    <w:webHidden/>
                  </w:rPr>
                  <w:instrText xml:space="preserve"> PAGEREF _Toc531098236 \h </w:instrText>
                </w:r>
                <w:r>
                  <w:rPr>
                    <w:webHidden/>
                  </w:rPr>
                </w:r>
                <w:r>
                  <w:rPr>
                    <w:webHidden/>
                  </w:rPr>
                  <w:fldChar w:fldCharType="separate"/>
                </w:r>
                <w:r>
                  <w:rPr>
                    <w:webHidden/>
                  </w:rPr>
                  <w:t>83</w:t>
                </w:r>
                <w:r>
                  <w:rPr>
                    <w:webHidden/>
                  </w:rPr>
                  <w:fldChar w:fldCharType="end"/>
                </w:r>
              </w:hyperlink>
            </w:p>
            <w:p w14:paraId="235598B0" w14:textId="77777777" w:rsidR="00D16F86" w:rsidRDefault="00D16F86">
              <w:pPr>
                <w:pStyle w:val="TOC3"/>
                <w:tabs>
                  <w:tab w:val="left" w:pos="2268"/>
                </w:tabs>
                <w:rPr>
                  <w:rFonts w:asciiTheme="minorHAnsi" w:eastAsiaTheme="minorEastAsia" w:hAnsiTheme="minorHAnsi"/>
                  <w:sz w:val="22"/>
                  <w:lang w:eastAsia="en-NZ"/>
                </w:rPr>
              </w:pPr>
              <w:hyperlink w:anchor="_Toc531098237" w:history="1">
                <w:r w:rsidRPr="00687C52">
                  <w:rPr>
                    <w:rStyle w:val="Hyperlink"/>
                  </w:rPr>
                  <w:t>7.6.6.</w:t>
                </w:r>
                <w:r>
                  <w:rPr>
                    <w:rFonts w:asciiTheme="minorHAnsi" w:eastAsiaTheme="minorEastAsia" w:hAnsiTheme="minorHAnsi"/>
                    <w:sz w:val="22"/>
                    <w:lang w:eastAsia="en-NZ"/>
                  </w:rPr>
                  <w:tab/>
                </w:r>
                <w:r w:rsidRPr="00687C52">
                  <w:rPr>
                    <w:rStyle w:val="Hyperlink"/>
                  </w:rPr>
                  <w:t>Individuals were concerned about the lack of regulation</w:t>
                </w:r>
                <w:r>
                  <w:rPr>
                    <w:webHidden/>
                  </w:rPr>
                  <w:tab/>
                </w:r>
                <w:r>
                  <w:rPr>
                    <w:webHidden/>
                  </w:rPr>
                  <w:fldChar w:fldCharType="begin"/>
                </w:r>
                <w:r>
                  <w:rPr>
                    <w:webHidden/>
                  </w:rPr>
                  <w:instrText xml:space="preserve"> PAGEREF _Toc531098237 \h </w:instrText>
                </w:r>
                <w:r>
                  <w:rPr>
                    <w:webHidden/>
                  </w:rPr>
                </w:r>
                <w:r>
                  <w:rPr>
                    <w:webHidden/>
                  </w:rPr>
                  <w:fldChar w:fldCharType="separate"/>
                </w:r>
                <w:r>
                  <w:rPr>
                    <w:webHidden/>
                  </w:rPr>
                  <w:t>83</w:t>
                </w:r>
                <w:r>
                  <w:rPr>
                    <w:webHidden/>
                  </w:rPr>
                  <w:fldChar w:fldCharType="end"/>
                </w:r>
              </w:hyperlink>
            </w:p>
            <w:p w14:paraId="25CF62B8" w14:textId="77777777" w:rsidR="00D16F86" w:rsidRDefault="00D16F86">
              <w:pPr>
                <w:pStyle w:val="TOC2"/>
                <w:rPr>
                  <w:rFonts w:asciiTheme="minorHAnsi" w:eastAsiaTheme="minorEastAsia" w:hAnsiTheme="minorHAnsi"/>
                  <w:lang w:eastAsia="en-NZ"/>
                </w:rPr>
              </w:pPr>
              <w:hyperlink w:anchor="_Toc531098238" w:history="1">
                <w:r w:rsidRPr="00687C52">
                  <w:rPr>
                    <w:rStyle w:val="Hyperlink"/>
                  </w:rPr>
                  <w:t>7.7.</w:t>
                </w:r>
                <w:r>
                  <w:rPr>
                    <w:rFonts w:asciiTheme="minorHAnsi" w:eastAsiaTheme="minorEastAsia" w:hAnsiTheme="minorHAnsi"/>
                    <w:lang w:eastAsia="en-NZ"/>
                  </w:rPr>
                  <w:tab/>
                </w:r>
                <w:r w:rsidRPr="00687C52">
                  <w:rPr>
                    <w:rStyle w:val="Hyperlink"/>
                  </w:rPr>
                  <w:t>Young people and gambling</w:t>
                </w:r>
                <w:r>
                  <w:rPr>
                    <w:webHidden/>
                  </w:rPr>
                  <w:tab/>
                </w:r>
                <w:r>
                  <w:rPr>
                    <w:webHidden/>
                  </w:rPr>
                  <w:fldChar w:fldCharType="begin"/>
                </w:r>
                <w:r>
                  <w:rPr>
                    <w:webHidden/>
                  </w:rPr>
                  <w:instrText xml:space="preserve"> PAGEREF _Toc531098238 \h </w:instrText>
                </w:r>
                <w:r>
                  <w:rPr>
                    <w:webHidden/>
                  </w:rPr>
                </w:r>
                <w:r>
                  <w:rPr>
                    <w:webHidden/>
                  </w:rPr>
                  <w:fldChar w:fldCharType="separate"/>
                </w:r>
                <w:r>
                  <w:rPr>
                    <w:webHidden/>
                  </w:rPr>
                  <w:t>83</w:t>
                </w:r>
                <w:r>
                  <w:rPr>
                    <w:webHidden/>
                  </w:rPr>
                  <w:fldChar w:fldCharType="end"/>
                </w:r>
              </w:hyperlink>
            </w:p>
            <w:p w14:paraId="200AEAF6" w14:textId="77777777" w:rsidR="00D16F86" w:rsidRDefault="00D16F86">
              <w:pPr>
                <w:pStyle w:val="TOC3"/>
                <w:tabs>
                  <w:tab w:val="left" w:pos="2268"/>
                </w:tabs>
                <w:rPr>
                  <w:rFonts w:asciiTheme="minorHAnsi" w:eastAsiaTheme="minorEastAsia" w:hAnsiTheme="minorHAnsi"/>
                  <w:sz w:val="22"/>
                  <w:lang w:eastAsia="en-NZ"/>
                </w:rPr>
              </w:pPr>
              <w:hyperlink w:anchor="_Toc531098239" w:history="1">
                <w:r w:rsidRPr="00687C52">
                  <w:rPr>
                    <w:rStyle w:val="Hyperlink"/>
                  </w:rPr>
                  <w:t>7.7.1.</w:t>
                </w:r>
                <w:r>
                  <w:rPr>
                    <w:rFonts w:asciiTheme="minorHAnsi" w:eastAsiaTheme="minorEastAsia" w:hAnsiTheme="minorHAnsi"/>
                    <w:sz w:val="22"/>
                    <w:lang w:eastAsia="en-NZ"/>
                  </w:rPr>
                  <w:tab/>
                </w:r>
                <w:r w:rsidRPr="00687C52">
                  <w:rPr>
                    <w:rStyle w:val="Hyperlink"/>
                  </w:rPr>
                  <w:t>Service Provider submitters want a greater focus on youth in the Strategy</w:t>
                </w:r>
                <w:r>
                  <w:rPr>
                    <w:webHidden/>
                  </w:rPr>
                  <w:tab/>
                </w:r>
                <w:r>
                  <w:rPr>
                    <w:webHidden/>
                  </w:rPr>
                  <w:fldChar w:fldCharType="begin"/>
                </w:r>
                <w:r>
                  <w:rPr>
                    <w:webHidden/>
                  </w:rPr>
                  <w:instrText xml:space="preserve"> PAGEREF _Toc531098239 \h </w:instrText>
                </w:r>
                <w:r>
                  <w:rPr>
                    <w:webHidden/>
                  </w:rPr>
                </w:r>
                <w:r>
                  <w:rPr>
                    <w:webHidden/>
                  </w:rPr>
                  <w:fldChar w:fldCharType="separate"/>
                </w:r>
                <w:r>
                  <w:rPr>
                    <w:webHidden/>
                  </w:rPr>
                  <w:t>83</w:t>
                </w:r>
                <w:r>
                  <w:rPr>
                    <w:webHidden/>
                  </w:rPr>
                  <w:fldChar w:fldCharType="end"/>
                </w:r>
              </w:hyperlink>
            </w:p>
            <w:p w14:paraId="5DE4A918" w14:textId="77777777" w:rsidR="00D16F86" w:rsidRDefault="00D16F86">
              <w:pPr>
                <w:pStyle w:val="TOC2"/>
                <w:rPr>
                  <w:rFonts w:asciiTheme="minorHAnsi" w:eastAsiaTheme="minorEastAsia" w:hAnsiTheme="minorHAnsi"/>
                  <w:lang w:eastAsia="en-NZ"/>
                </w:rPr>
              </w:pPr>
              <w:hyperlink w:anchor="_Toc531098240" w:history="1">
                <w:r w:rsidRPr="00687C52">
                  <w:rPr>
                    <w:rStyle w:val="Hyperlink"/>
                  </w:rPr>
                  <w:t>7.8.</w:t>
                </w:r>
                <w:r>
                  <w:rPr>
                    <w:rFonts w:asciiTheme="minorHAnsi" w:eastAsiaTheme="minorEastAsia" w:hAnsiTheme="minorHAnsi"/>
                    <w:lang w:eastAsia="en-NZ"/>
                  </w:rPr>
                  <w:tab/>
                </w:r>
                <w:r w:rsidRPr="00687C52">
                  <w:rPr>
                    <w:rStyle w:val="Hyperlink"/>
                  </w:rPr>
                  <w:t>Advertising of gambling services and of support services: each need attention</w:t>
                </w:r>
                <w:r>
                  <w:rPr>
                    <w:webHidden/>
                  </w:rPr>
                  <w:tab/>
                </w:r>
                <w:r>
                  <w:rPr>
                    <w:webHidden/>
                  </w:rPr>
                  <w:fldChar w:fldCharType="begin"/>
                </w:r>
                <w:r>
                  <w:rPr>
                    <w:webHidden/>
                  </w:rPr>
                  <w:instrText xml:space="preserve"> PAGEREF _Toc531098240 \h </w:instrText>
                </w:r>
                <w:r>
                  <w:rPr>
                    <w:webHidden/>
                  </w:rPr>
                </w:r>
                <w:r>
                  <w:rPr>
                    <w:webHidden/>
                  </w:rPr>
                  <w:fldChar w:fldCharType="separate"/>
                </w:r>
                <w:r>
                  <w:rPr>
                    <w:webHidden/>
                  </w:rPr>
                  <w:t>84</w:t>
                </w:r>
                <w:r>
                  <w:rPr>
                    <w:webHidden/>
                  </w:rPr>
                  <w:fldChar w:fldCharType="end"/>
                </w:r>
              </w:hyperlink>
            </w:p>
            <w:p w14:paraId="2837F3BC" w14:textId="77777777" w:rsidR="00D16F86" w:rsidRDefault="00D16F86">
              <w:pPr>
                <w:pStyle w:val="TOC3"/>
                <w:tabs>
                  <w:tab w:val="left" w:pos="2268"/>
                </w:tabs>
                <w:rPr>
                  <w:rFonts w:asciiTheme="minorHAnsi" w:eastAsiaTheme="minorEastAsia" w:hAnsiTheme="minorHAnsi"/>
                  <w:sz w:val="22"/>
                  <w:lang w:eastAsia="en-NZ"/>
                </w:rPr>
              </w:pPr>
              <w:hyperlink w:anchor="_Toc531098241" w:history="1">
                <w:r w:rsidRPr="00687C52">
                  <w:rPr>
                    <w:rStyle w:val="Hyperlink"/>
                  </w:rPr>
                  <w:t>7.8.1.</w:t>
                </w:r>
                <w:r>
                  <w:rPr>
                    <w:rFonts w:asciiTheme="minorHAnsi" w:eastAsiaTheme="minorEastAsia" w:hAnsiTheme="minorHAnsi"/>
                    <w:sz w:val="22"/>
                    <w:lang w:eastAsia="en-NZ"/>
                  </w:rPr>
                  <w:tab/>
                </w:r>
                <w:r w:rsidRPr="00687C52">
                  <w:rPr>
                    <w:rStyle w:val="Hyperlink"/>
                  </w:rPr>
                  <w:t>Service Provider submitters want to restrict the promotion of gambling</w:t>
                </w:r>
                <w:r>
                  <w:rPr>
                    <w:webHidden/>
                  </w:rPr>
                  <w:tab/>
                </w:r>
                <w:r>
                  <w:rPr>
                    <w:webHidden/>
                  </w:rPr>
                  <w:fldChar w:fldCharType="begin"/>
                </w:r>
                <w:r>
                  <w:rPr>
                    <w:webHidden/>
                  </w:rPr>
                  <w:instrText xml:space="preserve"> PAGEREF _Toc531098241 \h </w:instrText>
                </w:r>
                <w:r>
                  <w:rPr>
                    <w:webHidden/>
                  </w:rPr>
                </w:r>
                <w:r>
                  <w:rPr>
                    <w:webHidden/>
                  </w:rPr>
                  <w:fldChar w:fldCharType="separate"/>
                </w:r>
                <w:r>
                  <w:rPr>
                    <w:webHidden/>
                  </w:rPr>
                  <w:t>84</w:t>
                </w:r>
                <w:r>
                  <w:rPr>
                    <w:webHidden/>
                  </w:rPr>
                  <w:fldChar w:fldCharType="end"/>
                </w:r>
              </w:hyperlink>
            </w:p>
            <w:p w14:paraId="058E2A00" w14:textId="77777777" w:rsidR="00D16F86" w:rsidRDefault="00D16F86">
              <w:pPr>
                <w:pStyle w:val="TOC3"/>
                <w:tabs>
                  <w:tab w:val="left" w:pos="2268"/>
                </w:tabs>
                <w:rPr>
                  <w:rFonts w:asciiTheme="minorHAnsi" w:eastAsiaTheme="minorEastAsia" w:hAnsiTheme="minorHAnsi"/>
                  <w:sz w:val="22"/>
                  <w:lang w:eastAsia="en-NZ"/>
                </w:rPr>
              </w:pPr>
              <w:hyperlink w:anchor="_Toc531098242" w:history="1">
                <w:r w:rsidRPr="00687C52">
                  <w:rPr>
                    <w:rStyle w:val="Hyperlink"/>
                  </w:rPr>
                  <w:t>7.8.2.</w:t>
                </w:r>
                <w:r>
                  <w:rPr>
                    <w:rFonts w:asciiTheme="minorHAnsi" w:eastAsiaTheme="minorEastAsia" w:hAnsiTheme="minorHAnsi"/>
                    <w:sz w:val="22"/>
                    <w:lang w:eastAsia="en-NZ"/>
                  </w:rPr>
                  <w:tab/>
                </w:r>
                <w:r w:rsidRPr="00687C52">
                  <w:rPr>
                    <w:rStyle w:val="Hyperlink"/>
                  </w:rPr>
                  <w:t>NCGM sector submitters noted the relationship between advertising and problem gambling</w:t>
                </w:r>
                <w:r>
                  <w:rPr>
                    <w:webHidden/>
                  </w:rPr>
                  <w:tab/>
                </w:r>
                <w:r>
                  <w:rPr>
                    <w:webHidden/>
                  </w:rPr>
                  <w:fldChar w:fldCharType="begin"/>
                </w:r>
                <w:r>
                  <w:rPr>
                    <w:webHidden/>
                  </w:rPr>
                  <w:instrText xml:space="preserve"> PAGEREF _Toc531098242 \h </w:instrText>
                </w:r>
                <w:r>
                  <w:rPr>
                    <w:webHidden/>
                  </w:rPr>
                </w:r>
                <w:r>
                  <w:rPr>
                    <w:webHidden/>
                  </w:rPr>
                  <w:fldChar w:fldCharType="separate"/>
                </w:r>
                <w:r>
                  <w:rPr>
                    <w:webHidden/>
                  </w:rPr>
                  <w:t>84</w:t>
                </w:r>
                <w:r>
                  <w:rPr>
                    <w:webHidden/>
                  </w:rPr>
                  <w:fldChar w:fldCharType="end"/>
                </w:r>
              </w:hyperlink>
            </w:p>
            <w:p w14:paraId="39EDE60B" w14:textId="77777777" w:rsidR="00D16F86" w:rsidRDefault="00D16F86">
              <w:pPr>
                <w:pStyle w:val="TOC3"/>
                <w:tabs>
                  <w:tab w:val="left" w:pos="2268"/>
                </w:tabs>
                <w:rPr>
                  <w:rFonts w:asciiTheme="minorHAnsi" w:eastAsiaTheme="minorEastAsia" w:hAnsiTheme="minorHAnsi"/>
                  <w:sz w:val="22"/>
                  <w:lang w:eastAsia="en-NZ"/>
                </w:rPr>
              </w:pPr>
              <w:hyperlink w:anchor="_Toc531098243" w:history="1">
                <w:r w:rsidRPr="00687C52">
                  <w:rPr>
                    <w:rStyle w:val="Hyperlink"/>
                  </w:rPr>
                  <w:t>7.8.3.</w:t>
                </w:r>
                <w:r>
                  <w:rPr>
                    <w:rFonts w:asciiTheme="minorHAnsi" w:eastAsiaTheme="minorEastAsia" w:hAnsiTheme="minorHAnsi"/>
                    <w:sz w:val="22"/>
                    <w:lang w:eastAsia="en-NZ"/>
                  </w:rPr>
                  <w:tab/>
                </w:r>
                <w:r w:rsidRPr="00687C52">
                  <w:rPr>
                    <w:rStyle w:val="Hyperlink"/>
                  </w:rPr>
                  <w:t>Local Government submitters sought more information</w:t>
                </w:r>
                <w:r>
                  <w:rPr>
                    <w:webHidden/>
                  </w:rPr>
                  <w:tab/>
                </w:r>
                <w:r>
                  <w:rPr>
                    <w:webHidden/>
                  </w:rPr>
                  <w:fldChar w:fldCharType="begin"/>
                </w:r>
                <w:r>
                  <w:rPr>
                    <w:webHidden/>
                  </w:rPr>
                  <w:instrText xml:space="preserve"> PAGEREF _Toc531098243 \h </w:instrText>
                </w:r>
                <w:r>
                  <w:rPr>
                    <w:webHidden/>
                  </w:rPr>
                </w:r>
                <w:r>
                  <w:rPr>
                    <w:webHidden/>
                  </w:rPr>
                  <w:fldChar w:fldCharType="separate"/>
                </w:r>
                <w:r>
                  <w:rPr>
                    <w:webHidden/>
                  </w:rPr>
                  <w:t>84</w:t>
                </w:r>
                <w:r>
                  <w:rPr>
                    <w:webHidden/>
                  </w:rPr>
                  <w:fldChar w:fldCharType="end"/>
                </w:r>
              </w:hyperlink>
            </w:p>
            <w:p w14:paraId="769EF5A1" w14:textId="77777777" w:rsidR="00D16F86" w:rsidRDefault="00D16F86">
              <w:pPr>
                <w:pStyle w:val="TOC3"/>
                <w:tabs>
                  <w:tab w:val="left" w:pos="2268"/>
                </w:tabs>
                <w:rPr>
                  <w:rFonts w:asciiTheme="minorHAnsi" w:eastAsiaTheme="minorEastAsia" w:hAnsiTheme="minorHAnsi"/>
                  <w:sz w:val="22"/>
                  <w:lang w:eastAsia="en-NZ"/>
                </w:rPr>
              </w:pPr>
              <w:hyperlink w:anchor="_Toc531098244" w:history="1">
                <w:r w:rsidRPr="00687C52">
                  <w:rPr>
                    <w:rStyle w:val="Hyperlink"/>
                  </w:rPr>
                  <w:t>7.8.4.</w:t>
                </w:r>
                <w:r>
                  <w:rPr>
                    <w:rFonts w:asciiTheme="minorHAnsi" w:eastAsiaTheme="minorEastAsia" w:hAnsiTheme="minorHAnsi"/>
                    <w:sz w:val="22"/>
                    <w:lang w:eastAsia="en-NZ"/>
                  </w:rPr>
                  <w:tab/>
                </w:r>
                <w:r w:rsidRPr="00687C52">
                  <w:rPr>
                    <w:rStyle w:val="Hyperlink"/>
                  </w:rPr>
                  <w:t>Health sector submitters sought more information</w:t>
                </w:r>
                <w:r>
                  <w:rPr>
                    <w:webHidden/>
                  </w:rPr>
                  <w:tab/>
                </w:r>
                <w:r>
                  <w:rPr>
                    <w:webHidden/>
                  </w:rPr>
                  <w:fldChar w:fldCharType="begin"/>
                </w:r>
                <w:r>
                  <w:rPr>
                    <w:webHidden/>
                  </w:rPr>
                  <w:instrText xml:space="preserve"> PAGEREF _Toc531098244 \h </w:instrText>
                </w:r>
                <w:r>
                  <w:rPr>
                    <w:webHidden/>
                  </w:rPr>
                </w:r>
                <w:r>
                  <w:rPr>
                    <w:webHidden/>
                  </w:rPr>
                  <w:fldChar w:fldCharType="separate"/>
                </w:r>
                <w:r>
                  <w:rPr>
                    <w:webHidden/>
                  </w:rPr>
                  <w:t>84</w:t>
                </w:r>
                <w:r>
                  <w:rPr>
                    <w:webHidden/>
                  </w:rPr>
                  <w:fldChar w:fldCharType="end"/>
                </w:r>
              </w:hyperlink>
            </w:p>
            <w:p w14:paraId="4B422630" w14:textId="77777777" w:rsidR="00D16F86" w:rsidRDefault="00D16F86">
              <w:pPr>
                <w:pStyle w:val="TOC3"/>
                <w:tabs>
                  <w:tab w:val="left" w:pos="2268"/>
                </w:tabs>
                <w:rPr>
                  <w:rFonts w:asciiTheme="minorHAnsi" w:eastAsiaTheme="minorEastAsia" w:hAnsiTheme="minorHAnsi"/>
                  <w:sz w:val="22"/>
                  <w:lang w:eastAsia="en-NZ"/>
                </w:rPr>
              </w:pPr>
              <w:hyperlink w:anchor="_Toc531098245" w:history="1">
                <w:r w:rsidRPr="00687C52">
                  <w:rPr>
                    <w:rStyle w:val="Hyperlink"/>
                  </w:rPr>
                  <w:t>7.8.5.</w:t>
                </w:r>
                <w:r>
                  <w:rPr>
                    <w:rFonts w:asciiTheme="minorHAnsi" w:eastAsiaTheme="minorEastAsia" w:hAnsiTheme="minorHAnsi"/>
                    <w:sz w:val="22"/>
                    <w:lang w:eastAsia="en-NZ"/>
                  </w:rPr>
                  <w:tab/>
                </w:r>
                <w:r w:rsidRPr="00687C52">
                  <w:rPr>
                    <w:rStyle w:val="Hyperlink"/>
                  </w:rPr>
                  <w:t>Individual submitters made practical suggestions to reach people in need of help</w:t>
                </w:r>
                <w:r>
                  <w:rPr>
                    <w:webHidden/>
                  </w:rPr>
                  <w:tab/>
                </w:r>
                <w:r>
                  <w:rPr>
                    <w:webHidden/>
                  </w:rPr>
                  <w:fldChar w:fldCharType="begin"/>
                </w:r>
                <w:r>
                  <w:rPr>
                    <w:webHidden/>
                  </w:rPr>
                  <w:instrText xml:space="preserve"> PAGEREF _Toc531098245 \h </w:instrText>
                </w:r>
                <w:r>
                  <w:rPr>
                    <w:webHidden/>
                  </w:rPr>
                </w:r>
                <w:r>
                  <w:rPr>
                    <w:webHidden/>
                  </w:rPr>
                  <w:fldChar w:fldCharType="separate"/>
                </w:r>
                <w:r>
                  <w:rPr>
                    <w:webHidden/>
                  </w:rPr>
                  <w:t>85</w:t>
                </w:r>
                <w:r>
                  <w:rPr>
                    <w:webHidden/>
                  </w:rPr>
                  <w:fldChar w:fldCharType="end"/>
                </w:r>
              </w:hyperlink>
            </w:p>
            <w:p w14:paraId="43BFCD4A" w14:textId="77777777" w:rsidR="00D16F86" w:rsidRDefault="00D16F86">
              <w:pPr>
                <w:pStyle w:val="TOC2"/>
                <w:rPr>
                  <w:rFonts w:asciiTheme="minorHAnsi" w:eastAsiaTheme="minorEastAsia" w:hAnsiTheme="minorHAnsi"/>
                  <w:lang w:eastAsia="en-NZ"/>
                </w:rPr>
              </w:pPr>
              <w:hyperlink w:anchor="_Toc531098246" w:history="1">
                <w:r w:rsidRPr="00687C52">
                  <w:rPr>
                    <w:rStyle w:val="Hyperlink"/>
                  </w:rPr>
                  <w:t>7.9.</w:t>
                </w:r>
                <w:r>
                  <w:rPr>
                    <w:rFonts w:asciiTheme="minorHAnsi" w:eastAsiaTheme="minorEastAsia" w:hAnsiTheme="minorHAnsi"/>
                    <w:lang w:eastAsia="en-NZ"/>
                  </w:rPr>
                  <w:tab/>
                </w:r>
                <w:r w:rsidRPr="00687C52">
                  <w:rPr>
                    <w:rStyle w:val="Hyperlink"/>
                  </w:rPr>
                  <w:t>Peer support was backed, but there were reservations about residential services</w:t>
                </w:r>
                <w:r>
                  <w:rPr>
                    <w:webHidden/>
                  </w:rPr>
                  <w:tab/>
                </w:r>
                <w:r>
                  <w:rPr>
                    <w:webHidden/>
                  </w:rPr>
                  <w:fldChar w:fldCharType="begin"/>
                </w:r>
                <w:r>
                  <w:rPr>
                    <w:webHidden/>
                  </w:rPr>
                  <w:instrText xml:space="preserve"> PAGEREF _Toc531098246 \h </w:instrText>
                </w:r>
                <w:r>
                  <w:rPr>
                    <w:webHidden/>
                  </w:rPr>
                </w:r>
                <w:r>
                  <w:rPr>
                    <w:webHidden/>
                  </w:rPr>
                  <w:fldChar w:fldCharType="separate"/>
                </w:r>
                <w:r>
                  <w:rPr>
                    <w:webHidden/>
                  </w:rPr>
                  <w:t>85</w:t>
                </w:r>
                <w:r>
                  <w:rPr>
                    <w:webHidden/>
                  </w:rPr>
                  <w:fldChar w:fldCharType="end"/>
                </w:r>
              </w:hyperlink>
            </w:p>
            <w:p w14:paraId="30335F29" w14:textId="77777777" w:rsidR="00D16F86" w:rsidRDefault="00D16F86">
              <w:pPr>
                <w:pStyle w:val="TOC3"/>
                <w:tabs>
                  <w:tab w:val="left" w:pos="2268"/>
                </w:tabs>
                <w:rPr>
                  <w:rFonts w:asciiTheme="minorHAnsi" w:eastAsiaTheme="minorEastAsia" w:hAnsiTheme="minorHAnsi"/>
                  <w:sz w:val="22"/>
                  <w:lang w:eastAsia="en-NZ"/>
                </w:rPr>
              </w:pPr>
              <w:hyperlink w:anchor="_Toc531098247" w:history="1">
                <w:r w:rsidRPr="00687C52">
                  <w:rPr>
                    <w:rStyle w:val="Hyperlink"/>
                  </w:rPr>
                  <w:t>7.9.1.</w:t>
                </w:r>
                <w:r>
                  <w:rPr>
                    <w:rFonts w:asciiTheme="minorHAnsi" w:eastAsiaTheme="minorEastAsia" w:hAnsiTheme="minorHAnsi"/>
                    <w:sz w:val="22"/>
                    <w:lang w:eastAsia="en-NZ"/>
                  </w:rPr>
                  <w:tab/>
                </w:r>
                <w:r w:rsidRPr="00687C52">
                  <w:rPr>
                    <w:rStyle w:val="Hyperlink"/>
                  </w:rPr>
                  <w:t>Service Provider submitters were supportive of both proposals</w:t>
                </w:r>
                <w:r>
                  <w:rPr>
                    <w:webHidden/>
                  </w:rPr>
                  <w:tab/>
                </w:r>
                <w:r>
                  <w:rPr>
                    <w:webHidden/>
                  </w:rPr>
                  <w:fldChar w:fldCharType="begin"/>
                </w:r>
                <w:r>
                  <w:rPr>
                    <w:webHidden/>
                  </w:rPr>
                  <w:instrText xml:space="preserve"> PAGEREF _Toc531098247 \h </w:instrText>
                </w:r>
                <w:r>
                  <w:rPr>
                    <w:webHidden/>
                  </w:rPr>
                </w:r>
                <w:r>
                  <w:rPr>
                    <w:webHidden/>
                  </w:rPr>
                  <w:fldChar w:fldCharType="separate"/>
                </w:r>
                <w:r>
                  <w:rPr>
                    <w:webHidden/>
                  </w:rPr>
                  <w:t>85</w:t>
                </w:r>
                <w:r>
                  <w:rPr>
                    <w:webHidden/>
                  </w:rPr>
                  <w:fldChar w:fldCharType="end"/>
                </w:r>
              </w:hyperlink>
            </w:p>
            <w:p w14:paraId="3DD6621D" w14:textId="77777777" w:rsidR="00D16F86" w:rsidRDefault="00D16F86">
              <w:pPr>
                <w:pStyle w:val="TOC3"/>
                <w:tabs>
                  <w:tab w:val="left" w:pos="2268"/>
                </w:tabs>
                <w:rPr>
                  <w:rFonts w:asciiTheme="minorHAnsi" w:eastAsiaTheme="minorEastAsia" w:hAnsiTheme="minorHAnsi"/>
                  <w:sz w:val="22"/>
                  <w:lang w:eastAsia="en-NZ"/>
                </w:rPr>
              </w:pPr>
              <w:hyperlink w:anchor="_Toc531098248" w:history="1">
                <w:r w:rsidRPr="00687C52">
                  <w:rPr>
                    <w:rStyle w:val="Hyperlink"/>
                  </w:rPr>
                  <w:t>7.9.2.</w:t>
                </w:r>
                <w:r>
                  <w:rPr>
                    <w:rFonts w:asciiTheme="minorHAnsi" w:eastAsiaTheme="minorEastAsia" w:hAnsiTheme="minorHAnsi"/>
                    <w:sz w:val="22"/>
                    <w:lang w:eastAsia="en-NZ"/>
                  </w:rPr>
                  <w:tab/>
                </w:r>
                <w:r w:rsidRPr="00687C52">
                  <w:rPr>
                    <w:rStyle w:val="Hyperlink"/>
                  </w:rPr>
                  <w:t>NCGM sector submitters were more supportive of peer support than residential services</w:t>
                </w:r>
                <w:r>
                  <w:rPr>
                    <w:webHidden/>
                  </w:rPr>
                  <w:tab/>
                </w:r>
                <w:r>
                  <w:rPr>
                    <w:webHidden/>
                  </w:rPr>
                  <w:fldChar w:fldCharType="begin"/>
                </w:r>
                <w:r>
                  <w:rPr>
                    <w:webHidden/>
                  </w:rPr>
                  <w:instrText xml:space="preserve"> PAGEREF _Toc531098248 \h </w:instrText>
                </w:r>
                <w:r>
                  <w:rPr>
                    <w:webHidden/>
                  </w:rPr>
                </w:r>
                <w:r>
                  <w:rPr>
                    <w:webHidden/>
                  </w:rPr>
                  <w:fldChar w:fldCharType="separate"/>
                </w:r>
                <w:r>
                  <w:rPr>
                    <w:webHidden/>
                  </w:rPr>
                  <w:t>85</w:t>
                </w:r>
                <w:r>
                  <w:rPr>
                    <w:webHidden/>
                  </w:rPr>
                  <w:fldChar w:fldCharType="end"/>
                </w:r>
              </w:hyperlink>
            </w:p>
            <w:p w14:paraId="647ED18B" w14:textId="77777777" w:rsidR="00D16F86" w:rsidRDefault="00D16F86">
              <w:pPr>
                <w:pStyle w:val="TOC3"/>
                <w:tabs>
                  <w:tab w:val="left" w:pos="2268"/>
                </w:tabs>
                <w:rPr>
                  <w:rFonts w:asciiTheme="minorHAnsi" w:eastAsiaTheme="minorEastAsia" w:hAnsiTheme="minorHAnsi"/>
                  <w:sz w:val="22"/>
                  <w:lang w:eastAsia="en-NZ"/>
                </w:rPr>
              </w:pPr>
              <w:hyperlink w:anchor="_Toc531098249" w:history="1">
                <w:r w:rsidRPr="00687C52">
                  <w:rPr>
                    <w:rStyle w:val="Hyperlink"/>
                  </w:rPr>
                  <w:t>7.9.3.</w:t>
                </w:r>
                <w:r>
                  <w:rPr>
                    <w:rFonts w:asciiTheme="minorHAnsi" w:eastAsiaTheme="minorEastAsia" w:hAnsiTheme="minorHAnsi"/>
                    <w:sz w:val="22"/>
                    <w:lang w:eastAsia="en-NZ"/>
                  </w:rPr>
                  <w:tab/>
                </w:r>
                <w:r w:rsidRPr="00687C52">
                  <w:rPr>
                    <w:rStyle w:val="Hyperlink"/>
                  </w:rPr>
                  <w:t>Individuals were generally supportive of peer support</w:t>
                </w:r>
                <w:r>
                  <w:rPr>
                    <w:webHidden/>
                  </w:rPr>
                  <w:tab/>
                </w:r>
                <w:r>
                  <w:rPr>
                    <w:webHidden/>
                  </w:rPr>
                  <w:fldChar w:fldCharType="begin"/>
                </w:r>
                <w:r>
                  <w:rPr>
                    <w:webHidden/>
                  </w:rPr>
                  <w:instrText xml:space="preserve"> PAGEREF _Toc531098249 \h </w:instrText>
                </w:r>
                <w:r>
                  <w:rPr>
                    <w:webHidden/>
                  </w:rPr>
                </w:r>
                <w:r>
                  <w:rPr>
                    <w:webHidden/>
                  </w:rPr>
                  <w:fldChar w:fldCharType="separate"/>
                </w:r>
                <w:r>
                  <w:rPr>
                    <w:webHidden/>
                  </w:rPr>
                  <w:t>85</w:t>
                </w:r>
                <w:r>
                  <w:rPr>
                    <w:webHidden/>
                  </w:rPr>
                  <w:fldChar w:fldCharType="end"/>
                </w:r>
              </w:hyperlink>
            </w:p>
            <w:p w14:paraId="7039A79F" w14:textId="77777777" w:rsidR="00D16F86" w:rsidRDefault="00D16F86">
              <w:pPr>
                <w:pStyle w:val="TOC3"/>
                <w:tabs>
                  <w:tab w:val="left" w:pos="2268"/>
                </w:tabs>
                <w:rPr>
                  <w:rFonts w:asciiTheme="minorHAnsi" w:eastAsiaTheme="minorEastAsia" w:hAnsiTheme="minorHAnsi"/>
                  <w:sz w:val="22"/>
                  <w:lang w:eastAsia="en-NZ"/>
                </w:rPr>
              </w:pPr>
              <w:hyperlink w:anchor="_Toc531098250" w:history="1">
                <w:r w:rsidRPr="00687C52">
                  <w:rPr>
                    <w:rStyle w:val="Hyperlink"/>
                  </w:rPr>
                  <w:t>7.9.4.</w:t>
                </w:r>
                <w:r>
                  <w:rPr>
                    <w:rFonts w:asciiTheme="minorHAnsi" w:eastAsiaTheme="minorEastAsia" w:hAnsiTheme="minorHAnsi"/>
                    <w:sz w:val="22"/>
                    <w:lang w:eastAsia="en-NZ"/>
                  </w:rPr>
                  <w:tab/>
                </w:r>
                <w:r w:rsidRPr="00687C52">
                  <w:rPr>
                    <w:rStyle w:val="Hyperlink"/>
                  </w:rPr>
                  <w:t>Health sector submitters were generally supportive</w:t>
                </w:r>
                <w:r>
                  <w:rPr>
                    <w:webHidden/>
                  </w:rPr>
                  <w:tab/>
                </w:r>
                <w:r>
                  <w:rPr>
                    <w:webHidden/>
                  </w:rPr>
                  <w:fldChar w:fldCharType="begin"/>
                </w:r>
                <w:r>
                  <w:rPr>
                    <w:webHidden/>
                  </w:rPr>
                  <w:instrText xml:space="preserve"> PAGEREF _Toc531098250 \h </w:instrText>
                </w:r>
                <w:r>
                  <w:rPr>
                    <w:webHidden/>
                  </w:rPr>
                </w:r>
                <w:r>
                  <w:rPr>
                    <w:webHidden/>
                  </w:rPr>
                  <w:fldChar w:fldCharType="separate"/>
                </w:r>
                <w:r>
                  <w:rPr>
                    <w:webHidden/>
                  </w:rPr>
                  <w:t>86</w:t>
                </w:r>
                <w:r>
                  <w:rPr>
                    <w:webHidden/>
                  </w:rPr>
                  <w:fldChar w:fldCharType="end"/>
                </w:r>
              </w:hyperlink>
            </w:p>
            <w:p w14:paraId="6EE06EB4" w14:textId="77777777" w:rsidR="00D16F86" w:rsidRDefault="00D16F86">
              <w:pPr>
                <w:pStyle w:val="TOC3"/>
                <w:tabs>
                  <w:tab w:val="left" w:pos="2268"/>
                </w:tabs>
                <w:rPr>
                  <w:rFonts w:asciiTheme="minorHAnsi" w:eastAsiaTheme="minorEastAsia" w:hAnsiTheme="minorHAnsi"/>
                  <w:sz w:val="22"/>
                  <w:lang w:eastAsia="en-NZ"/>
                </w:rPr>
              </w:pPr>
              <w:hyperlink w:anchor="_Toc531098251" w:history="1">
                <w:r w:rsidRPr="00687C52">
                  <w:rPr>
                    <w:rStyle w:val="Hyperlink"/>
                  </w:rPr>
                  <w:t>7.9.5.</w:t>
                </w:r>
                <w:r>
                  <w:rPr>
                    <w:rFonts w:asciiTheme="minorHAnsi" w:eastAsiaTheme="minorEastAsia" w:hAnsiTheme="minorHAnsi"/>
                    <w:sz w:val="22"/>
                    <w:lang w:eastAsia="en-NZ"/>
                  </w:rPr>
                  <w:tab/>
                </w:r>
                <w:r w:rsidRPr="00687C52">
                  <w:rPr>
                    <w:rStyle w:val="Hyperlink"/>
                  </w:rPr>
                  <w:t>Gambling Industry (other) submitters were generally supportive</w:t>
                </w:r>
                <w:r>
                  <w:rPr>
                    <w:webHidden/>
                  </w:rPr>
                  <w:tab/>
                </w:r>
                <w:r>
                  <w:rPr>
                    <w:webHidden/>
                  </w:rPr>
                  <w:fldChar w:fldCharType="begin"/>
                </w:r>
                <w:r>
                  <w:rPr>
                    <w:webHidden/>
                  </w:rPr>
                  <w:instrText xml:space="preserve"> PAGEREF _Toc531098251 \h </w:instrText>
                </w:r>
                <w:r>
                  <w:rPr>
                    <w:webHidden/>
                  </w:rPr>
                </w:r>
                <w:r>
                  <w:rPr>
                    <w:webHidden/>
                  </w:rPr>
                  <w:fldChar w:fldCharType="separate"/>
                </w:r>
                <w:r>
                  <w:rPr>
                    <w:webHidden/>
                  </w:rPr>
                  <w:t>86</w:t>
                </w:r>
                <w:r>
                  <w:rPr>
                    <w:webHidden/>
                  </w:rPr>
                  <w:fldChar w:fldCharType="end"/>
                </w:r>
              </w:hyperlink>
            </w:p>
            <w:p w14:paraId="3303D79E" w14:textId="77777777" w:rsidR="00D16F86" w:rsidRDefault="00D16F86">
              <w:pPr>
                <w:pStyle w:val="TOC2"/>
                <w:rPr>
                  <w:rFonts w:asciiTheme="minorHAnsi" w:eastAsiaTheme="minorEastAsia" w:hAnsiTheme="minorHAnsi"/>
                  <w:lang w:eastAsia="en-NZ"/>
                </w:rPr>
              </w:pPr>
              <w:hyperlink w:anchor="_Toc531098252" w:history="1">
                <w:r w:rsidRPr="00687C52">
                  <w:rPr>
                    <w:rStyle w:val="Hyperlink"/>
                  </w:rPr>
                  <w:t>7.10.</w:t>
                </w:r>
                <w:r>
                  <w:rPr>
                    <w:rFonts w:asciiTheme="minorHAnsi" w:eastAsiaTheme="minorEastAsia" w:hAnsiTheme="minorHAnsi"/>
                    <w:lang w:eastAsia="en-NZ"/>
                  </w:rPr>
                  <w:tab/>
                </w:r>
                <w:r w:rsidRPr="00687C52">
                  <w:rPr>
                    <w:rStyle w:val="Hyperlink"/>
                  </w:rPr>
                  <w:t>Venue relocation and incentivisation</w:t>
                </w:r>
                <w:r>
                  <w:rPr>
                    <w:webHidden/>
                  </w:rPr>
                  <w:tab/>
                </w:r>
                <w:r>
                  <w:rPr>
                    <w:webHidden/>
                  </w:rPr>
                  <w:fldChar w:fldCharType="begin"/>
                </w:r>
                <w:r>
                  <w:rPr>
                    <w:webHidden/>
                  </w:rPr>
                  <w:instrText xml:space="preserve"> PAGEREF _Toc531098252 \h </w:instrText>
                </w:r>
                <w:r>
                  <w:rPr>
                    <w:webHidden/>
                  </w:rPr>
                </w:r>
                <w:r>
                  <w:rPr>
                    <w:webHidden/>
                  </w:rPr>
                  <w:fldChar w:fldCharType="separate"/>
                </w:r>
                <w:r>
                  <w:rPr>
                    <w:webHidden/>
                  </w:rPr>
                  <w:t>86</w:t>
                </w:r>
                <w:r>
                  <w:rPr>
                    <w:webHidden/>
                  </w:rPr>
                  <w:fldChar w:fldCharType="end"/>
                </w:r>
              </w:hyperlink>
            </w:p>
            <w:p w14:paraId="3573955A" w14:textId="77777777" w:rsidR="00D16F86" w:rsidRDefault="00D16F86">
              <w:pPr>
                <w:pStyle w:val="TOC3"/>
                <w:tabs>
                  <w:tab w:val="left" w:pos="2268"/>
                </w:tabs>
                <w:rPr>
                  <w:rFonts w:asciiTheme="minorHAnsi" w:eastAsiaTheme="minorEastAsia" w:hAnsiTheme="minorHAnsi"/>
                  <w:sz w:val="22"/>
                  <w:lang w:eastAsia="en-NZ"/>
                </w:rPr>
              </w:pPr>
              <w:hyperlink w:anchor="_Toc531098253" w:history="1">
                <w:r w:rsidRPr="00687C52">
                  <w:rPr>
                    <w:rStyle w:val="Hyperlink"/>
                  </w:rPr>
                  <w:t>7.10.1.</w:t>
                </w:r>
                <w:r>
                  <w:rPr>
                    <w:rFonts w:asciiTheme="minorHAnsi" w:eastAsiaTheme="minorEastAsia" w:hAnsiTheme="minorHAnsi"/>
                    <w:sz w:val="22"/>
                    <w:lang w:eastAsia="en-NZ"/>
                  </w:rPr>
                  <w:tab/>
                </w:r>
                <w:r w:rsidRPr="00687C52">
                  <w:rPr>
                    <w:rStyle w:val="Hyperlink"/>
                  </w:rPr>
                  <w:t>Service Provider submitters did not support incentivisation</w:t>
                </w:r>
                <w:r>
                  <w:rPr>
                    <w:webHidden/>
                  </w:rPr>
                  <w:tab/>
                </w:r>
                <w:r>
                  <w:rPr>
                    <w:webHidden/>
                  </w:rPr>
                  <w:fldChar w:fldCharType="begin"/>
                </w:r>
                <w:r>
                  <w:rPr>
                    <w:webHidden/>
                  </w:rPr>
                  <w:instrText xml:space="preserve"> PAGEREF _Toc531098253 \h </w:instrText>
                </w:r>
                <w:r>
                  <w:rPr>
                    <w:webHidden/>
                  </w:rPr>
                </w:r>
                <w:r>
                  <w:rPr>
                    <w:webHidden/>
                  </w:rPr>
                  <w:fldChar w:fldCharType="separate"/>
                </w:r>
                <w:r>
                  <w:rPr>
                    <w:webHidden/>
                  </w:rPr>
                  <w:t>86</w:t>
                </w:r>
                <w:r>
                  <w:rPr>
                    <w:webHidden/>
                  </w:rPr>
                  <w:fldChar w:fldCharType="end"/>
                </w:r>
              </w:hyperlink>
            </w:p>
            <w:p w14:paraId="2E356614" w14:textId="77777777" w:rsidR="00D16F86" w:rsidRDefault="00D16F86">
              <w:pPr>
                <w:pStyle w:val="TOC3"/>
                <w:tabs>
                  <w:tab w:val="left" w:pos="2268"/>
                </w:tabs>
                <w:rPr>
                  <w:rFonts w:asciiTheme="minorHAnsi" w:eastAsiaTheme="minorEastAsia" w:hAnsiTheme="minorHAnsi"/>
                  <w:sz w:val="22"/>
                  <w:lang w:eastAsia="en-NZ"/>
                </w:rPr>
              </w:pPr>
              <w:hyperlink w:anchor="_Toc531098254" w:history="1">
                <w:r w:rsidRPr="00687C52">
                  <w:rPr>
                    <w:rStyle w:val="Hyperlink"/>
                  </w:rPr>
                  <w:t>7.10.2.</w:t>
                </w:r>
                <w:r>
                  <w:rPr>
                    <w:rFonts w:asciiTheme="minorHAnsi" w:eastAsiaTheme="minorEastAsia" w:hAnsiTheme="minorHAnsi"/>
                    <w:sz w:val="22"/>
                    <w:lang w:eastAsia="en-NZ"/>
                  </w:rPr>
                  <w:tab/>
                </w:r>
                <w:r w:rsidRPr="00687C52">
                  <w:rPr>
                    <w:rStyle w:val="Hyperlink"/>
                  </w:rPr>
                  <w:t>NCGM sector submitters highlighted structural barriers to relocating</w:t>
                </w:r>
                <w:r>
                  <w:rPr>
                    <w:webHidden/>
                  </w:rPr>
                  <w:tab/>
                </w:r>
                <w:r>
                  <w:rPr>
                    <w:webHidden/>
                  </w:rPr>
                  <w:fldChar w:fldCharType="begin"/>
                </w:r>
                <w:r>
                  <w:rPr>
                    <w:webHidden/>
                  </w:rPr>
                  <w:instrText xml:space="preserve"> PAGEREF _Toc531098254 \h </w:instrText>
                </w:r>
                <w:r>
                  <w:rPr>
                    <w:webHidden/>
                  </w:rPr>
                </w:r>
                <w:r>
                  <w:rPr>
                    <w:webHidden/>
                  </w:rPr>
                  <w:fldChar w:fldCharType="separate"/>
                </w:r>
                <w:r>
                  <w:rPr>
                    <w:webHidden/>
                  </w:rPr>
                  <w:t>86</w:t>
                </w:r>
                <w:r>
                  <w:rPr>
                    <w:webHidden/>
                  </w:rPr>
                  <w:fldChar w:fldCharType="end"/>
                </w:r>
              </w:hyperlink>
            </w:p>
            <w:p w14:paraId="5199D293" w14:textId="77777777" w:rsidR="00D16F86" w:rsidRDefault="00D16F86">
              <w:pPr>
                <w:pStyle w:val="TOC3"/>
                <w:tabs>
                  <w:tab w:val="left" w:pos="2268"/>
                </w:tabs>
                <w:rPr>
                  <w:rFonts w:asciiTheme="minorHAnsi" w:eastAsiaTheme="minorEastAsia" w:hAnsiTheme="minorHAnsi"/>
                  <w:sz w:val="22"/>
                  <w:lang w:eastAsia="en-NZ"/>
                </w:rPr>
              </w:pPr>
              <w:hyperlink w:anchor="_Toc531098255" w:history="1">
                <w:r w:rsidRPr="00687C52">
                  <w:rPr>
                    <w:rStyle w:val="Hyperlink"/>
                  </w:rPr>
                  <w:t>7.10.3.</w:t>
                </w:r>
                <w:r>
                  <w:rPr>
                    <w:rFonts w:asciiTheme="minorHAnsi" w:eastAsiaTheme="minorEastAsia" w:hAnsiTheme="minorHAnsi"/>
                    <w:sz w:val="22"/>
                    <w:lang w:eastAsia="en-NZ"/>
                  </w:rPr>
                  <w:tab/>
                </w:r>
                <w:r w:rsidRPr="00687C52">
                  <w:rPr>
                    <w:rStyle w:val="Hyperlink"/>
                  </w:rPr>
                  <w:t>Health sector submitters opposed incentivisation</w:t>
                </w:r>
                <w:r>
                  <w:rPr>
                    <w:webHidden/>
                  </w:rPr>
                  <w:tab/>
                </w:r>
                <w:r>
                  <w:rPr>
                    <w:webHidden/>
                  </w:rPr>
                  <w:fldChar w:fldCharType="begin"/>
                </w:r>
                <w:r>
                  <w:rPr>
                    <w:webHidden/>
                  </w:rPr>
                  <w:instrText xml:space="preserve"> PAGEREF _Toc531098255 \h </w:instrText>
                </w:r>
                <w:r>
                  <w:rPr>
                    <w:webHidden/>
                  </w:rPr>
                </w:r>
                <w:r>
                  <w:rPr>
                    <w:webHidden/>
                  </w:rPr>
                  <w:fldChar w:fldCharType="separate"/>
                </w:r>
                <w:r>
                  <w:rPr>
                    <w:webHidden/>
                  </w:rPr>
                  <w:t>87</w:t>
                </w:r>
                <w:r>
                  <w:rPr>
                    <w:webHidden/>
                  </w:rPr>
                  <w:fldChar w:fldCharType="end"/>
                </w:r>
              </w:hyperlink>
            </w:p>
            <w:p w14:paraId="15302BEB" w14:textId="77777777" w:rsidR="00D16F86" w:rsidRDefault="00D16F86">
              <w:pPr>
                <w:pStyle w:val="TOC3"/>
                <w:tabs>
                  <w:tab w:val="left" w:pos="2268"/>
                </w:tabs>
                <w:rPr>
                  <w:rFonts w:asciiTheme="minorHAnsi" w:eastAsiaTheme="minorEastAsia" w:hAnsiTheme="minorHAnsi"/>
                  <w:sz w:val="22"/>
                  <w:lang w:eastAsia="en-NZ"/>
                </w:rPr>
              </w:pPr>
              <w:hyperlink w:anchor="_Toc531098256" w:history="1">
                <w:r w:rsidRPr="00687C52">
                  <w:rPr>
                    <w:rStyle w:val="Hyperlink"/>
                  </w:rPr>
                  <w:t>7.10.4.</w:t>
                </w:r>
                <w:r>
                  <w:rPr>
                    <w:rFonts w:asciiTheme="minorHAnsi" w:eastAsiaTheme="minorEastAsia" w:hAnsiTheme="minorHAnsi"/>
                    <w:sz w:val="22"/>
                    <w:lang w:eastAsia="en-NZ"/>
                  </w:rPr>
                  <w:tab/>
                </w:r>
                <w:r w:rsidRPr="00687C52">
                  <w:rPr>
                    <w:rStyle w:val="Hyperlink"/>
                  </w:rPr>
                  <w:t>Local Government submitters acknowledged structural barriers and did not support incentivisation</w:t>
                </w:r>
                <w:r>
                  <w:rPr>
                    <w:webHidden/>
                  </w:rPr>
                  <w:tab/>
                </w:r>
                <w:r>
                  <w:rPr>
                    <w:webHidden/>
                  </w:rPr>
                  <w:fldChar w:fldCharType="begin"/>
                </w:r>
                <w:r>
                  <w:rPr>
                    <w:webHidden/>
                  </w:rPr>
                  <w:instrText xml:space="preserve"> PAGEREF _Toc531098256 \h </w:instrText>
                </w:r>
                <w:r>
                  <w:rPr>
                    <w:webHidden/>
                  </w:rPr>
                </w:r>
                <w:r>
                  <w:rPr>
                    <w:webHidden/>
                  </w:rPr>
                  <w:fldChar w:fldCharType="separate"/>
                </w:r>
                <w:r>
                  <w:rPr>
                    <w:webHidden/>
                  </w:rPr>
                  <w:t>88</w:t>
                </w:r>
                <w:r>
                  <w:rPr>
                    <w:webHidden/>
                  </w:rPr>
                  <w:fldChar w:fldCharType="end"/>
                </w:r>
              </w:hyperlink>
            </w:p>
            <w:p w14:paraId="74119A07" w14:textId="77777777" w:rsidR="00D16F86" w:rsidRDefault="00D16F86">
              <w:pPr>
                <w:pStyle w:val="TOC3"/>
                <w:tabs>
                  <w:tab w:val="left" w:pos="2268"/>
                </w:tabs>
                <w:rPr>
                  <w:rFonts w:asciiTheme="minorHAnsi" w:eastAsiaTheme="minorEastAsia" w:hAnsiTheme="minorHAnsi"/>
                  <w:sz w:val="22"/>
                  <w:lang w:eastAsia="en-NZ"/>
                </w:rPr>
              </w:pPr>
              <w:hyperlink w:anchor="_Toc531098257" w:history="1">
                <w:r w:rsidRPr="00687C52">
                  <w:rPr>
                    <w:rStyle w:val="Hyperlink"/>
                  </w:rPr>
                  <w:t>7.10.5.</w:t>
                </w:r>
                <w:r>
                  <w:rPr>
                    <w:rFonts w:asciiTheme="minorHAnsi" w:eastAsiaTheme="minorEastAsia" w:hAnsiTheme="minorHAnsi"/>
                    <w:sz w:val="22"/>
                    <w:lang w:eastAsia="en-NZ"/>
                  </w:rPr>
                  <w:tab/>
                </w:r>
                <w:r w:rsidRPr="00687C52">
                  <w:rPr>
                    <w:rStyle w:val="Hyperlink"/>
                  </w:rPr>
                  <w:t>Gambling Industry (other) submitters noted structural barriers</w:t>
                </w:r>
                <w:r>
                  <w:rPr>
                    <w:webHidden/>
                  </w:rPr>
                  <w:tab/>
                </w:r>
                <w:r>
                  <w:rPr>
                    <w:webHidden/>
                  </w:rPr>
                  <w:fldChar w:fldCharType="begin"/>
                </w:r>
                <w:r>
                  <w:rPr>
                    <w:webHidden/>
                  </w:rPr>
                  <w:instrText xml:space="preserve"> PAGEREF _Toc531098257 \h </w:instrText>
                </w:r>
                <w:r>
                  <w:rPr>
                    <w:webHidden/>
                  </w:rPr>
                </w:r>
                <w:r>
                  <w:rPr>
                    <w:webHidden/>
                  </w:rPr>
                  <w:fldChar w:fldCharType="separate"/>
                </w:r>
                <w:r>
                  <w:rPr>
                    <w:webHidden/>
                  </w:rPr>
                  <w:t>88</w:t>
                </w:r>
                <w:r>
                  <w:rPr>
                    <w:webHidden/>
                  </w:rPr>
                  <w:fldChar w:fldCharType="end"/>
                </w:r>
              </w:hyperlink>
            </w:p>
            <w:p w14:paraId="624EFF91" w14:textId="77777777" w:rsidR="00D16F86" w:rsidRDefault="00D16F86">
              <w:pPr>
                <w:pStyle w:val="TOC3"/>
                <w:tabs>
                  <w:tab w:val="left" w:pos="2268"/>
                </w:tabs>
                <w:rPr>
                  <w:rFonts w:asciiTheme="minorHAnsi" w:eastAsiaTheme="minorEastAsia" w:hAnsiTheme="minorHAnsi"/>
                  <w:sz w:val="22"/>
                  <w:lang w:eastAsia="en-NZ"/>
                </w:rPr>
              </w:pPr>
              <w:hyperlink w:anchor="_Toc531098258" w:history="1">
                <w:r w:rsidRPr="00687C52">
                  <w:rPr>
                    <w:rStyle w:val="Hyperlink"/>
                  </w:rPr>
                  <w:t>7.10.6.</w:t>
                </w:r>
                <w:r>
                  <w:rPr>
                    <w:rFonts w:asciiTheme="minorHAnsi" w:eastAsiaTheme="minorEastAsia" w:hAnsiTheme="minorHAnsi"/>
                    <w:sz w:val="22"/>
                    <w:lang w:eastAsia="en-NZ"/>
                  </w:rPr>
                  <w:tab/>
                </w:r>
                <w:r w:rsidRPr="00687C52">
                  <w:rPr>
                    <w:rStyle w:val="Hyperlink"/>
                  </w:rPr>
                  <w:t>Individuals did not support relocation or incentivisation</w:t>
                </w:r>
                <w:r>
                  <w:rPr>
                    <w:webHidden/>
                  </w:rPr>
                  <w:tab/>
                </w:r>
                <w:r>
                  <w:rPr>
                    <w:webHidden/>
                  </w:rPr>
                  <w:fldChar w:fldCharType="begin"/>
                </w:r>
                <w:r>
                  <w:rPr>
                    <w:webHidden/>
                  </w:rPr>
                  <w:instrText xml:space="preserve"> PAGEREF _Toc531098258 \h </w:instrText>
                </w:r>
                <w:r>
                  <w:rPr>
                    <w:webHidden/>
                  </w:rPr>
                </w:r>
                <w:r>
                  <w:rPr>
                    <w:webHidden/>
                  </w:rPr>
                  <w:fldChar w:fldCharType="separate"/>
                </w:r>
                <w:r>
                  <w:rPr>
                    <w:webHidden/>
                  </w:rPr>
                  <w:t>88</w:t>
                </w:r>
                <w:r>
                  <w:rPr>
                    <w:webHidden/>
                  </w:rPr>
                  <w:fldChar w:fldCharType="end"/>
                </w:r>
              </w:hyperlink>
            </w:p>
            <w:p w14:paraId="0BAF55CA" w14:textId="77777777" w:rsidR="00D16F86" w:rsidRDefault="00D16F86">
              <w:pPr>
                <w:pStyle w:val="TOC1"/>
                <w:rPr>
                  <w:rFonts w:asciiTheme="minorHAnsi" w:eastAsiaTheme="minorEastAsia" w:hAnsiTheme="minorHAnsi"/>
                  <w:b w:val="0"/>
                  <w:caps w:val="0"/>
                  <w:lang w:eastAsia="en-NZ"/>
                </w:rPr>
              </w:pPr>
              <w:hyperlink w:anchor="_Toc531098259" w:history="1">
                <w:r w:rsidRPr="00687C52">
                  <w:rPr>
                    <w:rStyle w:val="Hyperlink"/>
                  </w:rPr>
                  <w:t>Appendix A – List of submitters</w:t>
                </w:r>
                <w:r>
                  <w:rPr>
                    <w:webHidden/>
                  </w:rPr>
                  <w:tab/>
                </w:r>
                <w:r>
                  <w:rPr>
                    <w:webHidden/>
                  </w:rPr>
                  <w:fldChar w:fldCharType="begin"/>
                </w:r>
                <w:r>
                  <w:rPr>
                    <w:webHidden/>
                  </w:rPr>
                  <w:instrText xml:space="preserve"> PAGEREF _Toc531098259 \h </w:instrText>
                </w:r>
                <w:r>
                  <w:rPr>
                    <w:webHidden/>
                  </w:rPr>
                </w:r>
                <w:r>
                  <w:rPr>
                    <w:webHidden/>
                  </w:rPr>
                  <w:fldChar w:fldCharType="separate"/>
                </w:r>
                <w:r>
                  <w:rPr>
                    <w:webHidden/>
                  </w:rPr>
                  <w:t>89</w:t>
                </w:r>
                <w:r>
                  <w:rPr>
                    <w:webHidden/>
                  </w:rPr>
                  <w:fldChar w:fldCharType="end"/>
                </w:r>
              </w:hyperlink>
            </w:p>
            <w:p w14:paraId="607AE060" w14:textId="77777777" w:rsidR="00D16F86" w:rsidRDefault="00D16F86">
              <w:pPr>
                <w:pStyle w:val="TOC1"/>
                <w:rPr>
                  <w:rFonts w:asciiTheme="minorHAnsi" w:eastAsiaTheme="minorEastAsia" w:hAnsiTheme="minorHAnsi"/>
                  <w:b w:val="0"/>
                  <w:caps w:val="0"/>
                  <w:lang w:eastAsia="en-NZ"/>
                </w:rPr>
              </w:pPr>
              <w:hyperlink w:anchor="_Toc531098260" w:history="1">
                <w:r w:rsidRPr="00687C52">
                  <w:rPr>
                    <w:rStyle w:val="Hyperlink"/>
                  </w:rPr>
                  <w:t>Appendix B – Consultation Questions</w:t>
                </w:r>
                <w:r>
                  <w:rPr>
                    <w:webHidden/>
                  </w:rPr>
                  <w:tab/>
                </w:r>
                <w:r>
                  <w:rPr>
                    <w:webHidden/>
                  </w:rPr>
                  <w:fldChar w:fldCharType="begin"/>
                </w:r>
                <w:r>
                  <w:rPr>
                    <w:webHidden/>
                  </w:rPr>
                  <w:instrText xml:space="preserve"> PAGEREF _Toc531098260 \h </w:instrText>
                </w:r>
                <w:r>
                  <w:rPr>
                    <w:webHidden/>
                  </w:rPr>
                </w:r>
                <w:r>
                  <w:rPr>
                    <w:webHidden/>
                  </w:rPr>
                  <w:fldChar w:fldCharType="separate"/>
                </w:r>
                <w:r>
                  <w:rPr>
                    <w:webHidden/>
                  </w:rPr>
                  <w:t>91</w:t>
                </w:r>
                <w:r>
                  <w:rPr>
                    <w:webHidden/>
                  </w:rPr>
                  <w:fldChar w:fldCharType="end"/>
                </w:r>
              </w:hyperlink>
            </w:p>
            <w:p w14:paraId="4416FD0C" w14:textId="78ADF0D0" w:rsidR="00F92292" w:rsidRPr="009E7223" w:rsidRDefault="00D16F86" w:rsidP="00F92292">
              <w:pPr>
                <w:rPr>
                  <w:highlight w:val="yellow"/>
                </w:rPr>
              </w:pPr>
              <w:r>
                <w:rPr>
                  <w:rFonts w:asciiTheme="majorHAnsi" w:hAnsiTheme="majorHAnsi"/>
                  <w:noProof/>
                  <w:highlight w:val="yellow"/>
                </w:rPr>
                <w:fldChar w:fldCharType="end"/>
              </w:r>
            </w:p>
            <w:bookmarkStart w:id="1" w:name="_GoBack" w:displacedByCustomXml="next"/>
            <w:bookmarkEnd w:id="1" w:displacedByCustomXml="next"/>
          </w:sdtContent>
        </w:sdt>
        <w:p w14:paraId="468680BB" w14:textId="7229AE77" w:rsidR="00033688" w:rsidRPr="009E7223" w:rsidRDefault="00682072" w:rsidP="00F92292">
          <w:pPr>
            <w:pStyle w:val="Heading1"/>
            <w:rPr>
              <w:highlight w:val="yellow"/>
            </w:rPr>
          </w:pPr>
          <w:r w:rsidRPr="009E7223">
            <w:rPr>
              <w:highlight w:val="yellow"/>
            </w:rPr>
            <w:br w:type="page"/>
          </w:r>
          <w:bookmarkStart w:id="2" w:name="_Toc531098132"/>
          <w:r w:rsidR="00033688" w:rsidRPr="009E7223">
            <w:lastRenderedPageBreak/>
            <w:t>Glossary</w:t>
          </w:r>
          <w:bookmarkEnd w:id="2"/>
        </w:p>
        <w:p w14:paraId="65E7BFCC" w14:textId="033BB2F1" w:rsidR="00033688" w:rsidRPr="009E7223" w:rsidRDefault="00033688" w:rsidP="00033688">
          <w:pPr>
            <w:pStyle w:val="BodyText"/>
          </w:pPr>
          <w:r w:rsidRPr="009E7223">
            <w:rPr>
              <w:b/>
            </w:rPr>
            <w:t xml:space="preserve">DIA: </w:t>
          </w:r>
          <w:r w:rsidRPr="009E7223">
            <w:t>Department of Internal Affairs</w:t>
          </w:r>
        </w:p>
        <w:p w14:paraId="5A38299F" w14:textId="3B0E8E4A" w:rsidR="00076F1F" w:rsidRPr="009E7223" w:rsidRDefault="00076F1F" w:rsidP="00033688">
          <w:pPr>
            <w:pStyle w:val="BodyText"/>
          </w:pPr>
          <w:r w:rsidRPr="009E7223">
            <w:rPr>
              <w:b/>
            </w:rPr>
            <w:t xml:space="preserve">HPA: </w:t>
          </w:r>
          <w:r w:rsidRPr="009E7223">
            <w:t xml:space="preserve">Health Promotion Agency </w:t>
          </w:r>
        </w:p>
        <w:p w14:paraId="244C88BE" w14:textId="232B9677" w:rsidR="00033688" w:rsidRPr="009E7223" w:rsidRDefault="00033688" w:rsidP="00033688">
          <w:pPr>
            <w:pStyle w:val="BodyText"/>
          </w:pPr>
          <w:r w:rsidRPr="009E7223">
            <w:rPr>
              <w:b/>
            </w:rPr>
            <w:t xml:space="preserve">The Ministry: </w:t>
          </w:r>
          <w:r w:rsidRPr="009E7223">
            <w:t>The Ministry of Health</w:t>
          </w:r>
        </w:p>
        <w:p w14:paraId="78764C1B" w14:textId="18EBFB33" w:rsidR="00033688" w:rsidRPr="009E7223" w:rsidRDefault="00033688" w:rsidP="00033688">
          <w:pPr>
            <w:pStyle w:val="BodyText"/>
          </w:pPr>
          <w:r w:rsidRPr="009E7223">
            <w:rPr>
              <w:b/>
            </w:rPr>
            <w:t xml:space="preserve">MVE: </w:t>
          </w:r>
          <w:r w:rsidRPr="009E7223">
            <w:t xml:space="preserve">Multi-venue Exclusion </w:t>
          </w:r>
        </w:p>
        <w:p w14:paraId="5E25A1A6" w14:textId="2644D1D7" w:rsidR="00033688" w:rsidRPr="009E7223" w:rsidRDefault="00033688" w:rsidP="00033688">
          <w:pPr>
            <w:pStyle w:val="BodyText"/>
          </w:pPr>
          <w:r w:rsidRPr="009E7223">
            <w:rPr>
              <w:b/>
            </w:rPr>
            <w:t>NCGM:</w:t>
          </w:r>
          <w:r w:rsidRPr="009E7223">
            <w:rPr>
              <w:b/>
            </w:rPr>
            <w:tab/>
          </w:r>
          <w:r w:rsidRPr="009E7223">
            <w:t>Non-casino Gaming Machine</w:t>
          </w:r>
        </w:p>
        <w:p w14:paraId="3932E1E0" w14:textId="11153E85" w:rsidR="00076F1F" w:rsidRPr="009E7223" w:rsidRDefault="00076F1F" w:rsidP="00033688">
          <w:pPr>
            <w:pStyle w:val="BodyText"/>
          </w:pPr>
          <w:r w:rsidRPr="009E7223">
            <w:rPr>
              <w:b/>
            </w:rPr>
            <w:t xml:space="preserve">NZRB: </w:t>
          </w:r>
          <w:r w:rsidRPr="009E7223">
            <w:t>New Zealand Racing Board</w:t>
          </w:r>
        </w:p>
        <w:p w14:paraId="770C1BCD" w14:textId="356A72C7" w:rsidR="00527519" w:rsidRPr="009E7223" w:rsidRDefault="00527519" w:rsidP="00033688">
          <w:pPr>
            <w:pStyle w:val="BodyText"/>
          </w:pPr>
          <w:r w:rsidRPr="009E7223">
            <w:rPr>
              <w:b/>
            </w:rPr>
            <w:t>PCOMS</w:t>
          </w:r>
          <w:r w:rsidRPr="009E7223">
            <w:t>: Partnering for Change Outcomes Measurement System</w:t>
          </w:r>
        </w:p>
        <w:p w14:paraId="017AFA17" w14:textId="697B1624" w:rsidR="00527519" w:rsidRPr="009E7223" w:rsidRDefault="00527519" w:rsidP="00033688">
          <w:pPr>
            <w:pStyle w:val="BodyText"/>
          </w:pPr>
          <w:r w:rsidRPr="009E7223">
            <w:rPr>
              <w:b/>
            </w:rPr>
            <w:t>PGSI</w:t>
          </w:r>
          <w:r w:rsidRPr="009E7223">
            <w:t>: Problem Gambling Severity Index</w:t>
          </w:r>
        </w:p>
        <w:p w14:paraId="08AD00A4" w14:textId="77777777" w:rsidR="00903FE3" w:rsidRPr="009E7223" w:rsidRDefault="00903FE3" w:rsidP="00903FE3">
          <w:pPr>
            <w:pStyle w:val="Heading1"/>
          </w:pPr>
          <w:bookmarkStart w:id="3" w:name="_Toc527356347"/>
          <w:bookmarkStart w:id="4" w:name="_Toc531098133"/>
          <w:r w:rsidRPr="009E7223">
            <w:t>Tables</w:t>
          </w:r>
          <w:bookmarkEnd w:id="3"/>
          <w:bookmarkEnd w:id="4"/>
        </w:p>
        <w:p w14:paraId="25429226" w14:textId="7D09D82F" w:rsidR="008D34E3" w:rsidRDefault="00903FE3">
          <w:pPr>
            <w:pStyle w:val="TableofFigures"/>
            <w:rPr>
              <w:rFonts w:asciiTheme="minorHAnsi" w:eastAsiaTheme="minorEastAsia" w:hAnsiTheme="minorHAnsi"/>
              <w:noProof/>
              <w:lang w:eastAsia="en-NZ"/>
            </w:rPr>
          </w:pPr>
          <w:r w:rsidRPr="009E7223">
            <w:fldChar w:fldCharType="begin"/>
          </w:r>
          <w:r w:rsidRPr="009E7223">
            <w:instrText xml:space="preserve"> TOC \h \z \c "Table" </w:instrText>
          </w:r>
          <w:r w:rsidRPr="009E7223">
            <w:fldChar w:fldCharType="separate"/>
          </w:r>
          <w:hyperlink w:anchor="_Toc529787382" w:history="1">
            <w:r w:rsidR="008D34E3" w:rsidRPr="00FA6417">
              <w:rPr>
                <w:rStyle w:val="Hyperlink"/>
                <w:noProof/>
              </w:rPr>
              <w:t>Table 1: Secondary category by ethnicity</w:t>
            </w:r>
            <w:r w:rsidR="008D34E3">
              <w:rPr>
                <w:noProof/>
                <w:webHidden/>
              </w:rPr>
              <w:tab/>
            </w:r>
            <w:r w:rsidR="008D34E3">
              <w:rPr>
                <w:noProof/>
                <w:webHidden/>
              </w:rPr>
              <w:fldChar w:fldCharType="begin"/>
            </w:r>
            <w:r w:rsidR="008D34E3">
              <w:rPr>
                <w:noProof/>
                <w:webHidden/>
              </w:rPr>
              <w:instrText xml:space="preserve"> PAGEREF _Toc529787382 \h </w:instrText>
            </w:r>
            <w:r w:rsidR="008D34E3">
              <w:rPr>
                <w:noProof/>
                <w:webHidden/>
              </w:rPr>
            </w:r>
            <w:r w:rsidR="008D34E3">
              <w:rPr>
                <w:noProof/>
                <w:webHidden/>
              </w:rPr>
              <w:fldChar w:fldCharType="separate"/>
            </w:r>
            <w:r w:rsidR="00CE4EFF">
              <w:rPr>
                <w:noProof/>
                <w:webHidden/>
              </w:rPr>
              <w:t>16</w:t>
            </w:r>
            <w:r w:rsidR="008D34E3">
              <w:rPr>
                <w:noProof/>
                <w:webHidden/>
              </w:rPr>
              <w:fldChar w:fldCharType="end"/>
            </w:r>
          </w:hyperlink>
        </w:p>
        <w:p w14:paraId="05ED7880" w14:textId="062B15FD" w:rsidR="008D34E3" w:rsidRDefault="00D16F86">
          <w:pPr>
            <w:pStyle w:val="TableofFigures"/>
            <w:rPr>
              <w:rFonts w:asciiTheme="minorHAnsi" w:eastAsiaTheme="minorEastAsia" w:hAnsiTheme="minorHAnsi"/>
              <w:noProof/>
              <w:lang w:eastAsia="en-NZ"/>
            </w:rPr>
          </w:pPr>
          <w:hyperlink w:anchor="_Toc529787383" w:history="1">
            <w:r w:rsidR="008D34E3" w:rsidRPr="00FA6417">
              <w:rPr>
                <w:rStyle w:val="Hyperlink"/>
                <w:noProof/>
              </w:rPr>
              <w:t>Table 2: Yes/No responses to questions concerning the strategic direction</w:t>
            </w:r>
            <w:r w:rsidR="008D34E3">
              <w:rPr>
                <w:noProof/>
                <w:webHidden/>
              </w:rPr>
              <w:tab/>
            </w:r>
            <w:r w:rsidR="008D34E3">
              <w:rPr>
                <w:noProof/>
                <w:webHidden/>
              </w:rPr>
              <w:fldChar w:fldCharType="begin"/>
            </w:r>
            <w:r w:rsidR="008D34E3">
              <w:rPr>
                <w:noProof/>
                <w:webHidden/>
              </w:rPr>
              <w:instrText xml:space="preserve"> PAGEREF _Toc529787383 \h </w:instrText>
            </w:r>
            <w:r w:rsidR="008D34E3">
              <w:rPr>
                <w:noProof/>
                <w:webHidden/>
              </w:rPr>
            </w:r>
            <w:r w:rsidR="008D34E3">
              <w:rPr>
                <w:noProof/>
                <w:webHidden/>
              </w:rPr>
              <w:fldChar w:fldCharType="separate"/>
            </w:r>
            <w:r w:rsidR="00CE4EFF">
              <w:rPr>
                <w:noProof/>
                <w:webHidden/>
              </w:rPr>
              <w:t>19</w:t>
            </w:r>
            <w:r w:rsidR="008D34E3">
              <w:rPr>
                <w:noProof/>
                <w:webHidden/>
              </w:rPr>
              <w:fldChar w:fldCharType="end"/>
            </w:r>
          </w:hyperlink>
        </w:p>
        <w:p w14:paraId="02347EED" w14:textId="4E91CB1F" w:rsidR="008D34E3" w:rsidRDefault="00D16F86">
          <w:pPr>
            <w:pStyle w:val="TableofFigures"/>
            <w:rPr>
              <w:rFonts w:asciiTheme="minorHAnsi" w:eastAsiaTheme="minorEastAsia" w:hAnsiTheme="minorHAnsi"/>
              <w:noProof/>
              <w:lang w:eastAsia="en-NZ"/>
            </w:rPr>
          </w:pPr>
          <w:hyperlink w:anchor="_Toc529787384" w:history="1">
            <w:r w:rsidR="008D34E3" w:rsidRPr="00FA6417">
              <w:rPr>
                <w:rStyle w:val="Hyperlink"/>
                <w:noProof/>
              </w:rPr>
              <w:t>Table 3: Number of submissions, by submitter classification, concerning the Strategic Framework</w:t>
            </w:r>
            <w:r w:rsidR="008D34E3">
              <w:rPr>
                <w:noProof/>
                <w:webHidden/>
              </w:rPr>
              <w:tab/>
            </w:r>
            <w:r w:rsidR="008D34E3">
              <w:rPr>
                <w:noProof/>
                <w:webHidden/>
              </w:rPr>
              <w:fldChar w:fldCharType="begin"/>
            </w:r>
            <w:r w:rsidR="008D34E3">
              <w:rPr>
                <w:noProof/>
                <w:webHidden/>
              </w:rPr>
              <w:instrText xml:space="preserve"> PAGEREF _Toc529787384 \h </w:instrText>
            </w:r>
            <w:r w:rsidR="008D34E3">
              <w:rPr>
                <w:noProof/>
                <w:webHidden/>
              </w:rPr>
            </w:r>
            <w:r w:rsidR="008D34E3">
              <w:rPr>
                <w:noProof/>
                <w:webHidden/>
              </w:rPr>
              <w:fldChar w:fldCharType="separate"/>
            </w:r>
            <w:r w:rsidR="00CE4EFF">
              <w:rPr>
                <w:noProof/>
                <w:webHidden/>
              </w:rPr>
              <w:t>19</w:t>
            </w:r>
            <w:r w:rsidR="008D34E3">
              <w:rPr>
                <w:noProof/>
                <w:webHidden/>
              </w:rPr>
              <w:fldChar w:fldCharType="end"/>
            </w:r>
          </w:hyperlink>
        </w:p>
        <w:p w14:paraId="32F5F4F5" w14:textId="54605D4D" w:rsidR="008D34E3" w:rsidRDefault="00D16F86">
          <w:pPr>
            <w:pStyle w:val="TableofFigures"/>
            <w:rPr>
              <w:rFonts w:asciiTheme="minorHAnsi" w:eastAsiaTheme="minorEastAsia" w:hAnsiTheme="minorHAnsi"/>
              <w:noProof/>
              <w:lang w:eastAsia="en-NZ"/>
            </w:rPr>
          </w:pPr>
          <w:hyperlink w:anchor="_Toc529787385" w:history="1">
            <w:r w:rsidR="008D34E3" w:rsidRPr="00FA6417">
              <w:rPr>
                <w:rStyle w:val="Hyperlink"/>
                <w:noProof/>
              </w:rPr>
              <w:t>Table 4: Number of submissions, by sector, that commented on the objectives to explain why they either did not support or gave qualified support to the draft Strategic direction</w:t>
            </w:r>
            <w:r w:rsidR="008D34E3">
              <w:rPr>
                <w:noProof/>
                <w:webHidden/>
              </w:rPr>
              <w:tab/>
            </w:r>
            <w:r w:rsidR="008D34E3">
              <w:rPr>
                <w:noProof/>
                <w:webHidden/>
              </w:rPr>
              <w:fldChar w:fldCharType="begin"/>
            </w:r>
            <w:r w:rsidR="008D34E3">
              <w:rPr>
                <w:noProof/>
                <w:webHidden/>
              </w:rPr>
              <w:instrText xml:space="preserve"> PAGEREF _Toc529787385 \h </w:instrText>
            </w:r>
            <w:r w:rsidR="008D34E3">
              <w:rPr>
                <w:noProof/>
                <w:webHidden/>
              </w:rPr>
            </w:r>
            <w:r w:rsidR="008D34E3">
              <w:rPr>
                <w:noProof/>
                <w:webHidden/>
              </w:rPr>
              <w:fldChar w:fldCharType="separate"/>
            </w:r>
            <w:r w:rsidR="00CE4EFF">
              <w:rPr>
                <w:noProof/>
                <w:webHidden/>
              </w:rPr>
              <w:t>22</w:t>
            </w:r>
            <w:r w:rsidR="008D34E3">
              <w:rPr>
                <w:noProof/>
                <w:webHidden/>
              </w:rPr>
              <w:fldChar w:fldCharType="end"/>
            </w:r>
          </w:hyperlink>
        </w:p>
        <w:p w14:paraId="20C330F4" w14:textId="5C47D3FD" w:rsidR="008D34E3" w:rsidRDefault="00D16F86">
          <w:pPr>
            <w:pStyle w:val="TableofFigures"/>
            <w:rPr>
              <w:rFonts w:asciiTheme="minorHAnsi" w:eastAsiaTheme="minorEastAsia" w:hAnsiTheme="minorHAnsi"/>
              <w:noProof/>
              <w:lang w:eastAsia="en-NZ"/>
            </w:rPr>
          </w:pPr>
          <w:hyperlink w:anchor="_Toc529787386" w:history="1">
            <w:r w:rsidR="008D34E3" w:rsidRPr="00FA6417">
              <w:rPr>
                <w:rStyle w:val="Hyperlink"/>
                <w:noProof/>
              </w:rPr>
              <w:t>Table 5: Questions about the draft Service Plan from the consultation document</w:t>
            </w:r>
            <w:r w:rsidR="008D34E3">
              <w:rPr>
                <w:noProof/>
                <w:webHidden/>
              </w:rPr>
              <w:tab/>
            </w:r>
            <w:r w:rsidR="008D34E3">
              <w:rPr>
                <w:noProof/>
                <w:webHidden/>
              </w:rPr>
              <w:fldChar w:fldCharType="begin"/>
            </w:r>
            <w:r w:rsidR="008D34E3">
              <w:rPr>
                <w:noProof/>
                <w:webHidden/>
              </w:rPr>
              <w:instrText xml:space="preserve"> PAGEREF _Toc529787386 \h </w:instrText>
            </w:r>
            <w:r w:rsidR="008D34E3">
              <w:rPr>
                <w:noProof/>
                <w:webHidden/>
              </w:rPr>
            </w:r>
            <w:r w:rsidR="008D34E3">
              <w:rPr>
                <w:noProof/>
                <w:webHidden/>
              </w:rPr>
              <w:fldChar w:fldCharType="separate"/>
            </w:r>
            <w:r w:rsidR="00CE4EFF">
              <w:rPr>
                <w:noProof/>
                <w:webHidden/>
              </w:rPr>
              <w:t>44</w:t>
            </w:r>
            <w:r w:rsidR="008D34E3">
              <w:rPr>
                <w:noProof/>
                <w:webHidden/>
              </w:rPr>
              <w:fldChar w:fldCharType="end"/>
            </w:r>
          </w:hyperlink>
        </w:p>
        <w:p w14:paraId="7B39B1DD" w14:textId="6E02D60F" w:rsidR="008D34E3" w:rsidRDefault="00D16F86">
          <w:pPr>
            <w:pStyle w:val="TableofFigures"/>
            <w:rPr>
              <w:rFonts w:asciiTheme="minorHAnsi" w:eastAsiaTheme="minorEastAsia" w:hAnsiTheme="minorHAnsi"/>
              <w:noProof/>
              <w:lang w:eastAsia="en-NZ"/>
            </w:rPr>
          </w:pPr>
          <w:hyperlink w:anchor="_Toc529787387" w:history="1">
            <w:r w:rsidR="008D34E3" w:rsidRPr="00FA6417">
              <w:rPr>
                <w:rStyle w:val="Hyperlink"/>
                <w:noProof/>
              </w:rPr>
              <w:t>Table 6: Number of submissions, by sector, that addressed the Service Plan</w:t>
            </w:r>
            <w:r w:rsidR="008D34E3">
              <w:rPr>
                <w:noProof/>
                <w:webHidden/>
              </w:rPr>
              <w:tab/>
            </w:r>
            <w:r w:rsidR="008D34E3">
              <w:rPr>
                <w:noProof/>
                <w:webHidden/>
              </w:rPr>
              <w:fldChar w:fldCharType="begin"/>
            </w:r>
            <w:r w:rsidR="008D34E3">
              <w:rPr>
                <w:noProof/>
                <w:webHidden/>
              </w:rPr>
              <w:instrText xml:space="preserve"> PAGEREF _Toc529787387 \h </w:instrText>
            </w:r>
            <w:r w:rsidR="008D34E3">
              <w:rPr>
                <w:noProof/>
                <w:webHidden/>
              </w:rPr>
            </w:r>
            <w:r w:rsidR="008D34E3">
              <w:rPr>
                <w:noProof/>
                <w:webHidden/>
              </w:rPr>
              <w:fldChar w:fldCharType="separate"/>
            </w:r>
            <w:r w:rsidR="00CE4EFF">
              <w:rPr>
                <w:noProof/>
                <w:webHidden/>
              </w:rPr>
              <w:t>45</w:t>
            </w:r>
            <w:r w:rsidR="008D34E3">
              <w:rPr>
                <w:noProof/>
                <w:webHidden/>
              </w:rPr>
              <w:fldChar w:fldCharType="end"/>
            </w:r>
          </w:hyperlink>
        </w:p>
        <w:p w14:paraId="6F697873" w14:textId="50A176B2" w:rsidR="008D34E3" w:rsidRDefault="00D16F86">
          <w:pPr>
            <w:pStyle w:val="TableofFigures"/>
            <w:rPr>
              <w:rFonts w:asciiTheme="minorHAnsi" w:eastAsiaTheme="minorEastAsia" w:hAnsiTheme="minorHAnsi"/>
              <w:noProof/>
              <w:lang w:eastAsia="en-NZ"/>
            </w:rPr>
          </w:pPr>
          <w:hyperlink w:anchor="_Toc529787388" w:history="1">
            <w:r w:rsidR="008D34E3" w:rsidRPr="00FA6417">
              <w:rPr>
                <w:rStyle w:val="Hyperlink"/>
                <w:noProof/>
              </w:rPr>
              <w:t>Table 7: The proposed funding allocation by service area over three years</w:t>
            </w:r>
            <w:r w:rsidR="008D34E3">
              <w:rPr>
                <w:noProof/>
                <w:webHidden/>
              </w:rPr>
              <w:tab/>
            </w:r>
            <w:r w:rsidR="008D34E3">
              <w:rPr>
                <w:noProof/>
                <w:webHidden/>
              </w:rPr>
              <w:fldChar w:fldCharType="begin"/>
            </w:r>
            <w:r w:rsidR="008D34E3">
              <w:rPr>
                <w:noProof/>
                <w:webHidden/>
              </w:rPr>
              <w:instrText xml:space="preserve"> PAGEREF _Toc529787388 \h </w:instrText>
            </w:r>
            <w:r w:rsidR="008D34E3">
              <w:rPr>
                <w:noProof/>
                <w:webHidden/>
              </w:rPr>
            </w:r>
            <w:r w:rsidR="008D34E3">
              <w:rPr>
                <w:noProof/>
                <w:webHidden/>
              </w:rPr>
              <w:fldChar w:fldCharType="separate"/>
            </w:r>
            <w:r w:rsidR="00CE4EFF">
              <w:rPr>
                <w:noProof/>
                <w:webHidden/>
              </w:rPr>
              <w:t>45</w:t>
            </w:r>
            <w:r w:rsidR="008D34E3">
              <w:rPr>
                <w:noProof/>
                <w:webHidden/>
              </w:rPr>
              <w:fldChar w:fldCharType="end"/>
            </w:r>
          </w:hyperlink>
        </w:p>
        <w:p w14:paraId="3C3EB5B6" w14:textId="65BBDE15" w:rsidR="008D34E3" w:rsidRDefault="00D16F86">
          <w:pPr>
            <w:pStyle w:val="TableofFigures"/>
            <w:rPr>
              <w:rFonts w:asciiTheme="minorHAnsi" w:eastAsiaTheme="minorEastAsia" w:hAnsiTheme="minorHAnsi"/>
              <w:noProof/>
              <w:lang w:eastAsia="en-NZ"/>
            </w:rPr>
          </w:pPr>
          <w:hyperlink w:anchor="_Toc529787389" w:history="1">
            <w:r w:rsidR="008D34E3" w:rsidRPr="00FA6417">
              <w:rPr>
                <w:rStyle w:val="Hyperlink"/>
                <w:noProof/>
              </w:rPr>
              <w:t>Table 8: Indicative detailed costings for the $5 million underspend</w:t>
            </w:r>
            <w:r w:rsidR="008D34E3">
              <w:rPr>
                <w:noProof/>
                <w:webHidden/>
              </w:rPr>
              <w:tab/>
            </w:r>
            <w:r w:rsidR="008D34E3">
              <w:rPr>
                <w:noProof/>
                <w:webHidden/>
              </w:rPr>
              <w:fldChar w:fldCharType="begin"/>
            </w:r>
            <w:r w:rsidR="008D34E3">
              <w:rPr>
                <w:noProof/>
                <w:webHidden/>
              </w:rPr>
              <w:instrText xml:space="preserve"> PAGEREF _Toc529787389 \h </w:instrText>
            </w:r>
            <w:r w:rsidR="008D34E3">
              <w:rPr>
                <w:noProof/>
                <w:webHidden/>
              </w:rPr>
            </w:r>
            <w:r w:rsidR="008D34E3">
              <w:rPr>
                <w:noProof/>
                <w:webHidden/>
              </w:rPr>
              <w:fldChar w:fldCharType="separate"/>
            </w:r>
            <w:r w:rsidR="00CE4EFF">
              <w:rPr>
                <w:noProof/>
                <w:webHidden/>
              </w:rPr>
              <w:t>45</w:t>
            </w:r>
            <w:r w:rsidR="008D34E3">
              <w:rPr>
                <w:noProof/>
                <w:webHidden/>
              </w:rPr>
              <w:fldChar w:fldCharType="end"/>
            </w:r>
          </w:hyperlink>
        </w:p>
        <w:p w14:paraId="4CCDCA2D" w14:textId="073AE6BB" w:rsidR="008D34E3" w:rsidRDefault="00D16F86">
          <w:pPr>
            <w:pStyle w:val="TableofFigures"/>
            <w:rPr>
              <w:rFonts w:asciiTheme="minorHAnsi" w:eastAsiaTheme="minorEastAsia" w:hAnsiTheme="minorHAnsi"/>
              <w:noProof/>
              <w:lang w:eastAsia="en-NZ"/>
            </w:rPr>
          </w:pPr>
          <w:hyperlink w:anchor="_Toc529787390" w:history="1">
            <w:r w:rsidR="008D34E3" w:rsidRPr="00FA6417">
              <w:rPr>
                <w:rStyle w:val="Hyperlink"/>
                <w:noProof/>
              </w:rPr>
              <w:t>Table 9: Yes/No responses to questions concerning the levy rates and formula</w:t>
            </w:r>
            <w:r w:rsidR="008D34E3">
              <w:rPr>
                <w:noProof/>
                <w:webHidden/>
              </w:rPr>
              <w:tab/>
            </w:r>
            <w:r w:rsidR="008D34E3">
              <w:rPr>
                <w:noProof/>
                <w:webHidden/>
              </w:rPr>
              <w:fldChar w:fldCharType="begin"/>
            </w:r>
            <w:r w:rsidR="008D34E3">
              <w:rPr>
                <w:noProof/>
                <w:webHidden/>
              </w:rPr>
              <w:instrText xml:space="preserve"> PAGEREF _Toc529787390 \h </w:instrText>
            </w:r>
            <w:r w:rsidR="008D34E3">
              <w:rPr>
                <w:noProof/>
                <w:webHidden/>
              </w:rPr>
            </w:r>
            <w:r w:rsidR="008D34E3">
              <w:rPr>
                <w:noProof/>
                <w:webHidden/>
              </w:rPr>
              <w:fldChar w:fldCharType="separate"/>
            </w:r>
            <w:r w:rsidR="00CE4EFF">
              <w:rPr>
                <w:noProof/>
                <w:webHidden/>
              </w:rPr>
              <w:t>58</w:t>
            </w:r>
            <w:r w:rsidR="008D34E3">
              <w:rPr>
                <w:noProof/>
                <w:webHidden/>
              </w:rPr>
              <w:fldChar w:fldCharType="end"/>
            </w:r>
          </w:hyperlink>
        </w:p>
        <w:p w14:paraId="0DD20FFF" w14:textId="49EE3BD9" w:rsidR="008D34E3" w:rsidRDefault="00D16F86">
          <w:pPr>
            <w:pStyle w:val="TableofFigures"/>
            <w:rPr>
              <w:rFonts w:asciiTheme="minorHAnsi" w:eastAsiaTheme="minorEastAsia" w:hAnsiTheme="minorHAnsi"/>
              <w:noProof/>
              <w:lang w:eastAsia="en-NZ"/>
            </w:rPr>
          </w:pPr>
          <w:hyperlink w:anchor="_Toc529787391" w:history="1">
            <w:r w:rsidR="008D34E3" w:rsidRPr="00FA6417">
              <w:rPr>
                <w:rStyle w:val="Hyperlink"/>
                <w:noProof/>
              </w:rPr>
              <w:t>Table 10: Number of submissions, by sector, that addressed questions about the levy</w:t>
            </w:r>
            <w:r w:rsidR="008D34E3">
              <w:rPr>
                <w:noProof/>
                <w:webHidden/>
              </w:rPr>
              <w:tab/>
            </w:r>
            <w:r w:rsidR="008D34E3">
              <w:rPr>
                <w:noProof/>
                <w:webHidden/>
              </w:rPr>
              <w:fldChar w:fldCharType="begin"/>
            </w:r>
            <w:r w:rsidR="008D34E3">
              <w:rPr>
                <w:noProof/>
                <w:webHidden/>
              </w:rPr>
              <w:instrText xml:space="preserve"> PAGEREF _Toc529787391 \h </w:instrText>
            </w:r>
            <w:r w:rsidR="008D34E3">
              <w:rPr>
                <w:noProof/>
                <w:webHidden/>
              </w:rPr>
            </w:r>
            <w:r w:rsidR="008D34E3">
              <w:rPr>
                <w:noProof/>
                <w:webHidden/>
              </w:rPr>
              <w:fldChar w:fldCharType="separate"/>
            </w:r>
            <w:r w:rsidR="00CE4EFF">
              <w:rPr>
                <w:noProof/>
                <w:webHidden/>
              </w:rPr>
              <w:t>58</w:t>
            </w:r>
            <w:r w:rsidR="008D34E3">
              <w:rPr>
                <w:noProof/>
                <w:webHidden/>
              </w:rPr>
              <w:fldChar w:fldCharType="end"/>
            </w:r>
          </w:hyperlink>
        </w:p>
        <w:p w14:paraId="4EBC4F7A" w14:textId="28C995D0" w:rsidR="008D34E3" w:rsidRDefault="00D16F86">
          <w:pPr>
            <w:pStyle w:val="TableofFigures"/>
            <w:rPr>
              <w:rFonts w:asciiTheme="minorHAnsi" w:eastAsiaTheme="minorEastAsia" w:hAnsiTheme="minorHAnsi"/>
              <w:noProof/>
              <w:lang w:eastAsia="en-NZ"/>
            </w:rPr>
          </w:pPr>
          <w:hyperlink w:anchor="_Toc529787392" w:history="1">
            <w:r w:rsidR="008D34E3" w:rsidRPr="00FA6417">
              <w:rPr>
                <w:rStyle w:val="Hyperlink"/>
                <w:noProof/>
              </w:rPr>
              <w:t>Table 11: Yes/No responses to questions concerning incentivising NCGM venues to relocate</w:t>
            </w:r>
            <w:r w:rsidR="008D34E3">
              <w:rPr>
                <w:noProof/>
                <w:webHidden/>
              </w:rPr>
              <w:tab/>
            </w:r>
            <w:r w:rsidR="008D34E3">
              <w:rPr>
                <w:noProof/>
                <w:webHidden/>
              </w:rPr>
              <w:fldChar w:fldCharType="begin"/>
            </w:r>
            <w:r w:rsidR="008D34E3">
              <w:rPr>
                <w:noProof/>
                <w:webHidden/>
              </w:rPr>
              <w:instrText xml:space="preserve"> PAGEREF _Toc529787392 \h </w:instrText>
            </w:r>
            <w:r w:rsidR="008D34E3">
              <w:rPr>
                <w:noProof/>
                <w:webHidden/>
              </w:rPr>
            </w:r>
            <w:r w:rsidR="008D34E3">
              <w:rPr>
                <w:noProof/>
                <w:webHidden/>
              </w:rPr>
              <w:fldChar w:fldCharType="separate"/>
            </w:r>
            <w:r w:rsidR="00CE4EFF">
              <w:rPr>
                <w:noProof/>
                <w:webHidden/>
              </w:rPr>
              <w:t>68</w:t>
            </w:r>
            <w:r w:rsidR="008D34E3">
              <w:rPr>
                <w:noProof/>
                <w:webHidden/>
              </w:rPr>
              <w:fldChar w:fldCharType="end"/>
            </w:r>
          </w:hyperlink>
        </w:p>
        <w:p w14:paraId="2941CABF" w14:textId="064A58AA" w:rsidR="008D34E3" w:rsidRDefault="00D16F86">
          <w:pPr>
            <w:pStyle w:val="TableofFigures"/>
            <w:rPr>
              <w:rFonts w:asciiTheme="minorHAnsi" w:eastAsiaTheme="minorEastAsia" w:hAnsiTheme="minorHAnsi"/>
              <w:noProof/>
              <w:lang w:eastAsia="en-NZ"/>
            </w:rPr>
          </w:pPr>
          <w:hyperlink w:anchor="_Toc529787393" w:history="1">
            <w:r w:rsidR="008D34E3" w:rsidRPr="00FA6417">
              <w:rPr>
                <w:rStyle w:val="Hyperlink"/>
                <w:noProof/>
              </w:rPr>
              <w:t>Table 12: Number of submissions, by Sector, that commented on the proposed NCGM incentivised moves</w:t>
            </w:r>
            <w:r w:rsidR="008D34E3">
              <w:rPr>
                <w:noProof/>
                <w:webHidden/>
              </w:rPr>
              <w:tab/>
            </w:r>
            <w:r w:rsidR="008D34E3">
              <w:rPr>
                <w:noProof/>
                <w:webHidden/>
              </w:rPr>
              <w:fldChar w:fldCharType="begin"/>
            </w:r>
            <w:r w:rsidR="008D34E3">
              <w:rPr>
                <w:noProof/>
                <w:webHidden/>
              </w:rPr>
              <w:instrText xml:space="preserve"> PAGEREF _Toc529787393 \h </w:instrText>
            </w:r>
            <w:r w:rsidR="008D34E3">
              <w:rPr>
                <w:noProof/>
                <w:webHidden/>
              </w:rPr>
            </w:r>
            <w:r w:rsidR="008D34E3">
              <w:rPr>
                <w:noProof/>
                <w:webHidden/>
              </w:rPr>
              <w:fldChar w:fldCharType="separate"/>
            </w:r>
            <w:r w:rsidR="00CE4EFF">
              <w:rPr>
                <w:noProof/>
                <w:webHidden/>
              </w:rPr>
              <w:t>68</w:t>
            </w:r>
            <w:r w:rsidR="008D34E3">
              <w:rPr>
                <w:noProof/>
                <w:webHidden/>
              </w:rPr>
              <w:fldChar w:fldCharType="end"/>
            </w:r>
          </w:hyperlink>
        </w:p>
        <w:p w14:paraId="5C0BC98B" w14:textId="1D9D449C" w:rsidR="008D34E3" w:rsidRDefault="00D16F86">
          <w:pPr>
            <w:pStyle w:val="TableofFigures"/>
            <w:rPr>
              <w:rFonts w:asciiTheme="minorHAnsi" w:eastAsiaTheme="minorEastAsia" w:hAnsiTheme="minorHAnsi"/>
              <w:noProof/>
              <w:lang w:eastAsia="en-NZ"/>
            </w:rPr>
          </w:pPr>
          <w:hyperlink w:anchor="_Toc529787394" w:history="1">
            <w:r w:rsidR="008D34E3" w:rsidRPr="00FA6417">
              <w:rPr>
                <w:rStyle w:val="Hyperlink"/>
                <w:noProof/>
              </w:rPr>
              <w:t>Table 13: List of submitters, sorted by submitter unique ID</w:t>
            </w:r>
            <w:r w:rsidR="008D34E3">
              <w:rPr>
                <w:noProof/>
                <w:webHidden/>
              </w:rPr>
              <w:tab/>
            </w:r>
            <w:r w:rsidR="008D34E3">
              <w:rPr>
                <w:noProof/>
                <w:webHidden/>
              </w:rPr>
              <w:fldChar w:fldCharType="begin"/>
            </w:r>
            <w:r w:rsidR="008D34E3">
              <w:rPr>
                <w:noProof/>
                <w:webHidden/>
              </w:rPr>
              <w:instrText xml:space="preserve"> PAGEREF _Toc529787394 \h </w:instrText>
            </w:r>
            <w:r w:rsidR="008D34E3">
              <w:rPr>
                <w:noProof/>
                <w:webHidden/>
              </w:rPr>
            </w:r>
            <w:r w:rsidR="008D34E3">
              <w:rPr>
                <w:noProof/>
                <w:webHidden/>
              </w:rPr>
              <w:fldChar w:fldCharType="separate"/>
            </w:r>
            <w:r w:rsidR="00CE4EFF">
              <w:rPr>
                <w:noProof/>
                <w:webHidden/>
              </w:rPr>
              <w:t>90</w:t>
            </w:r>
            <w:r w:rsidR="008D34E3">
              <w:rPr>
                <w:noProof/>
                <w:webHidden/>
              </w:rPr>
              <w:fldChar w:fldCharType="end"/>
            </w:r>
          </w:hyperlink>
        </w:p>
        <w:p w14:paraId="4B3FB043" w14:textId="6C4C8F06" w:rsidR="008D34E3" w:rsidRDefault="00D16F86">
          <w:pPr>
            <w:pStyle w:val="TableofFigures"/>
            <w:rPr>
              <w:rFonts w:asciiTheme="minorHAnsi" w:eastAsiaTheme="minorEastAsia" w:hAnsiTheme="minorHAnsi"/>
              <w:noProof/>
              <w:lang w:eastAsia="en-NZ"/>
            </w:rPr>
          </w:pPr>
          <w:hyperlink w:anchor="_Toc529787395" w:history="1">
            <w:r w:rsidR="008D34E3" w:rsidRPr="00FA6417">
              <w:rPr>
                <w:rStyle w:val="Hyperlink"/>
                <w:noProof/>
              </w:rPr>
              <w:t>Table 14: List of submitters, sorted alphabetically</w:t>
            </w:r>
            <w:r w:rsidR="008D34E3">
              <w:rPr>
                <w:noProof/>
                <w:webHidden/>
              </w:rPr>
              <w:tab/>
            </w:r>
            <w:r w:rsidR="008D34E3">
              <w:rPr>
                <w:noProof/>
                <w:webHidden/>
              </w:rPr>
              <w:fldChar w:fldCharType="begin"/>
            </w:r>
            <w:r w:rsidR="008D34E3">
              <w:rPr>
                <w:noProof/>
                <w:webHidden/>
              </w:rPr>
              <w:instrText xml:space="preserve"> PAGEREF _Toc529787395 \h </w:instrText>
            </w:r>
            <w:r w:rsidR="008D34E3">
              <w:rPr>
                <w:noProof/>
                <w:webHidden/>
              </w:rPr>
            </w:r>
            <w:r w:rsidR="008D34E3">
              <w:rPr>
                <w:noProof/>
                <w:webHidden/>
              </w:rPr>
              <w:fldChar w:fldCharType="separate"/>
            </w:r>
            <w:r w:rsidR="00CE4EFF">
              <w:rPr>
                <w:noProof/>
                <w:webHidden/>
              </w:rPr>
              <w:t>91</w:t>
            </w:r>
            <w:r w:rsidR="008D34E3">
              <w:rPr>
                <w:noProof/>
                <w:webHidden/>
              </w:rPr>
              <w:fldChar w:fldCharType="end"/>
            </w:r>
          </w:hyperlink>
        </w:p>
        <w:p w14:paraId="14C2B606" w14:textId="4A151139" w:rsidR="00D812D2" w:rsidRPr="009E7223" w:rsidRDefault="00903FE3" w:rsidP="00D812D2">
          <w:pPr>
            <w:pStyle w:val="BodyText"/>
          </w:pPr>
          <w:r w:rsidRPr="009E7223">
            <w:fldChar w:fldCharType="end"/>
          </w:r>
        </w:p>
        <w:p w14:paraId="4EFF4C2E" w14:textId="24BB3D53" w:rsidR="00D812D2" w:rsidRPr="009E7223" w:rsidRDefault="00D812D2" w:rsidP="00D812D2">
          <w:pPr>
            <w:pStyle w:val="Heading1"/>
          </w:pPr>
          <w:bookmarkStart w:id="5" w:name="_Toc531098134"/>
          <w:r w:rsidRPr="009E7223">
            <w:t>Figures</w:t>
          </w:r>
          <w:bookmarkEnd w:id="5"/>
        </w:p>
        <w:p w14:paraId="4615CFF4" w14:textId="3A46C107" w:rsidR="008D34E3" w:rsidRDefault="00D812D2">
          <w:pPr>
            <w:pStyle w:val="TableofFigures"/>
            <w:rPr>
              <w:rFonts w:asciiTheme="minorHAnsi" w:eastAsiaTheme="minorEastAsia" w:hAnsiTheme="minorHAnsi"/>
              <w:noProof/>
              <w:lang w:eastAsia="en-NZ"/>
            </w:rPr>
          </w:pPr>
          <w:r w:rsidRPr="009E7223">
            <w:rPr>
              <w:highlight w:val="yellow"/>
            </w:rPr>
            <w:fldChar w:fldCharType="begin"/>
          </w:r>
          <w:r w:rsidRPr="009E7223">
            <w:rPr>
              <w:highlight w:val="yellow"/>
            </w:rPr>
            <w:instrText xml:space="preserve"> TOC \h \z \c "Figure" </w:instrText>
          </w:r>
          <w:r w:rsidRPr="009E7223">
            <w:rPr>
              <w:highlight w:val="yellow"/>
            </w:rPr>
            <w:fldChar w:fldCharType="separate"/>
          </w:r>
          <w:hyperlink w:anchor="_Toc529787400" w:history="1">
            <w:r w:rsidR="008D34E3" w:rsidRPr="004E1AD1">
              <w:rPr>
                <w:rStyle w:val="Hyperlink"/>
                <w:noProof/>
              </w:rPr>
              <w:t>Figure 1: Organisation submitters by sector type</w:t>
            </w:r>
            <w:r w:rsidR="008D34E3">
              <w:rPr>
                <w:noProof/>
                <w:webHidden/>
              </w:rPr>
              <w:tab/>
            </w:r>
            <w:r w:rsidR="008D34E3">
              <w:rPr>
                <w:noProof/>
                <w:webHidden/>
              </w:rPr>
              <w:fldChar w:fldCharType="begin"/>
            </w:r>
            <w:r w:rsidR="008D34E3">
              <w:rPr>
                <w:noProof/>
                <w:webHidden/>
              </w:rPr>
              <w:instrText xml:space="preserve"> PAGEREF _Toc529787400 \h </w:instrText>
            </w:r>
            <w:r w:rsidR="008D34E3">
              <w:rPr>
                <w:noProof/>
                <w:webHidden/>
              </w:rPr>
            </w:r>
            <w:r w:rsidR="008D34E3">
              <w:rPr>
                <w:noProof/>
                <w:webHidden/>
              </w:rPr>
              <w:fldChar w:fldCharType="separate"/>
            </w:r>
            <w:r w:rsidR="00CE4EFF">
              <w:rPr>
                <w:noProof/>
                <w:webHidden/>
              </w:rPr>
              <w:t>16</w:t>
            </w:r>
            <w:r w:rsidR="008D34E3">
              <w:rPr>
                <w:noProof/>
                <w:webHidden/>
              </w:rPr>
              <w:fldChar w:fldCharType="end"/>
            </w:r>
          </w:hyperlink>
        </w:p>
        <w:p w14:paraId="6932AE2D" w14:textId="3EC597E4" w:rsidR="00033688" w:rsidRPr="009E7223" w:rsidRDefault="00D812D2" w:rsidP="00D812D2">
          <w:pPr>
            <w:pStyle w:val="BodyText"/>
          </w:pPr>
          <w:r w:rsidRPr="009E7223">
            <w:rPr>
              <w:highlight w:val="yellow"/>
            </w:rPr>
            <w:fldChar w:fldCharType="end"/>
          </w:r>
          <w:r w:rsidR="00903FE3" w:rsidRPr="009E7223">
            <w:rPr>
              <w:highlight w:val="yellow"/>
            </w:rPr>
            <w:br w:type="page"/>
          </w:r>
        </w:p>
        <w:p w14:paraId="2D0861CD" w14:textId="77777777" w:rsidR="0053640F" w:rsidRPr="009E7223" w:rsidRDefault="0053640F" w:rsidP="0053640F">
          <w:pPr>
            <w:pStyle w:val="Heading1"/>
          </w:pPr>
          <w:bookmarkStart w:id="6" w:name="_Toc430861657"/>
          <w:bookmarkStart w:id="7" w:name="_Toc531098135"/>
          <w:r w:rsidRPr="009E7223">
            <w:lastRenderedPageBreak/>
            <w:t>Executive summary</w:t>
          </w:r>
          <w:bookmarkEnd w:id="7"/>
        </w:p>
        <w:p w14:paraId="359CBC35" w14:textId="77777777" w:rsidR="0053640F" w:rsidRPr="009E7223" w:rsidRDefault="0053640F" w:rsidP="0053640F">
          <w:pPr>
            <w:pStyle w:val="Heading2"/>
          </w:pPr>
          <w:bookmarkStart w:id="8" w:name="_Toc531098136"/>
          <w:r>
            <w:t>Eighty-two s</w:t>
          </w:r>
          <w:r w:rsidRPr="009E7223">
            <w:t>ubmissions received</w:t>
          </w:r>
          <w:bookmarkEnd w:id="8"/>
        </w:p>
        <w:p w14:paraId="58ED02B6" w14:textId="77777777" w:rsidR="0053640F" w:rsidRPr="009E7223" w:rsidRDefault="0053640F" w:rsidP="0053640F">
          <w:pPr>
            <w:pStyle w:val="BodyText"/>
          </w:pPr>
          <w:r w:rsidRPr="009E7223">
            <w:t xml:space="preserve">Eighty-two submissions were received on the Ministry of Health’s Strategy to Prevent and Minimise Gambling Harm 2019/20 to 2021/22 consultation document (the Strategy). </w:t>
          </w:r>
          <w:r>
            <w:t xml:space="preserve">This is almost double the number of submissions received during the 2015 consultation. </w:t>
          </w:r>
          <w:r w:rsidRPr="009E7223">
            <w:t>Submissions were received from a range of submitters:</w:t>
          </w:r>
        </w:p>
        <w:p w14:paraId="178DE892" w14:textId="77777777" w:rsidR="0053640F" w:rsidRPr="009E7223" w:rsidRDefault="0053640F" w:rsidP="0053640F">
          <w:pPr>
            <w:pStyle w:val="List-BulletLvl1"/>
          </w:pPr>
          <w:r w:rsidRPr="009E7223">
            <w:t>Twenty-two from the N</w:t>
          </w:r>
          <w:r>
            <w:t>on-</w:t>
          </w:r>
          <w:r w:rsidRPr="009E7223">
            <w:t>C</w:t>
          </w:r>
          <w:r>
            <w:t xml:space="preserve">asino </w:t>
          </w:r>
          <w:r w:rsidRPr="009E7223">
            <w:t>G</w:t>
          </w:r>
          <w:r>
            <w:t xml:space="preserve">aming </w:t>
          </w:r>
          <w:r w:rsidRPr="009E7223">
            <w:t>M</w:t>
          </w:r>
          <w:r>
            <w:t>achine</w:t>
          </w:r>
          <w:r>
            <w:rPr>
              <w:rStyle w:val="FootnoteReference"/>
            </w:rPr>
            <w:footnoteReference w:id="2"/>
          </w:r>
          <w:r>
            <w:t xml:space="preserve"> (NCGM)</w:t>
          </w:r>
          <w:r w:rsidRPr="009E7223">
            <w:t xml:space="preserve"> sector (19 societies, two pubs</w:t>
          </w:r>
          <w:r>
            <w:t>,</w:t>
          </w:r>
          <w:r w:rsidRPr="009E7223">
            <w:t xml:space="preserve"> and one club)</w:t>
          </w:r>
        </w:p>
        <w:p w14:paraId="3A1FE475" w14:textId="77777777" w:rsidR="0053640F" w:rsidRPr="009E7223" w:rsidRDefault="0053640F" w:rsidP="0053640F">
          <w:pPr>
            <w:pStyle w:val="List-BulletLvl1"/>
          </w:pPr>
          <w:r w:rsidRPr="009E7223">
            <w:t>Twenty-one from</w:t>
          </w:r>
          <w:r>
            <w:t xml:space="preserve"> the</w:t>
          </w:r>
          <w:r w:rsidRPr="009E7223">
            <w:t xml:space="preserve"> Service Provider</w:t>
          </w:r>
          <w:r>
            <w:t xml:space="preserve"> sector</w:t>
          </w:r>
          <w:r w:rsidRPr="009E7223">
            <w:t xml:space="preserve"> (15 clinical treatment providers, four other public health providers, and two training providers)</w:t>
          </w:r>
        </w:p>
        <w:p w14:paraId="748C37EA" w14:textId="77777777" w:rsidR="0053640F" w:rsidRDefault="0053640F" w:rsidP="0053640F">
          <w:pPr>
            <w:pStyle w:val="List-BulletLvl1"/>
          </w:pPr>
          <w:r w:rsidRPr="009E7223">
            <w:t>Thirteen from the Health sector</w:t>
          </w:r>
          <w:r>
            <w:t xml:space="preserve"> (five District Health Boards (DHB), two public health agencies, and six other organisations that have a health focus)</w:t>
          </w:r>
        </w:p>
        <w:p w14:paraId="4249FCED" w14:textId="77777777" w:rsidR="0053640F" w:rsidRPr="009E7223" w:rsidRDefault="0053640F" w:rsidP="0053640F">
          <w:pPr>
            <w:pStyle w:val="List-BulletLvl1"/>
          </w:pPr>
          <w:r w:rsidRPr="009E7223">
            <w:t>Eight from</w:t>
          </w:r>
          <w:r>
            <w:t xml:space="preserve"> the</w:t>
          </w:r>
          <w:r w:rsidRPr="009E7223">
            <w:t xml:space="preserve"> Gambling Industry (other) (four gambling technology-related organisations, two casino operators, Lotto NZ, and the New Zealand Racing Board)</w:t>
          </w:r>
        </w:p>
        <w:p w14:paraId="2B78DFBF" w14:textId="77777777" w:rsidR="0053640F" w:rsidRPr="009E7223" w:rsidRDefault="0053640F" w:rsidP="0053640F">
          <w:pPr>
            <w:pStyle w:val="List-BulletLvl1"/>
          </w:pPr>
          <w:r w:rsidRPr="009E7223">
            <w:t>Six from Local Government, and</w:t>
          </w:r>
        </w:p>
        <w:p w14:paraId="572C7F72" w14:textId="77777777" w:rsidR="0053640F" w:rsidRPr="009E7223" w:rsidRDefault="0053640F" w:rsidP="0053640F">
          <w:pPr>
            <w:pStyle w:val="List-BulletLvl1"/>
          </w:pPr>
          <w:r w:rsidRPr="009E7223">
            <w:t>Twelve from individuals.</w:t>
          </w:r>
        </w:p>
        <w:p w14:paraId="6122292E" w14:textId="77777777" w:rsidR="0053640F" w:rsidRDefault="0053640F" w:rsidP="0053640F">
          <w:pPr>
            <w:pStyle w:val="Heading2"/>
          </w:pPr>
          <w:bookmarkStart w:id="9" w:name="_Toc531098137"/>
          <w:r>
            <w:t>Question-based thematic analysis by sector</w:t>
          </w:r>
          <w:bookmarkEnd w:id="9"/>
        </w:p>
        <w:p w14:paraId="7692B1B5" w14:textId="11A94C49" w:rsidR="0053640F" w:rsidRPr="00BC23DA" w:rsidRDefault="0053640F" w:rsidP="0053640F">
          <w:pPr>
            <w:pStyle w:val="BodyText"/>
          </w:pPr>
          <w:r w:rsidRPr="009E7223">
            <w:t>All submissions were coded to a</w:t>
          </w:r>
          <w:r>
            <w:t xml:space="preserve"> question-based </w:t>
          </w:r>
          <w:r w:rsidRPr="009E7223">
            <w:t xml:space="preserve">core coding frame using NVivo 12. Within this database, submissions were </w:t>
          </w:r>
          <w:r>
            <w:t xml:space="preserve">thematically </w:t>
          </w:r>
          <w:r w:rsidRPr="009E7223">
            <w:t xml:space="preserve">coded to </w:t>
          </w:r>
          <w:r>
            <w:t xml:space="preserve">iteratively </w:t>
          </w:r>
          <w:r w:rsidRPr="009E7223">
            <w:t>develop a comprehensive thematic coding frame</w:t>
          </w:r>
          <w:r>
            <w:t xml:space="preserve"> based on the questions posed in the consultation document</w:t>
          </w:r>
          <w:r w:rsidRPr="009E7223">
            <w:t xml:space="preserve">. The analysis was supported by queries developed within NVivo so that responses to </w:t>
          </w:r>
          <w:r w:rsidR="000B71EF">
            <w:t xml:space="preserve">some </w:t>
          </w:r>
          <w:r w:rsidRPr="009E7223">
            <w:t xml:space="preserve">questions </w:t>
          </w:r>
          <w:r>
            <w:t>(</w:t>
          </w:r>
          <w:r w:rsidRPr="009E7223">
            <w:t>identified by the Ministry</w:t>
          </w:r>
          <w:r>
            <w:t>)</w:t>
          </w:r>
          <w:r w:rsidRPr="009E7223">
            <w:t xml:space="preserve"> could be analysed by sector or oth</w:t>
          </w:r>
          <w:r>
            <w:t xml:space="preserve">er </w:t>
          </w:r>
          <w:r w:rsidRPr="009E7223">
            <w:t>classification attribute</w:t>
          </w:r>
          <w:r>
            <w:t>s</w:t>
          </w:r>
          <w:r w:rsidRPr="009E7223">
            <w:t>.</w:t>
          </w:r>
        </w:p>
        <w:p w14:paraId="74B87173" w14:textId="77777777" w:rsidR="0053640F" w:rsidRPr="009E7223" w:rsidRDefault="0053640F" w:rsidP="0053640F">
          <w:pPr>
            <w:pStyle w:val="Heading2"/>
          </w:pPr>
          <w:bookmarkStart w:id="10" w:name="_Toc531098138"/>
          <w:r>
            <w:t>Analysis of key themes by sector</w:t>
          </w:r>
          <w:bookmarkEnd w:id="10"/>
        </w:p>
        <w:p w14:paraId="62E53CFD" w14:textId="77777777" w:rsidR="0053640F" w:rsidRPr="009E7223" w:rsidRDefault="0053640F" w:rsidP="0053640F">
          <w:pPr>
            <w:pStyle w:val="BodyText"/>
          </w:pPr>
          <w:r>
            <w:t>Following identification of key themes, which often crossed multiple questions, a further section was added, examining these themes by sector, to complement the ‘within-question’ analysis.</w:t>
          </w:r>
        </w:p>
        <w:p w14:paraId="0F61ABA0" w14:textId="77777777" w:rsidR="0053640F" w:rsidRPr="009E7223" w:rsidRDefault="0053640F" w:rsidP="0053640F">
          <w:pPr>
            <w:pStyle w:val="Heading2"/>
          </w:pPr>
          <w:bookmarkStart w:id="11" w:name="_Toc531098139"/>
          <w:r w:rsidRPr="009E7223">
            <w:t>Summary of key themes</w:t>
          </w:r>
          <w:bookmarkEnd w:id="11"/>
        </w:p>
        <w:p w14:paraId="3101DA50" w14:textId="77777777" w:rsidR="0053640F" w:rsidRPr="009E7223" w:rsidRDefault="0053640F" w:rsidP="0053640F">
          <w:pPr>
            <w:pStyle w:val="BodyText"/>
          </w:pPr>
          <w:r w:rsidRPr="009E7223">
            <w:t xml:space="preserve">All 82 submissions contained relevant comments. </w:t>
          </w:r>
          <w:r>
            <w:t>Submitter’s</w:t>
          </w:r>
          <w:r w:rsidRPr="009E7223">
            <w:t xml:space="preserve"> comments largely focused on what else could be included in the Strategy to reflect changes in the gambling environment, the detail of the levy weighting, </w:t>
          </w:r>
          <w:r>
            <w:t>or</w:t>
          </w:r>
          <w:r w:rsidRPr="009E7223">
            <w:t xml:space="preserve"> related policy commentary.</w:t>
          </w:r>
          <w:r>
            <w:t xml:space="preserve"> </w:t>
          </w:r>
          <w:r w:rsidRPr="009E7223">
            <w:t>Key themes from the submissions are summarised below.</w:t>
          </w:r>
        </w:p>
        <w:p w14:paraId="2F2109F4" w14:textId="77777777" w:rsidR="0053640F" w:rsidRDefault="0053640F" w:rsidP="0053640F">
          <w:pPr>
            <w:pStyle w:val="Heading3"/>
          </w:pPr>
          <w:bookmarkStart w:id="12" w:name="_Toc531098140"/>
          <w:r>
            <w:t>The need for a refocus and rethink was generally supported, but there were divergent views on the preferred direction of change</w:t>
          </w:r>
          <w:bookmarkEnd w:id="12"/>
        </w:p>
        <w:p w14:paraId="218795C8" w14:textId="77777777" w:rsidR="0053640F" w:rsidRPr="009E7223" w:rsidRDefault="0053640F" w:rsidP="0053640F">
          <w:pPr>
            <w:pStyle w:val="BodyText"/>
          </w:pPr>
          <w:r w:rsidRPr="009E7223">
            <w:t xml:space="preserve">About half the submitters expressed support for the draft Strategic </w:t>
          </w:r>
          <w:r>
            <w:t>D</w:t>
          </w:r>
          <w:r w:rsidRPr="009E7223">
            <w:t>irection</w:t>
          </w:r>
          <w:r>
            <w:t>, with strongest support coming from the Service Provider, Health, and Local Government sectors and individuals.</w:t>
          </w:r>
        </w:p>
        <w:p w14:paraId="6989DFB6" w14:textId="77777777" w:rsidR="0053640F" w:rsidRPr="009E7223" w:rsidRDefault="0053640F" w:rsidP="0053640F">
          <w:pPr>
            <w:pStyle w:val="BodyText"/>
          </w:pPr>
          <w:r w:rsidRPr="009E7223">
            <w:lastRenderedPageBreak/>
            <w:t>Some submitters</w:t>
          </w:r>
          <w:r>
            <w:t>, particularly from the NCGM sector,</w:t>
          </w:r>
          <w:r w:rsidRPr="009E7223">
            <w:t xml:space="preserve"> </w:t>
          </w:r>
          <w:r>
            <w:t xml:space="preserve">while being supportive of the </w:t>
          </w:r>
          <w:r w:rsidRPr="009E7223">
            <w:t>Ministry’s desire for a refresh, consider</w:t>
          </w:r>
          <w:r>
            <w:t>ed that</w:t>
          </w:r>
          <w:r w:rsidRPr="009E7223">
            <w:t xml:space="preserve"> the draft </w:t>
          </w:r>
          <w:r>
            <w:t xml:space="preserve">Strategic Direction did not go </w:t>
          </w:r>
          <w:r w:rsidRPr="009E7223">
            <w:t>far enough</w:t>
          </w:r>
          <w:r>
            <w:t>,</w:t>
          </w:r>
          <w:r w:rsidRPr="009E7223">
            <w:t xml:space="preserve"> with some commenting that there was too much </w:t>
          </w:r>
          <w:r>
            <w:t xml:space="preserve">that was </w:t>
          </w:r>
          <w:r w:rsidRPr="009E7223">
            <w:t>‘more of the same’</w:t>
          </w:r>
          <w:r>
            <w:t>.</w:t>
          </w:r>
        </w:p>
        <w:p w14:paraId="695842F3" w14:textId="77777777" w:rsidR="0053640F" w:rsidRDefault="0053640F" w:rsidP="0053640F">
          <w:pPr>
            <w:pStyle w:val="BodyText"/>
          </w:pPr>
          <w:r>
            <w:t xml:space="preserve">Whilst some submitters - Local Government sector submitters in particular - </w:t>
          </w:r>
          <w:r w:rsidRPr="009E7223">
            <w:t xml:space="preserve">agreed that the draft Strategic Direction adequately reflected changes in the gambling environment; </w:t>
          </w:r>
          <w:r>
            <w:t xml:space="preserve">submitters from the Service Provider, Health, NCGM and Gambling Industry (other) sectors </w:t>
          </w:r>
          <w:r w:rsidRPr="009E7223">
            <w:t>considered that it needed strengthening</w:t>
          </w:r>
          <w:r>
            <w:t xml:space="preserve">, particularly </w:t>
          </w:r>
          <w:r w:rsidRPr="009E7223">
            <w:t>to recognise new challenges a</w:t>
          </w:r>
          <w:r>
            <w:t xml:space="preserve">s well as </w:t>
          </w:r>
          <w:r w:rsidRPr="009E7223">
            <w:t>opportunities</w:t>
          </w:r>
          <w:r>
            <w:t xml:space="preserve"> afforded b</w:t>
          </w:r>
          <w:r w:rsidRPr="009E7223">
            <w:t>y technology</w:t>
          </w:r>
          <w:r>
            <w:t xml:space="preserve"> – such as the challenge of increasing online gambling, which is discussed below; and the opportunity to better utilise technology to support harm minimisation efforts, which is also discussed below.</w:t>
          </w:r>
        </w:p>
        <w:p w14:paraId="7A0D4B73" w14:textId="791BC131" w:rsidR="0053640F" w:rsidRPr="009E7223" w:rsidRDefault="0053640F" w:rsidP="0053640F">
          <w:pPr>
            <w:pStyle w:val="Heading3"/>
          </w:pPr>
          <w:bookmarkStart w:id="13" w:name="_Toc531098141"/>
          <w:r>
            <w:t xml:space="preserve">Submitters considered that harm minimisation efforts could be significantly enhanced </w:t>
          </w:r>
          <w:r w:rsidR="000B71EF">
            <w:t>by using</w:t>
          </w:r>
          <w:r>
            <w:t xml:space="preserve"> emerging technologies</w:t>
          </w:r>
          <w:bookmarkEnd w:id="13"/>
        </w:p>
        <w:p w14:paraId="6B147F8C" w14:textId="77777777" w:rsidR="0053640F" w:rsidRDefault="0053640F" w:rsidP="0053640F">
          <w:pPr>
            <w:pStyle w:val="BodyText"/>
          </w:pPr>
          <w:r w:rsidRPr="009E7223">
            <w:t xml:space="preserve">Objective 8 – which </w:t>
          </w:r>
          <w:r>
            <w:t>includes</w:t>
          </w:r>
          <w:r w:rsidRPr="009E7223">
            <w:t xml:space="preserve"> </w:t>
          </w:r>
          <w:r>
            <w:t xml:space="preserve">a focus on </w:t>
          </w:r>
          <w:r w:rsidRPr="009E7223">
            <w:t xml:space="preserve">harm minimisation technologies – was especially well supported </w:t>
          </w:r>
          <w:r>
            <w:t>by submitters from the NCGM, Service Provider, and Gambling Industry (other) sectors</w:t>
          </w:r>
          <w:r w:rsidRPr="009E7223">
            <w:t>.</w:t>
          </w:r>
        </w:p>
        <w:p w14:paraId="0C6E18F8" w14:textId="77777777" w:rsidR="0053640F" w:rsidRDefault="0053640F" w:rsidP="0053640F">
          <w:pPr>
            <w:pStyle w:val="BodyText"/>
          </w:pPr>
          <w:r>
            <w:t>There was some call from NCGM sector and Gambling Industry (other) submitters for the Ministry to establish a technology fund that would provide financial assistance for gambling venues to invest in facial recognition software, in support of exclusion order systems that are often hampered by the lack of such technology – especially in smaller venues.</w:t>
          </w:r>
        </w:p>
        <w:p w14:paraId="76C0A65A" w14:textId="77777777" w:rsidR="0053640F" w:rsidRPr="00834F1A" w:rsidRDefault="0053640F" w:rsidP="0053640F">
          <w:pPr>
            <w:pStyle w:val="BodyText"/>
          </w:pPr>
          <w:r>
            <w:t xml:space="preserve">A further indication of support for the better use of technology was the prioritisation by submitters of the </w:t>
          </w:r>
          <w:r>
            <w:rPr>
              <w:i/>
            </w:rPr>
            <w:t xml:space="preserve">Emerging Issues </w:t>
          </w:r>
          <w:r>
            <w:t>category of potential research and evaluation activities. This category is made up of research proposals that focus on the use of the internet (online gambling); and the convergence of gaming and gambling: a situation that gives rise to a problem addressed further below – increasing gambling and presentations by youth.</w:t>
          </w:r>
        </w:p>
        <w:p w14:paraId="57BAB6BE" w14:textId="77777777" w:rsidR="0053640F" w:rsidRDefault="0053640F" w:rsidP="0053640F">
          <w:pPr>
            <w:pStyle w:val="Heading3"/>
          </w:pPr>
          <w:bookmarkStart w:id="14" w:name="_Toc531098142"/>
          <w:r>
            <w:t>The proposed management of the $5m underspend was polarising</w:t>
          </w:r>
          <w:bookmarkEnd w:id="14"/>
        </w:p>
        <w:p w14:paraId="31016E2B" w14:textId="77777777" w:rsidR="0053640F" w:rsidRDefault="0053640F" w:rsidP="0053640F">
          <w:pPr>
            <w:pStyle w:val="BodyText"/>
          </w:pPr>
          <w:r>
            <w:t>The proposal to use the $5m underspend in addition to the levy was rejected primarily by submitters from the NCGM and Gambling Industry (other) sectors. The level of concern was sufficiently significant that some submitters suggested that the proposal was illegal.</w:t>
          </w:r>
        </w:p>
        <w:p w14:paraId="1EEC249D" w14:textId="77777777" w:rsidR="0053640F" w:rsidRDefault="0053640F" w:rsidP="0053640F">
          <w:pPr>
            <w:pStyle w:val="BodyText"/>
          </w:pPr>
          <w:r>
            <w:t>There were suggestions that the underspend should be refunded; that the Ministry should use the money to establish a ‘technology fund’, and/or that the levy calculation formula should be clarified to avoid such ambiguity in the future.</w:t>
          </w:r>
        </w:p>
        <w:p w14:paraId="64456F54" w14:textId="77777777" w:rsidR="0053640F" w:rsidRDefault="0053640F" w:rsidP="0053640F">
          <w:pPr>
            <w:pStyle w:val="BodyText"/>
          </w:pPr>
          <w:r>
            <w:t>However, for other submitters (such as Service Providers), the proposal to use the underspend to top up the funding anticipated through the appropriation made sense and was uncontentious. For some, this approach would allow for more treatment services; and for others, the appropriation alone appeared to be insufficient to carry out the proposed activities.</w:t>
          </w:r>
        </w:p>
        <w:p w14:paraId="56CCD09E" w14:textId="77777777" w:rsidR="0053640F" w:rsidRDefault="0053640F" w:rsidP="0053640F">
          <w:pPr>
            <w:pStyle w:val="BodyText"/>
          </w:pPr>
          <w:r>
            <w:t>Predominantly NCGM sector and Gambling Industry (other) s</w:t>
          </w:r>
          <w:r w:rsidRPr="009E7223">
            <w:t>ubmitters considered that the levy formula could be improved, and they made suggestions for doing so, often concerning the interpretation of variables R and C</w:t>
          </w:r>
          <w:r>
            <w:t>.</w:t>
          </w:r>
        </w:p>
        <w:p w14:paraId="0A6C14D8" w14:textId="77777777" w:rsidR="0053640F" w:rsidRDefault="0053640F" w:rsidP="0053640F">
          <w:pPr>
            <w:pStyle w:val="List-BulletLvl1"/>
            <w:numPr>
              <w:ilvl w:val="0"/>
              <w:numId w:val="0"/>
            </w:numPr>
          </w:pPr>
          <w:r>
            <w:t>It appeared that some submitters had accessed more information than others concerning the proposed use of the $5m underspend. Although additional information shared at consultation forums was made available via the Ministry website during the consultation period, it was apparent from some of the comments that some submitters had not accessed it either via the website or through the forums. As a result, the submissions have been developed with varying background material in mind.</w:t>
          </w:r>
        </w:p>
        <w:p w14:paraId="6F6854F8" w14:textId="77777777" w:rsidR="0053640F" w:rsidRPr="009E7223" w:rsidRDefault="0053640F" w:rsidP="0053640F">
          <w:pPr>
            <w:pStyle w:val="Heading3"/>
          </w:pPr>
          <w:bookmarkStart w:id="15" w:name="_Toc531098143"/>
          <w:r>
            <w:lastRenderedPageBreak/>
            <w:t>The proposed funding allocations drew comments that were often siloed by sector</w:t>
          </w:r>
          <w:bookmarkEnd w:id="15"/>
        </w:p>
        <w:p w14:paraId="10909845" w14:textId="77777777" w:rsidR="0053640F" w:rsidRDefault="0053640F" w:rsidP="0053640F">
          <w:pPr>
            <w:pStyle w:val="BodyText"/>
          </w:pPr>
          <w:r>
            <w:t>Submitters from several sectors (Service Provider, Health and Local Government) were concerned that the proposed funding was inadequate for workforce needs. They pointed out that treatment provider pay needs to reflect the qualifications needed for the work. Submitters from these sectors also argued for more funding to promote treatment services, and to develop models of care suited to ethnically-defined populations.</w:t>
          </w:r>
        </w:p>
        <w:p w14:paraId="162E5161" w14:textId="77777777" w:rsidR="0053640F" w:rsidRDefault="0053640F" w:rsidP="0053640F">
          <w:pPr>
            <w:pStyle w:val="BodyText"/>
          </w:pPr>
          <w:r>
            <w:t>Concerns that funding needs to be directed toward activities that address inequities were frequently expressed by submitters from the Service Provider, Health, and Local Government sectors. They sought assurances that proposed research will make a positive difference for people from priority populations who are experiencing gambling harm; and/or that it will advance harm minimisation.</w:t>
          </w:r>
        </w:p>
        <w:p w14:paraId="09F4C691" w14:textId="77777777" w:rsidR="0053640F" w:rsidRDefault="0053640F" w:rsidP="0053640F">
          <w:pPr>
            <w:pStyle w:val="BodyText"/>
          </w:pPr>
          <w:r>
            <w:t>In contrast, a subset of NCGM submitters considered that the proposed secondary analysis of the National Gambling Study and the proposed meta-analysis of the Health and Lifestyle Survey data were unable to add anything new to the present understandings about harm minimisation, or which populations groups were more at risk of harm from gambling. They were additionally dubious about outcomes because of the age of the data in the proposed meta-analysis and secondary analysis. However, these views were confined to one sector. NCGM submitters also argued for a separate fund to be established to assist venues with the adoption of harm minimisation technologies, such as facial recognition software that would enhance enforcement of exclusions.</w:t>
          </w:r>
        </w:p>
        <w:p w14:paraId="0E72515D" w14:textId="77777777" w:rsidR="0053640F" w:rsidRDefault="0053640F" w:rsidP="0053640F">
          <w:pPr>
            <w:pStyle w:val="BodyText"/>
          </w:pPr>
          <w:r>
            <w:t>A group of submitters from the NCGM sector also requested the Ministry cease funding service providers whom they considered to be undertaking ‘misleading advocacy’ such as promoting ‘sinking lid’ policies, objecting to liquor license applications, and other activities they considered contrary to the aims of harm minimisation.</w:t>
          </w:r>
        </w:p>
        <w:p w14:paraId="52A82876" w14:textId="77777777" w:rsidR="0053640F" w:rsidRDefault="0053640F" w:rsidP="0053640F">
          <w:pPr>
            <w:pStyle w:val="Heading3"/>
          </w:pPr>
          <w:bookmarkStart w:id="16" w:name="_Toc531098144"/>
          <w:r>
            <w:t>There was broad support for the development of comprehensive culturally-specific health promotion, treatment and support services</w:t>
          </w:r>
          <w:bookmarkEnd w:id="16"/>
        </w:p>
        <w:p w14:paraId="1825223E" w14:textId="77777777" w:rsidR="0053640F" w:rsidRDefault="0053640F" w:rsidP="0053640F">
          <w:pPr>
            <w:pStyle w:val="BodyText"/>
          </w:pPr>
          <w:r>
            <w:t>Submitters from across the sectors considered that Māori, Pasifika, and Asian populations experience a greater burden of gambling harm than other populations. Further, Service Providers recognised that the gambling experience and the treatment needs differ by sub-group. It was considered that no further gains can be made in the treatment and support of those experiencing gambling harm by taking ‘one-size-fits-all’ or ‘mainstream’ approaches. Dedicated support services were called for, for each population subgroup, including 24/7 online and helpline support services, health promotion literature, and advertising – all in first languages.</w:t>
          </w:r>
        </w:p>
        <w:p w14:paraId="639F6329" w14:textId="77777777" w:rsidR="0053640F" w:rsidRDefault="0053640F" w:rsidP="0053640F">
          <w:pPr>
            <w:pStyle w:val="Heading3"/>
          </w:pPr>
          <w:bookmarkStart w:id="17" w:name="_Toc531098145"/>
          <w:r>
            <w:t>The convergence of online gaming and gambling was particularly concerning, especially because of the implications for youth</w:t>
          </w:r>
          <w:bookmarkEnd w:id="17"/>
        </w:p>
        <w:p w14:paraId="74AC1666" w14:textId="77777777" w:rsidR="0053640F" w:rsidRDefault="0053640F" w:rsidP="0053640F">
          <w:pPr>
            <w:pStyle w:val="BodyText"/>
          </w:pPr>
          <w:r>
            <w:t xml:space="preserve">The need for treatment services suited to working with young people was identified. The opinion that early and often inadvertent exposure to gambling via online games was a threat to youth and therefore had potential to significantly increase demand for treatment services was behind the broad support amongst submitters for </w:t>
          </w:r>
          <w:r>
            <w:rPr>
              <w:i/>
            </w:rPr>
            <w:t xml:space="preserve">Emerging Issues </w:t>
          </w:r>
          <w:r>
            <w:t>research proposals. Some treatment providers noted that they are already providing services to young teens. The inadvertent nature of increased gambling amongst youth also prompted some submitters to comment that there could be benefit in targeted health education concerning gambling.</w:t>
          </w:r>
        </w:p>
        <w:p w14:paraId="08E44696" w14:textId="77777777" w:rsidR="0053640F" w:rsidRPr="009E7223" w:rsidRDefault="0053640F" w:rsidP="0053640F">
          <w:pPr>
            <w:pStyle w:val="Heading3"/>
          </w:pPr>
          <w:bookmarkStart w:id="18" w:name="_Toc531098146"/>
          <w:r>
            <w:t>Sectors opinions and preferences varied concerning the expenditure/presentation weightings</w:t>
          </w:r>
          <w:bookmarkEnd w:id="18"/>
        </w:p>
        <w:p w14:paraId="3874A1F7" w14:textId="77777777" w:rsidR="0053640F" w:rsidRPr="009E7223" w:rsidRDefault="0053640F" w:rsidP="0053640F">
          <w:pPr>
            <w:pStyle w:val="BodyText"/>
          </w:pPr>
          <w:r>
            <w:t xml:space="preserve">Almost all the submissions that addressed this section were from either the NCGM sector or the Gambling Industry (other) sector. </w:t>
          </w:r>
          <w:r w:rsidRPr="009E7223">
            <w:t>Twenty-</w:t>
          </w:r>
          <w:r>
            <w:t>three</w:t>
          </w:r>
          <w:r w:rsidRPr="009E7223">
            <w:t xml:space="preserve"> submitters identified a preferred weighting:</w:t>
          </w:r>
        </w:p>
        <w:p w14:paraId="6D76406B" w14:textId="77777777" w:rsidR="0053640F" w:rsidRPr="009E7223" w:rsidRDefault="0053640F" w:rsidP="0053640F">
          <w:pPr>
            <w:pStyle w:val="List-BulletLvl1"/>
          </w:pPr>
          <w:r>
            <w:lastRenderedPageBreak/>
            <w:t>seventeen</w:t>
          </w:r>
          <w:r w:rsidRPr="009E7223">
            <w:t xml:space="preserve"> submitters</w:t>
          </w:r>
          <w:r>
            <w:t xml:space="preserve"> (mostly NCGM sector)</w:t>
          </w:r>
          <w:r w:rsidRPr="009E7223">
            <w:t xml:space="preserve"> preferred the 30/70 weighting</w:t>
          </w:r>
          <w:r>
            <w:t>, and</w:t>
          </w:r>
        </w:p>
        <w:p w14:paraId="6C9231D8" w14:textId="77777777" w:rsidR="0053640F" w:rsidRDefault="0053640F" w:rsidP="0053640F">
          <w:pPr>
            <w:pStyle w:val="List-BulletLvl1"/>
          </w:pPr>
          <w:r>
            <w:t>five</w:t>
          </w:r>
          <w:r w:rsidRPr="009E7223">
            <w:t xml:space="preserve"> submitters </w:t>
          </w:r>
          <w:r>
            <w:t xml:space="preserve">(mostly Gambling Industry (other) sector) </w:t>
          </w:r>
          <w:r w:rsidRPr="009E7223">
            <w:t>preferred the 10/90 weighting</w:t>
          </w:r>
        </w:p>
        <w:p w14:paraId="3F8F17BE" w14:textId="77777777" w:rsidR="0053640F" w:rsidRPr="009E7223" w:rsidRDefault="0053640F" w:rsidP="0053640F">
          <w:pPr>
            <w:pStyle w:val="List-BulletLvl1"/>
          </w:pPr>
          <w:r>
            <w:t>one</w:t>
          </w:r>
          <w:r w:rsidRPr="009E7223">
            <w:t xml:space="preserve"> submitter </w:t>
          </w:r>
          <w:r>
            <w:t xml:space="preserve">(Health sector) </w:t>
          </w:r>
          <w:r w:rsidRPr="009E7223">
            <w:t>preferred the 20/80 weighting.</w:t>
          </w:r>
        </w:p>
        <w:p w14:paraId="6F8E99A1" w14:textId="77777777" w:rsidR="0053640F" w:rsidRDefault="0053640F" w:rsidP="0053640F">
          <w:pPr>
            <w:pStyle w:val="BodyText"/>
          </w:pPr>
          <w:r w:rsidRPr="009E7223">
            <w:t>Two submitters favoured a lesser weighting on presentations, but they had no preference between 20/80 or 30/70</w:t>
          </w:r>
          <w:r>
            <w:t>.</w:t>
          </w:r>
        </w:p>
        <w:p w14:paraId="4CA8ABE0" w14:textId="77777777" w:rsidR="0053640F" w:rsidRDefault="0053640F" w:rsidP="0053640F">
          <w:pPr>
            <w:pStyle w:val="BodyText"/>
          </w:pPr>
          <w:r w:rsidRPr="009E7223">
            <w:t>Submitters who favoured 30/70 and submitters who favoured 10/90 each used a rationale of ‘fairness’, with competing notions of what is an</w:t>
          </w:r>
          <w:r>
            <w:t>d</w:t>
          </w:r>
          <w:r w:rsidRPr="009E7223">
            <w:t xml:space="preserve"> is not </w:t>
          </w:r>
          <w:r w:rsidRPr="009E7223">
            <w:rPr>
              <w:i/>
            </w:rPr>
            <w:t>fair</w:t>
          </w:r>
          <w:r w:rsidRPr="009E7223">
            <w:t xml:space="preserve"> being argued</w:t>
          </w:r>
          <w:r>
            <w:t xml:space="preserve">: namely, the extent to which it is considered appropriate and fair to include presentations in the calculation. </w:t>
          </w:r>
          <w:r w:rsidRPr="009E7223">
            <w:t>The different schools of thought drew on conflicting bodies of evidence and common-sense notions to back their arguments.</w:t>
          </w:r>
        </w:p>
        <w:p w14:paraId="7DD689E9" w14:textId="7792B4D3" w:rsidR="0053640F" w:rsidRDefault="0053640F" w:rsidP="0053640F">
          <w:pPr>
            <w:pStyle w:val="BodyText"/>
          </w:pPr>
          <w:r>
            <w:t xml:space="preserve">Two submitters (both NCGM sector) suggested an alternative </w:t>
          </w:r>
          <w:r w:rsidRPr="009E7223">
            <w:t>weighting based on 100 percent expenditure and 0 percent presentatio</w:t>
          </w:r>
          <w:r>
            <w:t xml:space="preserve">ns, arguing </w:t>
          </w:r>
          <w:r w:rsidRPr="009E7223">
            <w:t>that higher presentation numbers are a positive rather than a negative</w:t>
          </w:r>
          <w:r w:rsidR="00DE7176">
            <w:t>.</w:t>
          </w:r>
          <w:r>
            <w:t xml:space="preserve"> Another submitter (Service Provider) suggested an alternative weighting of 50/50, arguing that this weighting would ensure a more equal share across the gambling modes.</w:t>
          </w:r>
        </w:p>
        <w:p w14:paraId="2A75B22C" w14:textId="489CA2E7" w:rsidR="0053640F" w:rsidRDefault="0053640F" w:rsidP="0053640F">
          <w:pPr>
            <w:pStyle w:val="Heading3"/>
          </w:pPr>
          <w:bookmarkStart w:id="19" w:name="_Toc531098147"/>
          <w:r>
            <w:t>Online gambling providers with business in New Zealand, including those based outside New Zealand, should all be subject to the</w:t>
          </w:r>
          <w:r w:rsidR="00DE7176">
            <w:t xml:space="preserve"> levy</w:t>
          </w:r>
          <w:bookmarkEnd w:id="19"/>
        </w:p>
        <w:p w14:paraId="004105A6" w14:textId="77777777" w:rsidR="0053640F" w:rsidRPr="00247876" w:rsidRDefault="0053640F" w:rsidP="0053640F">
          <w:pPr>
            <w:pStyle w:val="BodyText"/>
          </w:pPr>
          <w:r>
            <w:t>There was cross-sector awareness and concern about increasing levels of online gambling in New Zealand, and it was considered unfair that providers outside of New Zealand were not subject to the levy. As a result, people requiring treatment due to gambling harm from online gambling are getting services that are funded through other gambling modes.</w:t>
          </w:r>
        </w:p>
        <w:p w14:paraId="5982659A" w14:textId="77777777" w:rsidR="0053640F" w:rsidRPr="009E7223" w:rsidRDefault="0053640F" w:rsidP="0053640F">
          <w:pPr>
            <w:pStyle w:val="Heading3"/>
          </w:pPr>
          <w:bookmarkStart w:id="20" w:name="_Toc531098148"/>
          <w:r>
            <w:t xml:space="preserve">Removing </w:t>
          </w:r>
          <w:r w:rsidRPr="009E7223">
            <w:t xml:space="preserve">NCGM </w:t>
          </w:r>
          <w:r>
            <w:t>venues from lower socioeconomic areas was broadly supported, but there was little support for incentivising moves to higher socioeconomic areas</w:t>
          </w:r>
          <w:bookmarkEnd w:id="20"/>
        </w:p>
        <w:p w14:paraId="7A80BCE7" w14:textId="77777777" w:rsidR="0053640F" w:rsidRDefault="0053640F" w:rsidP="0053640F">
          <w:pPr>
            <w:pStyle w:val="BodyText"/>
          </w:pPr>
          <w:r w:rsidRPr="009E7223">
            <w:t xml:space="preserve">Submitters broadly supported the proposal to allow NCGM venues to relocate, </w:t>
          </w:r>
          <w:r>
            <w:t xml:space="preserve">with 43 submitters either supporting or giving qualified support. However, the accompanying comments from Service Providers, Local Government, Health sector and NCGM sector submitters suggested there was little </w:t>
          </w:r>
          <w:r w:rsidRPr="009E7223">
            <w:t xml:space="preserve">support </w:t>
          </w:r>
          <w:r>
            <w:t xml:space="preserve">for </w:t>
          </w:r>
          <w:r w:rsidRPr="009E7223">
            <w:t>incentivisation</w:t>
          </w:r>
          <w:r>
            <w:t>. Instead, comments tended to favour ‘sinking lid’ policies, and to note that relocation was contrary to public health aims.</w:t>
          </w:r>
        </w:p>
        <w:p w14:paraId="37DBF117" w14:textId="77777777" w:rsidR="0053640F" w:rsidRPr="009E7223" w:rsidRDefault="0053640F" w:rsidP="0053640F">
          <w:pPr>
            <w:pStyle w:val="BodyText"/>
          </w:pPr>
          <w:r>
            <w:t>NCGM and Gambling Industry (other) sector s</w:t>
          </w:r>
          <w:r w:rsidRPr="009E7223">
            <w:t xml:space="preserve">ubmitters identified </w:t>
          </w:r>
          <w:r>
            <w:t xml:space="preserve">structural </w:t>
          </w:r>
          <w:r w:rsidRPr="009E7223">
            <w:t xml:space="preserve">barriers to relocating NCGM venues, </w:t>
          </w:r>
          <w:r>
            <w:t xml:space="preserve">particularly </w:t>
          </w:r>
          <w:r w:rsidRPr="009E7223">
            <w:t>local authority policies</w:t>
          </w:r>
          <w:r>
            <w:t>.</w:t>
          </w:r>
        </w:p>
        <w:p w14:paraId="0BBCCCE9" w14:textId="77777777" w:rsidR="0053640F" w:rsidRDefault="0053640F" w:rsidP="0053640F">
          <w:pPr>
            <w:pStyle w:val="BodyText"/>
          </w:pPr>
          <w:r w:rsidRPr="009E7223">
            <w:t>Some</w:t>
          </w:r>
          <w:r>
            <w:t xml:space="preserve"> NCGM</w:t>
          </w:r>
          <w:r w:rsidRPr="009E7223">
            <w:t xml:space="preserve"> submitters proposed incentives to support relocation, </w:t>
          </w:r>
          <w:r>
            <w:t>such as</w:t>
          </w:r>
          <w:r w:rsidRPr="009E7223">
            <w:t xml:space="preserve"> </w:t>
          </w:r>
          <w:r>
            <w:t xml:space="preserve">increasing </w:t>
          </w:r>
          <w:r w:rsidRPr="009E7223">
            <w:t xml:space="preserve">the </w:t>
          </w:r>
          <w:r>
            <w:t xml:space="preserve">bet size, the </w:t>
          </w:r>
          <w:r w:rsidRPr="009E7223">
            <w:t>prize size, and</w:t>
          </w:r>
          <w:r>
            <w:t xml:space="preserve"> the number of machines.</w:t>
          </w:r>
        </w:p>
        <w:p w14:paraId="5D3FF88A" w14:textId="1120FD4B" w:rsidR="00C617D5" w:rsidRDefault="00C617D5">
          <w:r>
            <w:br w:type="page"/>
          </w:r>
        </w:p>
        <w:p w14:paraId="39A1E509" w14:textId="77777777" w:rsidR="00C617D5" w:rsidRPr="009E7223" w:rsidRDefault="00C617D5" w:rsidP="0053640F">
          <w:pPr>
            <w:pStyle w:val="BodyText"/>
          </w:pPr>
        </w:p>
        <w:p w14:paraId="69BF2A41" w14:textId="4765117E" w:rsidR="0038133A" w:rsidRPr="009E7223" w:rsidRDefault="005903EF" w:rsidP="00D04ED5">
          <w:pPr>
            <w:pStyle w:val="NumberedHeading1"/>
          </w:pPr>
          <w:bookmarkStart w:id="21" w:name="_Toc531098149"/>
          <w:bookmarkEnd w:id="6"/>
          <w:r w:rsidRPr="009E7223">
            <w:t>Introduction</w:t>
          </w:r>
          <w:bookmarkEnd w:id="21"/>
        </w:p>
        <w:p w14:paraId="2476310C" w14:textId="6C94F27A" w:rsidR="006F1A02" w:rsidRPr="009E7223" w:rsidRDefault="00101A59" w:rsidP="00E050B0">
          <w:pPr>
            <w:pStyle w:val="BodyText"/>
          </w:pPr>
          <w:r w:rsidRPr="009E7223">
            <w:t>Cabinet allocated the Ministry of Health (the Ministry) responsibility u</w:t>
          </w:r>
          <w:r w:rsidR="00E050B0" w:rsidRPr="009E7223">
            <w:t>nder the Gambling Act 2003</w:t>
          </w:r>
          <w:r w:rsidR="0081409E" w:rsidRPr="009E7223">
            <w:t xml:space="preserve"> </w:t>
          </w:r>
          <w:r w:rsidR="00CE78EB" w:rsidRPr="009E7223">
            <w:t>to</w:t>
          </w:r>
          <w:r w:rsidR="00E050B0" w:rsidRPr="009E7223">
            <w:t xml:space="preserve"> develop</w:t>
          </w:r>
          <w:r w:rsidR="00CE78EB" w:rsidRPr="009E7223">
            <w:t xml:space="preserve"> and implement</w:t>
          </w:r>
          <w:r w:rsidR="00E050B0" w:rsidRPr="009E7223">
            <w:t xml:space="preserve"> an integrated</w:t>
          </w:r>
          <w:r w:rsidR="00CE78EB" w:rsidRPr="009E7223">
            <w:t>, public health focused</w:t>
          </w:r>
          <w:r w:rsidR="00E050B0" w:rsidRPr="009E7223">
            <w:t xml:space="preserve"> problem gambling strategy at least eve</w:t>
          </w:r>
          <w:r w:rsidR="00DE10EA" w:rsidRPr="009E7223">
            <w:t>ry three years</w:t>
          </w:r>
          <w:r w:rsidR="006F1A02" w:rsidRPr="009E7223">
            <w:t xml:space="preserve"> [s</w:t>
          </w:r>
          <w:r w:rsidR="00E64031" w:rsidRPr="009E7223">
            <w:t>ection</w:t>
          </w:r>
          <w:r w:rsidR="00F77F65" w:rsidRPr="009E7223">
            <w:t xml:space="preserve">s </w:t>
          </w:r>
          <w:r w:rsidR="006F1A02" w:rsidRPr="009E7223">
            <w:t xml:space="preserve">317 and 318 </w:t>
          </w:r>
          <w:r w:rsidR="00E64031" w:rsidRPr="009E7223">
            <w:t xml:space="preserve">of the Gambling Act </w:t>
          </w:r>
          <w:r w:rsidR="006F1A02" w:rsidRPr="009E7223">
            <w:t>refer]</w:t>
          </w:r>
          <w:r w:rsidR="00CE78EB" w:rsidRPr="009E7223">
            <w:t xml:space="preserve">. Through the Act, </w:t>
          </w:r>
          <w:r w:rsidR="00E050B0" w:rsidRPr="009E7223">
            <w:t xml:space="preserve"> </w:t>
          </w:r>
          <w:r w:rsidR="00CE78EB" w:rsidRPr="009E7223">
            <w:t>t</w:t>
          </w:r>
          <w:r w:rsidR="00E050B0" w:rsidRPr="009E7223">
            <w:t xml:space="preserve">he Crown recovers the cost of developing and </w:t>
          </w:r>
          <w:r w:rsidR="0023065E" w:rsidRPr="009E7223">
            <w:t>implementing the strategy</w:t>
          </w:r>
          <w:r w:rsidR="00E050B0" w:rsidRPr="009E7223">
            <w:t xml:space="preserve"> by way of a ‘problem gambling levy’</w:t>
          </w:r>
          <w:r w:rsidR="0023065E" w:rsidRPr="009E7223">
            <w:t>,</w:t>
          </w:r>
          <w:r w:rsidR="00E050B0" w:rsidRPr="009E7223">
            <w:t xml:space="preserve"> set by regulation at a different rate for each of the main gambling sectors</w:t>
          </w:r>
          <w:r w:rsidR="006F1A02" w:rsidRPr="009E7223">
            <w:t xml:space="preserve"> (i.e., the New Zealand Racing Board, Lotteries Commission, casinos and non-casino gaming machines</w:t>
          </w:r>
          <w:r w:rsidR="0057329C" w:rsidRPr="009E7223">
            <w:t xml:space="preserve"> (</w:t>
          </w:r>
          <w:r w:rsidR="006F1A02" w:rsidRPr="009E7223">
            <w:t>NCGM</w:t>
          </w:r>
          <w:r w:rsidR="00E64031" w:rsidRPr="009E7223">
            <w:t>s</w:t>
          </w:r>
          <w:r w:rsidR="0057329C" w:rsidRPr="009E7223">
            <w:t>)</w:t>
          </w:r>
          <w:r w:rsidR="006F1A02" w:rsidRPr="009E7223">
            <w:t>)</w:t>
          </w:r>
          <w:r w:rsidR="00E050B0" w:rsidRPr="009E7223">
            <w:t>. The strategy must include</w:t>
          </w:r>
          <w:r w:rsidR="00632C98" w:rsidRPr="009E7223">
            <w:t>:</w:t>
          </w:r>
        </w:p>
        <w:p w14:paraId="1F039C51" w14:textId="41A12548" w:rsidR="00F77F65" w:rsidRPr="009E7223" w:rsidRDefault="00D6631E" w:rsidP="00F77F65">
          <w:pPr>
            <w:pStyle w:val="List-BulletLvl1"/>
          </w:pPr>
          <w:r w:rsidRPr="009E7223">
            <w:t>M</w:t>
          </w:r>
          <w:r w:rsidR="00E050B0" w:rsidRPr="009E7223">
            <w:t>easures to promote public health by preventing and mi</w:t>
          </w:r>
          <w:r w:rsidR="00632C98" w:rsidRPr="009E7223">
            <w:t>nimising the harm from gambling</w:t>
          </w:r>
        </w:p>
        <w:p w14:paraId="5B7A4216" w14:textId="77777777" w:rsidR="00CE78EB" w:rsidRPr="009E7223" w:rsidRDefault="00D6631E" w:rsidP="00F77F65">
          <w:pPr>
            <w:pStyle w:val="List-BulletLvl1"/>
          </w:pPr>
          <w:r w:rsidRPr="009E7223">
            <w:t>S</w:t>
          </w:r>
          <w:r w:rsidR="00E050B0" w:rsidRPr="009E7223">
            <w:t>ervices to treat and assist problem gambler</w:t>
          </w:r>
          <w:r w:rsidR="00632C98" w:rsidRPr="009E7223">
            <w:t>s and their families and whānau</w:t>
          </w:r>
          <w:r w:rsidR="00624213" w:rsidRPr="009E7223">
            <w:t>; and</w:t>
          </w:r>
        </w:p>
        <w:p w14:paraId="26321E8A" w14:textId="59128E8A" w:rsidR="006F1A02" w:rsidRPr="009E7223" w:rsidRDefault="00CE78EB" w:rsidP="0010405C">
          <w:pPr>
            <w:pStyle w:val="List-BulletLvl1"/>
          </w:pPr>
          <w:r w:rsidRPr="009E7223">
            <w:t>I</w:t>
          </w:r>
          <w:r w:rsidR="00E050B0" w:rsidRPr="009E7223">
            <w:t>ndependent scientific</w:t>
          </w:r>
          <w:r w:rsidR="006F1A02" w:rsidRPr="009E7223">
            <w:t xml:space="preserve"> </w:t>
          </w:r>
          <w:r w:rsidR="00624213" w:rsidRPr="009E7223">
            <w:t xml:space="preserve">research </w:t>
          </w:r>
          <w:r w:rsidR="006F1A02" w:rsidRPr="009E7223">
            <w:t>associated with</w:t>
          </w:r>
          <w:r w:rsidR="00E050B0" w:rsidRPr="009E7223">
            <w:t xml:space="preserve"> gambling</w:t>
          </w:r>
          <w:r w:rsidR="006F1A02" w:rsidRPr="009E7223">
            <w:t xml:space="preserve"> (including longitudinal research on social and economic impacts</w:t>
          </w:r>
          <w:r w:rsidR="00977792" w:rsidRPr="009E7223">
            <w:t>)</w:t>
          </w:r>
          <w:r w:rsidR="00E050B0" w:rsidRPr="009E7223">
            <w:t>, and</w:t>
          </w:r>
          <w:r w:rsidRPr="009E7223">
            <w:t xml:space="preserve"> e</w:t>
          </w:r>
          <w:r w:rsidR="00E050B0" w:rsidRPr="009E7223">
            <w:t>valuation.</w:t>
          </w:r>
        </w:p>
        <w:p w14:paraId="1C1876B6" w14:textId="7607C369" w:rsidR="006F1A02" w:rsidRPr="009E7223" w:rsidRDefault="00F667D4" w:rsidP="00E050B0">
          <w:pPr>
            <w:pStyle w:val="BodyText"/>
          </w:pPr>
          <w:r w:rsidRPr="009E7223">
            <w:t>The Ministry</w:t>
          </w:r>
          <w:r w:rsidR="006F1A02" w:rsidRPr="009E7223">
            <w:t xml:space="preserve"> uses insights from a needs assessment to </w:t>
          </w:r>
          <w:r w:rsidRPr="009E7223">
            <w:t xml:space="preserve">outline proposed services </w:t>
          </w:r>
          <w:r w:rsidR="006F1A02" w:rsidRPr="009E7223">
            <w:t xml:space="preserve">to be delivered </w:t>
          </w:r>
          <w:r w:rsidRPr="009E7223">
            <w:t xml:space="preserve">and indicative budgets for the next three years. </w:t>
          </w:r>
        </w:p>
        <w:p w14:paraId="65C4DF85" w14:textId="6FBE6684" w:rsidR="00E050B0" w:rsidRPr="009E7223" w:rsidRDefault="00E050B0" w:rsidP="00E050B0">
          <w:pPr>
            <w:pStyle w:val="BodyText"/>
          </w:pPr>
          <w:r w:rsidRPr="009E7223">
            <w:t xml:space="preserve">On </w:t>
          </w:r>
          <w:r w:rsidR="00D04ED5" w:rsidRPr="009E7223">
            <w:t>20 August</w:t>
          </w:r>
          <w:r w:rsidR="00B92E3F" w:rsidRPr="009E7223">
            <w:t xml:space="preserve"> 2018</w:t>
          </w:r>
          <w:r w:rsidRPr="009E7223">
            <w:t>, the Ministry re</w:t>
          </w:r>
          <w:r w:rsidR="00CA72D9" w:rsidRPr="009E7223">
            <w:t xml:space="preserve">leased a consultation document </w:t>
          </w:r>
          <w:r w:rsidR="00101A59" w:rsidRPr="009E7223">
            <w:rPr>
              <w:i/>
            </w:rPr>
            <w:t xml:space="preserve">Strategy to </w:t>
          </w:r>
          <w:r w:rsidRPr="009E7223">
            <w:rPr>
              <w:i/>
            </w:rPr>
            <w:t xml:space="preserve">Prevent and </w:t>
          </w:r>
          <w:r w:rsidR="00CA72D9" w:rsidRPr="009E7223">
            <w:rPr>
              <w:i/>
            </w:rPr>
            <w:t>M</w:t>
          </w:r>
          <w:r w:rsidRPr="009E7223">
            <w:rPr>
              <w:i/>
            </w:rPr>
            <w:t>inimis</w:t>
          </w:r>
          <w:r w:rsidR="00101A59" w:rsidRPr="009E7223">
            <w:rPr>
              <w:i/>
            </w:rPr>
            <w:t>e</w:t>
          </w:r>
          <w:r w:rsidRPr="009E7223">
            <w:rPr>
              <w:i/>
            </w:rPr>
            <w:t xml:space="preserve"> </w:t>
          </w:r>
          <w:r w:rsidR="00CA72D9" w:rsidRPr="009E7223">
            <w:rPr>
              <w:i/>
            </w:rPr>
            <w:t>G</w:t>
          </w:r>
          <w:r w:rsidRPr="009E7223">
            <w:rPr>
              <w:i/>
            </w:rPr>
            <w:t xml:space="preserve">ambling </w:t>
          </w:r>
          <w:r w:rsidR="00CA72D9" w:rsidRPr="009E7223">
            <w:rPr>
              <w:i/>
            </w:rPr>
            <w:t xml:space="preserve">Harm </w:t>
          </w:r>
          <w:r w:rsidRPr="009E7223">
            <w:rPr>
              <w:i/>
            </w:rPr>
            <w:t>201</w:t>
          </w:r>
          <w:r w:rsidR="00B92E3F" w:rsidRPr="009E7223">
            <w:rPr>
              <w:i/>
            </w:rPr>
            <w:t>9/20</w:t>
          </w:r>
          <w:r w:rsidRPr="009E7223">
            <w:rPr>
              <w:i/>
            </w:rPr>
            <w:t xml:space="preserve"> </w:t>
          </w:r>
          <w:r w:rsidR="00CA72D9" w:rsidRPr="009E7223">
            <w:rPr>
              <w:i/>
            </w:rPr>
            <w:t xml:space="preserve">- </w:t>
          </w:r>
          <w:r w:rsidRPr="009E7223">
            <w:rPr>
              <w:i/>
            </w:rPr>
            <w:t>20</w:t>
          </w:r>
          <w:r w:rsidR="00B92E3F" w:rsidRPr="009E7223">
            <w:rPr>
              <w:i/>
            </w:rPr>
            <w:t>21</w:t>
          </w:r>
          <w:r w:rsidRPr="009E7223">
            <w:rPr>
              <w:i/>
            </w:rPr>
            <w:t>/</w:t>
          </w:r>
          <w:r w:rsidR="00B92E3F" w:rsidRPr="009E7223">
            <w:rPr>
              <w:i/>
            </w:rPr>
            <w:t>22</w:t>
          </w:r>
          <w:r w:rsidR="00CA72D9" w:rsidRPr="009E7223">
            <w:t xml:space="preserve"> (the Strategy)</w:t>
          </w:r>
          <w:r w:rsidRPr="009E7223">
            <w:t>. This document sought feedback on the:</w:t>
          </w:r>
        </w:p>
        <w:p w14:paraId="79A7FA03" w14:textId="7978A997" w:rsidR="00835D82" w:rsidRPr="009E7223" w:rsidRDefault="00D6631E" w:rsidP="00D6631E">
          <w:pPr>
            <w:pStyle w:val="List-BulletLvl1"/>
          </w:pPr>
          <w:r w:rsidRPr="009E7223">
            <w:t>D</w:t>
          </w:r>
          <w:r w:rsidR="00E050B0" w:rsidRPr="009E7223">
            <w:t xml:space="preserve">raft </w:t>
          </w:r>
          <w:r w:rsidR="0057329C" w:rsidRPr="009E7223">
            <w:t>six</w:t>
          </w:r>
          <w:r w:rsidR="00E050B0" w:rsidRPr="009E7223">
            <w:t xml:space="preserve">-year Strategic </w:t>
          </w:r>
          <w:r w:rsidR="006F1A02" w:rsidRPr="009E7223">
            <w:t xml:space="preserve">Framework </w:t>
          </w:r>
          <w:r w:rsidR="00E050B0" w:rsidRPr="009E7223">
            <w:t>201</w:t>
          </w:r>
          <w:r w:rsidR="00B92E3F" w:rsidRPr="009E7223">
            <w:t>9</w:t>
          </w:r>
          <w:r w:rsidR="00E050B0" w:rsidRPr="009E7223">
            <w:t>/</w:t>
          </w:r>
          <w:r w:rsidR="00B92E3F" w:rsidRPr="009E7223">
            <w:t>20</w:t>
          </w:r>
          <w:r w:rsidR="00E050B0" w:rsidRPr="009E7223">
            <w:t xml:space="preserve"> to </w:t>
          </w:r>
          <w:r w:rsidR="00DC1E76" w:rsidRPr="009E7223">
            <w:t>202</w:t>
          </w:r>
          <w:r w:rsidR="0057329C" w:rsidRPr="009E7223">
            <w:t>4</w:t>
          </w:r>
          <w:r w:rsidR="006F1A02" w:rsidRPr="009E7223">
            <w:t>/2</w:t>
          </w:r>
          <w:r w:rsidR="0057329C" w:rsidRPr="009E7223">
            <w:t>5</w:t>
          </w:r>
        </w:p>
        <w:p w14:paraId="32DFB108" w14:textId="33AFA843" w:rsidR="00835D82" w:rsidRPr="009E7223" w:rsidRDefault="00D6631E" w:rsidP="00D6631E">
          <w:pPr>
            <w:pStyle w:val="List-BulletLvl1"/>
          </w:pPr>
          <w:r w:rsidRPr="009E7223">
            <w:t>D</w:t>
          </w:r>
          <w:r w:rsidR="00DC1E76" w:rsidRPr="009E7223">
            <w:t>raft three-year Service Plan 2019/20 to 2021/22</w:t>
          </w:r>
        </w:p>
        <w:p w14:paraId="7315F10A" w14:textId="74C4EBA8" w:rsidR="00835D82" w:rsidRPr="009E7223" w:rsidRDefault="00D6631E" w:rsidP="00D6631E">
          <w:pPr>
            <w:pStyle w:val="List-BulletLvl1"/>
          </w:pPr>
          <w:r w:rsidRPr="009E7223">
            <w:t>T</w:t>
          </w:r>
          <w:r w:rsidR="004F0B05" w:rsidRPr="009E7223">
            <w:t>he proposed funding levels for the Ministry (in relation to gambling harm prevention and minimisation activities)</w:t>
          </w:r>
        </w:p>
        <w:p w14:paraId="25A0FE29" w14:textId="051BD0DF" w:rsidR="00835D82" w:rsidRPr="009E7223" w:rsidRDefault="00D6631E" w:rsidP="00D6631E">
          <w:pPr>
            <w:pStyle w:val="List-BulletLvl1"/>
          </w:pPr>
          <w:r w:rsidRPr="009E7223">
            <w:t>P</w:t>
          </w:r>
          <w:r w:rsidR="00DC1E76" w:rsidRPr="009E7223">
            <w:t>roposed new problem gambling levy rates and weighting options for each sector for 2019/20 to 2021/2</w:t>
          </w:r>
          <w:r w:rsidR="00E64031" w:rsidRPr="009E7223">
            <w:t>2</w:t>
          </w:r>
          <w:r w:rsidR="00C16065" w:rsidRPr="009E7223">
            <w:t>, and policy on the levy formula</w:t>
          </w:r>
          <w:r w:rsidR="00DC1E76" w:rsidRPr="009E7223">
            <w:t>, and</w:t>
          </w:r>
        </w:p>
        <w:p w14:paraId="4AEBA75D" w14:textId="3CAF0506" w:rsidR="00E050B0" w:rsidRPr="009E7223" w:rsidRDefault="00D6631E" w:rsidP="00D6631E">
          <w:pPr>
            <w:pStyle w:val="List-BulletLvl1"/>
          </w:pPr>
          <w:r w:rsidRPr="009E7223">
            <w:t>P</w:t>
          </w:r>
          <w:r w:rsidR="00D47DAF" w:rsidRPr="009E7223">
            <w:t xml:space="preserve">olicy regarding </w:t>
          </w:r>
          <w:r w:rsidR="00867E39" w:rsidRPr="009E7223">
            <w:t xml:space="preserve">the concentration of </w:t>
          </w:r>
          <w:r w:rsidR="00D47DAF" w:rsidRPr="009E7223">
            <w:t>NCGMs</w:t>
          </w:r>
          <w:r w:rsidR="00DC1E76" w:rsidRPr="009E7223">
            <w:t xml:space="preserve"> in low</w:t>
          </w:r>
          <w:r w:rsidR="00126EE5" w:rsidRPr="009E7223">
            <w:t>er</w:t>
          </w:r>
          <w:r w:rsidR="00DC1E76" w:rsidRPr="009E7223">
            <w:t xml:space="preserve"> socioeconomic areas</w:t>
          </w:r>
          <w:r w:rsidR="00B92E3F" w:rsidRPr="009E7223">
            <w:t>.</w:t>
          </w:r>
        </w:p>
        <w:p w14:paraId="0E7D8F14" w14:textId="55AA5147" w:rsidR="00DC1E76" w:rsidRPr="009E7223" w:rsidRDefault="00E050B0" w:rsidP="00E050B0">
          <w:pPr>
            <w:pStyle w:val="BodyText"/>
          </w:pPr>
          <w:r w:rsidRPr="009E7223">
            <w:t xml:space="preserve">The consultation </w:t>
          </w:r>
          <w:r w:rsidR="00632C98" w:rsidRPr="009E7223">
            <w:t>document</w:t>
          </w:r>
          <w:r w:rsidRPr="009E7223">
            <w:t xml:space="preserve"> included </w:t>
          </w:r>
          <w:r w:rsidR="00DC1E76" w:rsidRPr="009E7223">
            <w:t>fifteen</w:t>
          </w:r>
          <w:r w:rsidRPr="009E7223">
            <w:t xml:space="preserve"> questions</w:t>
          </w:r>
          <w:r w:rsidR="00DC1E76" w:rsidRPr="009E7223">
            <w:t xml:space="preserve"> (questions 1-15) and four sub-questions (A-D)</w:t>
          </w:r>
          <w:r w:rsidR="00217A98" w:rsidRPr="009E7223">
            <w:t xml:space="preserve"> to guide submitters’ feedback in relation to these areas</w:t>
          </w:r>
          <w:r w:rsidR="00DC1E76" w:rsidRPr="009E7223">
            <w:t>:</w:t>
          </w:r>
        </w:p>
        <w:p w14:paraId="75C945EA" w14:textId="20B8E6DB" w:rsidR="00DC1E76" w:rsidRPr="009E7223" w:rsidRDefault="00DC1E76" w:rsidP="00DC1E76">
          <w:pPr>
            <w:pStyle w:val="List-BulletLvl1"/>
          </w:pPr>
          <w:r w:rsidRPr="009E7223">
            <w:t xml:space="preserve">Questions 1-5 asked stakeholders about the </w:t>
          </w:r>
          <w:r w:rsidR="00C16065" w:rsidRPr="009E7223">
            <w:t xml:space="preserve">draft </w:t>
          </w:r>
          <w:r w:rsidRPr="009E7223">
            <w:t xml:space="preserve">Strategic </w:t>
          </w:r>
          <w:r w:rsidR="00C16065" w:rsidRPr="009E7223">
            <w:t>Framework</w:t>
          </w:r>
        </w:p>
        <w:p w14:paraId="6CC5F6A6" w14:textId="707D1701" w:rsidR="00217A98" w:rsidRPr="009E7223" w:rsidRDefault="00DC1E76" w:rsidP="00DC1E76">
          <w:pPr>
            <w:pStyle w:val="List-BulletLvl1"/>
          </w:pPr>
          <w:r w:rsidRPr="009E7223">
            <w:t xml:space="preserve">Questions </w:t>
          </w:r>
          <w:r w:rsidR="00217A98" w:rsidRPr="009E7223">
            <w:t xml:space="preserve">6-10 asked stakeholders about the </w:t>
          </w:r>
          <w:r w:rsidR="00C16065" w:rsidRPr="009E7223">
            <w:t xml:space="preserve">draft </w:t>
          </w:r>
          <w:r w:rsidR="00217A98" w:rsidRPr="009E7223">
            <w:t>Service Plan and funding</w:t>
          </w:r>
        </w:p>
        <w:p w14:paraId="405E947B" w14:textId="10F26AAF" w:rsidR="00217A98" w:rsidRPr="009E7223" w:rsidRDefault="00217A98" w:rsidP="00DC1E76">
          <w:pPr>
            <w:pStyle w:val="List-BulletLvl1"/>
          </w:pPr>
          <w:r w:rsidRPr="009E7223">
            <w:t>Questions 11-14 asked stakeholders about the levy formula and levy rates</w:t>
          </w:r>
        </w:p>
        <w:p w14:paraId="5D21ECAA" w14:textId="3BD68E67" w:rsidR="00217A98" w:rsidRPr="009E7223" w:rsidRDefault="00217A98" w:rsidP="00DC1E76">
          <w:pPr>
            <w:pStyle w:val="List-BulletLvl1"/>
          </w:pPr>
          <w:r w:rsidRPr="009E7223">
            <w:t>Sub-questions A-C asked stakeholders about the policy in relation to NCGMs</w:t>
          </w:r>
        </w:p>
        <w:p w14:paraId="3309D481" w14:textId="256FAC2A" w:rsidR="00217A98" w:rsidRPr="009E7223" w:rsidRDefault="00217A98" w:rsidP="00DC1E76">
          <w:pPr>
            <w:pStyle w:val="List-BulletLvl1"/>
          </w:pPr>
          <w:r w:rsidRPr="009E7223">
            <w:t>Sub-question D asked stakeholders about the reasonableness of the levy formula as a reflection of the relative harm caused by each gambling sector, and</w:t>
          </w:r>
        </w:p>
        <w:p w14:paraId="7AC8D826" w14:textId="6FC5D00D" w:rsidR="00DC1E76" w:rsidRPr="009E7223" w:rsidRDefault="00217A98" w:rsidP="00DC1E76">
          <w:pPr>
            <w:pStyle w:val="List-BulletLvl1"/>
          </w:pPr>
          <w:r w:rsidRPr="009E7223">
            <w:t xml:space="preserve">Question 15 asked if there was anything else that stakeholders would like to tell the Ministry about the draft </w:t>
          </w:r>
          <w:r w:rsidR="00F92292" w:rsidRPr="009E7223">
            <w:t>s</w:t>
          </w:r>
          <w:r w:rsidRPr="009E7223">
            <w:t xml:space="preserve">trategic </w:t>
          </w:r>
          <w:r w:rsidR="00F92292" w:rsidRPr="009E7223">
            <w:t>d</w:t>
          </w:r>
          <w:r w:rsidRPr="009E7223">
            <w:t>irection or preventing and minimising gambling harm more generally.</w:t>
          </w:r>
        </w:p>
        <w:p w14:paraId="0372D6E6" w14:textId="21607FB6" w:rsidR="00B14954" w:rsidRPr="009E7223" w:rsidRDefault="00E050B0" w:rsidP="00E050B0">
          <w:pPr>
            <w:pStyle w:val="BodyText"/>
          </w:pPr>
          <w:r w:rsidRPr="009E7223">
            <w:t xml:space="preserve">Allen </w:t>
          </w:r>
          <w:r w:rsidR="00126EE5" w:rsidRPr="009E7223">
            <w:t>and</w:t>
          </w:r>
          <w:r w:rsidRPr="009E7223">
            <w:t xml:space="preserve"> Clarke </w:t>
          </w:r>
          <w:r w:rsidR="00126EE5" w:rsidRPr="009E7223">
            <w:t>Policy and Regulatory Specialists (</w:t>
          </w:r>
          <w:r w:rsidR="00126EE5" w:rsidRPr="009E7223">
            <w:rPr>
              <w:i/>
            </w:rPr>
            <w:t>Allen + Clarke</w:t>
          </w:r>
          <w:r w:rsidR="00126EE5" w:rsidRPr="009E7223">
            <w:t xml:space="preserve">) </w:t>
          </w:r>
          <w:r w:rsidRPr="009E7223">
            <w:t>was contracted by the Ministry to analyse the written submissions and provide all feedback in a fin</w:t>
          </w:r>
          <w:r w:rsidR="00FB3CA1" w:rsidRPr="009E7223">
            <w:t>alised</w:t>
          </w:r>
          <w:r w:rsidR="004F0B05" w:rsidRPr="009E7223">
            <w:t xml:space="preserve"> narrative </w:t>
          </w:r>
          <w:r w:rsidR="00FB3CA1" w:rsidRPr="009E7223">
            <w:t>report</w:t>
          </w:r>
          <w:r w:rsidR="00632C98" w:rsidRPr="009E7223">
            <w:t>.</w:t>
          </w:r>
        </w:p>
        <w:p w14:paraId="67AAF35E" w14:textId="77777777" w:rsidR="00FA14FA" w:rsidRPr="009E7223" w:rsidRDefault="00FA14FA" w:rsidP="00A34805">
          <w:pPr>
            <w:pStyle w:val="NumberedHeading2"/>
          </w:pPr>
          <w:bookmarkStart w:id="22" w:name="_Toc531098150"/>
          <w:r w:rsidRPr="009E7223">
            <w:lastRenderedPageBreak/>
            <w:t>Purpose of this report</w:t>
          </w:r>
          <w:bookmarkEnd w:id="22"/>
        </w:p>
        <w:p w14:paraId="244757BC" w14:textId="60C7CCE2" w:rsidR="00CA72D9" w:rsidRPr="009E7223" w:rsidRDefault="00CA72D9" w:rsidP="00D65C56">
          <w:pPr>
            <w:pStyle w:val="BodyText"/>
            <w:tabs>
              <w:tab w:val="left" w:pos="4678"/>
            </w:tabs>
          </w:pPr>
          <w:r w:rsidRPr="009E7223">
            <w:t xml:space="preserve">This report </w:t>
          </w:r>
          <w:r w:rsidR="00E64031" w:rsidRPr="009E7223">
            <w:t>summarises</w:t>
          </w:r>
          <w:r w:rsidRPr="009E7223">
            <w:t xml:space="preserve"> views submitted on the Ministry’s draft Strategy</w:t>
          </w:r>
          <w:r w:rsidRPr="009E7223">
            <w:rPr>
              <w:i/>
            </w:rPr>
            <w:t xml:space="preserve"> </w:t>
          </w:r>
          <w:r w:rsidR="00E64031" w:rsidRPr="009E7223">
            <w:t xml:space="preserve">both </w:t>
          </w:r>
          <w:r w:rsidRPr="009E7223">
            <w:t xml:space="preserve">by thematic area and </w:t>
          </w:r>
          <w:r w:rsidR="00E64031" w:rsidRPr="009E7223">
            <w:t xml:space="preserve">by </w:t>
          </w:r>
          <w:r w:rsidRPr="009E7223">
            <w:t>category of submitter. Evidence provided by submitters is a</w:t>
          </w:r>
          <w:r w:rsidR="00632C98" w:rsidRPr="009E7223">
            <w:t>lso described where relevant.</w:t>
          </w:r>
        </w:p>
        <w:p w14:paraId="1B4D44BE" w14:textId="608EC927" w:rsidR="00B14954" w:rsidRPr="009E7223" w:rsidRDefault="001A28F2" w:rsidP="001A28F2">
          <w:pPr>
            <w:pStyle w:val="BodyText"/>
          </w:pPr>
          <w:r w:rsidRPr="009E7223">
            <w:t xml:space="preserve">This report will be used by the Ministry to inform the development of </w:t>
          </w:r>
          <w:r w:rsidR="00CA72D9" w:rsidRPr="009E7223">
            <w:t xml:space="preserve">the </w:t>
          </w:r>
          <w:r w:rsidRPr="009E7223">
            <w:t xml:space="preserve">final </w:t>
          </w:r>
          <w:r w:rsidR="004F0B05" w:rsidRPr="009E7223">
            <w:t xml:space="preserve">direction </w:t>
          </w:r>
          <w:r w:rsidR="00E64031" w:rsidRPr="009E7223">
            <w:t xml:space="preserve">of the Strategy </w:t>
          </w:r>
          <w:r w:rsidR="004F0B05" w:rsidRPr="009E7223">
            <w:t xml:space="preserve">and </w:t>
          </w:r>
          <w:r w:rsidR="00E64031" w:rsidRPr="009E7223">
            <w:t xml:space="preserve">its </w:t>
          </w:r>
          <w:r w:rsidR="004F0B05" w:rsidRPr="009E7223">
            <w:t>priorities</w:t>
          </w:r>
          <w:r w:rsidRPr="009E7223">
            <w:t xml:space="preserve">. After considering the feedback in this report, and making any necessary revisions, the Ministry will submit its </w:t>
          </w:r>
          <w:r w:rsidR="0035078F" w:rsidRPr="009E7223">
            <w:t xml:space="preserve">draft </w:t>
          </w:r>
          <w:r w:rsidRPr="009E7223">
            <w:t>Strategy</w:t>
          </w:r>
          <w:r w:rsidR="00DE10EA" w:rsidRPr="009E7223">
            <w:rPr>
              <w:i/>
            </w:rPr>
            <w:t xml:space="preserve"> </w:t>
          </w:r>
          <w:r w:rsidRPr="009E7223">
            <w:t>and levy rates to the Gambling Commission</w:t>
          </w:r>
          <w:r w:rsidR="0035078F" w:rsidRPr="009E7223">
            <w:t xml:space="preserve"> in accordance with s</w:t>
          </w:r>
          <w:r w:rsidR="00E64031" w:rsidRPr="009E7223">
            <w:t>ection</w:t>
          </w:r>
          <w:r w:rsidR="00A34805" w:rsidRPr="009E7223">
            <w:t xml:space="preserve"> </w:t>
          </w:r>
          <w:r w:rsidR="0035078F" w:rsidRPr="009E7223">
            <w:t>318 of the Gambling Act</w:t>
          </w:r>
          <w:r w:rsidR="004A799D" w:rsidRPr="009E7223">
            <w:t xml:space="preserve"> 2003</w:t>
          </w:r>
          <w:r w:rsidRPr="009E7223">
            <w:t>.</w:t>
          </w:r>
          <w:r w:rsidR="00CA72D9" w:rsidRPr="009E7223">
            <w:t xml:space="preserve"> </w:t>
          </w:r>
          <w:r w:rsidRPr="009E7223">
            <w:t>The Gambling Commission will undertake an analysis, convene a consultation meeting and provide its own advice to the Associate Minister of Health and the Minister of Internal Affairs. Cabinet will subsequently make decisions on the shape of the Strategy and the levy</w:t>
          </w:r>
          <w:r w:rsidR="00CA72D9" w:rsidRPr="009E7223">
            <w:t xml:space="preserve"> rates for the next three-year period</w:t>
          </w:r>
          <w:r w:rsidR="004F0B05" w:rsidRPr="009E7223">
            <w:t xml:space="preserve"> (2019/20 – 2021/22)</w:t>
          </w:r>
          <w:r w:rsidR="00632C98" w:rsidRPr="009E7223">
            <w:t>.</w:t>
          </w:r>
        </w:p>
        <w:p w14:paraId="01403C75" w14:textId="770704BE" w:rsidR="006C7B56" w:rsidRPr="009E7223" w:rsidRDefault="006C7B56" w:rsidP="006C7B56">
          <w:pPr>
            <w:pStyle w:val="BodyText"/>
          </w:pPr>
          <w:r w:rsidRPr="009E7223">
            <w:t>The consultation process about the proposals to refresh the strategy and associated levy ran for 6 weeks from 20 August to 28 September 2018. The consultation exercise targeting affected stakeholders from the gambling industry, service providers, affected communities and interest groups via email and social media. There were 10 public meetings held over 30 hours and attended by 200 people. The meetings were themed to hear from Māori</w:t>
          </w:r>
          <w:r w:rsidR="004A799D" w:rsidRPr="009E7223">
            <w:t>,</w:t>
          </w:r>
          <w:r w:rsidRPr="009E7223">
            <w:t xml:space="preserve"> Pacific</w:t>
          </w:r>
          <w:r w:rsidR="004A799D" w:rsidRPr="009E7223">
            <w:t>,</w:t>
          </w:r>
          <w:r w:rsidRPr="009E7223">
            <w:t xml:space="preserve"> Asian</w:t>
          </w:r>
          <w:r w:rsidR="004A799D" w:rsidRPr="009E7223">
            <w:t>,</w:t>
          </w:r>
          <w:r w:rsidRPr="009E7223">
            <w:t xml:space="preserve"> Consumer</w:t>
          </w:r>
          <w:r w:rsidR="004A799D" w:rsidRPr="009E7223">
            <w:t>,</w:t>
          </w:r>
          <w:r w:rsidRPr="009E7223">
            <w:t xml:space="preserve"> and Industry viewpoints and the general public.</w:t>
          </w:r>
        </w:p>
        <w:p w14:paraId="185C10C0" w14:textId="77777777" w:rsidR="006C7B56" w:rsidRPr="009E7223" w:rsidRDefault="006C7B56" w:rsidP="006C7B56">
          <w:pPr>
            <w:pStyle w:val="BodyText"/>
          </w:pPr>
          <w:r w:rsidRPr="009E7223">
            <w:t xml:space="preserve">Written notes of the verbal feedback received during the public meetings were taken by the Ministry and supplied to </w:t>
          </w:r>
          <w:r w:rsidRPr="009E7223">
            <w:rPr>
              <w:i/>
            </w:rPr>
            <w:t>Allen + Clark</w:t>
          </w:r>
          <w:r w:rsidRPr="009E7223">
            <w:t>e.</w:t>
          </w:r>
        </w:p>
        <w:p w14:paraId="1EFB4ABA" w14:textId="77777777" w:rsidR="006C7B56" w:rsidRPr="009E7223" w:rsidRDefault="006C7B56" w:rsidP="006C7B56">
          <w:pPr>
            <w:pStyle w:val="BodyText"/>
          </w:pPr>
          <w:r w:rsidRPr="009E7223">
            <w:t xml:space="preserve">Due to the high level of interest at the meetings about elements of the consultation, the Ministry published additional information on its website on 20 September 2018 to assist written submitters and to respond to questions raised during and after the meetings with the Ministry. The Ministry extended its consultation period by a week to 5pm, 28 September 2018 to allow submitters time to consider the additional information. In particular, the Ministry received questions regarding the proposal to carry over $5 million of underspent appropriation into the next Levy period for the purpose of: </w:t>
          </w:r>
        </w:p>
        <w:p w14:paraId="296E90A9" w14:textId="77777777" w:rsidR="006C7B56" w:rsidRPr="009E7223" w:rsidRDefault="006C7B56" w:rsidP="006C7B56">
          <w:pPr>
            <w:pStyle w:val="List-BulletLvl1"/>
          </w:pPr>
          <w:r w:rsidRPr="009E7223">
            <w:t>Piloting new ways of working for public health and clinical intervention services in geographical areas or communities that are currently under-serviced ($3 million over 3 years)</w:t>
          </w:r>
        </w:p>
        <w:p w14:paraId="11B05F61" w14:textId="77777777" w:rsidR="006C7B56" w:rsidRPr="009E7223" w:rsidRDefault="006C7B56" w:rsidP="006C7B56">
          <w:pPr>
            <w:pStyle w:val="List-BulletLvl1"/>
          </w:pPr>
          <w:r w:rsidRPr="009E7223">
            <w:t xml:space="preserve">Piloting peer support services ($800,000 over 3 years) </w:t>
          </w:r>
        </w:p>
        <w:p w14:paraId="3647BC02" w14:textId="77777777" w:rsidR="006C7B56" w:rsidRPr="009E7223" w:rsidRDefault="006C7B56" w:rsidP="006C7B56">
          <w:pPr>
            <w:pStyle w:val="List-BulletLvl1"/>
          </w:pPr>
          <w:r w:rsidRPr="009E7223">
            <w:t xml:space="preserve">Piloting a small amount of residential care for gambling harm ($700,000 over 3 years) </w:t>
          </w:r>
        </w:p>
        <w:p w14:paraId="7904578D" w14:textId="77777777" w:rsidR="006C7B56" w:rsidRPr="009E7223" w:rsidRDefault="006C7B56" w:rsidP="006C7B56">
          <w:pPr>
            <w:pStyle w:val="List-BulletLvl1"/>
          </w:pPr>
          <w:r w:rsidRPr="009E7223">
            <w:t>Evaluation of the pilots ($500,000 over 3 years).</w:t>
          </w:r>
        </w:p>
        <w:p w14:paraId="369FB502" w14:textId="77777777" w:rsidR="006C7B56" w:rsidRPr="009E7223" w:rsidRDefault="006C7B56" w:rsidP="006C7B56">
          <w:pPr>
            <w:pStyle w:val="BodyText"/>
          </w:pPr>
          <w:r w:rsidRPr="009E7223">
            <w:t xml:space="preserve">The Ministry clarified that in practice, this means the total funding required to fulfil the proposed Strategy is $60.339 million over three years. However, the Ministry proposed funding this through: </w:t>
          </w:r>
        </w:p>
        <w:p w14:paraId="27EFE013" w14:textId="77777777" w:rsidR="006C7B56" w:rsidRPr="009E7223" w:rsidRDefault="006C7B56" w:rsidP="006C7B56">
          <w:pPr>
            <w:pStyle w:val="List-BulletLvl1"/>
          </w:pPr>
          <w:r w:rsidRPr="009E7223">
            <w:t xml:space="preserve">the Problem Gambling Levy recouping the cost of $55.339 million </w:t>
          </w:r>
        </w:p>
        <w:p w14:paraId="38740448" w14:textId="77777777" w:rsidR="006C7B56" w:rsidRPr="009E7223" w:rsidRDefault="006C7B56" w:rsidP="006C7B56">
          <w:pPr>
            <w:pStyle w:val="List-BulletLvl1"/>
          </w:pPr>
          <w:r w:rsidRPr="009E7223">
            <w:t>the Ministry carrying over $5 million of unspent appropriation.</w:t>
          </w:r>
        </w:p>
        <w:p w14:paraId="23E28850" w14:textId="587A1ECE" w:rsidR="006C7B56" w:rsidRPr="009E7223" w:rsidRDefault="006C7B56" w:rsidP="001A28F2">
          <w:pPr>
            <w:pStyle w:val="BodyText"/>
          </w:pPr>
          <w:r w:rsidRPr="009E7223">
            <w:t>The analysis of the written submissions in this report, and the verbal feedback received during the meetings is being considered by the Ministry and will inform the Ministry's response to the submissions.'</w:t>
          </w:r>
        </w:p>
        <w:p w14:paraId="7E52DF26" w14:textId="77777777" w:rsidR="00FA14FA" w:rsidRPr="009E7223" w:rsidRDefault="00FA14FA" w:rsidP="00A34805">
          <w:pPr>
            <w:pStyle w:val="NumberedHeading2"/>
          </w:pPr>
          <w:bookmarkStart w:id="23" w:name="_Toc531098151"/>
          <w:r w:rsidRPr="009E7223">
            <w:t>Methodology</w:t>
          </w:r>
          <w:bookmarkEnd w:id="23"/>
        </w:p>
        <w:p w14:paraId="4C47A280" w14:textId="446654E4" w:rsidR="00491473" w:rsidRPr="009E7223" w:rsidRDefault="003578BE" w:rsidP="003578BE">
          <w:pPr>
            <w:pStyle w:val="BodyText"/>
          </w:pPr>
          <w:r w:rsidRPr="009E7223">
            <w:t xml:space="preserve">All submissions were supplied to </w:t>
          </w:r>
          <w:r w:rsidRPr="009E7223">
            <w:rPr>
              <w:i/>
            </w:rPr>
            <w:t>Allen + Clarke</w:t>
          </w:r>
          <w:r w:rsidRPr="009E7223">
            <w:t xml:space="preserve"> in electronic format. </w:t>
          </w:r>
          <w:r w:rsidR="00126EE5" w:rsidRPr="009E7223">
            <w:t>S</w:t>
          </w:r>
          <w:r w:rsidR="00217A98" w:rsidRPr="009E7223">
            <w:t xml:space="preserve">ubmissions </w:t>
          </w:r>
          <w:r w:rsidR="00126EE5" w:rsidRPr="009E7223">
            <w:t xml:space="preserve">were received by the Ministry </w:t>
          </w:r>
          <w:r w:rsidR="00217A98" w:rsidRPr="009E7223">
            <w:t>via Citizen Space (</w:t>
          </w:r>
          <w:r w:rsidR="00D6631E" w:rsidRPr="009E7223">
            <w:t>a c</w:t>
          </w:r>
          <w:r w:rsidR="00217A98" w:rsidRPr="009E7223">
            <w:t xml:space="preserve">loud-based consultation software) </w:t>
          </w:r>
          <w:r w:rsidR="00126EE5" w:rsidRPr="009E7223">
            <w:t>and</w:t>
          </w:r>
          <w:r w:rsidR="00217A98" w:rsidRPr="009E7223">
            <w:t xml:space="preserve"> direct email submission</w:t>
          </w:r>
          <w:r w:rsidR="00D6631E" w:rsidRPr="009E7223">
            <w:t>,</w:t>
          </w:r>
          <w:r w:rsidR="00217A98" w:rsidRPr="009E7223">
            <w:t xml:space="preserve"> </w:t>
          </w:r>
          <w:r w:rsidR="00D6631E" w:rsidRPr="009E7223">
            <w:t>according to s</w:t>
          </w:r>
          <w:r w:rsidR="00126EE5" w:rsidRPr="009E7223">
            <w:t>ubmitter</w:t>
          </w:r>
          <w:r w:rsidR="00D6631E" w:rsidRPr="009E7223">
            <w:t xml:space="preserve"> </w:t>
          </w:r>
          <w:r w:rsidR="00217A98" w:rsidRPr="009E7223">
            <w:t>preference.</w:t>
          </w:r>
          <w:r w:rsidRPr="009E7223">
            <w:t xml:space="preserve"> Submitters were asked to identify </w:t>
          </w:r>
          <w:r w:rsidR="0035078F" w:rsidRPr="009E7223">
            <w:t xml:space="preserve">if they were an organisation </w:t>
          </w:r>
          <w:r w:rsidR="0035078F" w:rsidRPr="009E7223">
            <w:lastRenderedPageBreak/>
            <w:t xml:space="preserve">(and type) </w:t>
          </w:r>
          <w:r w:rsidRPr="009E7223">
            <w:t>or individual</w:t>
          </w:r>
          <w:r w:rsidR="0035078F" w:rsidRPr="009E7223">
            <w:t xml:space="preserve"> and could choose</w:t>
          </w:r>
          <w:r w:rsidRPr="009E7223">
            <w:t xml:space="preserve"> from a standard set of possible options. This categorisation was supplemented by a Ministry assessment </w:t>
          </w:r>
          <w:r w:rsidR="0035078F" w:rsidRPr="009E7223">
            <w:t xml:space="preserve">if </w:t>
          </w:r>
          <w:r w:rsidRPr="009E7223">
            <w:t>the</w:t>
          </w:r>
          <w:r w:rsidR="00126EE5" w:rsidRPr="009E7223">
            <w:t xml:space="preserve"> submitter</w:t>
          </w:r>
          <w:r w:rsidR="005C14CA" w:rsidRPr="009E7223">
            <w:t xml:space="preserve"> </w:t>
          </w:r>
          <w:r w:rsidRPr="009E7223">
            <w:t>type was not clear or not provided</w:t>
          </w:r>
          <w:r w:rsidR="00DE10EA" w:rsidRPr="009E7223">
            <w:t xml:space="preserve">, or </w:t>
          </w:r>
          <w:r w:rsidR="004F0B05" w:rsidRPr="009E7223">
            <w:t xml:space="preserve">to determine a primary classification if </w:t>
          </w:r>
          <w:r w:rsidR="00DE10EA" w:rsidRPr="009E7223">
            <w:t xml:space="preserve">the submitter </w:t>
          </w:r>
          <w:r w:rsidR="004F0B05" w:rsidRPr="009E7223">
            <w:t xml:space="preserve">had </w:t>
          </w:r>
          <w:r w:rsidR="00DE10EA" w:rsidRPr="009E7223">
            <w:t>nominated multiple types</w:t>
          </w:r>
          <w:r w:rsidRPr="009E7223">
            <w:t xml:space="preserve">. </w:t>
          </w:r>
          <w:r w:rsidR="005C14CA" w:rsidRPr="009E7223">
            <w:t xml:space="preserve">All submissions were collated and allocated a unique identifier by the Ministry before being provided to </w:t>
          </w:r>
          <w:r w:rsidR="005C14CA" w:rsidRPr="009E7223">
            <w:rPr>
              <w:i/>
            </w:rPr>
            <w:t>Allen + Clarke</w:t>
          </w:r>
          <w:r w:rsidR="00A4786A" w:rsidRPr="009E7223">
            <w:rPr>
              <w:i/>
            </w:rPr>
            <w:t>.</w:t>
          </w:r>
        </w:p>
        <w:p w14:paraId="7331DF57" w14:textId="3B627937" w:rsidR="003578BE" w:rsidRPr="009E7223" w:rsidRDefault="003578BE" w:rsidP="003578BE">
          <w:pPr>
            <w:pStyle w:val="BodyText"/>
          </w:pPr>
          <w:r w:rsidRPr="009E7223">
            <w:t>Once received</w:t>
          </w:r>
          <w:r w:rsidR="00126EE5" w:rsidRPr="009E7223">
            <w:t xml:space="preserve"> </w:t>
          </w:r>
          <w:r w:rsidR="00A4786A" w:rsidRPr="009E7223">
            <w:t xml:space="preserve">by </w:t>
          </w:r>
          <w:r w:rsidR="00126EE5" w:rsidRPr="009E7223">
            <w:rPr>
              <w:i/>
            </w:rPr>
            <w:t>Allen + Clarke</w:t>
          </w:r>
          <w:r w:rsidRPr="009E7223">
            <w:t xml:space="preserve">, submissions were </w:t>
          </w:r>
          <w:r w:rsidR="00126EE5" w:rsidRPr="009E7223">
            <w:t xml:space="preserve">uploaded to NVivo 12 </w:t>
          </w:r>
          <w:r w:rsidR="004A799D" w:rsidRPr="009E7223">
            <w:t xml:space="preserve">qualitative analysis software </w:t>
          </w:r>
          <w:r w:rsidR="00126EE5" w:rsidRPr="009E7223">
            <w:t xml:space="preserve">and coded </w:t>
          </w:r>
          <w:r w:rsidRPr="009E7223">
            <w:t xml:space="preserve">to a </w:t>
          </w:r>
          <w:r w:rsidR="00126EE5" w:rsidRPr="009E7223">
            <w:t xml:space="preserve">question-based </w:t>
          </w:r>
          <w:r w:rsidRPr="009E7223">
            <w:t>coding frame</w:t>
          </w:r>
          <w:r w:rsidR="00126EE5" w:rsidRPr="009E7223">
            <w:t>.</w:t>
          </w:r>
          <w:r w:rsidR="00491473" w:rsidRPr="009E7223">
            <w:t xml:space="preserve"> </w:t>
          </w:r>
          <w:r w:rsidRPr="009E7223">
            <w:t>From this, specific reports by both theme and individual submitter were drawn</w:t>
          </w:r>
          <w:r w:rsidR="00126EE5" w:rsidRPr="009E7223">
            <w:t xml:space="preserve"> </w:t>
          </w:r>
          <w:r w:rsidRPr="009E7223">
            <w:t xml:space="preserve">and used to inform this report. </w:t>
          </w:r>
        </w:p>
        <w:p w14:paraId="2CC8D6EE" w14:textId="77777777" w:rsidR="00E24F86" w:rsidRPr="009E7223" w:rsidRDefault="00E24F86" w:rsidP="00A34805">
          <w:pPr>
            <w:pStyle w:val="NumberedHeading2"/>
          </w:pPr>
          <w:bookmarkStart w:id="24" w:name="_Toc531098152"/>
          <w:r w:rsidRPr="009E7223">
            <w:t>Summary of submitters</w:t>
          </w:r>
          <w:bookmarkEnd w:id="24"/>
        </w:p>
        <w:p w14:paraId="562FD03E" w14:textId="48C58A38" w:rsidR="00714BB3" w:rsidRPr="009E7223" w:rsidRDefault="005F5C2E" w:rsidP="004C6C3D">
          <w:pPr>
            <w:pStyle w:val="BodyText"/>
          </w:pPr>
          <w:r w:rsidRPr="009E7223">
            <w:t>This section</w:t>
          </w:r>
          <w:r w:rsidR="00E24F86" w:rsidRPr="009E7223">
            <w:t xml:space="preserve"> summarises the submitters who commented on the consultation document</w:t>
          </w:r>
          <w:r w:rsidR="00AE6FA4" w:rsidRPr="009E7223">
            <w:t>,</w:t>
          </w:r>
          <w:r w:rsidR="00E24F86" w:rsidRPr="009E7223">
            <w:t xml:space="preserve"> </w:t>
          </w:r>
          <w:r w:rsidR="00336D27" w:rsidRPr="009E7223">
            <w:rPr>
              <w:i/>
            </w:rPr>
            <w:t xml:space="preserve">Strategy to </w:t>
          </w:r>
          <w:r w:rsidR="00E24F86" w:rsidRPr="009E7223">
            <w:rPr>
              <w:i/>
            </w:rPr>
            <w:t>Prevent and Minimis</w:t>
          </w:r>
          <w:r w:rsidR="00336D27" w:rsidRPr="009E7223">
            <w:rPr>
              <w:i/>
            </w:rPr>
            <w:t>e</w:t>
          </w:r>
          <w:r w:rsidR="00E24F86" w:rsidRPr="009E7223">
            <w:rPr>
              <w:i/>
            </w:rPr>
            <w:t xml:space="preserve"> Gambling Harm 201</w:t>
          </w:r>
          <w:r w:rsidR="00CB62EA" w:rsidRPr="009E7223">
            <w:rPr>
              <w:i/>
            </w:rPr>
            <w:t>9</w:t>
          </w:r>
          <w:r w:rsidR="00E24F86" w:rsidRPr="009E7223">
            <w:rPr>
              <w:i/>
            </w:rPr>
            <w:t>/</w:t>
          </w:r>
          <w:r w:rsidR="00CB62EA" w:rsidRPr="009E7223">
            <w:rPr>
              <w:i/>
            </w:rPr>
            <w:t>20</w:t>
          </w:r>
          <w:r w:rsidR="00E24F86" w:rsidRPr="009E7223">
            <w:rPr>
              <w:i/>
            </w:rPr>
            <w:t xml:space="preserve"> - 20</w:t>
          </w:r>
          <w:r w:rsidR="00CB62EA" w:rsidRPr="009E7223">
            <w:rPr>
              <w:i/>
            </w:rPr>
            <w:t>21</w:t>
          </w:r>
          <w:r w:rsidR="00E24F86" w:rsidRPr="009E7223">
            <w:rPr>
              <w:i/>
            </w:rPr>
            <w:t>/</w:t>
          </w:r>
          <w:r w:rsidR="00CB62EA" w:rsidRPr="009E7223">
            <w:rPr>
              <w:i/>
            </w:rPr>
            <w:t>22</w:t>
          </w:r>
          <w:r w:rsidR="00E24F86" w:rsidRPr="009E7223">
            <w:t xml:space="preserve"> (the Strategy</w:t>
          </w:r>
          <w:r w:rsidRPr="009E7223">
            <w:t>).</w:t>
          </w:r>
          <w:bookmarkStart w:id="25" w:name="_Toc430861667"/>
        </w:p>
        <w:p w14:paraId="49884F70" w14:textId="77777777" w:rsidR="00E24F86" w:rsidRPr="009E7223" w:rsidRDefault="00E24F86" w:rsidP="00A34805">
          <w:pPr>
            <w:pStyle w:val="NumberedHeading3"/>
          </w:pPr>
          <w:bookmarkStart w:id="26" w:name="_Toc531098153"/>
          <w:r w:rsidRPr="009E7223">
            <w:t>Number and type of submitter</w:t>
          </w:r>
          <w:bookmarkEnd w:id="25"/>
          <w:r w:rsidR="005F5C2E" w:rsidRPr="009E7223">
            <w:t>s</w:t>
          </w:r>
          <w:bookmarkEnd w:id="26"/>
        </w:p>
        <w:p w14:paraId="6D408F63" w14:textId="77777777" w:rsidR="0035078F" w:rsidRPr="009E7223" w:rsidRDefault="00E24F86" w:rsidP="00E24F86">
          <w:pPr>
            <w:pStyle w:val="BodyText"/>
          </w:pPr>
          <w:r w:rsidRPr="009E7223">
            <w:t xml:space="preserve">A total of </w:t>
          </w:r>
          <w:r w:rsidR="00CB62EA" w:rsidRPr="009E7223">
            <w:t>8</w:t>
          </w:r>
          <w:r w:rsidR="003A18A9" w:rsidRPr="009E7223">
            <w:t>2</w:t>
          </w:r>
          <w:r w:rsidR="006D4A78" w:rsidRPr="009E7223">
            <w:t xml:space="preserve"> </w:t>
          </w:r>
          <w:r w:rsidRPr="009E7223">
            <w:t>submissions were received</w:t>
          </w:r>
          <w:r w:rsidR="00C8608A" w:rsidRPr="009E7223">
            <w:t xml:space="preserve">: </w:t>
          </w:r>
        </w:p>
        <w:p w14:paraId="5F580F71" w14:textId="4E0AC622" w:rsidR="0035078F" w:rsidRPr="009E7223" w:rsidRDefault="00CB62EA" w:rsidP="0035078F">
          <w:pPr>
            <w:pStyle w:val="List-BulletLvl1"/>
          </w:pPr>
          <w:r w:rsidRPr="009E7223">
            <w:t>7</w:t>
          </w:r>
          <w:r w:rsidR="003A18A9" w:rsidRPr="009E7223">
            <w:t>0</w:t>
          </w:r>
          <w:r w:rsidR="006D4A78" w:rsidRPr="009E7223">
            <w:t xml:space="preserve"> </w:t>
          </w:r>
          <w:r w:rsidR="00E24F86" w:rsidRPr="009E7223">
            <w:t>submissions</w:t>
          </w:r>
          <w:r w:rsidR="00F3284F" w:rsidRPr="009E7223">
            <w:rPr>
              <w:rStyle w:val="FootnoteReference"/>
            </w:rPr>
            <w:footnoteReference w:id="3"/>
          </w:r>
          <w:r w:rsidR="00E24F86" w:rsidRPr="009E7223">
            <w:t xml:space="preserve"> from organisations</w:t>
          </w:r>
          <w:r w:rsidR="0035078F" w:rsidRPr="009E7223">
            <w:t>,</w:t>
          </w:r>
          <w:r w:rsidR="00C8608A" w:rsidRPr="009E7223">
            <w:t xml:space="preserve"> and </w:t>
          </w:r>
        </w:p>
        <w:p w14:paraId="1955685C" w14:textId="113F316C" w:rsidR="0035078F" w:rsidRPr="009E7223" w:rsidRDefault="00CB62EA" w:rsidP="00A34805">
          <w:pPr>
            <w:pStyle w:val="List-BulletLvl1"/>
          </w:pPr>
          <w:r w:rsidRPr="009E7223">
            <w:t>1</w:t>
          </w:r>
          <w:r w:rsidR="003A18A9" w:rsidRPr="009E7223">
            <w:t>2</w:t>
          </w:r>
          <w:r w:rsidR="00E24F86" w:rsidRPr="009E7223">
            <w:t xml:space="preserve"> submissions from individuals</w:t>
          </w:r>
          <w:r w:rsidRPr="009E7223">
            <w:t>.</w:t>
          </w:r>
          <w:r w:rsidR="00F02473" w:rsidRPr="009E7223">
            <w:rPr>
              <w:rStyle w:val="FootnoteReference"/>
            </w:rPr>
            <w:footnoteReference w:id="4"/>
          </w:r>
          <w:r w:rsidR="00E24F86" w:rsidRPr="009E7223">
            <w:t xml:space="preserve"> </w:t>
          </w:r>
        </w:p>
        <w:p w14:paraId="0D5C4F16" w14:textId="0EB89F65" w:rsidR="00E24F86" w:rsidRPr="009E7223" w:rsidRDefault="00E24F86" w:rsidP="00E24F86">
          <w:pPr>
            <w:pStyle w:val="BodyText"/>
          </w:pPr>
          <w:r w:rsidRPr="009E7223">
            <w:t xml:space="preserve">The </w:t>
          </w:r>
          <w:r w:rsidR="005F5C2E" w:rsidRPr="009E7223">
            <w:rPr>
              <w:b/>
              <w:u w:val="single"/>
            </w:rPr>
            <w:t>primary</w:t>
          </w:r>
          <w:r w:rsidRPr="009E7223">
            <w:t xml:space="preserve"> </w:t>
          </w:r>
          <w:r w:rsidR="005F5C2E" w:rsidRPr="009E7223">
            <w:t>type</w:t>
          </w:r>
          <w:r w:rsidR="00C8608A" w:rsidRPr="009E7223">
            <w:t xml:space="preserve"> of </w:t>
          </w:r>
          <w:r w:rsidRPr="009E7223">
            <w:t>organisation</w:t>
          </w:r>
          <w:r w:rsidR="00CF476B" w:rsidRPr="009E7223">
            <w:t xml:space="preserve"> (sector)</w:t>
          </w:r>
          <w:r w:rsidRPr="009E7223">
            <w:t xml:space="preserve"> and the number of submitters in each </w:t>
          </w:r>
          <w:r w:rsidR="00CF476B" w:rsidRPr="009E7223">
            <w:t>sector</w:t>
          </w:r>
          <w:r w:rsidRPr="009E7223">
            <w:t xml:space="preserve"> </w:t>
          </w:r>
          <w:r w:rsidR="002E153F" w:rsidRPr="009E7223">
            <w:t>ar</w:t>
          </w:r>
          <w:r w:rsidRPr="009E7223">
            <w:t>e</w:t>
          </w:r>
          <w:r w:rsidR="002E153F" w:rsidRPr="009E7223">
            <w:t xml:space="preserve"> described in  </w:t>
          </w:r>
          <w:r w:rsidR="0063633E" w:rsidRPr="009E7223">
            <w:fldChar w:fldCharType="begin"/>
          </w:r>
          <w:r w:rsidR="0063633E" w:rsidRPr="009E7223">
            <w:instrText xml:space="preserve"> REF _Ref527729800 \h </w:instrText>
          </w:r>
          <w:r w:rsidR="0063633E" w:rsidRPr="009E7223">
            <w:fldChar w:fldCharType="separate"/>
          </w:r>
          <w:r w:rsidR="00CE4EFF" w:rsidRPr="009E7223">
            <w:t xml:space="preserve">Figure </w:t>
          </w:r>
          <w:r w:rsidR="00CE4EFF">
            <w:rPr>
              <w:noProof/>
            </w:rPr>
            <w:t>1</w:t>
          </w:r>
          <w:r w:rsidR="0063633E" w:rsidRPr="009E7223">
            <w:fldChar w:fldCharType="end"/>
          </w:r>
          <w:r w:rsidR="002E153F" w:rsidRPr="009E7223">
            <w:t>.</w:t>
          </w:r>
        </w:p>
        <w:p w14:paraId="43661EAF" w14:textId="1CD48CFB" w:rsidR="00CF476B" w:rsidRPr="009E7223" w:rsidRDefault="00CF476B" w:rsidP="00E24F86">
          <w:pPr>
            <w:pStyle w:val="BodyText"/>
          </w:pPr>
          <w:r w:rsidRPr="009E7223">
            <w:t xml:space="preserve">The </w:t>
          </w:r>
          <w:r w:rsidR="000860FD" w:rsidRPr="009E7223">
            <w:t>‘</w:t>
          </w:r>
          <w:r w:rsidRPr="009E7223">
            <w:t>NCGM sector</w:t>
          </w:r>
          <w:r w:rsidR="000860FD" w:rsidRPr="009E7223">
            <w:t>’</w:t>
          </w:r>
          <w:r w:rsidRPr="009E7223">
            <w:t xml:space="preserve"> includes NCGM societies, clubs, and public houses</w:t>
          </w:r>
          <w:r w:rsidR="000860FD" w:rsidRPr="009E7223">
            <w:t>. In this document ‘sector’ is added to differentiate between discussion about NCGM venues</w:t>
          </w:r>
          <w:r w:rsidR="00FE3AEE" w:rsidRPr="009E7223">
            <w:t>,</w:t>
          </w:r>
          <w:r w:rsidR="000860FD" w:rsidRPr="009E7223">
            <w:t xml:space="preserve"> and submissions that have been categorised to the NCGM sector.</w:t>
          </w:r>
        </w:p>
        <w:p w14:paraId="1F3D08FC" w14:textId="208A3542" w:rsidR="000860FD" w:rsidRPr="009E7223" w:rsidRDefault="000860FD" w:rsidP="00E24F86">
          <w:pPr>
            <w:pStyle w:val="BodyText"/>
          </w:pPr>
          <w:r w:rsidRPr="009E7223">
            <w:t xml:space="preserve">‘Service Providers’ are organisations that offer treatment to people who are experiencing harm from gambling. For the purposes of this analysis, AUT has been counted as a Service Provider. </w:t>
          </w:r>
        </w:p>
        <w:p w14:paraId="4969003D" w14:textId="73041D96" w:rsidR="000860FD" w:rsidRPr="009E7223" w:rsidRDefault="000860FD" w:rsidP="00E24F86">
          <w:pPr>
            <w:pStyle w:val="BodyText"/>
          </w:pPr>
          <w:r w:rsidRPr="009E7223">
            <w:t>The ‘Health sector’ includes organisations such as District Health Boards and Regional Public Health entities. In this document ‘sector’ is added to enhance readability.</w:t>
          </w:r>
        </w:p>
        <w:p w14:paraId="79289E6D" w14:textId="70A248ED" w:rsidR="000860FD" w:rsidRPr="009E7223" w:rsidRDefault="000860FD" w:rsidP="00E24F86">
          <w:pPr>
            <w:pStyle w:val="BodyText"/>
          </w:pPr>
          <w:r w:rsidRPr="009E7223">
            <w:t xml:space="preserve">‘Gambling Industry (other)’ </w:t>
          </w:r>
          <w:r w:rsidR="00FE3AEE" w:rsidRPr="009E7223">
            <w:t>groups</w:t>
          </w:r>
          <w:r w:rsidRPr="009E7223">
            <w:t xml:space="preserve"> </w:t>
          </w:r>
          <w:r w:rsidR="00FE3AEE" w:rsidRPr="009E7223">
            <w:t>the</w:t>
          </w:r>
          <w:r w:rsidRPr="009E7223">
            <w:t xml:space="preserve"> gambling-associated organisations except those covered by NCGM sector, above. This includes technology providers.</w:t>
          </w:r>
        </w:p>
        <w:p w14:paraId="6F2217A3" w14:textId="1BECE67C" w:rsidR="000860FD" w:rsidRPr="009E7223" w:rsidRDefault="000860FD" w:rsidP="00E24F86">
          <w:pPr>
            <w:pStyle w:val="BodyText"/>
          </w:pPr>
          <w:r w:rsidRPr="009E7223">
            <w:t>‘Local Government’ covers councils.</w:t>
          </w:r>
        </w:p>
        <w:p w14:paraId="63DD9EF9" w14:textId="61A8D975" w:rsidR="0063633E" w:rsidRPr="009E7223" w:rsidRDefault="000860FD" w:rsidP="00E24F86">
          <w:pPr>
            <w:pStyle w:val="BodyText"/>
          </w:pPr>
          <w:r w:rsidRPr="009E7223">
            <w:t>‘Individual’ is the category that groups submissions received from private individuals.</w:t>
          </w:r>
        </w:p>
        <w:p w14:paraId="6B8A7FAB" w14:textId="10C0A0DB" w:rsidR="0063633E" w:rsidRPr="009E7223" w:rsidRDefault="00A71FD2" w:rsidP="00A71FD2">
          <w:pPr>
            <w:pStyle w:val="Caption"/>
            <w:keepNext/>
          </w:pPr>
          <w:bookmarkStart w:id="27" w:name="_Ref527729800"/>
          <w:bookmarkStart w:id="28" w:name="_Toc529787400"/>
          <w:r w:rsidRPr="009E7223">
            <w:rPr>
              <w:noProof/>
              <w:lang w:eastAsia="en-NZ"/>
            </w:rPr>
            <w:lastRenderedPageBreak/>
            <w:drawing>
              <wp:anchor distT="0" distB="0" distL="114300" distR="114300" simplePos="0" relativeHeight="251677696" behindDoc="0" locked="0" layoutInCell="1" allowOverlap="1" wp14:anchorId="5323097F" wp14:editId="7FB6C56D">
                <wp:simplePos x="0" y="0"/>
                <wp:positionH relativeFrom="margin">
                  <wp:posOffset>1511040</wp:posOffset>
                </wp:positionH>
                <wp:positionV relativeFrom="paragraph">
                  <wp:posOffset>295010</wp:posOffset>
                </wp:positionV>
                <wp:extent cx="2778760" cy="3986530"/>
                <wp:effectExtent l="0" t="0" r="254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port Diagram for Gambling-0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78760" cy="3986530"/>
                        </a:xfrm>
                        <a:prstGeom prst="rect">
                          <a:avLst/>
                        </a:prstGeom>
                      </pic:spPr>
                    </pic:pic>
                  </a:graphicData>
                </a:graphic>
                <wp14:sizeRelH relativeFrom="margin">
                  <wp14:pctWidth>0</wp14:pctWidth>
                </wp14:sizeRelH>
                <wp14:sizeRelV relativeFrom="margin">
                  <wp14:pctHeight>0</wp14:pctHeight>
                </wp14:sizeRelV>
              </wp:anchor>
            </w:drawing>
          </w:r>
          <w:r w:rsidR="0063633E" w:rsidRPr="009E7223">
            <w:t xml:space="preserve">Figure </w:t>
          </w:r>
          <w:r w:rsidR="000939D4" w:rsidRPr="009E7223">
            <w:rPr>
              <w:noProof/>
            </w:rPr>
            <w:fldChar w:fldCharType="begin"/>
          </w:r>
          <w:r w:rsidR="000939D4" w:rsidRPr="009E7223">
            <w:rPr>
              <w:noProof/>
            </w:rPr>
            <w:instrText xml:space="preserve"> SEQ Figure \* ARABIC </w:instrText>
          </w:r>
          <w:r w:rsidR="000939D4" w:rsidRPr="009E7223">
            <w:rPr>
              <w:noProof/>
            </w:rPr>
            <w:fldChar w:fldCharType="separate"/>
          </w:r>
          <w:r w:rsidR="00CE4EFF">
            <w:rPr>
              <w:noProof/>
            </w:rPr>
            <w:t>1</w:t>
          </w:r>
          <w:r w:rsidR="000939D4" w:rsidRPr="009E7223">
            <w:rPr>
              <w:noProof/>
            </w:rPr>
            <w:fldChar w:fldCharType="end"/>
          </w:r>
          <w:bookmarkEnd w:id="27"/>
          <w:r w:rsidR="0063633E" w:rsidRPr="009E7223">
            <w:t xml:space="preserve">: </w:t>
          </w:r>
          <w:r w:rsidR="0073797A" w:rsidRPr="009E7223">
            <w:t>Organisation submitters by sector type</w:t>
          </w:r>
          <w:bookmarkEnd w:id="28"/>
        </w:p>
        <w:p w14:paraId="241A3C36" w14:textId="46382140" w:rsidR="0063633E" w:rsidRPr="009E7223" w:rsidRDefault="0063633E" w:rsidP="00E24F86">
          <w:pPr>
            <w:pStyle w:val="BodyText"/>
          </w:pPr>
        </w:p>
        <w:p w14:paraId="1A79E937" w14:textId="55FDF4ED" w:rsidR="00C86DAA" w:rsidRPr="009E7223" w:rsidRDefault="00124DB7" w:rsidP="0063633E">
          <w:pPr>
            <w:pStyle w:val="BodyText"/>
          </w:pPr>
          <w:r w:rsidRPr="009E7223">
            <w:t xml:space="preserve">As well as the ability to self-identify from a range of different categories (as </w:t>
          </w:r>
          <w:r w:rsidR="00EC3D11" w:rsidRPr="009E7223">
            <w:t xml:space="preserve">illustrated in </w:t>
          </w:r>
          <w:r w:rsidR="00EC3D11" w:rsidRPr="009E7223">
            <w:fldChar w:fldCharType="begin"/>
          </w:r>
          <w:r w:rsidR="00EC3D11" w:rsidRPr="009E7223">
            <w:instrText xml:space="preserve"> REF _Ref527729800 \h </w:instrText>
          </w:r>
          <w:r w:rsidR="00EC3D11" w:rsidRPr="009E7223">
            <w:fldChar w:fldCharType="separate"/>
          </w:r>
          <w:r w:rsidR="00CE4EFF" w:rsidRPr="009E7223">
            <w:t xml:space="preserve">Figure </w:t>
          </w:r>
          <w:r w:rsidR="00CE4EFF">
            <w:rPr>
              <w:noProof/>
            </w:rPr>
            <w:t>1</w:t>
          </w:r>
          <w:r w:rsidR="00EC3D11" w:rsidRPr="009E7223">
            <w:fldChar w:fldCharType="end"/>
          </w:r>
          <w:r w:rsidRPr="009E7223">
            <w:t xml:space="preserve">), submitters were able to identify </w:t>
          </w:r>
          <w:r w:rsidR="002E153F" w:rsidRPr="009E7223">
            <w:t>a specific ethnic group</w:t>
          </w:r>
          <w:r w:rsidRPr="009E7223">
            <w:t xml:space="preserve">. </w:t>
          </w:r>
          <w:r w:rsidR="007D5BB6" w:rsidRPr="009E7223">
            <w:t>Eighteen</w:t>
          </w:r>
          <w:r w:rsidR="002E153F" w:rsidRPr="009E7223">
            <w:t xml:space="preserve"> organisations</w:t>
          </w:r>
          <w:r w:rsidR="00473D15" w:rsidRPr="009E7223">
            <w:t xml:space="preserve"> and individuals</w:t>
          </w:r>
          <w:r w:rsidR="002E153F" w:rsidRPr="009E7223">
            <w:rPr>
              <w:rStyle w:val="FootnoteReference"/>
            </w:rPr>
            <w:footnoteReference w:id="5"/>
          </w:r>
          <w:r w:rsidR="002E153F" w:rsidRPr="009E7223">
            <w:t xml:space="preserve"> </w:t>
          </w:r>
          <w:r w:rsidR="00E24F86" w:rsidRPr="009E7223">
            <w:t>identified themselves as representing the interests of specific cultural and ethnic populations</w:t>
          </w:r>
          <w:r w:rsidR="002E153F" w:rsidRPr="009E7223">
            <w:t xml:space="preserve">. These are described in </w:t>
          </w:r>
          <w:r w:rsidR="00C86DAA" w:rsidRPr="009E7223">
            <w:fldChar w:fldCharType="begin"/>
          </w:r>
          <w:r w:rsidR="00C86DAA" w:rsidRPr="009E7223">
            <w:instrText xml:space="preserve"> REF _Ref527730202 \h </w:instrText>
          </w:r>
          <w:r w:rsidR="00C86DAA" w:rsidRPr="009E7223">
            <w:fldChar w:fldCharType="separate"/>
          </w:r>
          <w:r w:rsidR="00CE4EFF" w:rsidRPr="009E7223">
            <w:t xml:space="preserve">Table </w:t>
          </w:r>
          <w:r w:rsidR="00CE4EFF">
            <w:rPr>
              <w:noProof/>
            </w:rPr>
            <w:t>1</w:t>
          </w:r>
          <w:r w:rsidR="00C86DAA" w:rsidRPr="009E7223">
            <w:fldChar w:fldCharType="end"/>
          </w:r>
          <w:r w:rsidR="002E153F" w:rsidRPr="009E7223">
            <w:t xml:space="preserve"> (below)</w:t>
          </w:r>
          <w:r w:rsidR="0063633E" w:rsidRPr="009E7223">
            <w:t>.</w:t>
          </w:r>
        </w:p>
        <w:p w14:paraId="6F35C8E0" w14:textId="381FDDEE" w:rsidR="00E24F86" w:rsidRPr="009E7223" w:rsidRDefault="00C86DAA" w:rsidP="00C86DAA">
          <w:pPr>
            <w:pStyle w:val="Caption"/>
            <w:rPr>
              <w:sz w:val="22"/>
            </w:rPr>
          </w:pPr>
          <w:bookmarkStart w:id="29" w:name="_Ref527730202"/>
          <w:bookmarkStart w:id="30" w:name="_Toc529787382"/>
          <w:r w:rsidRPr="009E7223">
            <w:t xml:space="preserve">Table </w:t>
          </w:r>
          <w:r w:rsidR="000939D4" w:rsidRPr="009E7223">
            <w:rPr>
              <w:noProof/>
            </w:rPr>
            <w:fldChar w:fldCharType="begin"/>
          </w:r>
          <w:r w:rsidR="000939D4" w:rsidRPr="009E7223">
            <w:rPr>
              <w:noProof/>
            </w:rPr>
            <w:instrText xml:space="preserve"> SEQ Table \* ARABIC </w:instrText>
          </w:r>
          <w:r w:rsidR="000939D4" w:rsidRPr="009E7223">
            <w:rPr>
              <w:noProof/>
            </w:rPr>
            <w:fldChar w:fldCharType="separate"/>
          </w:r>
          <w:r w:rsidR="00CE4EFF">
            <w:rPr>
              <w:noProof/>
            </w:rPr>
            <w:t>1</w:t>
          </w:r>
          <w:r w:rsidR="000939D4" w:rsidRPr="009E7223">
            <w:rPr>
              <w:noProof/>
            </w:rPr>
            <w:fldChar w:fldCharType="end"/>
          </w:r>
          <w:bookmarkEnd w:id="29"/>
          <w:r w:rsidRPr="009E7223">
            <w:t>: Secondary category by ethnicity</w:t>
          </w:r>
          <w:bookmarkEnd w:id="30"/>
        </w:p>
        <w:tbl>
          <w:tblPr>
            <w:tblStyle w:val="ACGrey-BasicTable"/>
            <w:tblW w:w="0" w:type="auto"/>
            <w:tblLook w:val="04A0" w:firstRow="1" w:lastRow="0" w:firstColumn="1" w:lastColumn="0" w:noHBand="0" w:noVBand="1"/>
          </w:tblPr>
          <w:tblGrid>
            <w:gridCol w:w="3539"/>
            <w:gridCol w:w="5522"/>
          </w:tblGrid>
          <w:tr w:rsidR="002E153F" w:rsidRPr="009E7223" w14:paraId="2338402D" w14:textId="77777777" w:rsidTr="007748F8">
            <w:trPr>
              <w:cnfStyle w:val="100000000000" w:firstRow="1" w:lastRow="0" w:firstColumn="0" w:lastColumn="0" w:oddVBand="0" w:evenVBand="0" w:oddHBand="0" w:evenHBand="0" w:firstRowFirstColumn="0" w:firstRowLastColumn="0" w:lastRowFirstColumn="0" w:lastRowLastColumn="0"/>
            </w:trPr>
            <w:tc>
              <w:tcPr>
                <w:tcW w:w="3539" w:type="dxa"/>
                <w:vAlign w:val="center"/>
              </w:tcPr>
              <w:p w14:paraId="7D681B3A" w14:textId="77777777" w:rsidR="002E153F" w:rsidRPr="009E7223" w:rsidRDefault="002E153F" w:rsidP="00953203">
                <w:pPr>
                  <w:pStyle w:val="List-BulletLvl1"/>
                  <w:numPr>
                    <w:ilvl w:val="0"/>
                    <w:numId w:val="0"/>
                  </w:numPr>
                  <w:ind w:left="851" w:hanging="567"/>
                  <w:jc w:val="left"/>
                  <w:rPr>
                    <w:b w:val="0"/>
                  </w:rPr>
                </w:pPr>
                <w:r w:rsidRPr="009E7223">
                  <w:t>Ethnic group</w:t>
                </w:r>
              </w:p>
            </w:tc>
            <w:tc>
              <w:tcPr>
                <w:tcW w:w="5522" w:type="dxa"/>
                <w:vAlign w:val="center"/>
              </w:tcPr>
              <w:p w14:paraId="1DE988F7" w14:textId="2B32507E" w:rsidR="002E153F" w:rsidRPr="009E7223" w:rsidRDefault="002E153F" w:rsidP="00953203">
                <w:pPr>
                  <w:pStyle w:val="BodyText"/>
                  <w:ind w:left="401"/>
                  <w:jc w:val="left"/>
                  <w:rPr>
                    <w:b w:val="0"/>
                  </w:rPr>
                </w:pPr>
                <w:r w:rsidRPr="009E7223">
                  <w:t>Number of submissions</w:t>
                </w:r>
                <w:r w:rsidR="0073797A" w:rsidRPr="009E7223">
                  <w:br/>
                </w:r>
                <w:r w:rsidRPr="009E7223">
                  <w:t>identifying with ethnic group</w:t>
                </w:r>
              </w:p>
            </w:tc>
          </w:tr>
          <w:tr w:rsidR="002E153F" w:rsidRPr="009E7223" w14:paraId="3E8018DA" w14:textId="77777777" w:rsidTr="00F211F2">
            <w:tc>
              <w:tcPr>
                <w:tcW w:w="3539" w:type="dxa"/>
              </w:tcPr>
              <w:p w14:paraId="4002CD06" w14:textId="77777777" w:rsidR="002E153F" w:rsidRPr="009E7223" w:rsidRDefault="002E153F" w:rsidP="00130780">
                <w:pPr>
                  <w:pStyle w:val="List-BulletLvl1"/>
                  <w:numPr>
                    <w:ilvl w:val="0"/>
                    <w:numId w:val="0"/>
                  </w:numPr>
                  <w:ind w:left="567"/>
                </w:pPr>
                <w:r w:rsidRPr="009E7223">
                  <w:t xml:space="preserve">Māori </w:t>
                </w:r>
              </w:p>
            </w:tc>
            <w:tc>
              <w:tcPr>
                <w:tcW w:w="5522" w:type="dxa"/>
              </w:tcPr>
              <w:p w14:paraId="46802E61" w14:textId="2474DDDC" w:rsidR="002E153F" w:rsidRPr="009E7223" w:rsidRDefault="007D5BB6" w:rsidP="00124DB7">
                <w:pPr>
                  <w:pStyle w:val="List-BulletLvl1"/>
                  <w:numPr>
                    <w:ilvl w:val="0"/>
                    <w:numId w:val="0"/>
                  </w:numPr>
                  <w:ind w:left="567"/>
                </w:pPr>
                <w:r w:rsidRPr="009E7223">
                  <w:t>Five</w:t>
                </w:r>
                <w:r w:rsidR="002E153F" w:rsidRPr="009E7223">
                  <w:t xml:space="preserve"> submitters</w:t>
                </w:r>
                <w:r w:rsidR="002E153F" w:rsidRPr="009E7223">
                  <w:rPr>
                    <w:rStyle w:val="FootnoteReference"/>
                  </w:rPr>
                  <w:footnoteReference w:id="6"/>
                </w:r>
              </w:p>
            </w:tc>
          </w:tr>
          <w:tr w:rsidR="00AE6FA4" w:rsidRPr="009E7223" w14:paraId="385249F7" w14:textId="77777777" w:rsidTr="00F211F2">
            <w:tc>
              <w:tcPr>
                <w:tcW w:w="3539" w:type="dxa"/>
              </w:tcPr>
              <w:p w14:paraId="0333711B" w14:textId="77777777" w:rsidR="00AE6FA4" w:rsidRPr="009E7223" w:rsidRDefault="00AE6FA4" w:rsidP="00CC4FCC">
                <w:pPr>
                  <w:pStyle w:val="List-BulletLvl1"/>
                  <w:numPr>
                    <w:ilvl w:val="0"/>
                    <w:numId w:val="0"/>
                  </w:numPr>
                  <w:ind w:left="567"/>
                </w:pPr>
                <w:r w:rsidRPr="009E7223">
                  <w:t>Asian</w:t>
                </w:r>
              </w:p>
            </w:tc>
            <w:tc>
              <w:tcPr>
                <w:tcW w:w="5522" w:type="dxa"/>
              </w:tcPr>
              <w:p w14:paraId="6786C577" w14:textId="77777777" w:rsidR="00AE6FA4" w:rsidRPr="009E7223" w:rsidRDefault="00AE6FA4" w:rsidP="00CC4FCC">
                <w:pPr>
                  <w:pStyle w:val="List-BulletLvl1"/>
                  <w:numPr>
                    <w:ilvl w:val="0"/>
                    <w:numId w:val="0"/>
                  </w:numPr>
                  <w:ind w:left="567"/>
                </w:pPr>
                <w:r w:rsidRPr="009E7223">
                  <w:t>Five submitters</w:t>
                </w:r>
                <w:r w:rsidRPr="009E7223">
                  <w:rPr>
                    <w:rStyle w:val="FootnoteReference"/>
                  </w:rPr>
                  <w:footnoteReference w:id="7"/>
                </w:r>
              </w:p>
            </w:tc>
          </w:tr>
          <w:tr w:rsidR="00E24F86" w:rsidRPr="009E7223" w14:paraId="33DC6862" w14:textId="77777777" w:rsidTr="00F211F2">
            <w:tc>
              <w:tcPr>
                <w:tcW w:w="3539" w:type="dxa"/>
              </w:tcPr>
              <w:p w14:paraId="53464653" w14:textId="05787D99" w:rsidR="00E24F86" w:rsidRPr="009E7223" w:rsidRDefault="0035078F" w:rsidP="00130780">
                <w:pPr>
                  <w:pStyle w:val="List-BulletLvl1"/>
                  <w:numPr>
                    <w:ilvl w:val="0"/>
                    <w:numId w:val="0"/>
                  </w:numPr>
                  <w:ind w:left="567"/>
                </w:pPr>
                <w:r w:rsidRPr="009E7223">
                  <w:t>Pasifika</w:t>
                </w:r>
              </w:p>
            </w:tc>
            <w:tc>
              <w:tcPr>
                <w:tcW w:w="5522" w:type="dxa"/>
              </w:tcPr>
              <w:p w14:paraId="4A04C3E8" w14:textId="227EF313" w:rsidR="00E24F86" w:rsidRPr="009E7223" w:rsidRDefault="007D5BB6" w:rsidP="00124DB7">
                <w:pPr>
                  <w:pStyle w:val="List-BulletLvl1"/>
                  <w:numPr>
                    <w:ilvl w:val="0"/>
                    <w:numId w:val="0"/>
                  </w:numPr>
                  <w:ind w:left="567"/>
                </w:pPr>
                <w:r w:rsidRPr="009E7223">
                  <w:t>Three</w:t>
                </w:r>
                <w:r w:rsidR="00E24F86" w:rsidRPr="009E7223">
                  <w:t xml:space="preserve"> submitters</w:t>
                </w:r>
                <w:r w:rsidR="00E24F86" w:rsidRPr="009E7223">
                  <w:rPr>
                    <w:rStyle w:val="FootnoteReference"/>
                  </w:rPr>
                  <w:footnoteReference w:id="8"/>
                </w:r>
              </w:p>
            </w:tc>
          </w:tr>
          <w:tr w:rsidR="007D5BB6" w:rsidRPr="009E7223" w14:paraId="505D7EC9" w14:textId="77777777" w:rsidTr="00F211F2">
            <w:tc>
              <w:tcPr>
                <w:tcW w:w="3539" w:type="dxa"/>
              </w:tcPr>
              <w:p w14:paraId="23BC6637" w14:textId="7A76FFDD" w:rsidR="007D5BB6" w:rsidRPr="009E7223" w:rsidRDefault="007D5BB6" w:rsidP="00130780">
                <w:pPr>
                  <w:pStyle w:val="List-BulletLvl1"/>
                  <w:numPr>
                    <w:ilvl w:val="0"/>
                    <w:numId w:val="0"/>
                  </w:numPr>
                  <w:ind w:left="567"/>
                </w:pPr>
                <w:r w:rsidRPr="009E7223">
                  <w:t xml:space="preserve">Māori and </w:t>
                </w:r>
                <w:r w:rsidR="0035078F" w:rsidRPr="009E7223">
                  <w:t>Pasifika</w:t>
                </w:r>
              </w:p>
            </w:tc>
            <w:tc>
              <w:tcPr>
                <w:tcW w:w="5522" w:type="dxa"/>
              </w:tcPr>
              <w:p w14:paraId="0DAA1111" w14:textId="106799E8" w:rsidR="007D5BB6" w:rsidRPr="009E7223" w:rsidRDefault="007D5BB6" w:rsidP="00124DB7">
                <w:pPr>
                  <w:pStyle w:val="List-BulletLvl1"/>
                  <w:numPr>
                    <w:ilvl w:val="0"/>
                    <w:numId w:val="0"/>
                  </w:numPr>
                  <w:ind w:left="567"/>
                </w:pPr>
                <w:r w:rsidRPr="009E7223">
                  <w:t>Three submitters</w:t>
                </w:r>
                <w:r w:rsidRPr="009E7223">
                  <w:rPr>
                    <w:rStyle w:val="FootnoteReference"/>
                  </w:rPr>
                  <w:footnoteReference w:id="9"/>
                </w:r>
              </w:p>
            </w:tc>
          </w:tr>
          <w:tr w:rsidR="007D5BB6" w:rsidRPr="009E7223" w14:paraId="73318273" w14:textId="77777777" w:rsidTr="00F211F2">
            <w:tc>
              <w:tcPr>
                <w:tcW w:w="3539" w:type="dxa"/>
              </w:tcPr>
              <w:p w14:paraId="73EC79D2" w14:textId="4242C4B6" w:rsidR="007D5BB6" w:rsidRPr="009E7223" w:rsidRDefault="007D5BB6" w:rsidP="00130780">
                <w:pPr>
                  <w:pStyle w:val="List-BulletLvl1"/>
                  <w:numPr>
                    <w:ilvl w:val="0"/>
                    <w:numId w:val="0"/>
                  </w:numPr>
                  <w:ind w:left="567"/>
                </w:pPr>
                <w:r w:rsidRPr="009E7223">
                  <w:t xml:space="preserve">Māori, </w:t>
                </w:r>
                <w:r w:rsidR="0035078F" w:rsidRPr="009E7223">
                  <w:t xml:space="preserve">Pasifika </w:t>
                </w:r>
                <w:r w:rsidRPr="009E7223">
                  <w:t xml:space="preserve">and Asian </w:t>
                </w:r>
              </w:p>
            </w:tc>
            <w:tc>
              <w:tcPr>
                <w:tcW w:w="5522" w:type="dxa"/>
              </w:tcPr>
              <w:p w14:paraId="520A60D4" w14:textId="65C1AB9B" w:rsidR="007D5BB6" w:rsidRPr="009E7223" w:rsidRDefault="007D5BB6" w:rsidP="00124DB7">
                <w:pPr>
                  <w:pStyle w:val="List-BulletLvl1"/>
                  <w:numPr>
                    <w:ilvl w:val="0"/>
                    <w:numId w:val="0"/>
                  </w:numPr>
                  <w:ind w:left="567"/>
                </w:pPr>
                <w:r w:rsidRPr="009E7223">
                  <w:t>Two submitters</w:t>
                </w:r>
                <w:r w:rsidRPr="009E7223">
                  <w:rPr>
                    <w:rStyle w:val="FootnoteReference"/>
                  </w:rPr>
                  <w:footnoteReference w:id="10"/>
                </w:r>
              </w:p>
            </w:tc>
          </w:tr>
        </w:tbl>
        <w:p w14:paraId="5F006147" w14:textId="77777777" w:rsidR="00E24F86" w:rsidRPr="009E7223" w:rsidRDefault="00E24F86" w:rsidP="00A34805">
          <w:pPr>
            <w:pStyle w:val="NumberedHeading2"/>
          </w:pPr>
          <w:bookmarkStart w:id="31" w:name="_Toc531098154"/>
          <w:r w:rsidRPr="009E7223">
            <w:lastRenderedPageBreak/>
            <w:t>General comments on submissions received</w:t>
          </w:r>
          <w:bookmarkEnd w:id="31"/>
        </w:p>
        <w:p w14:paraId="58F12BE6" w14:textId="0768570E" w:rsidR="00DE5707" w:rsidRPr="009E7223" w:rsidRDefault="00FE5AC2" w:rsidP="00E24F86">
          <w:pPr>
            <w:pStyle w:val="BodyText"/>
          </w:pPr>
          <w:r w:rsidRPr="009E7223">
            <w:t>T</w:t>
          </w:r>
          <w:r w:rsidR="00E24F86" w:rsidRPr="009E7223">
            <w:t xml:space="preserve">he comments received from submitters were diverse, </w:t>
          </w:r>
          <w:r w:rsidR="00133E49" w:rsidRPr="009E7223">
            <w:t>focusing on a range of topics</w:t>
          </w:r>
          <w:r w:rsidR="00BE083A" w:rsidRPr="009E7223">
            <w:t>.</w:t>
          </w:r>
          <w:r w:rsidR="00E24F86" w:rsidRPr="009E7223">
            <w:t xml:space="preserve"> </w:t>
          </w:r>
          <w:r w:rsidR="0073797A" w:rsidRPr="009E7223">
            <w:t>Most</w:t>
          </w:r>
          <w:r w:rsidR="00E24F86" w:rsidRPr="009E7223">
            <w:t xml:space="preserve"> submitters discussed those areas </w:t>
          </w:r>
          <w:r w:rsidR="00AB7ECA">
            <w:t xml:space="preserve">in which </w:t>
          </w:r>
          <w:r w:rsidR="00E24F86" w:rsidRPr="009E7223">
            <w:t>they had a specific interest and did not respond to the other questions posed by the Ministry.</w:t>
          </w:r>
        </w:p>
        <w:p w14:paraId="7C694091" w14:textId="1CDC1B19" w:rsidR="00C96F61" w:rsidRPr="009E7223" w:rsidRDefault="00E24F86" w:rsidP="00E24F86">
          <w:pPr>
            <w:pStyle w:val="BodyText"/>
          </w:pPr>
          <w:r w:rsidRPr="009E7223">
            <w:t>Most submissions were unique</w:t>
          </w:r>
          <w:r w:rsidR="00A17357" w:rsidRPr="009E7223">
            <w:t>;</w:t>
          </w:r>
          <w:r w:rsidRPr="009E7223">
            <w:t xml:space="preserve"> however</w:t>
          </w:r>
          <w:r w:rsidR="00A17357" w:rsidRPr="009E7223">
            <w:t>,</w:t>
          </w:r>
          <w:r w:rsidRPr="009E7223">
            <w:t xml:space="preserve"> </w:t>
          </w:r>
          <w:r w:rsidR="0094663E" w:rsidRPr="009E7223">
            <w:t xml:space="preserve">some </w:t>
          </w:r>
          <w:r w:rsidR="0089164E" w:rsidRPr="009E7223">
            <w:t>NCGM</w:t>
          </w:r>
          <w:r w:rsidR="00EC3D11" w:rsidRPr="009E7223">
            <w:t xml:space="preserve"> sector </w:t>
          </w:r>
          <w:r w:rsidR="00EA6DCD" w:rsidRPr="009E7223">
            <w:t>submitters</w:t>
          </w:r>
          <w:r w:rsidRPr="009E7223">
            <w:t xml:space="preserve"> </w:t>
          </w:r>
          <w:r w:rsidR="0094663E" w:rsidRPr="009E7223">
            <w:t>at least in part and sometimes substantially drew</w:t>
          </w:r>
          <w:r w:rsidR="00411040" w:rsidRPr="009E7223">
            <w:t xml:space="preserve"> </w:t>
          </w:r>
          <w:r w:rsidR="0094663E" w:rsidRPr="009E7223">
            <w:t>on th</w:t>
          </w:r>
          <w:r w:rsidR="00411040" w:rsidRPr="009E7223">
            <w:t>e</w:t>
          </w:r>
          <w:r w:rsidR="0094663E" w:rsidRPr="009E7223">
            <w:t xml:space="preserve"> submission drafted by t</w:t>
          </w:r>
          <w:r w:rsidR="00D47DAF" w:rsidRPr="009E7223">
            <w:t>he Gaming Machine Association of New Zealand</w:t>
          </w:r>
          <w:r w:rsidR="00D47DAF" w:rsidRPr="009E7223">
            <w:rPr>
              <w:rStyle w:val="FootnoteReference"/>
            </w:rPr>
            <w:footnoteReference w:id="11"/>
          </w:r>
          <w:r w:rsidR="004A799D" w:rsidRPr="009E7223">
            <w:t xml:space="preserve"> (GMANZ)</w:t>
          </w:r>
          <w:r w:rsidR="0094663E" w:rsidRPr="009E7223">
            <w:t xml:space="preserve"> to develop their</w:t>
          </w:r>
          <w:r w:rsidR="00411040" w:rsidRPr="009E7223">
            <w:t xml:space="preserve"> own</w:t>
          </w:r>
          <w:r w:rsidR="0094663E" w:rsidRPr="009E7223">
            <w:t xml:space="preserve"> submission.</w:t>
          </w:r>
        </w:p>
        <w:p w14:paraId="5D11E6A9" w14:textId="1A32E624" w:rsidR="00C96F61" w:rsidRPr="009E7223" w:rsidRDefault="0094663E" w:rsidP="00E24F86">
          <w:pPr>
            <w:pStyle w:val="BodyText"/>
          </w:pPr>
          <w:r w:rsidRPr="009E7223">
            <w:t>For three NCGM sector submitters</w:t>
          </w:r>
          <w:r w:rsidRPr="009E7223">
            <w:rPr>
              <w:rStyle w:val="FootnoteReference"/>
            </w:rPr>
            <w:footnoteReference w:id="12"/>
          </w:r>
          <w:r w:rsidRPr="009E7223">
            <w:t xml:space="preserve"> there </w:t>
          </w:r>
          <w:r w:rsidR="00411040" w:rsidRPr="009E7223">
            <w:t>wa</w:t>
          </w:r>
          <w:r w:rsidRPr="009E7223">
            <w:t>s substantial overlap with the GMANZ submission</w:t>
          </w:r>
          <w:r w:rsidR="000B0671">
            <w:t>, with much of the content of these submissions being identical to tracts within the GMANZ submission</w:t>
          </w:r>
          <w:r w:rsidR="003F53D6" w:rsidRPr="009E7223">
            <w:t>. T</w:t>
          </w:r>
          <w:r w:rsidR="00C96F61" w:rsidRPr="009E7223">
            <w:t>hese submissions were coded to the same nodes of the coding frame as the GMANZ submission in 18/20</w:t>
          </w:r>
          <w:r w:rsidR="004A799D" w:rsidRPr="009E7223">
            <w:t xml:space="preserve"> nodes</w:t>
          </w:r>
          <w:r w:rsidR="00C96F61" w:rsidRPr="009E7223">
            <w:t>, 20/24</w:t>
          </w:r>
          <w:r w:rsidR="004A799D" w:rsidRPr="009E7223">
            <w:t xml:space="preserve"> nodes</w:t>
          </w:r>
          <w:r w:rsidR="00C96F61" w:rsidRPr="009E7223">
            <w:t>, and 18/22</w:t>
          </w:r>
          <w:r w:rsidR="004A799D" w:rsidRPr="009E7223">
            <w:t xml:space="preserve"> nodes</w:t>
          </w:r>
          <w:r w:rsidR="00C96F61" w:rsidRPr="009E7223">
            <w:t xml:space="preserve"> respectively</w:t>
          </w:r>
          <w:r w:rsidR="003F53D6" w:rsidRPr="009E7223">
            <w:t>. (The larger number is the total number of nodes the submission was coded against.)</w:t>
          </w:r>
          <w:r w:rsidR="00C96F61" w:rsidRPr="009E7223">
            <w:t xml:space="preserve"> This means that most of what these submissions said was thematically aligned</w:t>
          </w:r>
          <w:r w:rsidR="000B0671">
            <w:t xml:space="preserve"> with (and likely to be identical to)</w:t>
          </w:r>
          <w:r w:rsidR="00C96F61" w:rsidRPr="009E7223">
            <w:t xml:space="preserve"> what was said by GMANZ.</w:t>
          </w:r>
        </w:p>
        <w:p w14:paraId="2CA0B89C" w14:textId="649D6D02" w:rsidR="00E24F86" w:rsidRPr="009E7223" w:rsidRDefault="00C96F61" w:rsidP="00E24F86">
          <w:pPr>
            <w:pStyle w:val="BodyText"/>
          </w:pPr>
          <w:r w:rsidRPr="009E7223">
            <w:t>There w</w:t>
          </w:r>
          <w:r w:rsidR="00AB7ECA">
            <w:t xml:space="preserve">as </w:t>
          </w:r>
          <w:r w:rsidRPr="009E7223">
            <w:t xml:space="preserve">also </w:t>
          </w:r>
          <w:r w:rsidR="00411040" w:rsidRPr="009E7223">
            <w:t>considerable</w:t>
          </w:r>
          <w:r w:rsidR="00F978C7" w:rsidRPr="009E7223">
            <w:t xml:space="preserve"> </w:t>
          </w:r>
          <w:r w:rsidRPr="009E7223">
            <w:t xml:space="preserve">coding overlap between the GMANZ submission and </w:t>
          </w:r>
          <w:r w:rsidR="00411040" w:rsidRPr="009E7223">
            <w:t xml:space="preserve">six </w:t>
          </w:r>
          <w:r w:rsidRPr="009E7223">
            <w:t>other NCGM sector submissions</w:t>
          </w:r>
          <w:r w:rsidR="00F978C7" w:rsidRPr="009E7223">
            <w:rPr>
              <w:rStyle w:val="FootnoteReference"/>
            </w:rPr>
            <w:footnoteReference w:id="13"/>
          </w:r>
          <w:r w:rsidRPr="009E7223">
            <w:t>, but the degree of overlap was substantially less</w:t>
          </w:r>
          <w:r w:rsidR="003F53D6" w:rsidRPr="009E7223">
            <w:t xml:space="preserve"> than for those described above</w:t>
          </w:r>
          <w:r w:rsidR="00F978C7" w:rsidRPr="009E7223">
            <w:t>. For the</w:t>
          </w:r>
          <w:r w:rsidR="003F53D6" w:rsidRPr="009E7223">
            <w:t>se</w:t>
          </w:r>
          <w:r w:rsidR="00F978C7" w:rsidRPr="009E7223">
            <w:t xml:space="preserve"> six submissions, the</w:t>
          </w:r>
          <w:r w:rsidR="00A927C0" w:rsidRPr="009E7223">
            <w:t xml:space="preserve">re </w:t>
          </w:r>
          <w:r w:rsidR="004A799D" w:rsidRPr="009E7223">
            <w:t xml:space="preserve">was thematic overlap in </w:t>
          </w:r>
          <w:r w:rsidR="00F978C7" w:rsidRPr="009E7223">
            <w:t>10/14</w:t>
          </w:r>
          <w:r w:rsidR="004A799D" w:rsidRPr="009E7223">
            <w:t xml:space="preserve"> nodes</w:t>
          </w:r>
          <w:r w:rsidR="00F978C7" w:rsidRPr="009E7223">
            <w:t>, 12/15</w:t>
          </w:r>
          <w:r w:rsidR="004A799D" w:rsidRPr="009E7223">
            <w:t xml:space="preserve"> nodes</w:t>
          </w:r>
          <w:r w:rsidR="00F978C7" w:rsidRPr="009E7223">
            <w:t>, 10/16</w:t>
          </w:r>
          <w:r w:rsidR="004A799D" w:rsidRPr="009E7223">
            <w:t xml:space="preserve"> nodes</w:t>
          </w:r>
          <w:r w:rsidR="00F978C7" w:rsidRPr="009E7223">
            <w:t>, 13/29</w:t>
          </w:r>
          <w:r w:rsidR="004A799D" w:rsidRPr="009E7223">
            <w:t xml:space="preserve"> nodes</w:t>
          </w:r>
          <w:r w:rsidR="00F978C7" w:rsidRPr="009E7223">
            <w:t>, 10/19</w:t>
          </w:r>
          <w:r w:rsidR="004A799D" w:rsidRPr="009E7223">
            <w:t xml:space="preserve"> nodes</w:t>
          </w:r>
          <w:r w:rsidR="00F978C7" w:rsidRPr="009E7223">
            <w:t xml:space="preserve"> and 13/21</w:t>
          </w:r>
          <w:r w:rsidR="004A799D" w:rsidRPr="009E7223">
            <w:t xml:space="preserve"> nodes</w:t>
          </w:r>
          <w:r w:rsidR="00F978C7" w:rsidRPr="009E7223">
            <w:t xml:space="preserve"> </w:t>
          </w:r>
          <w:r w:rsidR="004A799D" w:rsidRPr="009E7223">
            <w:t>respectively.</w:t>
          </w:r>
          <w:r w:rsidR="00F978C7" w:rsidRPr="009E7223">
            <w:t xml:space="preserve"> As the data illustrates, three of these s</w:t>
          </w:r>
          <w:r w:rsidRPr="009E7223">
            <w:t>ubmissions</w:t>
          </w:r>
          <w:r w:rsidR="00F978C7" w:rsidRPr="009E7223">
            <w:rPr>
              <w:rStyle w:val="FootnoteReference"/>
            </w:rPr>
            <w:footnoteReference w:id="14"/>
          </w:r>
          <w:r w:rsidRPr="009E7223">
            <w:t xml:space="preserve"> included </w:t>
          </w:r>
          <w:r w:rsidR="003F53D6" w:rsidRPr="009E7223">
            <w:t>numerous</w:t>
          </w:r>
          <w:r w:rsidR="00F978C7" w:rsidRPr="009E7223">
            <w:t xml:space="preserve"> </w:t>
          </w:r>
          <w:r w:rsidRPr="009E7223">
            <w:t>themes that were not present in the GMANZ submissions.</w:t>
          </w:r>
          <w:r w:rsidR="00A927C0" w:rsidRPr="009E7223">
            <w:t xml:space="preserve"> This is a contrast to the three submissions described above.</w:t>
          </w:r>
        </w:p>
        <w:p w14:paraId="769798D6" w14:textId="1741CF71" w:rsidR="00F978C7" w:rsidRPr="009E7223" w:rsidRDefault="00F978C7" w:rsidP="00E24F86">
          <w:pPr>
            <w:pStyle w:val="BodyText"/>
          </w:pPr>
          <w:r w:rsidRPr="009E7223">
            <w:t>For the remainder of the submissions</w:t>
          </w:r>
          <w:r w:rsidR="00411040" w:rsidRPr="009E7223">
            <w:rPr>
              <w:rStyle w:val="FootnoteReference"/>
            </w:rPr>
            <w:footnoteReference w:id="15"/>
          </w:r>
          <w:r w:rsidRPr="009E7223">
            <w:t xml:space="preserve"> from the NCGM sector, the themes overlap was less than ten, and there was either a reasonable balance between the overlap and the non-overlapping theme</w:t>
          </w:r>
          <w:r w:rsidR="00411040" w:rsidRPr="009E7223">
            <w:t>s</w:t>
          </w:r>
          <w:r w:rsidR="00411040" w:rsidRPr="009E7223">
            <w:rPr>
              <w:rStyle w:val="FootnoteReference"/>
            </w:rPr>
            <w:footnoteReference w:id="16"/>
          </w:r>
          <w:r w:rsidRPr="009E7223">
            <w:t xml:space="preserve">, or there was a </w:t>
          </w:r>
          <w:r w:rsidR="00A927C0" w:rsidRPr="009E7223">
            <w:t xml:space="preserve">very </w:t>
          </w:r>
          <w:r w:rsidRPr="009E7223">
            <w:t xml:space="preserve">small overlap and a </w:t>
          </w:r>
          <w:r w:rsidR="00411040" w:rsidRPr="009E7223">
            <w:t>considerable number of themes that did not overlap.</w:t>
          </w:r>
          <w:r w:rsidR="00411040" w:rsidRPr="009E7223">
            <w:rPr>
              <w:rStyle w:val="FootnoteReference"/>
            </w:rPr>
            <w:footnoteReference w:id="17"/>
          </w:r>
        </w:p>
        <w:p w14:paraId="1F58D830" w14:textId="77777777" w:rsidR="00DA5C84" w:rsidRPr="009E7223" w:rsidRDefault="008434AE" w:rsidP="00AC7A93">
          <w:pPr>
            <w:pStyle w:val="BodyText"/>
          </w:pPr>
          <w:r w:rsidRPr="009E7223">
            <w:t xml:space="preserve">The consultation document offered submitters the opportunity to provide opinions, facts and </w:t>
          </w:r>
          <w:r w:rsidR="00133E49" w:rsidRPr="009E7223">
            <w:t>commentary</w:t>
          </w:r>
          <w:r w:rsidRPr="009E7223">
            <w:t xml:space="preserve"> on the Ministry’s approach to preventing and minimising gambling harm over the next three years</w:t>
          </w:r>
          <w:r w:rsidR="004A799D" w:rsidRPr="009E7223">
            <w:t>, as presented in the Strategy</w:t>
          </w:r>
          <w:r w:rsidRPr="009E7223">
            <w:t>.</w:t>
          </w:r>
          <w:r w:rsidR="00432C7C" w:rsidRPr="009E7223">
            <w:t xml:space="preserve"> </w:t>
          </w:r>
          <w:r w:rsidR="004A799D" w:rsidRPr="009E7223">
            <w:t>The consultation questions were presented in four parts</w:t>
          </w:r>
          <w:r w:rsidR="00DA5C84" w:rsidRPr="009E7223">
            <w:t>:</w:t>
          </w:r>
        </w:p>
        <w:p w14:paraId="7DC1801B" w14:textId="77777777" w:rsidR="00DA5C84" w:rsidRPr="009E7223" w:rsidRDefault="004A799D" w:rsidP="00DA5C84">
          <w:pPr>
            <w:pStyle w:val="BodyText"/>
            <w:numPr>
              <w:ilvl w:val="0"/>
              <w:numId w:val="41"/>
            </w:numPr>
          </w:pPr>
          <w:r w:rsidRPr="009E7223">
            <w:t xml:space="preserve">The first part, </w:t>
          </w:r>
          <w:r w:rsidRPr="009E7223">
            <w:rPr>
              <w:i/>
            </w:rPr>
            <w:t>Strategic direction</w:t>
          </w:r>
          <w:r w:rsidRPr="009E7223">
            <w:t xml:space="preserve">, </w:t>
          </w:r>
          <w:r w:rsidR="00DA5C84" w:rsidRPr="009E7223">
            <w:t>invited stakeholders to comment on the strategic direction, objectives and priority activities.</w:t>
          </w:r>
        </w:p>
        <w:p w14:paraId="5BDD40A2" w14:textId="77777777" w:rsidR="00DA5C84" w:rsidRPr="009E7223" w:rsidRDefault="00DA5C84" w:rsidP="00DA5C84">
          <w:pPr>
            <w:pStyle w:val="BodyText"/>
            <w:numPr>
              <w:ilvl w:val="0"/>
              <w:numId w:val="41"/>
            </w:numPr>
          </w:pPr>
          <w:r w:rsidRPr="009E7223">
            <w:t xml:space="preserve">The second part, </w:t>
          </w:r>
          <w:r w:rsidRPr="009E7223">
            <w:rPr>
              <w:i/>
            </w:rPr>
            <w:t>Service plan and funding</w:t>
          </w:r>
          <w:r w:rsidRPr="009E7223">
            <w:t>, covered the content of the service plan and indicative budgets.</w:t>
          </w:r>
        </w:p>
        <w:p w14:paraId="087FB07A" w14:textId="77777777" w:rsidR="00DA5C84" w:rsidRPr="009E7223" w:rsidRDefault="00DA5C84" w:rsidP="00DA5C84">
          <w:pPr>
            <w:pStyle w:val="BodyText"/>
            <w:numPr>
              <w:ilvl w:val="0"/>
              <w:numId w:val="41"/>
            </w:numPr>
          </w:pPr>
          <w:r w:rsidRPr="009E7223">
            <w:t>The third part,</w:t>
          </w:r>
          <w:r w:rsidRPr="009E7223">
            <w:rPr>
              <w:i/>
            </w:rPr>
            <w:t xml:space="preserve"> Levy formula and levy rates</w:t>
          </w:r>
          <w:r w:rsidRPr="009E7223">
            <w:t>, addressed expenditure forecasts, expenditure/presentation weightings, and the estimated levy rates for each sector.</w:t>
          </w:r>
        </w:p>
        <w:p w14:paraId="4EE7CE3F" w14:textId="33CE32CD" w:rsidR="004A799D" w:rsidRPr="009E7223" w:rsidRDefault="00DA5C84" w:rsidP="00DA5C84">
          <w:pPr>
            <w:pStyle w:val="BodyText"/>
            <w:numPr>
              <w:ilvl w:val="0"/>
              <w:numId w:val="41"/>
            </w:numPr>
          </w:pPr>
          <w:r w:rsidRPr="009E7223">
            <w:t xml:space="preserve">The fourth part, </w:t>
          </w:r>
          <w:r w:rsidRPr="009E7223">
            <w:rPr>
              <w:i/>
            </w:rPr>
            <w:t>Policy in relation to electronic gaming machines (NCGMs) and the levy formula</w:t>
          </w:r>
          <w:r w:rsidRPr="009E7223">
            <w:t>, sought stakeholder views about incentivising NCGM venues to relocate away from low socioeconomic areas, and about the extent to which the present levy formula reflects the relative harm caused by each gambling sector.</w:t>
          </w:r>
        </w:p>
        <w:p w14:paraId="652641A1" w14:textId="27A32394" w:rsidR="00432C7C" w:rsidRPr="009E7223" w:rsidRDefault="00432C7C" w:rsidP="00AC7A93">
          <w:pPr>
            <w:pStyle w:val="BodyText"/>
          </w:pPr>
          <w:r w:rsidRPr="009E7223">
            <w:lastRenderedPageBreak/>
            <w:t xml:space="preserve">Many of the comments </w:t>
          </w:r>
          <w:r w:rsidR="00DE5707" w:rsidRPr="009E7223">
            <w:t xml:space="preserve">about the </w:t>
          </w:r>
          <w:r w:rsidR="001457F9" w:rsidRPr="009E7223">
            <w:t>Strateg</w:t>
          </w:r>
          <w:r w:rsidR="00DA5C84" w:rsidRPr="009E7223">
            <w:t>ic direction (part 1)</w:t>
          </w:r>
          <w:r w:rsidR="001457F9" w:rsidRPr="009E7223">
            <w:t xml:space="preserve"> and the </w:t>
          </w:r>
          <w:r w:rsidR="00DE5707" w:rsidRPr="009E7223">
            <w:t xml:space="preserve">Service Plan </w:t>
          </w:r>
          <w:r w:rsidR="00DA5C84" w:rsidRPr="009E7223">
            <w:t xml:space="preserve">(part 2) </w:t>
          </w:r>
          <w:r w:rsidRPr="009E7223">
            <w:t xml:space="preserve">were inter-related, with submitters commenting on aspects of both in their responses. Commentary presented by submitters that </w:t>
          </w:r>
          <w:r w:rsidR="001457F9" w:rsidRPr="009E7223">
            <w:t xml:space="preserve">was </w:t>
          </w:r>
          <w:r w:rsidRPr="009E7223">
            <w:t>relevant to multiple sections, for example</w:t>
          </w:r>
          <w:r w:rsidR="00A4786A" w:rsidRPr="009E7223">
            <w:t>,</w:t>
          </w:r>
          <w:r w:rsidRPr="009E7223">
            <w:t xml:space="preserve"> factors that should be considered during the levy calculation and included in the Strateg</w:t>
          </w:r>
          <w:r w:rsidR="00DA5C84" w:rsidRPr="009E7223">
            <w:t>ic direction</w:t>
          </w:r>
          <w:r w:rsidRPr="009E7223">
            <w:t xml:space="preserve">, </w:t>
          </w:r>
          <w:r w:rsidR="00A4786A" w:rsidRPr="009E7223">
            <w:t>are</w:t>
          </w:r>
          <w:r w:rsidRPr="009E7223">
            <w:t xml:space="preserve"> discussed in </w:t>
          </w:r>
          <w:r w:rsidR="000C0EA8" w:rsidRPr="009E7223">
            <w:t xml:space="preserve">the </w:t>
          </w:r>
          <w:r w:rsidRPr="009E7223">
            <w:t xml:space="preserve">relevant sections of this report. To ensure that comments </w:t>
          </w:r>
          <w:r w:rsidR="001457F9" w:rsidRPr="009E7223">
            <w:t>were</w:t>
          </w:r>
          <w:r w:rsidRPr="009E7223">
            <w:t xml:space="preserve"> reflected to their best advantage, the analysis discusses submitters’ points under the sections of the report that best align to what they have indirectly recommended, which may be different to how the submitter categorised it in their submission. All original meaning intended by the submitter has been retained.</w:t>
          </w:r>
        </w:p>
        <w:p w14:paraId="0C833542" w14:textId="0B25FC3D" w:rsidR="00AC7A93" w:rsidRPr="009E7223" w:rsidRDefault="00E24F86" w:rsidP="00A34805">
          <w:pPr>
            <w:pStyle w:val="NumberedHeading2"/>
          </w:pPr>
          <w:bookmarkStart w:id="32" w:name="_Toc531098155"/>
          <w:r w:rsidRPr="009E7223">
            <w:t>How to navigate this report</w:t>
          </w:r>
          <w:bookmarkEnd w:id="32"/>
        </w:p>
        <w:p w14:paraId="46AB053B" w14:textId="377B235C" w:rsidR="0068672E" w:rsidRPr="009E7223" w:rsidRDefault="0068672E" w:rsidP="00E24F86">
          <w:pPr>
            <w:pStyle w:val="BodyText"/>
          </w:pPr>
          <w:r w:rsidRPr="009E7223">
            <w:t xml:space="preserve">This report has been drafted and arranged thematically, based on the structure of the Ministry’s </w:t>
          </w:r>
          <w:r w:rsidR="002E446A" w:rsidRPr="009E7223">
            <w:t>c</w:t>
          </w:r>
          <w:r w:rsidRPr="009E7223">
            <w:t xml:space="preserve">onsultation </w:t>
          </w:r>
          <w:r w:rsidR="002E446A" w:rsidRPr="009E7223">
            <w:t>d</w:t>
          </w:r>
          <w:r w:rsidRPr="009E7223">
            <w:t>ocument. Where submitters provided an answer to a question that fit</w:t>
          </w:r>
          <w:r w:rsidR="00DE5707" w:rsidRPr="009E7223">
            <w:t>ted</w:t>
          </w:r>
          <w:r w:rsidRPr="009E7223">
            <w:t xml:space="preserve"> better elsewhere in the report, the </w:t>
          </w:r>
          <w:r w:rsidR="00DE5707" w:rsidRPr="009E7223">
            <w:t xml:space="preserve">analysis </w:t>
          </w:r>
          <w:r w:rsidRPr="009E7223">
            <w:t xml:space="preserve">was </w:t>
          </w:r>
          <w:r w:rsidR="00DE5707" w:rsidRPr="009E7223">
            <w:t xml:space="preserve">amended </w:t>
          </w:r>
          <w:r w:rsidRPr="009E7223">
            <w:t>to reflect that.</w:t>
          </w:r>
        </w:p>
        <w:p w14:paraId="5CED23FE" w14:textId="1B2CACF7" w:rsidR="00E24F86" w:rsidRPr="009E7223" w:rsidRDefault="00E24F86" w:rsidP="00E24F86">
          <w:pPr>
            <w:pStyle w:val="BodyText"/>
          </w:pPr>
          <w:r w:rsidRPr="009E7223">
            <w:t xml:space="preserve">This report contains </w:t>
          </w:r>
          <w:r w:rsidR="002D12EE" w:rsidRPr="009E7223">
            <w:t>s</w:t>
          </w:r>
          <w:r w:rsidR="00FE3AEE" w:rsidRPr="009E7223">
            <w:t>even</w:t>
          </w:r>
          <w:r w:rsidRPr="009E7223">
            <w:t xml:space="preserve"> parts</w:t>
          </w:r>
          <w:r w:rsidR="00A4786A" w:rsidRPr="009E7223">
            <w:t>.</w:t>
          </w:r>
        </w:p>
        <w:p w14:paraId="108AA683" w14:textId="76F660F2" w:rsidR="00E24F86" w:rsidRPr="009E7223" w:rsidRDefault="00E24F86" w:rsidP="00A34805">
          <w:pPr>
            <w:pStyle w:val="List-AlphanumericLvl1"/>
            <w:numPr>
              <w:ilvl w:val="0"/>
              <w:numId w:val="36"/>
            </w:numPr>
          </w:pPr>
          <w:r w:rsidRPr="009E7223">
            <w:t>Part 1 outlines the purpose and structure of the report, identifies the methodology used in the submissions</w:t>
          </w:r>
          <w:r w:rsidR="0073797A" w:rsidRPr="009E7223">
            <w:t>’</w:t>
          </w:r>
          <w:r w:rsidRPr="009E7223">
            <w:t xml:space="preserve"> analysis, and </w:t>
          </w:r>
          <w:r w:rsidR="00B479B8" w:rsidRPr="009E7223">
            <w:t>provides an overview of submitters and their submissions</w:t>
          </w:r>
          <w:r w:rsidRPr="009E7223">
            <w:t>.</w:t>
          </w:r>
        </w:p>
        <w:p w14:paraId="32229DE6" w14:textId="63E52E71" w:rsidR="00E24F86" w:rsidRPr="009E7223" w:rsidRDefault="00E24F86" w:rsidP="00EC3D11">
          <w:pPr>
            <w:pStyle w:val="List-AlphanumericLvl1"/>
            <w:numPr>
              <w:ilvl w:val="0"/>
              <w:numId w:val="36"/>
            </w:numPr>
          </w:pPr>
          <w:r w:rsidRPr="009E7223">
            <w:t xml:space="preserve">Part </w:t>
          </w:r>
          <w:r w:rsidR="00033093" w:rsidRPr="009E7223">
            <w:t>2</w:t>
          </w:r>
          <w:r w:rsidRPr="009E7223">
            <w:t xml:space="preserve"> describes t</w:t>
          </w:r>
          <w:r w:rsidR="00AC7DB3" w:rsidRPr="009E7223">
            <w:t>he submissions received on the draft St</w:t>
          </w:r>
          <w:r w:rsidRPr="009E7223">
            <w:t xml:space="preserve">rategic </w:t>
          </w:r>
          <w:r w:rsidR="000C0EA8" w:rsidRPr="009E7223">
            <w:t>direction</w:t>
          </w:r>
          <w:r w:rsidRPr="009E7223">
            <w:t xml:space="preserve">, including </w:t>
          </w:r>
          <w:r w:rsidR="0004172D" w:rsidRPr="009E7223">
            <w:t xml:space="preserve">commentary about each of the </w:t>
          </w:r>
          <w:r w:rsidR="000C0EA8" w:rsidRPr="009E7223">
            <w:t>11</w:t>
          </w:r>
          <w:r w:rsidR="0004172D" w:rsidRPr="009E7223">
            <w:t xml:space="preserve"> objectives.</w:t>
          </w:r>
        </w:p>
        <w:p w14:paraId="75103DC5" w14:textId="34C03CB0" w:rsidR="00E24F86" w:rsidRPr="009E7223" w:rsidRDefault="00E24F86" w:rsidP="00EC3D11">
          <w:pPr>
            <w:pStyle w:val="List-AlphanumericLvl1"/>
            <w:numPr>
              <w:ilvl w:val="0"/>
              <w:numId w:val="36"/>
            </w:numPr>
          </w:pPr>
          <w:r w:rsidRPr="009E7223">
            <w:t xml:space="preserve">Part </w:t>
          </w:r>
          <w:r w:rsidR="00033093" w:rsidRPr="009E7223">
            <w:t>3</w:t>
          </w:r>
          <w:r w:rsidRPr="009E7223">
            <w:t xml:space="preserve"> describes the submissions re</w:t>
          </w:r>
          <w:r w:rsidR="00AC7DB3" w:rsidRPr="009E7223">
            <w:t>ceived on the draft three-year S</w:t>
          </w:r>
          <w:r w:rsidRPr="009E7223">
            <w:t xml:space="preserve">ervice </w:t>
          </w:r>
          <w:r w:rsidR="00AC7DB3" w:rsidRPr="009E7223">
            <w:t>P</w:t>
          </w:r>
          <w:r w:rsidRPr="009E7223">
            <w:t>lan</w:t>
          </w:r>
          <w:r w:rsidR="00133E49" w:rsidRPr="009E7223">
            <w:t>,</w:t>
          </w:r>
          <w:r w:rsidRPr="009E7223">
            <w:t xml:space="preserve"> including the proposed funding allocation and the key initiatives or programmes planned for 201</w:t>
          </w:r>
          <w:r w:rsidR="0003133C" w:rsidRPr="009E7223">
            <w:t>9/20</w:t>
          </w:r>
          <w:r w:rsidRPr="009E7223">
            <w:t xml:space="preserve"> to 20</w:t>
          </w:r>
          <w:r w:rsidR="0003133C" w:rsidRPr="009E7223">
            <w:t>21</w:t>
          </w:r>
          <w:r w:rsidRPr="009E7223">
            <w:t>/</w:t>
          </w:r>
          <w:r w:rsidR="0003133C" w:rsidRPr="009E7223">
            <w:t>22</w:t>
          </w:r>
          <w:r w:rsidRPr="009E7223">
            <w:t xml:space="preserve">: public health services, intervention services, </w:t>
          </w:r>
          <w:r w:rsidR="0003133C" w:rsidRPr="009E7223">
            <w:t>and research and evaluation</w:t>
          </w:r>
          <w:r w:rsidRPr="009E7223">
            <w:t xml:space="preserve">. </w:t>
          </w:r>
        </w:p>
        <w:p w14:paraId="0B1E97C5" w14:textId="2E44A3EA" w:rsidR="00E24F86" w:rsidRPr="009E7223" w:rsidRDefault="00E24F86" w:rsidP="00EC3D11">
          <w:pPr>
            <w:pStyle w:val="List-AlphanumericLvl1"/>
            <w:numPr>
              <w:ilvl w:val="0"/>
              <w:numId w:val="36"/>
            </w:numPr>
          </w:pPr>
          <w:r w:rsidRPr="009E7223">
            <w:t xml:space="preserve">Part </w:t>
          </w:r>
          <w:r w:rsidR="00033093" w:rsidRPr="009E7223">
            <w:t>4</w:t>
          </w:r>
          <w:r w:rsidRPr="009E7223">
            <w:t xml:space="preserve"> summarises submitters’ comments on the </w:t>
          </w:r>
          <w:r w:rsidR="00336D27" w:rsidRPr="009E7223">
            <w:t xml:space="preserve">problem </w:t>
          </w:r>
          <w:r w:rsidRPr="009E7223">
            <w:t xml:space="preserve">gambling levy rates, including the levy weightings, and the method for </w:t>
          </w:r>
          <w:r w:rsidR="00DE5707" w:rsidRPr="009E7223">
            <w:t>calculating</w:t>
          </w:r>
          <w:r w:rsidRPr="009E7223">
            <w:t xml:space="preserve"> levy rates.</w:t>
          </w:r>
          <w:r w:rsidR="00AC7A93" w:rsidRPr="009E7223">
            <w:t xml:space="preserve"> It also </w:t>
          </w:r>
          <w:r w:rsidR="00DE5707" w:rsidRPr="009E7223">
            <w:t xml:space="preserve">summarises </w:t>
          </w:r>
          <w:r w:rsidR="00AC7A93" w:rsidRPr="009E7223">
            <w:t xml:space="preserve">submitters’ comments on whether the current levy formula </w:t>
          </w:r>
          <w:r w:rsidR="005E4F78" w:rsidRPr="009E7223">
            <w:t>provides a reasonable way to reflect the relative harm caused by each gambling sector.</w:t>
          </w:r>
        </w:p>
        <w:p w14:paraId="42856863" w14:textId="3FE68686" w:rsidR="002D12EE" w:rsidRPr="009E7223" w:rsidRDefault="002D12EE" w:rsidP="00EC3D11">
          <w:pPr>
            <w:pStyle w:val="List-AlphanumericLvl1"/>
            <w:numPr>
              <w:ilvl w:val="0"/>
              <w:numId w:val="36"/>
            </w:numPr>
          </w:pPr>
          <w:r w:rsidRPr="009E7223">
            <w:t xml:space="preserve">Part </w:t>
          </w:r>
          <w:r w:rsidR="00033093" w:rsidRPr="009E7223">
            <w:t>5</w:t>
          </w:r>
          <w:r w:rsidRPr="009E7223">
            <w:t xml:space="preserve"> summarises submitters’ comments on the policy in relation to </w:t>
          </w:r>
          <w:r w:rsidR="00835D82" w:rsidRPr="009E7223">
            <w:t xml:space="preserve">the concentration of </w:t>
          </w:r>
          <w:r w:rsidRPr="009E7223">
            <w:t>NCGM</w:t>
          </w:r>
          <w:r w:rsidR="00835D82" w:rsidRPr="009E7223">
            <w:t>s in low socioeconomic areas</w:t>
          </w:r>
          <w:r w:rsidRPr="009E7223">
            <w:t>.</w:t>
          </w:r>
        </w:p>
        <w:p w14:paraId="377D3A1E" w14:textId="3DD5739B" w:rsidR="00B479B8" w:rsidRPr="009E7223" w:rsidRDefault="00E24F86" w:rsidP="00EC3D11">
          <w:pPr>
            <w:pStyle w:val="List-AlphanumericLvl1"/>
            <w:numPr>
              <w:ilvl w:val="0"/>
              <w:numId w:val="36"/>
            </w:numPr>
          </w:pPr>
          <w:r w:rsidRPr="009E7223">
            <w:t xml:space="preserve">Part </w:t>
          </w:r>
          <w:r w:rsidR="00033093" w:rsidRPr="009E7223">
            <w:t>6</w:t>
          </w:r>
          <w:r w:rsidRPr="009E7223">
            <w:t xml:space="preserve"> describes the other issues raised by submitters, including editorial issues and issues that fall outside of the scope of the consultation.</w:t>
          </w:r>
        </w:p>
        <w:p w14:paraId="69096089" w14:textId="081140F5" w:rsidR="00033093" w:rsidRPr="009E7223" w:rsidRDefault="00033093" w:rsidP="00033093">
          <w:pPr>
            <w:pStyle w:val="List-AlphanumericLvl1"/>
            <w:numPr>
              <w:ilvl w:val="0"/>
              <w:numId w:val="36"/>
            </w:numPr>
          </w:pPr>
          <w:r w:rsidRPr="009E7223">
            <w:t xml:space="preserve">Part 7 draws on the analysis reported in Parts </w:t>
          </w:r>
          <w:r w:rsidR="00AB7ECA">
            <w:t>2</w:t>
          </w:r>
          <w:r w:rsidRPr="009E7223">
            <w:t xml:space="preserve"> to </w:t>
          </w:r>
          <w:r w:rsidR="00AB7ECA">
            <w:t>6</w:t>
          </w:r>
          <w:r w:rsidRPr="009E7223">
            <w:t xml:space="preserve"> in order to explore the </w:t>
          </w:r>
          <w:r w:rsidR="00AB7ECA" w:rsidRPr="009E7223">
            <w:t>way</w:t>
          </w:r>
          <w:r w:rsidRPr="009E7223">
            <w:t xml:space="preserve"> the six sectors addressed the common themes that emerged through the submissions analysis.</w:t>
          </w:r>
        </w:p>
        <w:p w14:paraId="7446B6B9" w14:textId="77777777" w:rsidR="000C0EA8" w:rsidRPr="009E7223" w:rsidRDefault="00B479B8" w:rsidP="00AC7A93">
          <w:pPr>
            <w:pStyle w:val="BodyText"/>
          </w:pPr>
          <w:r w:rsidRPr="009E7223">
            <w:t>Appendix A names the individuals and each organisation who contributed to the consultation process by way of written submission, unless a specific request was made to withhold names of individual submitters.</w:t>
          </w:r>
        </w:p>
        <w:p w14:paraId="5A2B5F32" w14:textId="5AB88803" w:rsidR="00B479B8" w:rsidRPr="009E7223" w:rsidRDefault="00B479B8" w:rsidP="00AC7A93">
          <w:pPr>
            <w:pStyle w:val="BodyText"/>
          </w:pPr>
          <w:r w:rsidRPr="009E7223">
            <w:t>A</w:t>
          </w:r>
          <w:r w:rsidR="002E4D37" w:rsidRPr="009E7223">
            <w:t>ppendix B provides a</w:t>
          </w:r>
          <w:r w:rsidRPr="009E7223">
            <w:t xml:space="preserve"> lis</w:t>
          </w:r>
          <w:r w:rsidR="002E4D37" w:rsidRPr="009E7223">
            <w:t xml:space="preserve">t of the </w:t>
          </w:r>
          <w:r w:rsidR="00835D82" w:rsidRPr="009E7223">
            <w:t>fifteen</w:t>
          </w:r>
          <w:r w:rsidR="002E4D37" w:rsidRPr="009E7223">
            <w:t xml:space="preserve"> questions </w:t>
          </w:r>
          <w:r w:rsidR="00835D82" w:rsidRPr="009E7223">
            <w:t xml:space="preserve">and four sub-questions </w:t>
          </w:r>
          <w:r w:rsidR="002E4D37" w:rsidRPr="009E7223">
            <w:t>outlined in the consultation document.</w:t>
          </w:r>
        </w:p>
        <w:p w14:paraId="4CEFFA3F" w14:textId="7FD45EEE" w:rsidR="00E24F86" w:rsidRPr="009E7223" w:rsidRDefault="0035078F" w:rsidP="00A34805">
          <w:pPr>
            <w:pStyle w:val="BodyText"/>
            <w:rPr>
              <w:b/>
              <w:caps/>
              <w:color w:val="36424A" w:themeColor="text2"/>
              <w:highlight w:val="yellow"/>
            </w:rPr>
          </w:pPr>
          <w:r w:rsidRPr="009E7223">
            <w:t>Submitters are typically not identified in this report, except by name in Appendix A, and by category of submitter in the body of the report; however, in a few cases, identifying an organisation was unavoidable.</w:t>
          </w:r>
          <w:r w:rsidR="00E24F86" w:rsidRPr="009E7223">
            <w:rPr>
              <w:highlight w:val="yellow"/>
            </w:rPr>
            <w:br w:type="page"/>
          </w:r>
        </w:p>
        <w:p w14:paraId="6C85353E" w14:textId="7CA69394" w:rsidR="00C86DAA" w:rsidRPr="009E7223" w:rsidRDefault="00C86DAA" w:rsidP="00C86DAA">
          <w:pPr>
            <w:pStyle w:val="NumberedHeading1"/>
          </w:pPr>
          <w:bookmarkStart w:id="33" w:name="_Toc527040861"/>
          <w:bookmarkStart w:id="34" w:name="_Toc531098156"/>
          <w:r w:rsidRPr="009E7223">
            <w:lastRenderedPageBreak/>
            <w:t xml:space="preserve">The draft Strategic </w:t>
          </w:r>
          <w:bookmarkEnd w:id="33"/>
          <w:r w:rsidR="000C0EA8" w:rsidRPr="009E7223">
            <w:t>Direction</w:t>
          </w:r>
          <w:bookmarkEnd w:id="34"/>
        </w:p>
        <w:p w14:paraId="4D5880B6" w14:textId="523CC6E0" w:rsidR="00C86DAA" w:rsidRPr="009E7223" w:rsidRDefault="00795DE6" w:rsidP="00C86DAA">
          <w:pPr>
            <w:pStyle w:val="BodyText"/>
          </w:pPr>
          <w:r w:rsidRPr="009E7223">
            <w:t>This part</w:t>
          </w:r>
          <w:r w:rsidR="00C86DAA" w:rsidRPr="009E7223">
            <w:t xml:space="preserve"> of this report outlines the commentary received from submitters on the draft Strategic </w:t>
          </w:r>
          <w:r w:rsidR="000C0EA8" w:rsidRPr="009E7223">
            <w:t>direction</w:t>
          </w:r>
          <w:r w:rsidR="00C86DAA" w:rsidRPr="009E7223">
            <w:t>.</w:t>
          </w:r>
        </w:p>
        <w:p w14:paraId="3BFDE098" w14:textId="00A66116" w:rsidR="00C86DAA" w:rsidRPr="009E7223" w:rsidRDefault="001E021F" w:rsidP="00C86DAA">
          <w:pPr>
            <w:pStyle w:val="BodyText"/>
          </w:pPr>
          <w:r w:rsidRPr="009E7223">
            <w:t>Seventy-seven</w:t>
          </w:r>
          <w:r w:rsidR="00C86DAA" w:rsidRPr="009E7223">
            <w:t xml:space="preserve"> submitters responded to at least some of the questions about the draft </w:t>
          </w:r>
          <w:r w:rsidR="0065722E" w:rsidRPr="009E7223">
            <w:t>strategic direction</w:t>
          </w:r>
          <w:r w:rsidR="00C86DAA" w:rsidRPr="009E7223">
            <w:t>.</w:t>
          </w:r>
        </w:p>
        <w:p w14:paraId="2629E423" w14:textId="525CBEB1" w:rsidR="00C86DAA" w:rsidRPr="009E7223" w:rsidRDefault="00C86DAA" w:rsidP="00C86DAA">
          <w:pPr>
            <w:pStyle w:val="BodyText"/>
          </w:pPr>
          <w:bookmarkStart w:id="35" w:name="_Toc527355905"/>
          <w:bookmarkStart w:id="36" w:name="_Toc430861672"/>
          <w:r w:rsidRPr="009E7223">
            <w:t xml:space="preserve">Five questions were asked, all of which included ‘Yes/No’ responses. </w:t>
          </w:r>
          <w:r w:rsidR="0090650B" w:rsidRPr="009E7223">
            <w:fldChar w:fldCharType="begin"/>
          </w:r>
          <w:r w:rsidR="0090650B" w:rsidRPr="009E7223">
            <w:instrText xml:space="preserve"> REF _Ref527732960 \h </w:instrText>
          </w:r>
          <w:r w:rsidR="0090650B" w:rsidRPr="009E7223">
            <w:fldChar w:fldCharType="separate"/>
          </w:r>
          <w:r w:rsidR="00CE4EFF" w:rsidRPr="009E7223">
            <w:t xml:space="preserve">Table </w:t>
          </w:r>
          <w:r w:rsidR="00CE4EFF">
            <w:rPr>
              <w:noProof/>
            </w:rPr>
            <w:t>2</w:t>
          </w:r>
          <w:r w:rsidR="0090650B" w:rsidRPr="009E7223">
            <w:fldChar w:fldCharType="end"/>
          </w:r>
          <w:r w:rsidR="0090650B" w:rsidRPr="009E7223">
            <w:t xml:space="preserve"> </w:t>
          </w:r>
          <w:r w:rsidRPr="009E7223">
            <w:t>shows the wording of these questions and the number of submitters who responded, by response. Sometimes the narrative response suggested that support was qualified or conditional, in which case the ‘Yes’ response was altered to ‘Qualified Support’, at the request of the Ministry.</w:t>
          </w:r>
        </w:p>
        <w:p w14:paraId="6CFED784" w14:textId="6C037102" w:rsidR="00C86DAA" w:rsidRPr="009E7223" w:rsidRDefault="00C86DAA" w:rsidP="00C86DAA">
          <w:pPr>
            <w:pStyle w:val="Caption"/>
            <w:keepNext/>
          </w:pPr>
          <w:bookmarkStart w:id="37" w:name="_Ref527732960"/>
          <w:bookmarkStart w:id="38" w:name="_Toc529787383"/>
          <w:r w:rsidRPr="009E7223">
            <w:t xml:space="preserve">Table </w:t>
          </w:r>
          <w:r w:rsidR="000939D4" w:rsidRPr="009E7223">
            <w:rPr>
              <w:noProof/>
            </w:rPr>
            <w:fldChar w:fldCharType="begin"/>
          </w:r>
          <w:r w:rsidR="000939D4" w:rsidRPr="009E7223">
            <w:rPr>
              <w:noProof/>
            </w:rPr>
            <w:instrText xml:space="preserve"> SEQ Table \* ARABIC </w:instrText>
          </w:r>
          <w:r w:rsidR="000939D4" w:rsidRPr="009E7223">
            <w:rPr>
              <w:noProof/>
            </w:rPr>
            <w:fldChar w:fldCharType="separate"/>
          </w:r>
          <w:r w:rsidR="00CE4EFF">
            <w:rPr>
              <w:noProof/>
            </w:rPr>
            <w:t>2</w:t>
          </w:r>
          <w:r w:rsidR="000939D4" w:rsidRPr="009E7223">
            <w:rPr>
              <w:noProof/>
            </w:rPr>
            <w:fldChar w:fldCharType="end"/>
          </w:r>
          <w:bookmarkEnd w:id="37"/>
          <w:r w:rsidRPr="009E7223">
            <w:t>: Yes/No responses to questions concerning the strategic direction</w:t>
          </w:r>
          <w:bookmarkEnd w:id="35"/>
          <w:bookmarkEnd w:id="38"/>
        </w:p>
        <w:tbl>
          <w:tblPr>
            <w:tblStyle w:val="ACGrey-BasicTable"/>
            <w:tblW w:w="9067" w:type="dxa"/>
            <w:tblLook w:val="04A0" w:firstRow="1" w:lastRow="0" w:firstColumn="1" w:lastColumn="0" w:noHBand="0" w:noVBand="1"/>
          </w:tblPr>
          <w:tblGrid>
            <w:gridCol w:w="4815"/>
            <w:gridCol w:w="850"/>
            <w:gridCol w:w="993"/>
            <w:gridCol w:w="1275"/>
            <w:gridCol w:w="1134"/>
          </w:tblGrid>
          <w:tr w:rsidR="00795DE6" w:rsidRPr="009E7223" w14:paraId="23C32A33" w14:textId="0C6CE048" w:rsidTr="002F5079">
            <w:trPr>
              <w:cnfStyle w:val="100000000000" w:firstRow="1" w:lastRow="0" w:firstColumn="0" w:lastColumn="0" w:oddVBand="0" w:evenVBand="0" w:oddHBand="0" w:evenHBand="0" w:firstRowFirstColumn="0" w:firstRowLastColumn="0" w:lastRowFirstColumn="0" w:lastRowLastColumn="0"/>
            </w:trPr>
            <w:tc>
              <w:tcPr>
                <w:tcW w:w="481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079ECC62" w14:textId="77777777" w:rsidR="00795DE6" w:rsidRPr="009E7223" w:rsidRDefault="00795DE6" w:rsidP="007748F8">
                <w:pPr>
                  <w:pStyle w:val="BodyText"/>
                  <w:jc w:val="center"/>
                </w:pPr>
                <w:r w:rsidRPr="009E7223">
                  <w:t>Question</w:t>
                </w:r>
              </w:p>
            </w:tc>
            <w:tc>
              <w:tcPr>
                <w:tcW w:w="850"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72136E97" w14:textId="77777777" w:rsidR="00795DE6" w:rsidRPr="009E7223" w:rsidRDefault="00795DE6" w:rsidP="007748F8">
                <w:pPr>
                  <w:pStyle w:val="BodyText"/>
                  <w:ind w:firstLine="122"/>
                  <w:jc w:val="center"/>
                </w:pPr>
                <w:r w:rsidRPr="009E7223">
                  <w:t>Yes</w:t>
                </w:r>
              </w:p>
            </w:tc>
            <w:tc>
              <w:tcPr>
                <w:tcW w:w="993"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6E869063" w14:textId="77777777" w:rsidR="00795DE6" w:rsidRPr="009E7223" w:rsidRDefault="00795DE6" w:rsidP="007748F8">
                <w:pPr>
                  <w:pStyle w:val="BodyText"/>
                  <w:jc w:val="center"/>
                </w:pPr>
                <w:r w:rsidRPr="009E7223">
                  <w:t>No</w:t>
                </w:r>
              </w:p>
            </w:tc>
            <w:tc>
              <w:tcPr>
                <w:tcW w:w="127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3B5E17C8" w14:textId="77777777" w:rsidR="00795DE6" w:rsidRPr="009E7223" w:rsidRDefault="00795DE6" w:rsidP="007748F8">
                <w:pPr>
                  <w:pStyle w:val="BodyText"/>
                  <w:jc w:val="center"/>
                </w:pPr>
                <w:r w:rsidRPr="009E7223">
                  <w:t>Qualified Support</w:t>
                </w:r>
              </w:p>
            </w:tc>
            <w:tc>
              <w:tcPr>
                <w:tcW w:w="1134" w:type="dxa"/>
                <w:tcBorders>
                  <w:top w:val="single" w:sz="4" w:space="0" w:color="36424A" w:themeColor="text2"/>
                  <w:left w:val="single" w:sz="4" w:space="0" w:color="36424A" w:themeColor="text2"/>
                  <w:bottom w:val="single" w:sz="4" w:space="0" w:color="36424A" w:themeColor="text2"/>
                  <w:right w:val="single" w:sz="4" w:space="0" w:color="36424A" w:themeColor="text2"/>
                </w:tcBorders>
              </w:tcPr>
              <w:p w14:paraId="47E4E606" w14:textId="128661ED" w:rsidR="00795DE6" w:rsidRPr="009E7223" w:rsidRDefault="00795DE6" w:rsidP="007748F8">
                <w:pPr>
                  <w:pStyle w:val="BodyText"/>
                  <w:jc w:val="center"/>
                </w:pPr>
                <w:r w:rsidRPr="009E7223">
                  <w:t>Total</w:t>
                </w:r>
              </w:p>
            </w:tc>
          </w:tr>
          <w:tr w:rsidR="00795DE6" w:rsidRPr="009E7223" w14:paraId="0834D7B3" w14:textId="3359530A" w:rsidTr="002F5079">
            <w:tc>
              <w:tcPr>
                <w:tcW w:w="481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1136B881" w14:textId="77777777" w:rsidR="00795DE6" w:rsidRPr="009E7223" w:rsidRDefault="00795DE6" w:rsidP="00C86DAA">
                <w:pPr>
                  <w:ind w:right="114"/>
                  <w:jc w:val="both"/>
                  <w:rPr>
                    <w:rFonts w:ascii="Calibri" w:hAnsi="Calibri" w:cs="Calibri"/>
                    <w:color w:val="000000"/>
                  </w:rPr>
                </w:pPr>
                <w:r w:rsidRPr="009E7223">
                  <w:rPr>
                    <w:rFonts w:ascii="Calibri" w:hAnsi="Calibri" w:cs="Calibri"/>
                    <w:color w:val="000000"/>
                  </w:rPr>
                  <w:t>1. Do you support the strategic direction outlined in the proposed strategy?</w:t>
                </w:r>
              </w:p>
            </w:tc>
            <w:tc>
              <w:tcPr>
                <w:tcW w:w="850"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7B50D565" w14:textId="77777777" w:rsidR="00795DE6" w:rsidRPr="009E7223" w:rsidRDefault="00795DE6" w:rsidP="00C86DAA">
                <w:pPr>
                  <w:pStyle w:val="BodyText"/>
                  <w:ind w:firstLine="122"/>
                  <w:jc w:val="center"/>
                </w:pPr>
                <w:r w:rsidRPr="009E7223">
                  <w:t>36</w:t>
                </w:r>
              </w:p>
            </w:tc>
            <w:tc>
              <w:tcPr>
                <w:tcW w:w="993"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67178E28" w14:textId="77777777" w:rsidR="00795DE6" w:rsidRPr="009E7223" w:rsidRDefault="00795DE6" w:rsidP="00C86DAA">
                <w:pPr>
                  <w:pStyle w:val="BodyText"/>
                  <w:ind w:firstLine="122"/>
                  <w:jc w:val="center"/>
                </w:pPr>
                <w:r w:rsidRPr="009E7223">
                  <w:t>13</w:t>
                </w:r>
              </w:p>
            </w:tc>
            <w:tc>
              <w:tcPr>
                <w:tcW w:w="127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0DB58826" w14:textId="77777777" w:rsidR="00795DE6" w:rsidRPr="009E7223" w:rsidRDefault="00795DE6" w:rsidP="00C86DAA">
                <w:pPr>
                  <w:pStyle w:val="BodyText"/>
                  <w:ind w:firstLine="117"/>
                  <w:jc w:val="center"/>
                </w:pPr>
                <w:r w:rsidRPr="009E7223">
                  <w:t>12</w:t>
                </w:r>
              </w:p>
            </w:tc>
            <w:tc>
              <w:tcPr>
                <w:tcW w:w="1134" w:type="dxa"/>
                <w:tcBorders>
                  <w:top w:val="single" w:sz="4" w:space="0" w:color="36424A" w:themeColor="text2"/>
                  <w:left w:val="single" w:sz="4" w:space="0" w:color="36424A" w:themeColor="text2"/>
                  <w:bottom w:val="single" w:sz="4" w:space="0" w:color="36424A" w:themeColor="text2"/>
                  <w:right w:val="single" w:sz="4" w:space="0" w:color="36424A" w:themeColor="text2"/>
                </w:tcBorders>
              </w:tcPr>
              <w:p w14:paraId="04D37ED4" w14:textId="7C7DE347" w:rsidR="00795DE6" w:rsidRPr="009E7223" w:rsidRDefault="002F5079" w:rsidP="00C86DAA">
                <w:pPr>
                  <w:pStyle w:val="BodyText"/>
                  <w:ind w:firstLine="117"/>
                  <w:jc w:val="center"/>
                  <w:rPr>
                    <w:b/>
                  </w:rPr>
                </w:pPr>
                <w:r w:rsidRPr="009E7223">
                  <w:rPr>
                    <w:b/>
                  </w:rPr>
                  <w:t>61</w:t>
                </w:r>
              </w:p>
            </w:tc>
          </w:tr>
          <w:tr w:rsidR="00795DE6" w:rsidRPr="009E7223" w14:paraId="5B7534A8" w14:textId="40B53679" w:rsidTr="002F5079">
            <w:tc>
              <w:tcPr>
                <w:tcW w:w="481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6E43A2D9" w14:textId="77777777" w:rsidR="00795DE6" w:rsidRPr="009E7223" w:rsidRDefault="00795DE6" w:rsidP="00C86DAA">
                <w:pPr>
                  <w:ind w:right="114"/>
                  <w:jc w:val="both"/>
                  <w:rPr>
                    <w:rFonts w:ascii="Calibri" w:hAnsi="Calibri" w:cs="Calibri"/>
                    <w:color w:val="000000"/>
                  </w:rPr>
                </w:pPr>
                <w:r w:rsidRPr="009E7223">
                  <w:rPr>
                    <w:rFonts w:ascii="Calibri" w:hAnsi="Calibri" w:cs="Calibri"/>
                    <w:color w:val="000000"/>
                  </w:rPr>
                  <w:t>2. Does the draft strategic plan adequately reflect changes in the gambling environment?</w:t>
                </w:r>
              </w:p>
            </w:tc>
            <w:tc>
              <w:tcPr>
                <w:tcW w:w="850"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33CB6135" w14:textId="77777777" w:rsidR="00795DE6" w:rsidRPr="009E7223" w:rsidRDefault="00795DE6" w:rsidP="00C86DAA">
                <w:pPr>
                  <w:pStyle w:val="BodyText"/>
                  <w:ind w:firstLine="122"/>
                  <w:jc w:val="center"/>
                </w:pPr>
                <w:r w:rsidRPr="009E7223">
                  <w:t>21</w:t>
                </w:r>
              </w:p>
            </w:tc>
            <w:tc>
              <w:tcPr>
                <w:tcW w:w="993"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1C5D0A32" w14:textId="77777777" w:rsidR="00795DE6" w:rsidRPr="009E7223" w:rsidRDefault="00795DE6" w:rsidP="00C86DAA">
                <w:pPr>
                  <w:pStyle w:val="BodyText"/>
                  <w:ind w:firstLine="122"/>
                  <w:jc w:val="center"/>
                </w:pPr>
                <w:r w:rsidRPr="009E7223">
                  <w:t>17</w:t>
                </w:r>
              </w:p>
            </w:tc>
            <w:tc>
              <w:tcPr>
                <w:tcW w:w="127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385CCEC5" w14:textId="77777777" w:rsidR="00795DE6" w:rsidRPr="009E7223" w:rsidRDefault="00795DE6" w:rsidP="00C86DAA">
                <w:pPr>
                  <w:pStyle w:val="BodyText"/>
                  <w:ind w:firstLine="117"/>
                  <w:jc w:val="center"/>
                </w:pPr>
                <w:r w:rsidRPr="009E7223">
                  <w:t>2</w:t>
                </w:r>
              </w:p>
            </w:tc>
            <w:tc>
              <w:tcPr>
                <w:tcW w:w="1134" w:type="dxa"/>
                <w:tcBorders>
                  <w:top w:val="single" w:sz="4" w:space="0" w:color="36424A" w:themeColor="text2"/>
                  <w:left w:val="single" w:sz="4" w:space="0" w:color="36424A" w:themeColor="text2"/>
                  <w:bottom w:val="single" w:sz="4" w:space="0" w:color="36424A" w:themeColor="text2"/>
                  <w:right w:val="single" w:sz="4" w:space="0" w:color="36424A" w:themeColor="text2"/>
                </w:tcBorders>
              </w:tcPr>
              <w:p w14:paraId="02F7A74A" w14:textId="01133E44" w:rsidR="00795DE6" w:rsidRPr="009E7223" w:rsidRDefault="002F5079" w:rsidP="00C86DAA">
                <w:pPr>
                  <w:pStyle w:val="BodyText"/>
                  <w:ind w:firstLine="117"/>
                  <w:jc w:val="center"/>
                  <w:rPr>
                    <w:b/>
                  </w:rPr>
                </w:pPr>
                <w:r w:rsidRPr="009E7223">
                  <w:rPr>
                    <w:b/>
                  </w:rPr>
                  <w:t>40</w:t>
                </w:r>
              </w:p>
            </w:tc>
          </w:tr>
          <w:tr w:rsidR="00795DE6" w:rsidRPr="009E7223" w14:paraId="7CC8294B" w14:textId="71D96180" w:rsidTr="002F5079">
            <w:tc>
              <w:tcPr>
                <w:tcW w:w="481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3A71E9BF" w14:textId="77777777" w:rsidR="00795DE6" w:rsidRPr="009E7223" w:rsidRDefault="00795DE6" w:rsidP="00C86DAA">
                <w:pPr>
                  <w:ind w:right="114"/>
                  <w:jc w:val="both"/>
                  <w:rPr>
                    <w:rFonts w:ascii="Calibri" w:hAnsi="Calibri" w:cs="Calibri"/>
                    <w:color w:val="000000"/>
                  </w:rPr>
                </w:pPr>
                <w:r w:rsidRPr="009E7223">
                  <w:rPr>
                    <w:rFonts w:ascii="Calibri" w:hAnsi="Calibri" w:cs="Calibri"/>
                    <w:color w:val="000000"/>
                  </w:rPr>
                  <w:t>3. Are there any objectives or priority actions that you feel are more important or less important than the others?</w:t>
                </w:r>
              </w:p>
            </w:tc>
            <w:tc>
              <w:tcPr>
                <w:tcW w:w="850"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3F2120A0" w14:textId="77777777" w:rsidR="00795DE6" w:rsidRPr="009E7223" w:rsidRDefault="00795DE6" w:rsidP="00C86DAA">
                <w:pPr>
                  <w:pStyle w:val="BodyText"/>
                  <w:ind w:firstLine="122"/>
                  <w:jc w:val="center"/>
                </w:pPr>
                <w:r w:rsidRPr="009E7223">
                  <w:t>41</w:t>
                </w:r>
              </w:p>
            </w:tc>
            <w:tc>
              <w:tcPr>
                <w:tcW w:w="993"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74ED649A" w14:textId="77777777" w:rsidR="00795DE6" w:rsidRPr="009E7223" w:rsidRDefault="00795DE6" w:rsidP="00C86DAA">
                <w:pPr>
                  <w:pStyle w:val="BodyText"/>
                  <w:ind w:firstLine="122"/>
                  <w:jc w:val="center"/>
                </w:pPr>
                <w:r w:rsidRPr="009E7223">
                  <w:t>3</w:t>
                </w:r>
              </w:p>
            </w:tc>
            <w:tc>
              <w:tcPr>
                <w:tcW w:w="127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523956EA" w14:textId="77777777" w:rsidR="00795DE6" w:rsidRPr="009E7223" w:rsidRDefault="00795DE6" w:rsidP="00C86DAA">
                <w:pPr>
                  <w:pStyle w:val="BodyText"/>
                  <w:ind w:firstLine="117"/>
                  <w:jc w:val="center"/>
                </w:pPr>
                <w:r w:rsidRPr="009E7223">
                  <w:t>0</w:t>
                </w:r>
              </w:p>
            </w:tc>
            <w:tc>
              <w:tcPr>
                <w:tcW w:w="1134" w:type="dxa"/>
                <w:tcBorders>
                  <w:top w:val="single" w:sz="4" w:space="0" w:color="36424A" w:themeColor="text2"/>
                  <w:left w:val="single" w:sz="4" w:space="0" w:color="36424A" w:themeColor="text2"/>
                  <w:bottom w:val="single" w:sz="4" w:space="0" w:color="36424A" w:themeColor="text2"/>
                  <w:right w:val="single" w:sz="4" w:space="0" w:color="36424A" w:themeColor="text2"/>
                </w:tcBorders>
              </w:tcPr>
              <w:p w14:paraId="3B7E5E5E" w14:textId="295FFE64" w:rsidR="00795DE6" w:rsidRPr="009E7223" w:rsidRDefault="002F5079" w:rsidP="00C86DAA">
                <w:pPr>
                  <w:pStyle w:val="BodyText"/>
                  <w:ind w:firstLine="117"/>
                  <w:jc w:val="center"/>
                  <w:rPr>
                    <w:b/>
                  </w:rPr>
                </w:pPr>
                <w:r w:rsidRPr="009E7223">
                  <w:rPr>
                    <w:b/>
                  </w:rPr>
                  <w:t>44</w:t>
                </w:r>
              </w:p>
            </w:tc>
          </w:tr>
          <w:tr w:rsidR="00795DE6" w:rsidRPr="009E7223" w14:paraId="6F8CB356" w14:textId="79F71815" w:rsidTr="002F5079">
            <w:tc>
              <w:tcPr>
                <w:tcW w:w="481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25E51DBB" w14:textId="77777777" w:rsidR="00795DE6" w:rsidRPr="009E7223" w:rsidRDefault="00795DE6" w:rsidP="00C86DAA">
                <w:pPr>
                  <w:ind w:right="114"/>
                  <w:jc w:val="both"/>
                </w:pPr>
                <w:r w:rsidRPr="009E7223">
                  <w:rPr>
                    <w:rFonts w:ascii="Calibri" w:hAnsi="Calibri" w:cs="Calibri"/>
                    <w:color w:val="000000"/>
                  </w:rPr>
                  <w:t>4. Do you think the inclusion of the priority actions for reducing inequality in Objectives 9 and 10 will help reduce gambling harm for the groups identified?</w:t>
                </w:r>
              </w:p>
            </w:tc>
            <w:tc>
              <w:tcPr>
                <w:tcW w:w="850"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61B24F98" w14:textId="77777777" w:rsidR="00795DE6" w:rsidRPr="009E7223" w:rsidRDefault="00795DE6" w:rsidP="00C86DAA">
                <w:pPr>
                  <w:pStyle w:val="BodyText"/>
                  <w:ind w:firstLine="122"/>
                  <w:jc w:val="center"/>
                </w:pPr>
                <w:r w:rsidRPr="009E7223">
                  <w:t>17</w:t>
                </w:r>
              </w:p>
            </w:tc>
            <w:tc>
              <w:tcPr>
                <w:tcW w:w="993"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10A4710F" w14:textId="77777777" w:rsidR="00795DE6" w:rsidRPr="009E7223" w:rsidRDefault="00795DE6" w:rsidP="00C86DAA">
                <w:pPr>
                  <w:pStyle w:val="BodyText"/>
                  <w:ind w:firstLine="122"/>
                  <w:jc w:val="center"/>
                </w:pPr>
                <w:r w:rsidRPr="009E7223">
                  <w:t>22</w:t>
                </w:r>
              </w:p>
            </w:tc>
            <w:tc>
              <w:tcPr>
                <w:tcW w:w="127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0F920313" w14:textId="77777777" w:rsidR="00795DE6" w:rsidRPr="009E7223" w:rsidRDefault="00795DE6" w:rsidP="00C86DAA">
                <w:pPr>
                  <w:pStyle w:val="BodyText"/>
                  <w:ind w:firstLine="117"/>
                  <w:jc w:val="center"/>
                </w:pPr>
                <w:r w:rsidRPr="009E7223">
                  <w:t>0</w:t>
                </w:r>
              </w:p>
            </w:tc>
            <w:tc>
              <w:tcPr>
                <w:tcW w:w="1134" w:type="dxa"/>
                <w:tcBorders>
                  <w:top w:val="single" w:sz="4" w:space="0" w:color="36424A" w:themeColor="text2"/>
                  <w:left w:val="single" w:sz="4" w:space="0" w:color="36424A" w:themeColor="text2"/>
                  <w:bottom w:val="single" w:sz="4" w:space="0" w:color="36424A" w:themeColor="text2"/>
                  <w:right w:val="single" w:sz="4" w:space="0" w:color="36424A" w:themeColor="text2"/>
                </w:tcBorders>
              </w:tcPr>
              <w:p w14:paraId="1763D8F7" w14:textId="71180377" w:rsidR="00795DE6" w:rsidRPr="009E7223" w:rsidRDefault="002F5079" w:rsidP="00C86DAA">
                <w:pPr>
                  <w:pStyle w:val="BodyText"/>
                  <w:ind w:firstLine="117"/>
                  <w:jc w:val="center"/>
                  <w:rPr>
                    <w:b/>
                  </w:rPr>
                </w:pPr>
                <w:r w:rsidRPr="009E7223">
                  <w:rPr>
                    <w:b/>
                  </w:rPr>
                  <w:t>39</w:t>
                </w:r>
              </w:p>
            </w:tc>
          </w:tr>
          <w:tr w:rsidR="00795DE6" w:rsidRPr="009E7223" w14:paraId="57DA6D14" w14:textId="6C872E9B" w:rsidTr="002F5079">
            <w:tc>
              <w:tcPr>
                <w:tcW w:w="481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03C8D65E" w14:textId="77777777" w:rsidR="00795DE6" w:rsidRPr="009E7223" w:rsidRDefault="00795DE6" w:rsidP="00C86DAA">
                <w:pPr>
                  <w:ind w:right="114"/>
                  <w:jc w:val="both"/>
                  <w:rPr>
                    <w:rFonts w:ascii="Calibri" w:hAnsi="Calibri" w:cs="Calibri"/>
                    <w:color w:val="000000"/>
                  </w:rPr>
                </w:pPr>
                <w:r w:rsidRPr="009E7223">
                  <w:rPr>
                    <w:rFonts w:ascii="Calibri" w:hAnsi="Calibri" w:cs="Calibri"/>
                    <w:color w:val="000000"/>
                  </w:rPr>
                  <w:t>5. Are there other actions to prevent and minimise gambling harm that should be included as priority actions?</w:t>
                </w:r>
              </w:p>
            </w:tc>
            <w:tc>
              <w:tcPr>
                <w:tcW w:w="850"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4AD48BD2" w14:textId="77777777" w:rsidR="00795DE6" w:rsidRPr="009E7223" w:rsidRDefault="00795DE6" w:rsidP="00C86DAA">
                <w:pPr>
                  <w:pStyle w:val="BodyText"/>
                  <w:ind w:firstLine="122"/>
                  <w:jc w:val="center"/>
                </w:pPr>
                <w:r w:rsidRPr="009E7223">
                  <w:t>38</w:t>
                </w:r>
              </w:p>
            </w:tc>
            <w:tc>
              <w:tcPr>
                <w:tcW w:w="993"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5704CF8E" w14:textId="77777777" w:rsidR="00795DE6" w:rsidRPr="009E7223" w:rsidRDefault="00795DE6" w:rsidP="00C86DAA">
                <w:pPr>
                  <w:pStyle w:val="BodyText"/>
                  <w:ind w:firstLine="122"/>
                  <w:jc w:val="center"/>
                </w:pPr>
                <w:r w:rsidRPr="009E7223">
                  <w:t>5</w:t>
                </w:r>
              </w:p>
            </w:tc>
            <w:tc>
              <w:tcPr>
                <w:tcW w:w="127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6E9B5360" w14:textId="77777777" w:rsidR="00795DE6" w:rsidRPr="009E7223" w:rsidRDefault="00795DE6" w:rsidP="00C86DAA">
                <w:pPr>
                  <w:pStyle w:val="BodyText"/>
                  <w:ind w:firstLine="117"/>
                  <w:jc w:val="center"/>
                </w:pPr>
                <w:r w:rsidRPr="009E7223">
                  <w:t>0</w:t>
                </w:r>
              </w:p>
            </w:tc>
            <w:tc>
              <w:tcPr>
                <w:tcW w:w="1134" w:type="dxa"/>
                <w:tcBorders>
                  <w:top w:val="single" w:sz="4" w:space="0" w:color="36424A" w:themeColor="text2"/>
                  <w:left w:val="single" w:sz="4" w:space="0" w:color="36424A" w:themeColor="text2"/>
                  <w:bottom w:val="single" w:sz="4" w:space="0" w:color="36424A" w:themeColor="text2"/>
                  <w:right w:val="single" w:sz="4" w:space="0" w:color="36424A" w:themeColor="text2"/>
                </w:tcBorders>
              </w:tcPr>
              <w:p w14:paraId="1913D6F7" w14:textId="4A8A80E2" w:rsidR="00795DE6" w:rsidRPr="009E7223" w:rsidRDefault="002F5079" w:rsidP="00C86DAA">
                <w:pPr>
                  <w:pStyle w:val="BodyText"/>
                  <w:ind w:firstLine="117"/>
                  <w:jc w:val="center"/>
                  <w:rPr>
                    <w:b/>
                  </w:rPr>
                </w:pPr>
                <w:r w:rsidRPr="009E7223">
                  <w:rPr>
                    <w:b/>
                  </w:rPr>
                  <w:t>43</w:t>
                </w:r>
              </w:p>
            </w:tc>
          </w:tr>
        </w:tbl>
        <w:p w14:paraId="40A98041" w14:textId="4155CE46" w:rsidR="000C0EA8" w:rsidRPr="009E7223" w:rsidRDefault="001D114E" w:rsidP="000C0EA8">
          <w:pPr>
            <w:pStyle w:val="BodyText"/>
          </w:pPr>
          <w:r w:rsidRPr="009E7223">
            <w:t xml:space="preserve">The </w:t>
          </w:r>
          <w:r w:rsidR="000C0EA8" w:rsidRPr="009E7223">
            <w:t>consultation document</w:t>
          </w:r>
          <w:r w:rsidRPr="009E7223">
            <w:t xml:space="preserve"> sets out the statutory requirements for an integrated problem gambling strategy and the aim for gambling harm minimisation, </w:t>
          </w:r>
          <w:r w:rsidR="00AB7ECA">
            <w:t xml:space="preserve">specifying </w:t>
          </w:r>
          <w:r w:rsidRPr="009E7223">
            <w:t xml:space="preserve">11 </w:t>
          </w:r>
          <w:r w:rsidR="00CF476B" w:rsidRPr="009E7223">
            <w:t>s</w:t>
          </w:r>
          <w:r w:rsidRPr="009E7223">
            <w:t xml:space="preserve">trategic </w:t>
          </w:r>
          <w:r w:rsidR="00CF476B" w:rsidRPr="009E7223">
            <w:t>o</w:t>
          </w:r>
          <w:r w:rsidRPr="009E7223">
            <w:t xml:space="preserve">bjectives. </w:t>
          </w:r>
          <w:r w:rsidR="000C0EA8" w:rsidRPr="009E7223">
            <w:t xml:space="preserve">Responses were received from across the six sector groups, as detailed in </w:t>
          </w:r>
          <w:r w:rsidR="000C0EA8" w:rsidRPr="009E7223">
            <w:fldChar w:fldCharType="begin"/>
          </w:r>
          <w:r w:rsidR="000C0EA8" w:rsidRPr="009E7223">
            <w:instrText xml:space="preserve"> REF _Ref527731994 \h  \* MERGEFORMAT </w:instrText>
          </w:r>
          <w:r w:rsidR="000C0EA8" w:rsidRPr="009E7223">
            <w:fldChar w:fldCharType="separate"/>
          </w:r>
          <w:r w:rsidR="00CE4EFF" w:rsidRPr="009E7223">
            <w:t xml:space="preserve">Table </w:t>
          </w:r>
          <w:r w:rsidR="00CE4EFF">
            <w:rPr>
              <w:noProof/>
            </w:rPr>
            <w:t>3</w:t>
          </w:r>
          <w:r w:rsidR="000C0EA8" w:rsidRPr="009E7223">
            <w:fldChar w:fldCharType="end"/>
          </w:r>
          <w:r w:rsidR="000C0EA8" w:rsidRPr="009E7223">
            <w:t>.</w:t>
          </w:r>
        </w:p>
        <w:p w14:paraId="5CD5A6E4" w14:textId="17A0C60C" w:rsidR="00C86DAA" w:rsidRPr="009E7223" w:rsidRDefault="00C86DAA" w:rsidP="00C86DAA">
          <w:pPr>
            <w:pStyle w:val="Caption"/>
            <w:keepNext/>
          </w:pPr>
          <w:bookmarkStart w:id="39" w:name="_Ref527731994"/>
          <w:bookmarkStart w:id="40" w:name="_Toc527355906"/>
          <w:bookmarkStart w:id="41" w:name="_Toc529787384"/>
          <w:r w:rsidRPr="009E7223">
            <w:t xml:space="preserve">Table </w:t>
          </w:r>
          <w:r w:rsidR="000939D4" w:rsidRPr="009E7223">
            <w:rPr>
              <w:noProof/>
            </w:rPr>
            <w:fldChar w:fldCharType="begin"/>
          </w:r>
          <w:r w:rsidR="000939D4" w:rsidRPr="009E7223">
            <w:rPr>
              <w:noProof/>
            </w:rPr>
            <w:instrText xml:space="preserve"> SEQ Table \* ARABIC </w:instrText>
          </w:r>
          <w:r w:rsidR="000939D4" w:rsidRPr="009E7223">
            <w:rPr>
              <w:noProof/>
            </w:rPr>
            <w:fldChar w:fldCharType="separate"/>
          </w:r>
          <w:r w:rsidR="00CE4EFF">
            <w:rPr>
              <w:noProof/>
            </w:rPr>
            <w:t>3</w:t>
          </w:r>
          <w:r w:rsidR="000939D4" w:rsidRPr="009E7223">
            <w:rPr>
              <w:noProof/>
            </w:rPr>
            <w:fldChar w:fldCharType="end"/>
          </w:r>
          <w:bookmarkEnd w:id="39"/>
          <w:r w:rsidRPr="009E7223">
            <w:t xml:space="preserve">: Number of submissions, by submitter classification, concerning the Strategic </w:t>
          </w:r>
          <w:bookmarkEnd w:id="40"/>
          <w:r w:rsidR="0065722E" w:rsidRPr="009E7223">
            <w:t>Framework</w:t>
          </w:r>
          <w:bookmarkEnd w:id="41"/>
        </w:p>
        <w:tbl>
          <w:tblPr>
            <w:tblStyle w:val="ACGrey-BasicTable"/>
            <w:tblW w:w="9067" w:type="dxa"/>
            <w:tblLook w:val="04A0" w:firstRow="1" w:lastRow="0" w:firstColumn="1" w:lastColumn="0" w:noHBand="0" w:noVBand="1"/>
          </w:tblPr>
          <w:tblGrid>
            <w:gridCol w:w="1511"/>
            <w:gridCol w:w="1511"/>
            <w:gridCol w:w="1511"/>
            <w:gridCol w:w="1511"/>
            <w:gridCol w:w="1511"/>
            <w:gridCol w:w="1512"/>
          </w:tblGrid>
          <w:tr w:rsidR="00C86DAA" w:rsidRPr="009E7223" w14:paraId="0BDB54F9" w14:textId="77777777" w:rsidTr="002F5079">
            <w:trPr>
              <w:cnfStyle w:val="100000000000" w:firstRow="1" w:lastRow="0" w:firstColumn="0" w:lastColumn="0" w:oddVBand="0" w:evenVBand="0" w:oddHBand="0" w:evenHBand="0" w:firstRowFirstColumn="0" w:firstRowLastColumn="0" w:lastRowFirstColumn="0" w:lastRowLastColumn="0"/>
              <w:trHeight w:val="810"/>
            </w:trPr>
            <w:tc>
              <w:tcPr>
                <w:tcW w:w="151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0B704FAC" w14:textId="41777813" w:rsidR="00C86DAA" w:rsidRPr="009E7223" w:rsidRDefault="00C86DAA" w:rsidP="00C86DAA">
                <w:pPr>
                  <w:pStyle w:val="BodyText"/>
                  <w:jc w:val="center"/>
                </w:pPr>
                <w:r w:rsidRPr="009E7223">
                  <w:t>NCGM</w:t>
                </w:r>
                <w:r w:rsidR="000C0EA8" w:rsidRPr="009E7223">
                  <w:br/>
                  <w:t>sector</w:t>
                </w:r>
              </w:p>
            </w:tc>
            <w:tc>
              <w:tcPr>
                <w:tcW w:w="151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6EAD40F7" w14:textId="69F0C3B0" w:rsidR="00C86DAA" w:rsidRPr="009E7223" w:rsidRDefault="00C86DAA" w:rsidP="00C86DAA">
                <w:pPr>
                  <w:pStyle w:val="BodyText"/>
                  <w:jc w:val="center"/>
                </w:pPr>
                <w:r w:rsidRPr="009E7223">
                  <w:t>Gambling Industry</w:t>
                </w:r>
                <w:r w:rsidR="00F92292" w:rsidRPr="009E7223">
                  <w:t xml:space="preserve"> (other)</w:t>
                </w:r>
              </w:p>
            </w:tc>
            <w:tc>
              <w:tcPr>
                <w:tcW w:w="151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07A22883" w14:textId="77777777" w:rsidR="00C86DAA" w:rsidRPr="009E7223" w:rsidRDefault="00C86DAA" w:rsidP="00C86DAA">
                <w:pPr>
                  <w:pStyle w:val="BodyText"/>
                  <w:jc w:val="center"/>
                </w:pPr>
                <w:r w:rsidRPr="009E7223">
                  <w:t>Service Providers</w:t>
                </w:r>
              </w:p>
            </w:tc>
            <w:tc>
              <w:tcPr>
                <w:tcW w:w="151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72F8E8E7" w14:textId="39D59B78" w:rsidR="00C86DAA" w:rsidRPr="009E7223" w:rsidRDefault="00C86DAA" w:rsidP="00C86DAA">
                <w:pPr>
                  <w:pStyle w:val="BodyText"/>
                  <w:jc w:val="center"/>
                </w:pPr>
                <w:r w:rsidRPr="009E7223">
                  <w:t>Health</w:t>
                </w:r>
                <w:r w:rsidR="00F92292" w:rsidRPr="009E7223">
                  <w:br/>
                </w:r>
                <w:r w:rsidR="000C0EA8" w:rsidRPr="009E7223">
                  <w:t>sector</w:t>
                </w:r>
              </w:p>
            </w:tc>
            <w:tc>
              <w:tcPr>
                <w:tcW w:w="151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520BD26A" w14:textId="77777777" w:rsidR="00C86DAA" w:rsidRPr="009E7223" w:rsidRDefault="00C86DAA" w:rsidP="00C86DAA">
                <w:pPr>
                  <w:pStyle w:val="BodyText"/>
                  <w:jc w:val="center"/>
                </w:pPr>
                <w:r w:rsidRPr="009E7223">
                  <w:t>Local Government</w:t>
                </w:r>
              </w:p>
            </w:tc>
            <w:tc>
              <w:tcPr>
                <w:tcW w:w="1512"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2A9406F3" w14:textId="77777777" w:rsidR="00C86DAA" w:rsidRPr="009E7223" w:rsidRDefault="00C86DAA" w:rsidP="00C86DAA">
                <w:pPr>
                  <w:pStyle w:val="BodyText"/>
                  <w:jc w:val="center"/>
                </w:pPr>
                <w:r w:rsidRPr="009E7223">
                  <w:t>Individuals</w:t>
                </w:r>
              </w:p>
            </w:tc>
          </w:tr>
          <w:tr w:rsidR="00C86DAA" w:rsidRPr="009E7223" w14:paraId="35E2DC90" w14:textId="77777777" w:rsidTr="002F5079">
            <w:trPr>
              <w:trHeight w:val="525"/>
            </w:trPr>
            <w:tc>
              <w:tcPr>
                <w:tcW w:w="151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78578CE0" w14:textId="77777777" w:rsidR="00C86DAA" w:rsidRPr="009E7223" w:rsidRDefault="00C86DAA" w:rsidP="00C86DAA">
                <w:pPr>
                  <w:pStyle w:val="BodyText"/>
                  <w:jc w:val="center"/>
                </w:pPr>
                <w:r w:rsidRPr="009E7223">
                  <w:t>20/22</w:t>
                </w:r>
              </w:p>
            </w:tc>
            <w:tc>
              <w:tcPr>
                <w:tcW w:w="151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51C464F6" w14:textId="77777777" w:rsidR="00C86DAA" w:rsidRPr="009E7223" w:rsidRDefault="00C86DAA" w:rsidP="00C86DAA">
                <w:pPr>
                  <w:pStyle w:val="BodyText"/>
                  <w:jc w:val="center"/>
                </w:pPr>
                <w:r w:rsidRPr="009E7223">
                  <w:t>8/8</w:t>
                </w:r>
              </w:p>
            </w:tc>
            <w:tc>
              <w:tcPr>
                <w:tcW w:w="151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7662074F" w14:textId="77777777" w:rsidR="00C86DAA" w:rsidRPr="009E7223" w:rsidRDefault="00C86DAA" w:rsidP="00C86DAA">
                <w:pPr>
                  <w:pStyle w:val="BodyText"/>
                  <w:jc w:val="center"/>
                </w:pPr>
                <w:r w:rsidRPr="009E7223">
                  <w:t>21/21</w:t>
                </w:r>
              </w:p>
            </w:tc>
            <w:tc>
              <w:tcPr>
                <w:tcW w:w="151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29BF48A7" w14:textId="77777777" w:rsidR="00C86DAA" w:rsidRPr="009E7223" w:rsidRDefault="00C86DAA" w:rsidP="00C86DAA">
                <w:pPr>
                  <w:pStyle w:val="BodyText"/>
                  <w:jc w:val="center"/>
                </w:pPr>
                <w:r w:rsidRPr="009E7223">
                  <w:t>12/13</w:t>
                </w:r>
              </w:p>
            </w:tc>
            <w:tc>
              <w:tcPr>
                <w:tcW w:w="151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2A52F853" w14:textId="77777777" w:rsidR="00C86DAA" w:rsidRPr="009E7223" w:rsidRDefault="00C86DAA" w:rsidP="00C86DAA">
                <w:pPr>
                  <w:pStyle w:val="BodyText"/>
                  <w:jc w:val="center"/>
                </w:pPr>
                <w:r w:rsidRPr="009E7223">
                  <w:t>4/6</w:t>
                </w:r>
              </w:p>
            </w:tc>
            <w:tc>
              <w:tcPr>
                <w:tcW w:w="1512"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4C0D50D5" w14:textId="77777777" w:rsidR="00C86DAA" w:rsidRPr="009E7223" w:rsidRDefault="00C86DAA" w:rsidP="00C86DAA">
                <w:pPr>
                  <w:pStyle w:val="BodyText"/>
                  <w:jc w:val="center"/>
                </w:pPr>
                <w:r w:rsidRPr="009E7223">
                  <w:t>12/12</w:t>
                </w:r>
              </w:p>
            </w:tc>
          </w:tr>
        </w:tbl>
        <w:p w14:paraId="2DE10F4E" w14:textId="1643051E" w:rsidR="00FF3BB5" w:rsidRPr="009E7223" w:rsidRDefault="002F5079" w:rsidP="00FF3BB5">
          <w:pPr>
            <w:pStyle w:val="NumberedHeading2"/>
          </w:pPr>
          <w:bookmarkStart w:id="42" w:name="_Toc527040863"/>
          <w:bookmarkStart w:id="43" w:name="_Ref527474383"/>
          <w:bookmarkStart w:id="44" w:name="_Toc531098157"/>
          <w:r w:rsidRPr="009E7223">
            <w:t>D</w:t>
          </w:r>
          <w:r w:rsidR="00FF3BB5" w:rsidRPr="009E7223">
            <w:t xml:space="preserve">egree of support for the draft </w:t>
          </w:r>
          <w:r w:rsidR="0065722E" w:rsidRPr="009E7223">
            <w:t>s</w:t>
          </w:r>
          <w:r w:rsidR="00FF3BB5" w:rsidRPr="009E7223">
            <w:t xml:space="preserve">trategic </w:t>
          </w:r>
          <w:r w:rsidR="0065722E" w:rsidRPr="009E7223">
            <w:t>d</w:t>
          </w:r>
          <w:r w:rsidR="00FF3BB5" w:rsidRPr="009E7223">
            <w:t>irection</w:t>
          </w:r>
          <w:bookmarkEnd w:id="44"/>
        </w:p>
        <w:p w14:paraId="6EE05B94" w14:textId="4B1106FF" w:rsidR="00C86DAA" w:rsidRPr="009E7223" w:rsidRDefault="00FF3BB5" w:rsidP="00C86DAA">
          <w:pPr>
            <w:pStyle w:val="NumberedHeading3"/>
          </w:pPr>
          <w:bookmarkStart w:id="45" w:name="_Toc531098158"/>
          <w:r w:rsidRPr="009E7223">
            <w:t xml:space="preserve">Roughly half of the submitters supported the draft </w:t>
          </w:r>
          <w:r w:rsidR="0065722E" w:rsidRPr="009E7223">
            <w:t>s</w:t>
          </w:r>
          <w:r w:rsidRPr="009E7223">
            <w:t xml:space="preserve">trategic </w:t>
          </w:r>
          <w:r w:rsidR="0065722E" w:rsidRPr="009E7223">
            <w:t>d</w:t>
          </w:r>
          <w:r w:rsidRPr="009E7223">
            <w:t>irection to some degree</w:t>
          </w:r>
          <w:bookmarkEnd w:id="36"/>
          <w:bookmarkEnd w:id="42"/>
          <w:bookmarkEnd w:id="43"/>
          <w:bookmarkEnd w:id="45"/>
        </w:p>
        <w:p w14:paraId="30262451" w14:textId="259E79CD" w:rsidR="00C86DAA" w:rsidRPr="009E7223" w:rsidRDefault="00C86DAA" w:rsidP="00C86DAA">
          <w:pPr>
            <w:pStyle w:val="BodyText"/>
          </w:pPr>
          <w:r w:rsidRPr="009E7223">
            <w:t xml:space="preserve">Forty-eight submitters expressed support for the draft </w:t>
          </w:r>
          <w:r w:rsidR="0065722E" w:rsidRPr="009E7223">
            <w:t>strategic direction</w:t>
          </w:r>
          <w:r w:rsidRPr="009E7223">
            <w:t xml:space="preserve">. Of these, 36 provided a simple “Yes” answer to Question 1, and 12 expressed “Qualified Support” for the draft </w:t>
          </w:r>
          <w:r w:rsidR="0065722E" w:rsidRPr="009E7223">
            <w:t xml:space="preserve">strategic </w:t>
          </w:r>
          <w:r w:rsidR="0065722E" w:rsidRPr="009E7223">
            <w:lastRenderedPageBreak/>
            <w:t>direction</w:t>
          </w:r>
          <w:r w:rsidR="00214041" w:rsidRPr="009E7223">
            <w:t xml:space="preserve"> –</w:t>
          </w:r>
          <w:r w:rsidRPr="009E7223">
            <w:t xml:space="preserve"> that is, they answered that they supported it, but </w:t>
          </w:r>
          <w:r w:rsidR="001D114E" w:rsidRPr="009E7223">
            <w:t xml:space="preserve">also commented on how the draft </w:t>
          </w:r>
          <w:r w:rsidR="0065722E" w:rsidRPr="009E7223">
            <w:t>strategic direction</w:t>
          </w:r>
          <w:r w:rsidR="001D114E" w:rsidRPr="009E7223">
            <w:t xml:space="preserve"> could be enhanced.</w:t>
          </w:r>
        </w:p>
        <w:p w14:paraId="424C1277" w14:textId="77049AF2" w:rsidR="00C86DAA" w:rsidRPr="009E7223" w:rsidRDefault="001D114E" w:rsidP="00C86DAA">
          <w:pPr>
            <w:pStyle w:val="BodyText"/>
          </w:pPr>
          <w:r w:rsidRPr="009E7223">
            <w:t xml:space="preserve">Submitters </w:t>
          </w:r>
          <w:r w:rsidR="00C86DAA" w:rsidRPr="009E7223">
            <w:t>from all sectors expressed support for the overall strategic direction. Service Providers,</w:t>
          </w:r>
          <w:r w:rsidR="00C86DAA" w:rsidRPr="009E7223">
            <w:rPr>
              <w:rStyle w:val="FootnoteReference"/>
            </w:rPr>
            <w:footnoteReference w:id="18"/>
          </w:r>
          <w:r w:rsidR="00C86DAA" w:rsidRPr="009E7223">
            <w:t xml:space="preserve"> </w:t>
          </w:r>
          <w:r w:rsidR="003052F1" w:rsidRPr="009E7223">
            <w:t>Health sector</w:t>
          </w:r>
          <w:r w:rsidR="00C86DAA" w:rsidRPr="009E7223">
            <w:t xml:space="preserve"> submitters,</w:t>
          </w:r>
          <w:r w:rsidR="00C86DAA" w:rsidRPr="009E7223">
            <w:rPr>
              <w:rStyle w:val="FootnoteReference"/>
            </w:rPr>
            <w:footnoteReference w:id="19"/>
          </w:r>
          <w:r w:rsidR="00C86DAA" w:rsidRPr="009E7223">
            <w:t xml:space="preserve"> Local Government</w:t>
          </w:r>
          <w:r w:rsidR="00C86DAA" w:rsidRPr="009E7223">
            <w:rPr>
              <w:rStyle w:val="FootnoteReference"/>
            </w:rPr>
            <w:footnoteReference w:id="20"/>
          </w:r>
          <w:r w:rsidR="00C86DAA" w:rsidRPr="009E7223">
            <w:t xml:space="preserve"> and individuals</w:t>
          </w:r>
          <w:r w:rsidR="00C86DAA" w:rsidRPr="009E7223">
            <w:rPr>
              <w:rStyle w:val="FootnoteReference"/>
            </w:rPr>
            <w:footnoteReference w:id="21"/>
          </w:r>
          <w:r w:rsidR="00C86DAA" w:rsidRPr="009E7223">
            <w:t xml:space="preserve"> were the strongest supporters of the draft Strategy, with some support from the NCGM Sector and Gambling Industry</w:t>
          </w:r>
          <w:r w:rsidRPr="009E7223">
            <w:t xml:space="preserve"> (other)</w:t>
          </w:r>
          <w:r w:rsidR="00C86DAA" w:rsidRPr="009E7223">
            <w:t>.</w:t>
          </w:r>
          <w:r w:rsidR="00C86DAA" w:rsidRPr="009E7223">
            <w:rPr>
              <w:rStyle w:val="FootnoteReference"/>
            </w:rPr>
            <w:footnoteReference w:id="22"/>
          </w:r>
        </w:p>
        <w:p w14:paraId="7B6D2D4D" w14:textId="60437DFC" w:rsidR="00C86DAA" w:rsidRPr="009E7223" w:rsidRDefault="00C86DAA" w:rsidP="00C86DAA">
          <w:pPr>
            <w:pStyle w:val="BodyText"/>
          </w:pPr>
          <w:r w:rsidRPr="009E7223">
            <w:t xml:space="preserve">Specific positives about the </w:t>
          </w:r>
          <w:r w:rsidR="0065722E" w:rsidRPr="009E7223">
            <w:t>proposed</w:t>
          </w:r>
          <w:r w:rsidRPr="009E7223">
            <w:t xml:space="preserve"> </w:t>
          </w:r>
          <w:r w:rsidR="0065722E" w:rsidRPr="009E7223">
            <w:t>strategic direction</w:t>
          </w:r>
          <w:r w:rsidRPr="009E7223">
            <w:t xml:space="preserve"> raised by submitters included</w:t>
          </w:r>
          <w:r w:rsidR="00B32A27">
            <w:t xml:space="preserve"> support for</w:t>
          </w:r>
          <w:r w:rsidR="00DD4F55">
            <w:t xml:space="preserve"> the</w:t>
          </w:r>
          <w:r w:rsidRPr="009E7223">
            <w:t>:</w:t>
          </w:r>
        </w:p>
        <w:p w14:paraId="266FED84" w14:textId="2FB71334" w:rsidR="00C86DAA" w:rsidRPr="009E7223" w:rsidRDefault="00C86DAA" w:rsidP="00C86DAA">
          <w:pPr>
            <w:pStyle w:val="List-BulletLvl1"/>
          </w:pPr>
          <w:r w:rsidRPr="009E7223">
            <w:t>introduction of peer support programmes on a voluntary basis (four Service Providers and two NCGM</w:t>
          </w:r>
          <w:r w:rsidR="0090650B" w:rsidRPr="009E7223">
            <w:t xml:space="preserve"> sector submitters</w:t>
          </w:r>
          <w:r w:rsidRPr="009E7223">
            <w:t>)</w:t>
          </w:r>
          <w:r w:rsidRPr="009E7223">
            <w:rPr>
              <w:rStyle w:val="FootnoteReference"/>
            </w:rPr>
            <w:footnoteReference w:id="23"/>
          </w:r>
        </w:p>
        <w:p w14:paraId="2EF7B540" w14:textId="424C5A62" w:rsidR="00C86DAA" w:rsidRPr="009E7223" w:rsidRDefault="00C86DAA" w:rsidP="00C86DAA">
          <w:pPr>
            <w:pStyle w:val="List-BulletLvl1"/>
          </w:pPr>
          <w:r w:rsidRPr="009E7223">
            <w:t xml:space="preserve">key principles which guided the development of the Strategic </w:t>
          </w:r>
          <w:r w:rsidR="0065722E" w:rsidRPr="009E7223">
            <w:t>Framework</w:t>
          </w:r>
          <w:r w:rsidRPr="009E7223">
            <w:t xml:space="preserve">, particularly to reflect the relationship between the Crown and Māori under Te Tiriti o Waitangi, and to achieve health equity through a range of focus areas (two </w:t>
          </w:r>
          <w:r w:rsidR="003052F1" w:rsidRPr="009E7223">
            <w:t>Health sector</w:t>
          </w:r>
          <w:r w:rsidR="00214041" w:rsidRPr="009E7223">
            <w:t xml:space="preserve"> submitters</w:t>
          </w:r>
          <w:r w:rsidRPr="009E7223">
            <w:t>, one Local Government and one Service Provider)</w:t>
          </w:r>
          <w:r w:rsidRPr="009E7223">
            <w:rPr>
              <w:rStyle w:val="FootnoteReference"/>
            </w:rPr>
            <w:footnoteReference w:id="24"/>
          </w:r>
        </w:p>
        <w:p w14:paraId="6FF118FC" w14:textId="71B90D19" w:rsidR="00C86DAA" w:rsidRPr="009E7223" w:rsidRDefault="00DD4F55" w:rsidP="00C86DAA">
          <w:pPr>
            <w:pStyle w:val="List-BulletLvl1"/>
          </w:pPr>
          <w:r>
            <w:t>introduction of</w:t>
          </w:r>
          <w:r w:rsidR="00C86DAA" w:rsidRPr="009E7223">
            <w:t xml:space="preserve"> residential care services for the most vulnerable clients (three Service Providers)</w:t>
          </w:r>
          <w:r w:rsidR="00C86DAA" w:rsidRPr="009E7223">
            <w:rPr>
              <w:rStyle w:val="FootnoteReference"/>
            </w:rPr>
            <w:footnoteReference w:id="25"/>
          </w:r>
        </w:p>
        <w:p w14:paraId="0F58795B" w14:textId="44878FF6" w:rsidR="00C86DAA" w:rsidRPr="009E7223" w:rsidRDefault="00C86DAA" w:rsidP="00C86DAA">
          <w:pPr>
            <w:pStyle w:val="List-BulletLvl1"/>
          </w:pPr>
          <w:r w:rsidRPr="009E7223">
            <w:t xml:space="preserve">need for a rethink, refocus and revitalisation of the Strategic </w:t>
          </w:r>
          <w:r w:rsidR="0065722E" w:rsidRPr="009E7223">
            <w:t>Fram</w:t>
          </w:r>
          <w:r w:rsidR="00527519" w:rsidRPr="009E7223">
            <w:t>e</w:t>
          </w:r>
          <w:r w:rsidR="0065722E" w:rsidRPr="009E7223">
            <w:t>work</w:t>
          </w:r>
          <w:r w:rsidRPr="009E7223">
            <w:t xml:space="preserve"> (two NCGM</w:t>
          </w:r>
          <w:r w:rsidR="0090650B" w:rsidRPr="009E7223">
            <w:t xml:space="preserve"> sector submitters</w:t>
          </w:r>
          <w:r w:rsidRPr="009E7223">
            <w:t xml:space="preserve">, one </w:t>
          </w:r>
          <w:r w:rsidR="003052F1" w:rsidRPr="009E7223">
            <w:t>Health sector</w:t>
          </w:r>
          <w:r w:rsidRPr="009E7223">
            <w:t>, and one individual)</w:t>
          </w:r>
          <w:r w:rsidRPr="009E7223">
            <w:rPr>
              <w:rStyle w:val="FootnoteReference"/>
            </w:rPr>
            <w:footnoteReference w:id="26"/>
          </w:r>
        </w:p>
        <w:p w14:paraId="50344AA2" w14:textId="64390C75" w:rsidR="00C86DAA" w:rsidRPr="009E7223" w:rsidRDefault="00C86DAA" w:rsidP="00C86DAA">
          <w:pPr>
            <w:pStyle w:val="List-BulletLvl1"/>
          </w:pPr>
          <w:r w:rsidRPr="009E7223">
            <w:t>addressing the high relapse rate (NCGM)</w:t>
          </w:r>
          <w:r w:rsidRPr="009E7223">
            <w:rPr>
              <w:rStyle w:val="FootnoteReference"/>
            </w:rPr>
            <w:footnoteReference w:id="27"/>
          </w:r>
        </w:p>
        <w:p w14:paraId="012019FF" w14:textId="43F23D7B" w:rsidR="00C86DAA" w:rsidRPr="009E7223" w:rsidRDefault="00DD4F55" w:rsidP="00C86DAA">
          <w:pPr>
            <w:pStyle w:val="List-BulletLvl1"/>
          </w:pPr>
          <w:r>
            <w:t xml:space="preserve">acknowledgement of individuals as gambling harm minimisation stakeholders, by including individuals in the consultation process </w:t>
          </w:r>
          <w:r w:rsidR="00C86DAA" w:rsidRPr="009E7223">
            <w:t>(individual)</w:t>
          </w:r>
          <w:r w:rsidR="00C86DAA" w:rsidRPr="009E7223">
            <w:rPr>
              <w:rStyle w:val="FootnoteReference"/>
            </w:rPr>
            <w:footnoteReference w:id="28"/>
          </w:r>
        </w:p>
        <w:p w14:paraId="479209C1" w14:textId="4D4AE86A" w:rsidR="00C86DAA" w:rsidRPr="009E7223" w:rsidRDefault="00C86DAA" w:rsidP="00C86DAA">
          <w:pPr>
            <w:pStyle w:val="List-BulletLvl1"/>
          </w:pPr>
          <w:r w:rsidRPr="009E7223">
            <w:t>adoption of new harm minimisation tools that will be cost-effective and target problem gamblers without unduly impacting casual and recreational gamblers who are not at risk of harm (NCGM)</w:t>
          </w:r>
          <w:r w:rsidRPr="009E7223">
            <w:rPr>
              <w:rStyle w:val="FootnoteReference"/>
            </w:rPr>
            <w:footnoteReference w:id="29"/>
          </w:r>
        </w:p>
        <w:p w14:paraId="488CFAD8" w14:textId="45D88564" w:rsidR="00C86DAA" w:rsidRPr="009E7223" w:rsidRDefault="00DD4F55" w:rsidP="00C86DAA">
          <w:pPr>
            <w:pStyle w:val="List-BulletLvl1"/>
          </w:pPr>
          <w:r>
            <w:t xml:space="preserve">recognition that problem gambling is often accompanied by other issues, prompting an emphasis on </w:t>
          </w:r>
          <w:r w:rsidR="00C86DAA" w:rsidRPr="009E7223">
            <w:t>link</w:t>
          </w:r>
          <w:r>
            <w:t>ing</w:t>
          </w:r>
          <w:r w:rsidR="00C86DAA" w:rsidRPr="009E7223">
            <w:t xml:space="preserve"> problem gambling services </w:t>
          </w:r>
          <w:r>
            <w:t xml:space="preserve">with </w:t>
          </w:r>
          <w:r w:rsidR="00C86DAA" w:rsidRPr="009E7223">
            <w:t xml:space="preserve">other social and health services, (one </w:t>
          </w:r>
          <w:r w:rsidR="003052F1" w:rsidRPr="009E7223">
            <w:t>Health sector</w:t>
          </w:r>
          <w:r w:rsidR="00124D5B" w:rsidRPr="009E7223">
            <w:t xml:space="preserve"> submitter</w:t>
          </w:r>
          <w:r w:rsidR="00C86DAA" w:rsidRPr="009E7223">
            <w:t>),</w:t>
          </w:r>
          <w:r w:rsidR="00C86DAA" w:rsidRPr="009E7223">
            <w:rPr>
              <w:rStyle w:val="FootnoteReference"/>
            </w:rPr>
            <w:footnoteReference w:id="30"/>
          </w:r>
          <w:r w:rsidR="00C86DAA" w:rsidRPr="009E7223">
            <w:t xml:space="preserve"> and</w:t>
          </w:r>
        </w:p>
        <w:p w14:paraId="63800B94" w14:textId="4110F917" w:rsidR="00C86DAA" w:rsidRPr="009E7223" w:rsidRDefault="00C86DAA" w:rsidP="00C86DAA">
          <w:pPr>
            <w:pStyle w:val="List-BulletLvl1"/>
          </w:pPr>
          <w:r w:rsidRPr="009E7223">
            <w:t>benefits to a larger number of people who have low or moderate gambling risk, and not just a focus on acute problem gamblers (one NCGM).</w:t>
          </w:r>
          <w:r w:rsidRPr="009E7223">
            <w:rPr>
              <w:rStyle w:val="FootnoteReference"/>
            </w:rPr>
            <w:footnoteReference w:id="31"/>
          </w:r>
        </w:p>
        <w:p w14:paraId="4249282C" w14:textId="3DA332BE" w:rsidR="00C86DAA" w:rsidRPr="009E7223" w:rsidRDefault="00FF3BB5" w:rsidP="00C86DAA">
          <w:pPr>
            <w:pStyle w:val="NumberedHeading3"/>
          </w:pPr>
          <w:bookmarkStart w:id="46" w:name="_Toc430861673"/>
          <w:bookmarkStart w:id="47" w:name="_Toc527040864"/>
          <w:bookmarkStart w:id="48" w:name="_Toc531098159"/>
          <w:r w:rsidRPr="009E7223">
            <w:lastRenderedPageBreak/>
            <w:t xml:space="preserve">Some submitters had </w:t>
          </w:r>
          <w:r w:rsidR="00EC5E54" w:rsidRPr="009E7223">
            <w:t xml:space="preserve">concerns </w:t>
          </w:r>
          <w:r w:rsidR="00C86DAA" w:rsidRPr="009E7223">
            <w:t xml:space="preserve">about the </w:t>
          </w:r>
          <w:r w:rsidR="0065722E" w:rsidRPr="009E7223">
            <w:t>proposed s</w:t>
          </w:r>
          <w:r w:rsidR="00C86DAA" w:rsidRPr="009E7223">
            <w:t xml:space="preserve">trategic </w:t>
          </w:r>
          <w:bookmarkEnd w:id="46"/>
          <w:bookmarkEnd w:id="47"/>
          <w:r w:rsidR="0065722E" w:rsidRPr="009E7223">
            <w:t>d</w:t>
          </w:r>
          <w:r w:rsidR="00C86DAA" w:rsidRPr="009E7223">
            <w:t>irection</w:t>
          </w:r>
          <w:bookmarkEnd w:id="48"/>
        </w:p>
        <w:p w14:paraId="2AE8CE85" w14:textId="771E3060" w:rsidR="00C86DAA" w:rsidRPr="009E7223" w:rsidRDefault="00C86DAA" w:rsidP="00B90947">
          <w:pPr>
            <w:pStyle w:val="Heading4"/>
          </w:pPr>
          <w:r w:rsidRPr="009E7223">
            <w:t>Submitters from across all sectors expressed interest in new and innovative approaches</w:t>
          </w:r>
        </w:p>
        <w:p w14:paraId="40479DA2" w14:textId="784E0074" w:rsidR="00C86DAA" w:rsidRPr="009E7223" w:rsidRDefault="00C86DAA" w:rsidP="00C86DAA">
          <w:pPr>
            <w:pStyle w:val="BodyText"/>
          </w:pPr>
          <w:r w:rsidRPr="009E7223">
            <w:t xml:space="preserve">Submitters expressed some concerns about the </w:t>
          </w:r>
          <w:r w:rsidR="0065722E" w:rsidRPr="009E7223">
            <w:t>strategic direction</w:t>
          </w:r>
          <w:r w:rsidRPr="009E7223">
            <w:t>, particular</w:t>
          </w:r>
          <w:r w:rsidR="00B70FD9">
            <w:t>ly</w:t>
          </w:r>
          <w:r w:rsidRPr="009E7223">
            <w:t xml:space="preserve"> </w:t>
          </w:r>
          <w:r w:rsidR="00B70FD9">
            <w:t xml:space="preserve">requesting </w:t>
          </w:r>
          <w:r w:rsidRPr="009E7223">
            <w:t xml:space="preserve">a more innovative, targeted approach to dealing with gambling harm. </w:t>
          </w:r>
          <w:r w:rsidR="005A2834" w:rsidRPr="009E7223">
            <w:t>Nineteen</w:t>
          </w:r>
          <w:r w:rsidRPr="009E7223">
            <w:t xml:space="preserve"> submitters expressed concerns about the </w:t>
          </w:r>
          <w:r w:rsidR="0065722E" w:rsidRPr="009E7223">
            <w:t>strategic direction</w:t>
          </w:r>
          <w:r w:rsidRPr="009E7223">
            <w:t>, suggesti</w:t>
          </w:r>
          <w:r w:rsidR="0065722E" w:rsidRPr="009E7223">
            <w:t xml:space="preserve">ng </w:t>
          </w:r>
          <w:r w:rsidRPr="009E7223">
            <w:t>improvement</w:t>
          </w:r>
          <w:r w:rsidR="005A2834" w:rsidRPr="009E7223">
            <w:t xml:space="preserve"> (11 NCGM sector submitters,</w:t>
          </w:r>
          <w:r w:rsidRPr="009E7223">
            <w:rPr>
              <w:rStyle w:val="FootnoteReference"/>
            </w:rPr>
            <w:footnoteReference w:id="32"/>
          </w:r>
          <w:r w:rsidR="005A2834" w:rsidRPr="009E7223">
            <w:t xml:space="preserve"> three Gambling Industry (other) submitters,</w:t>
          </w:r>
          <w:r w:rsidR="005A2834" w:rsidRPr="009E7223">
            <w:rPr>
              <w:rStyle w:val="FootnoteReference"/>
            </w:rPr>
            <w:footnoteReference w:id="33"/>
          </w:r>
          <w:r w:rsidR="005A2834" w:rsidRPr="009E7223">
            <w:t xml:space="preserve"> two </w:t>
          </w:r>
          <w:r w:rsidR="003052F1" w:rsidRPr="009E7223">
            <w:t>Health sector</w:t>
          </w:r>
          <w:r w:rsidR="005A2834" w:rsidRPr="009E7223">
            <w:t xml:space="preserve"> submitters,</w:t>
          </w:r>
          <w:r w:rsidR="005A2834" w:rsidRPr="009E7223">
            <w:rPr>
              <w:rStyle w:val="FootnoteReference"/>
            </w:rPr>
            <w:footnoteReference w:id="34"/>
          </w:r>
          <w:r w:rsidR="005A2834" w:rsidRPr="009E7223">
            <w:t xml:space="preserve"> two Service Providers</w:t>
          </w:r>
          <w:r w:rsidR="005A2834" w:rsidRPr="009E7223">
            <w:rPr>
              <w:rStyle w:val="FootnoteReference"/>
            </w:rPr>
            <w:footnoteReference w:id="35"/>
          </w:r>
          <w:r w:rsidR="005A2834" w:rsidRPr="009E7223">
            <w:t xml:space="preserve"> and one individual</w:t>
          </w:r>
          <w:r w:rsidR="005A2834" w:rsidRPr="009E7223">
            <w:rPr>
              <w:rStyle w:val="FootnoteReference"/>
            </w:rPr>
            <w:footnoteReference w:id="36"/>
          </w:r>
          <w:r w:rsidR="005A2834" w:rsidRPr="009E7223">
            <w:t>).</w:t>
          </w:r>
        </w:p>
        <w:p w14:paraId="1AFCBF20" w14:textId="77777777" w:rsidR="0010405C" w:rsidRPr="009E7223" w:rsidRDefault="00C86DAA" w:rsidP="00C86DAA">
          <w:pPr>
            <w:pStyle w:val="BodyText"/>
          </w:pPr>
          <w:r w:rsidRPr="009E7223">
            <w:t>Eight NCGMs considered that</w:t>
          </w:r>
          <w:r w:rsidR="00EC5E54" w:rsidRPr="009E7223">
            <w:t xml:space="preserve"> although</w:t>
          </w:r>
          <w:r w:rsidRPr="009E7223">
            <w:t xml:space="preserve"> investment over the </w:t>
          </w:r>
          <w:r w:rsidR="00EC5E54" w:rsidRPr="009E7223">
            <w:t>p</w:t>
          </w:r>
          <w:r w:rsidRPr="009E7223">
            <w:t>ast 10 years ha</w:t>
          </w:r>
          <w:r w:rsidR="00EC5E54" w:rsidRPr="009E7223">
            <w:t>d</w:t>
          </w:r>
          <w:r w:rsidRPr="009E7223">
            <w:t xml:space="preserve"> been significant, the problem gambling rate ha</w:t>
          </w:r>
          <w:r w:rsidR="00EC5E54" w:rsidRPr="009E7223">
            <w:t>s</w:t>
          </w:r>
          <w:r w:rsidRPr="009E7223">
            <w:t xml:space="preserve"> remained the same,</w:t>
          </w:r>
          <w:r w:rsidRPr="009E7223">
            <w:rPr>
              <w:rStyle w:val="FootnoteReference"/>
            </w:rPr>
            <w:footnoteReference w:id="37"/>
          </w:r>
          <w:r w:rsidRPr="009E7223">
            <w:t xml:space="preserve"> and the Ministry has been slow to get basic items right (for example, the </w:t>
          </w:r>
          <w:r w:rsidR="002F5079" w:rsidRPr="009E7223">
            <w:t>multi-venue exclusion (</w:t>
          </w:r>
          <w:r w:rsidRPr="009E7223">
            <w:t>MVE</w:t>
          </w:r>
          <w:r w:rsidR="002F5079" w:rsidRPr="009E7223">
            <w:t>)</w:t>
          </w:r>
          <w:r w:rsidRPr="009E7223">
            <w:t xml:space="preserve"> administration service was only established in May 2018, and only on a trial basis).</w:t>
          </w:r>
          <w:r w:rsidRPr="009E7223">
            <w:rPr>
              <w:rStyle w:val="FootnoteReference"/>
            </w:rPr>
            <w:footnoteReference w:id="38"/>
          </w:r>
          <w:r w:rsidRPr="009E7223">
            <w:t xml:space="preserve"> </w:t>
          </w:r>
          <w:r w:rsidR="0010405C" w:rsidRPr="009E7223">
            <w:t>These</w:t>
          </w:r>
          <w:r w:rsidRPr="009E7223">
            <w:t xml:space="preserve"> NCGM</w:t>
          </w:r>
          <w:r w:rsidR="0065722E" w:rsidRPr="009E7223">
            <w:t xml:space="preserve"> sector </w:t>
          </w:r>
          <w:r w:rsidRPr="009E7223">
            <w:t>s</w:t>
          </w:r>
          <w:r w:rsidR="0065722E" w:rsidRPr="009E7223">
            <w:t>ubmitters</w:t>
          </w:r>
          <w:r w:rsidRPr="009E7223">
            <w:t xml:space="preserve"> supported a bolder change than the one proposed</w:t>
          </w:r>
          <w:r w:rsidR="0065722E" w:rsidRPr="009E7223">
            <w:t>,</w:t>
          </w:r>
          <w:r w:rsidRPr="009E7223">
            <w:rPr>
              <w:rStyle w:val="FootnoteReference"/>
            </w:rPr>
            <w:footnoteReference w:id="39"/>
          </w:r>
          <w:r w:rsidRPr="009E7223">
            <w:t xml:space="preserve"> </w:t>
          </w:r>
          <w:r w:rsidR="0065722E" w:rsidRPr="009E7223">
            <w:t xml:space="preserve">including </w:t>
          </w:r>
          <w:r w:rsidRPr="009E7223">
            <w:t>a more targeted or focused approach,</w:t>
          </w:r>
          <w:r w:rsidRPr="009E7223">
            <w:rPr>
              <w:rStyle w:val="FootnoteReference"/>
            </w:rPr>
            <w:footnoteReference w:id="40"/>
          </w:r>
          <w:r w:rsidRPr="009E7223">
            <w:t xml:space="preserve"> with a practical, clear plan, objectives and timeframes</w:t>
          </w:r>
          <w:r w:rsidRPr="009E7223">
            <w:rPr>
              <w:rStyle w:val="FootnoteReference"/>
            </w:rPr>
            <w:footnoteReference w:id="41"/>
          </w:r>
          <w:r w:rsidRPr="009E7223">
            <w:t xml:space="preserve"> to further reduce the problem gambling rate. </w:t>
          </w:r>
        </w:p>
        <w:p w14:paraId="1677171C" w14:textId="24617964" w:rsidR="00C86DAA" w:rsidRPr="009E7223" w:rsidRDefault="0010405C" w:rsidP="00C86DAA">
          <w:pPr>
            <w:pStyle w:val="BodyText"/>
          </w:pPr>
          <w:r w:rsidRPr="009E7223">
            <w:t xml:space="preserve">Five </w:t>
          </w:r>
          <w:r w:rsidR="00C86DAA" w:rsidRPr="009E7223">
            <w:t>NCGMs wanted to see a national database of excluded persons, an electronic MVE order system, and funding support for gaming societies and the treatment providers that wish to use new technology such as facial recognition.</w:t>
          </w:r>
          <w:r w:rsidR="00C86DAA" w:rsidRPr="009E7223">
            <w:rPr>
              <w:rStyle w:val="FootnoteReference"/>
            </w:rPr>
            <w:footnoteReference w:id="42"/>
          </w:r>
          <w:r w:rsidR="00C86DAA" w:rsidRPr="009E7223">
            <w:t xml:space="preserve"> One Gambling Industry (other) submitter also advocated for these technological aspects.</w:t>
          </w:r>
          <w:r w:rsidR="00C86DAA" w:rsidRPr="009E7223">
            <w:rPr>
              <w:rStyle w:val="FootnoteReference"/>
            </w:rPr>
            <w:footnoteReference w:id="43"/>
          </w:r>
        </w:p>
        <w:p w14:paraId="72B1D867" w14:textId="290ED7F1" w:rsidR="0010405C" w:rsidRPr="009E7223" w:rsidRDefault="0010405C" w:rsidP="0010405C">
          <w:pPr>
            <w:pStyle w:val="BodyText"/>
          </w:pPr>
          <w:r w:rsidRPr="009E7223">
            <w:t>A further t</w:t>
          </w:r>
          <w:r w:rsidR="00C86DAA" w:rsidRPr="009E7223">
            <w:t>hree Gambling Industry (other)</w:t>
          </w:r>
          <w:r w:rsidR="00C86DAA" w:rsidRPr="009E7223">
            <w:rPr>
              <w:rStyle w:val="FootnoteReference"/>
            </w:rPr>
            <w:footnoteReference w:id="44"/>
          </w:r>
          <w:r w:rsidR="00C86DAA" w:rsidRPr="009E7223">
            <w:t xml:space="preserve"> submitters stated that the current model ha</w:t>
          </w:r>
          <w:r w:rsidRPr="009E7223">
            <w:t>d</w:t>
          </w:r>
          <w:r w:rsidR="00C86DAA" w:rsidRPr="009E7223">
            <w:t xml:space="preserve"> ceased to produce results</w:t>
          </w:r>
          <w:r w:rsidR="00EC5E54" w:rsidRPr="009E7223">
            <w:t>,</w:t>
          </w:r>
          <w:r w:rsidR="00124D5B" w:rsidRPr="009E7223">
            <w:t xml:space="preserve"> </w:t>
          </w:r>
          <w:r w:rsidR="00C86DAA" w:rsidRPr="009E7223">
            <w:t xml:space="preserve">with the problem gambling rate remaining static, and research </w:t>
          </w:r>
          <w:r w:rsidR="00EC5E54" w:rsidRPr="009E7223">
            <w:t>neither</w:t>
          </w:r>
          <w:r w:rsidR="00C86DAA" w:rsidRPr="009E7223">
            <w:t xml:space="preserve"> providing new information</w:t>
          </w:r>
          <w:r w:rsidR="00EC5E54" w:rsidRPr="009E7223">
            <w:t>,</w:t>
          </w:r>
          <w:r w:rsidR="00C86DAA" w:rsidRPr="009E7223">
            <w:t xml:space="preserve"> </w:t>
          </w:r>
          <w:r w:rsidR="00EC5E54" w:rsidRPr="009E7223">
            <w:t>n</w:t>
          </w:r>
          <w:r w:rsidR="00C86DAA" w:rsidRPr="009E7223">
            <w:t>or suggest</w:t>
          </w:r>
          <w:r w:rsidR="00124D5B" w:rsidRPr="009E7223">
            <w:t>ing</w:t>
          </w:r>
          <w:r w:rsidR="00C86DAA" w:rsidRPr="009E7223">
            <w:t xml:space="preserve"> that gambling treatment could be improved.</w:t>
          </w:r>
          <w:r w:rsidRPr="009E7223">
            <w:t xml:space="preserve"> Two Health sector submitters supported this view, recommending that the public health approach be strengthened across relevant objectives, focusing on the continuum of harm created through gambling participation, rather than focusing at the extreme end of the problem gambling spectrum.</w:t>
          </w:r>
          <w:r w:rsidRPr="009E7223">
            <w:rPr>
              <w:rStyle w:val="FootnoteReference"/>
            </w:rPr>
            <w:footnoteReference w:id="45"/>
          </w:r>
        </w:p>
        <w:p w14:paraId="5A30C0AA" w14:textId="06DE6410" w:rsidR="0010405C" w:rsidRPr="009E7223" w:rsidRDefault="0010405C" w:rsidP="0010405C">
          <w:pPr>
            <w:pStyle w:val="BodyText"/>
          </w:pPr>
          <w:r w:rsidRPr="009E7223">
            <w:t xml:space="preserve">Two further NCGMs </w:t>
          </w:r>
          <w:r w:rsidR="0092539A" w:rsidRPr="009E7223">
            <w:t>argued</w:t>
          </w:r>
          <w:r w:rsidRPr="009E7223">
            <w:t xml:space="preserve"> that the most impact is in addressing the high relapse rate</w:t>
          </w:r>
          <w:r w:rsidRPr="009E7223">
            <w:rPr>
              <w:rStyle w:val="FootnoteReference"/>
            </w:rPr>
            <w:footnoteReference w:id="46"/>
          </w:r>
          <w:r w:rsidRPr="009E7223">
            <w:t xml:space="preserve"> and system inefficiencies.</w:t>
          </w:r>
          <w:r w:rsidRPr="009E7223">
            <w:rPr>
              <w:rStyle w:val="FootnoteReference"/>
            </w:rPr>
            <w:footnoteReference w:id="47"/>
          </w:r>
        </w:p>
        <w:p w14:paraId="2F0460F7" w14:textId="77777777" w:rsidR="00C86DAA" w:rsidRPr="009E7223" w:rsidRDefault="00C86DAA" w:rsidP="00C86DAA">
          <w:pPr>
            <w:pStyle w:val="BodyText"/>
          </w:pPr>
          <w:r w:rsidRPr="009E7223">
            <w:t>Two Gambling Industry (other) submitters stated that there should be a change of focus</w:t>
          </w:r>
          <w:r w:rsidRPr="009E7223">
            <w:rPr>
              <w:rStyle w:val="FootnoteReference"/>
            </w:rPr>
            <w:footnoteReference w:id="48"/>
          </w:r>
          <w:r w:rsidRPr="009E7223">
            <w:t xml:space="preserve"> to a new model where gaming societies are encouraged to further the harm minimisation work that is being undertaken at a venue level, and suggested:</w:t>
          </w:r>
        </w:p>
        <w:p w14:paraId="5608A1D8" w14:textId="2531615C" w:rsidR="00C86DAA" w:rsidRPr="009E7223" w:rsidRDefault="00C86DAA" w:rsidP="00C86DAA">
          <w:pPr>
            <w:pStyle w:val="List-BulletLvl1"/>
          </w:pPr>
          <w:r w:rsidRPr="009E7223">
            <w:t>installing additional harm minimisation tools at venues if there is financial support via the levy to do so,</w:t>
          </w:r>
          <w:r w:rsidRPr="009E7223">
            <w:rPr>
              <w:rStyle w:val="FootnoteReference"/>
            </w:rPr>
            <w:footnoteReference w:id="49"/>
          </w:r>
          <w:r w:rsidRPr="009E7223">
            <w:t xml:space="preserve"> or</w:t>
          </w:r>
        </w:p>
        <w:p w14:paraId="544F003C" w14:textId="2ADB2BA7" w:rsidR="0010405C" w:rsidRPr="009E7223" w:rsidRDefault="00C86DAA" w:rsidP="00C86DAA">
          <w:pPr>
            <w:pStyle w:val="List-BulletLvl1"/>
          </w:pPr>
          <w:r w:rsidRPr="009E7223">
            <w:lastRenderedPageBreak/>
            <w:t>new intervention services such as residential care for gambling harm.</w:t>
          </w:r>
          <w:r w:rsidRPr="009E7223">
            <w:rPr>
              <w:rStyle w:val="FootnoteReference"/>
            </w:rPr>
            <w:footnoteReference w:id="50"/>
          </w:r>
        </w:p>
        <w:p w14:paraId="3ECF22F6" w14:textId="3EFB934E" w:rsidR="00C86DAA" w:rsidRPr="009E7223" w:rsidRDefault="00C86DAA" w:rsidP="00C86DAA">
          <w:pPr>
            <w:pStyle w:val="BodyText"/>
          </w:pPr>
          <w:r w:rsidRPr="009E7223">
            <w:t>Another Gambling Industry (other) submitter sought an increased overall spend to achieve the goal of further reducing gambling</w:t>
          </w:r>
          <w:r w:rsidR="00124D5B" w:rsidRPr="009E7223">
            <w:t>-</w:t>
          </w:r>
          <w:r w:rsidRPr="009E7223">
            <w:t>related harm.</w:t>
          </w:r>
          <w:r w:rsidRPr="009E7223">
            <w:rPr>
              <w:rStyle w:val="FootnoteReference"/>
            </w:rPr>
            <w:footnoteReference w:id="51"/>
          </w:r>
          <w:r w:rsidRPr="009E7223">
            <w:t xml:space="preserve"> </w:t>
          </w:r>
        </w:p>
        <w:p w14:paraId="2B7D146E" w14:textId="64E8EFC7" w:rsidR="00C86DAA" w:rsidRPr="009E7223" w:rsidRDefault="00C86DAA" w:rsidP="00C86DAA">
          <w:pPr>
            <w:pStyle w:val="BodyText"/>
          </w:pPr>
          <w:r w:rsidRPr="009E7223">
            <w:t xml:space="preserve">One Service Provider considered that the </w:t>
          </w:r>
          <w:r w:rsidR="0065722E" w:rsidRPr="009E7223">
            <w:t>strategic direction</w:t>
          </w:r>
          <w:r w:rsidRPr="009E7223">
            <w:t xml:space="preserve"> d</w:t>
          </w:r>
          <w:r w:rsidR="00EC5E54" w:rsidRPr="009E7223">
            <w:t>id</w:t>
          </w:r>
          <w:r w:rsidRPr="009E7223">
            <w:t xml:space="preserve"> not include much substantive change compared to the original plan in 2005</w:t>
          </w:r>
          <w:r w:rsidR="007376EC" w:rsidRPr="009E7223">
            <w:t xml:space="preserve"> and</w:t>
          </w:r>
          <w:r w:rsidR="00BB3A67" w:rsidRPr="009E7223">
            <w:t xml:space="preserve"> </w:t>
          </w:r>
          <w:r w:rsidRPr="009E7223">
            <w:t>was dubious about whether substantial progress had been made towards the intended goal</w:t>
          </w:r>
          <w:r w:rsidR="007376EC" w:rsidRPr="009E7223">
            <w:t xml:space="preserve">s. The </w:t>
          </w:r>
          <w:r w:rsidR="00BB3A67" w:rsidRPr="009E7223">
            <w:t>S</w:t>
          </w:r>
          <w:r w:rsidR="007376EC" w:rsidRPr="009E7223">
            <w:t xml:space="preserve">ervice </w:t>
          </w:r>
          <w:r w:rsidR="00BB3A67" w:rsidRPr="009E7223">
            <w:t>P</w:t>
          </w:r>
          <w:r w:rsidR="007376EC" w:rsidRPr="009E7223">
            <w:t xml:space="preserve">rovider </w:t>
          </w:r>
          <w:r w:rsidRPr="009E7223">
            <w:t>questioned whether the current approach truly reflects a public health approach, and whether progress ha</w:t>
          </w:r>
          <w:r w:rsidR="007376EC" w:rsidRPr="009E7223">
            <w:t>d</w:t>
          </w:r>
          <w:r w:rsidRPr="009E7223">
            <w:t xml:space="preserve"> been made in reducing the dependence of community organisation</w:t>
          </w:r>
          <w:r w:rsidR="007376EC" w:rsidRPr="009E7223">
            <w:t>s</w:t>
          </w:r>
          <w:r w:rsidRPr="009E7223">
            <w:t xml:space="preserve"> on funds received from gambling.</w:t>
          </w:r>
          <w:r w:rsidRPr="009E7223">
            <w:rPr>
              <w:rStyle w:val="FootnoteReference"/>
            </w:rPr>
            <w:footnoteReference w:id="52"/>
          </w:r>
          <w:r w:rsidRPr="009E7223">
            <w:t xml:space="preserve"> This Service Provider also suggested learning from progress and barriers in related areas, with more extensive and meaningful consultation with consumers, researchers and practitioners, and establishing indicators for the short- to medium-term priorities for each objective.</w:t>
          </w:r>
          <w:r w:rsidRPr="009E7223">
            <w:rPr>
              <w:rStyle w:val="FootnoteReference"/>
            </w:rPr>
            <w:footnoteReference w:id="53"/>
          </w:r>
          <w:r w:rsidRPr="009E7223">
            <w:t xml:space="preserve"> Another Service Provider considered that there should be a greater focus in the </w:t>
          </w:r>
          <w:r w:rsidR="0065722E" w:rsidRPr="009E7223">
            <w:t>strategic direction</w:t>
          </w:r>
          <w:r w:rsidRPr="009E7223">
            <w:t xml:space="preserve"> on whole-of-government solutions, particularly regard</w:t>
          </w:r>
          <w:r w:rsidR="007376EC" w:rsidRPr="009E7223">
            <w:t>ing</w:t>
          </w:r>
          <w:r w:rsidRPr="009E7223">
            <w:t xml:space="preserve"> crime associat</w:t>
          </w:r>
          <w:r w:rsidR="007376EC" w:rsidRPr="009E7223">
            <w:t>ed</w:t>
          </w:r>
          <w:r w:rsidRPr="009E7223">
            <w:t xml:space="preserve"> with gambling, such as domestic violence.</w:t>
          </w:r>
          <w:r w:rsidRPr="009E7223">
            <w:rPr>
              <w:rStyle w:val="FootnoteReference"/>
            </w:rPr>
            <w:footnoteReference w:id="54"/>
          </w:r>
          <w:r w:rsidRPr="009E7223">
            <w:t xml:space="preserve"> </w:t>
          </w:r>
        </w:p>
        <w:p w14:paraId="78858A5D" w14:textId="5A32CFE4" w:rsidR="00C86DAA" w:rsidRPr="009E7223" w:rsidRDefault="00C86DAA" w:rsidP="00C86DAA">
          <w:pPr>
            <w:pStyle w:val="BodyText"/>
          </w:pPr>
          <w:r w:rsidRPr="009E7223">
            <w:t xml:space="preserve">One </w:t>
          </w:r>
          <w:r w:rsidR="0010405C" w:rsidRPr="009E7223">
            <w:t xml:space="preserve">Health sector </w:t>
          </w:r>
          <w:r w:rsidRPr="009E7223">
            <w:t>submitter also suggested more work in the areas of vulnerable, at-risk populations to understand the current barriers to accessibility and provision of harm minimisation services.</w:t>
          </w:r>
          <w:r w:rsidRPr="009E7223">
            <w:rPr>
              <w:rStyle w:val="FootnoteReference"/>
            </w:rPr>
            <w:footnoteReference w:id="55"/>
          </w:r>
          <w:r w:rsidRPr="009E7223">
            <w:t xml:space="preserve"> </w:t>
          </w:r>
        </w:p>
        <w:p w14:paraId="3619F9C9" w14:textId="77777777" w:rsidR="00C86DAA" w:rsidRPr="009E7223" w:rsidRDefault="00C86DAA" w:rsidP="00C86DAA">
          <w:pPr>
            <w:pStyle w:val="BodyText"/>
          </w:pPr>
          <w:r w:rsidRPr="009E7223">
            <w:t>An individual submitter also supported a new approach on the basis that more of the same is not producing different results.</w:t>
          </w:r>
          <w:r w:rsidRPr="009E7223">
            <w:rPr>
              <w:rStyle w:val="FootnoteReference"/>
            </w:rPr>
            <w:footnoteReference w:id="56"/>
          </w:r>
        </w:p>
        <w:p w14:paraId="1D90725B" w14:textId="3BAEC95E" w:rsidR="00C86DAA" w:rsidRDefault="00C86DAA" w:rsidP="00B90947">
          <w:pPr>
            <w:pStyle w:val="Heading4"/>
          </w:pPr>
          <w:r w:rsidRPr="009E7223">
            <w:t xml:space="preserve">There was constructive critique of all 11 </w:t>
          </w:r>
          <w:r w:rsidR="00CF476B" w:rsidRPr="009E7223">
            <w:t>o</w:t>
          </w:r>
          <w:r w:rsidRPr="009E7223">
            <w:t>bjectives</w:t>
          </w:r>
        </w:p>
        <w:p w14:paraId="4E89DCF0" w14:textId="591AB612" w:rsidR="00ED1867" w:rsidRPr="009E7223" w:rsidRDefault="00ED1867" w:rsidP="00ED1867">
          <w:pPr>
            <w:pStyle w:val="BodyText"/>
          </w:pPr>
          <w:r w:rsidRPr="009E7223">
            <w:t xml:space="preserve">Most of the </w:t>
          </w:r>
          <w:r>
            <w:t xml:space="preserve">comments about </w:t>
          </w:r>
          <w:r w:rsidRPr="009E7223">
            <w:t xml:space="preserve">the objectives were </w:t>
          </w:r>
          <w:r>
            <w:t xml:space="preserve">from </w:t>
          </w:r>
          <w:r w:rsidRPr="009E7223">
            <w:t xml:space="preserve">either Service Providers or Individuals; there are no comments in this section from the Gambling Industry (other) (see </w:t>
          </w:r>
          <w:r w:rsidRPr="009E7223">
            <w:fldChar w:fldCharType="begin"/>
          </w:r>
          <w:r w:rsidRPr="009E7223">
            <w:instrText xml:space="preserve"> REF _Ref527732987 \h </w:instrText>
          </w:r>
          <w:r w:rsidRPr="009E7223">
            <w:fldChar w:fldCharType="separate"/>
          </w:r>
          <w:r w:rsidR="00CE4EFF" w:rsidRPr="009E7223">
            <w:t xml:space="preserve">Table </w:t>
          </w:r>
          <w:r w:rsidR="00CE4EFF">
            <w:rPr>
              <w:noProof/>
            </w:rPr>
            <w:t>4</w:t>
          </w:r>
          <w:r w:rsidRPr="009E7223">
            <w:fldChar w:fldCharType="end"/>
          </w:r>
          <w:r w:rsidRPr="009E7223">
            <w:t>, below).</w:t>
          </w:r>
        </w:p>
        <w:p w14:paraId="19EDCB57" w14:textId="099D70DD" w:rsidR="00ED1867" w:rsidRPr="009E7223" w:rsidRDefault="00ED1867" w:rsidP="00ED1867">
          <w:pPr>
            <w:pStyle w:val="Caption"/>
            <w:keepNext/>
          </w:pPr>
          <w:bookmarkStart w:id="49" w:name="_Ref527732987"/>
          <w:bookmarkStart w:id="50" w:name="_Toc527355907"/>
          <w:bookmarkStart w:id="51" w:name="_Toc529787385"/>
          <w:r w:rsidRPr="009E7223">
            <w:t xml:space="preserve">Table </w:t>
          </w:r>
          <w:r w:rsidRPr="009E7223">
            <w:rPr>
              <w:noProof/>
            </w:rPr>
            <w:fldChar w:fldCharType="begin"/>
          </w:r>
          <w:r w:rsidRPr="009E7223">
            <w:rPr>
              <w:noProof/>
            </w:rPr>
            <w:instrText xml:space="preserve"> SEQ Table \* ARABIC </w:instrText>
          </w:r>
          <w:r w:rsidRPr="009E7223">
            <w:rPr>
              <w:noProof/>
            </w:rPr>
            <w:fldChar w:fldCharType="separate"/>
          </w:r>
          <w:r w:rsidR="00CE4EFF">
            <w:rPr>
              <w:noProof/>
            </w:rPr>
            <w:t>4</w:t>
          </w:r>
          <w:r w:rsidRPr="009E7223">
            <w:rPr>
              <w:noProof/>
            </w:rPr>
            <w:fldChar w:fldCharType="end"/>
          </w:r>
          <w:bookmarkEnd w:id="49"/>
          <w:r w:rsidRPr="009E7223">
            <w:t xml:space="preserve">: Number of submissions, by sector, that commented on the objectives to explain why they </w:t>
          </w:r>
          <w:r>
            <w:t xml:space="preserve">either </w:t>
          </w:r>
          <w:r w:rsidRPr="009E7223">
            <w:t>did not support</w:t>
          </w:r>
          <w:r>
            <w:t xml:space="preserve"> or gave qualified support to</w:t>
          </w:r>
          <w:r w:rsidRPr="009E7223">
            <w:t xml:space="preserve"> the draft Strateg</w:t>
          </w:r>
          <w:r>
            <w:t>ic direction</w:t>
          </w:r>
          <w:bookmarkEnd w:id="50"/>
          <w:bookmarkEnd w:id="51"/>
        </w:p>
        <w:tbl>
          <w:tblPr>
            <w:tblStyle w:val="ACGrey-BasicTable"/>
            <w:tblW w:w="9051" w:type="dxa"/>
            <w:tblLook w:val="04A0" w:firstRow="1" w:lastRow="0" w:firstColumn="1" w:lastColumn="0" w:noHBand="0" w:noVBand="1"/>
          </w:tblPr>
          <w:tblGrid>
            <w:gridCol w:w="1435"/>
            <w:gridCol w:w="1492"/>
            <w:gridCol w:w="1496"/>
            <w:gridCol w:w="1471"/>
            <w:gridCol w:w="1635"/>
            <w:gridCol w:w="1522"/>
          </w:tblGrid>
          <w:tr w:rsidR="00ED1867" w:rsidRPr="009E7223" w14:paraId="7AF7DC4A" w14:textId="77777777" w:rsidTr="00085B10">
            <w:trPr>
              <w:cnfStyle w:val="100000000000" w:firstRow="1" w:lastRow="0" w:firstColumn="0" w:lastColumn="0" w:oddVBand="0" w:evenVBand="0" w:oddHBand="0" w:evenHBand="0" w:firstRowFirstColumn="0" w:firstRowLastColumn="0" w:lastRowFirstColumn="0" w:lastRowLastColumn="0"/>
              <w:trHeight w:val="848"/>
            </w:trPr>
            <w:tc>
              <w:tcPr>
                <w:tcW w:w="143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529E8E83" w14:textId="77777777" w:rsidR="00ED1867" w:rsidRPr="009E7223" w:rsidRDefault="00ED1867" w:rsidP="00085B10">
                <w:pPr>
                  <w:pStyle w:val="BodyText"/>
                  <w:jc w:val="center"/>
                </w:pPr>
                <w:r w:rsidRPr="009E7223">
                  <w:t>NCGM</w:t>
                </w:r>
              </w:p>
            </w:tc>
            <w:tc>
              <w:tcPr>
                <w:tcW w:w="1492"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27CE237D" w14:textId="77777777" w:rsidR="00ED1867" w:rsidRPr="009E7223" w:rsidRDefault="00ED1867" w:rsidP="00085B10">
                <w:pPr>
                  <w:pStyle w:val="BodyText"/>
                  <w:jc w:val="center"/>
                </w:pPr>
                <w:r w:rsidRPr="009E7223">
                  <w:t>Gambling Industry (others)</w:t>
                </w:r>
              </w:p>
            </w:tc>
            <w:tc>
              <w:tcPr>
                <w:tcW w:w="1496"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2A343B78" w14:textId="77777777" w:rsidR="00ED1867" w:rsidRPr="009E7223" w:rsidRDefault="00ED1867" w:rsidP="00085B10">
                <w:pPr>
                  <w:pStyle w:val="BodyText"/>
                  <w:jc w:val="center"/>
                </w:pPr>
                <w:r w:rsidRPr="009E7223">
                  <w:t xml:space="preserve">Service </w:t>
                </w:r>
                <w:r w:rsidRPr="009E7223">
                  <w:br/>
                  <w:t>Providers</w:t>
                </w:r>
              </w:p>
            </w:tc>
            <w:tc>
              <w:tcPr>
                <w:tcW w:w="147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30DA21E4" w14:textId="77777777" w:rsidR="00ED1867" w:rsidRPr="009E7223" w:rsidRDefault="00ED1867" w:rsidP="00085B10">
                <w:pPr>
                  <w:pStyle w:val="BodyText"/>
                  <w:jc w:val="center"/>
                </w:pPr>
                <w:r w:rsidRPr="009E7223">
                  <w:t xml:space="preserve">Health </w:t>
                </w:r>
                <w:r w:rsidRPr="009E7223">
                  <w:br/>
                  <w:t>Services</w:t>
                </w:r>
              </w:p>
            </w:tc>
            <w:tc>
              <w:tcPr>
                <w:tcW w:w="163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3B53039E" w14:textId="77777777" w:rsidR="00ED1867" w:rsidRPr="009E7223" w:rsidRDefault="00ED1867" w:rsidP="00085B10">
                <w:pPr>
                  <w:pStyle w:val="BodyText"/>
                  <w:jc w:val="center"/>
                </w:pPr>
                <w:r w:rsidRPr="009E7223">
                  <w:t xml:space="preserve">Local </w:t>
                </w:r>
                <w:r w:rsidRPr="009E7223">
                  <w:br/>
                  <w:t>Government</w:t>
                </w:r>
              </w:p>
            </w:tc>
            <w:tc>
              <w:tcPr>
                <w:tcW w:w="1522"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7ABE8B6D" w14:textId="77777777" w:rsidR="00ED1867" w:rsidRPr="009E7223" w:rsidRDefault="00ED1867" w:rsidP="00085B10">
                <w:pPr>
                  <w:pStyle w:val="BodyText"/>
                  <w:jc w:val="center"/>
                </w:pPr>
                <w:r w:rsidRPr="009E7223">
                  <w:t>Individuals</w:t>
                </w:r>
              </w:p>
            </w:tc>
          </w:tr>
          <w:tr w:rsidR="00ED1867" w:rsidRPr="009E7223" w14:paraId="3C0A7498" w14:textId="77777777" w:rsidTr="00085B10">
            <w:trPr>
              <w:trHeight w:val="549"/>
            </w:trPr>
            <w:tc>
              <w:tcPr>
                <w:tcW w:w="143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11CB014A" w14:textId="77777777" w:rsidR="00ED1867" w:rsidRPr="009E7223" w:rsidRDefault="00ED1867" w:rsidP="00085B10">
                <w:pPr>
                  <w:pStyle w:val="BodyText"/>
                  <w:jc w:val="center"/>
                </w:pPr>
                <w:r w:rsidRPr="009E7223">
                  <w:t>5/22</w:t>
                </w:r>
              </w:p>
            </w:tc>
            <w:tc>
              <w:tcPr>
                <w:tcW w:w="1492"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33FD37D8" w14:textId="77777777" w:rsidR="00ED1867" w:rsidRPr="009E7223" w:rsidRDefault="00ED1867" w:rsidP="00085B10">
                <w:pPr>
                  <w:pStyle w:val="BodyText"/>
                  <w:jc w:val="center"/>
                </w:pPr>
                <w:r w:rsidRPr="009E7223">
                  <w:t>0/8</w:t>
                </w:r>
              </w:p>
            </w:tc>
            <w:tc>
              <w:tcPr>
                <w:tcW w:w="1496"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145429A5" w14:textId="2852670A" w:rsidR="00ED1867" w:rsidRPr="009E7223" w:rsidRDefault="00ED1867" w:rsidP="00085B10">
                <w:pPr>
                  <w:pStyle w:val="BodyText"/>
                  <w:jc w:val="center"/>
                </w:pPr>
                <w:r>
                  <w:t>8</w:t>
                </w:r>
                <w:r w:rsidRPr="009E7223">
                  <w:t>/21</w:t>
                </w:r>
              </w:p>
            </w:tc>
            <w:tc>
              <w:tcPr>
                <w:tcW w:w="147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7BCE600D" w14:textId="62F0E530" w:rsidR="00ED1867" w:rsidRPr="009E7223" w:rsidRDefault="00ED1867" w:rsidP="00085B10">
                <w:pPr>
                  <w:pStyle w:val="BodyText"/>
                  <w:jc w:val="center"/>
                </w:pPr>
                <w:r>
                  <w:t>6</w:t>
                </w:r>
                <w:r w:rsidRPr="009E7223">
                  <w:t>/13</w:t>
                </w:r>
              </w:p>
            </w:tc>
            <w:tc>
              <w:tcPr>
                <w:tcW w:w="163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3747CD02" w14:textId="77777777" w:rsidR="00ED1867" w:rsidRPr="009E7223" w:rsidRDefault="00ED1867" w:rsidP="00085B10">
                <w:pPr>
                  <w:pStyle w:val="BodyText"/>
                  <w:jc w:val="center"/>
                </w:pPr>
                <w:r w:rsidRPr="009E7223">
                  <w:t>1/6</w:t>
                </w:r>
              </w:p>
            </w:tc>
            <w:tc>
              <w:tcPr>
                <w:tcW w:w="1522"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589089FC" w14:textId="4EEE3930" w:rsidR="00ED1867" w:rsidRPr="009E7223" w:rsidRDefault="00ED1867" w:rsidP="00085B10">
                <w:pPr>
                  <w:pStyle w:val="BodyText"/>
                  <w:jc w:val="center"/>
                </w:pPr>
                <w:r>
                  <w:t>1</w:t>
                </w:r>
                <w:r w:rsidRPr="009E7223">
                  <w:t>/12</w:t>
                </w:r>
              </w:p>
            </w:tc>
          </w:tr>
        </w:tbl>
        <w:p w14:paraId="497FDAD5" w14:textId="090F1D8C" w:rsidR="00C86DAA" w:rsidRPr="009E7223" w:rsidRDefault="005A2834" w:rsidP="00C86DAA">
          <w:pPr>
            <w:pStyle w:val="BodyText"/>
          </w:pPr>
          <w:r w:rsidRPr="009E7223">
            <w:t>Twenty-one</w:t>
          </w:r>
          <w:r w:rsidR="00C86DAA" w:rsidRPr="009E7223">
            <w:t xml:space="preserve"> submitters commented on one or more of the proposed </w:t>
          </w:r>
          <w:r w:rsidR="00CF476B" w:rsidRPr="009E7223">
            <w:t>o</w:t>
          </w:r>
          <w:r w:rsidR="00C86DAA" w:rsidRPr="009E7223">
            <w:t>bjectives (</w:t>
          </w:r>
          <w:r w:rsidRPr="009E7223">
            <w:t>eight</w:t>
          </w:r>
          <w:r w:rsidR="00C86DAA" w:rsidRPr="009E7223">
            <w:t xml:space="preserve"> Service Providers</w:t>
          </w:r>
          <w:r w:rsidRPr="009E7223">
            <w:t>,</w:t>
          </w:r>
          <w:r w:rsidR="00C86DAA" w:rsidRPr="009E7223">
            <w:rPr>
              <w:rStyle w:val="FootnoteReference"/>
            </w:rPr>
            <w:footnoteReference w:id="57"/>
          </w:r>
          <w:r w:rsidRPr="009E7223">
            <w:t xml:space="preserve"> six </w:t>
          </w:r>
          <w:r w:rsidR="003052F1" w:rsidRPr="009E7223">
            <w:t>Health sector</w:t>
          </w:r>
          <w:r w:rsidRPr="009E7223">
            <w:t xml:space="preserve"> submitters,</w:t>
          </w:r>
          <w:r w:rsidRPr="009E7223">
            <w:rPr>
              <w:rStyle w:val="FootnoteReference"/>
            </w:rPr>
            <w:footnoteReference w:id="58"/>
          </w:r>
          <w:r w:rsidRPr="009E7223">
            <w:t xml:space="preserve"> five NCGM sector submitters,</w:t>
          </w:r>
          <w:r w:rsidRPr="009E7223">
            <w:rPr>
              <w:rStyle w:val="FootnoteReference"/>
            </w:rPr>
            <w:footnoteReference w:id="59"/>
          </w:r>
          <w:r w:rsidRPr="009E7223">
            <w:t xml:space="preserve"> one Local Government submitter</w:t>
          </w:r>
          <w:r w:rsidRPr="009E7223">
            <w:rPr>
              <w:rStyle w:val="FootnoteReference"/>
            </w:rPr>
            <w:footnoteReference w:id="60"/>
          </w:r>
          <w:r w:rsidRPr="009E7223">
            <w:t xml:space="preserve"> and one individual</w:t>
          </w:r>
          <w:r w:rsidRPr="009E7223">
            <w:rPr>
              <w:rStyle w:val="FootnoteReference"/>
            </w:rPr>
            <w:footnoteReference w:id="61"/>
          </w:r>
          <w:r w:rsidR="00C86DAA" w:rsidRPr="009E7223">
            <w:t>).</w:t>
          </w:r>
        </w:p>
        <w:p w14:paraId="48FB0C0C" w14:textId="77777777" w:rsidR="00C86DAA" w:rsidRPr="009E7223" w:rsidRDefault="00C86DAA" w:rsidP="00C86DAA">
          <w:pPr>
            <w:pStyle w:val="BodyText"/>
            <w:rPr>
              <w:i/>
            </w:rPr>
          </w:pPr>
          <w:r w:rsidRPr="009E7223">
            <w:rPr>
              <w:i/>
            </w:rPr>
            <w:t>Objective 1: There is a reduction in gambling-harm-related inequities between population groups (particularly Māori and Pacific peoples, as the populations that are most vulnerable to gambling harm)</w:t>
          </w:r>
        </w:p>
        <w:p w14:paraId="71087E5F" w14:textId="77777777" w:rsidR="002D17EB" w:rsidRPr="009E7223" w:rsidRDefault="002D17EB" w:rsidP="00C86DAA">
          <w:pPr>
            <w:pStyle w:val="BodyText"/>
          </w:pPr>
          <w:r w:rsidRPr="009E7223">
            <w:lastRenderedPageBreak/>
            <w:t xml:space="preserve">Two </w:t>
          </w:r>
          <w:r w:rsidR="00C86DAA" w:rsidRPr="009E7223">
            <w:t>Service Providers wanted to see more focus on the family, whānau and communities in actions under Objective 1 to reduce the burden of gambling-related harm,</w:t>
          </w:r>
          <w:r w:rsidR="00C86DAA" w:rsidRPr="009E7223">
            <w:rPr>
              <w:rStyle w:val="FootnoteReference"/>
            </w:rPr>
            <w:footnoteReference w:id="62"/>
          </w:r>
          <w:r w:rsidR="00C86DAA" w:rsidRPr="009E7223">
            <w:t xml:space="preserve"> and noted that the needs of Māori are varied.</w:t>
          </w:r>
          <w:r w:rsidR="00C86DAA" w:rsidRPr="009E7223">
            <w:rPr>
              <w:rStyle w:val="FootnoteReference"/>
            </w:rPr>
            <w:footnoteReference w:id="63"/>
          </w:r>
          <w:r w:rsidR="00C86DAA" w:rsidRPr="009E7223">
            <w:t xml:space="preserve"> One Service Provider</w:t>
          </w:r>
          <w:r w:rsidR="00C86DAA" w:rsidRPr="009E7223">
            <w:rPr>
              <w:rStyle w:val="FootnoteReference"/>
            </w:rPr>
            <w:footnoteReference w:id="64"/>
          </w:r>
          <w:r w:rsidR="00C86DAA" w:rsidRPr="009E7223">
            <w:t xml:space="preserve"> wanted to see recognition of the continuing impact of colonisation on Māori, and suggested earlier engagement (that is, before public consultation) with whānau, hap</w:t>
          </w:r>
          <w:r w:rsidR="00584D52" w:rsidRPr="009E7223">
            <w:t>ū</w:t>
          </w:r>
          <w:r w:rsidR="00C86DAA" w:rsidRPr="009E7223">
            <w:t xml:space="preserve"> and iwi in developing the Strategic </w:t>
          </w:r>
          <w:r w:rsidR="0065722E" w:rsidRPr="009E7223">
            <w:t>Framework;</w:t>
          </w:r>
          <w:r w:rsidR="00C86DAA" w:rsidRPr="009E7223">
            <w:t xml:space="preserve"> and </w:t>
          </w:r>
          <w:r w:rsidR="0065722E" w:rsidRPr="009E7223">
            <w:t xml:space="preserve">the inclusion of </w:t>
          </w:r>
          <w:r w:rsidR="00C86DAA" w:rsidRPr="009E7223">
            <w:t xml:space="preserve">Māori leadership and representation in </w:t>
          </w:r>
          <w:r w:rsidR="0065722E" w:rsidRPr="009E7223">
            <w:t>finalising the Strategy.</w:t>
          </w:r>
        </w:p>
        <w:p w14:paraId="36A3FD73" w14:textId="7E32E669" w:rsidR="00C86DAA" w:rsidRPr="009E7223" w:rsidRDefault="00C86DAA" w:rsidP="00C86DAA">
          <w:pPr>
            <w:pStyle w:val="BodyText"/>
          </w:pPr>
          <w:r w:rsidRPr="009E7223">
            <w:t>Service Provider</w:t>
          </w:r>
          <w:r w:rsidR="002D17EB" w:rsidRPr="009E7223">
            <w:t>s</w:t>
          </w:r>
          <w:r w:rsidRPr="009E7223">
            <w:t xml:space="preserve"> suggested that actions associated with this </w:t>
          </w:r>
          <w:r w:rsidR="00CF476B" w:rsidRPr="009E7223">
            <w:t>o</w:t>
          </w:r>
          <w:r w:rsidRPr="009E7223">
            <w:t>bjective could be more specific and/or targeted, including:</w:t>
          </w:r>
        </w:p>
        <w:p w14:paraId="4C3EE810" w14:textId="082662D2" w:rsidR="00C86DAA" w:rsidRPr="009E7223" w:rsidRDefault="00FF033F" w:rsidP="00C86DAA">
          <w:pPr>
            <w:pStyle w:val="List-BulletLvl1"/>
          </w:pPr>
          <w:r w:rsidRPr="009E7223">
            <w:rPr>
              <w:noProof/>
              <w:lang w:eastAsia="en-NZ"/>
            </w:rPr>
            <mc:AlternateContent>
              <mc:Choice Requires="wpg">
                <w:drawing>
                  <wp:anchor distT="0" distB="0" distL="228600" distR="228600" simplePos="0" relativeHeight="251672576" behindDoc="0" locked="0" layoutInCell="1" allowOverlap="1" wp14:anchorId="140265C5" wp14:editId="7663EB78">
                    <wp:simplePos x="0" y="0"/>
                    <wp:positionH relativeFrom="margin">
                      <wp:align>right</wp:align>
                    </wp:positionH>
                    <wp:positionV relativeFrom="page">
                      <wp:posOffset>3441485</wp:posOffset>
                    </wp:positionV>
                    <wp:extent cx="3218561" cy="1706400"/>
                    <wp:effectExtent l="0" t="0" r="1270" b="0"/>
                    <wp:wrapSquare wrapText="bothSides"/>
                    <wp:docPr id="2" name="Group 2"/>
                    <wp:cNvGraphicFramePr/>
                    <a:graphic xmlns:a="http://schemas.openxmlformats.org/drawingml/2006/main">
                      <a:graphicData uri="http://schemas.microsoft.com/office/word/2010/wordprocessingGroup">
                        <wpg:wgp>
                          <wpg:cNvGrpSpPr/>
                          <wpg:grpSpPr>
                            <a:xfrm>
                              <a:off x="0" y="0"/>
                              <a:ext cx="3218561" cy="1706400"/>
                              <a:chOff x="0" y="0"/>
                              <a:chExt cx="3218688" cy="2028766"/>
                            </a:xfrm>
                          </wpg:grpSpPr>
                          <wps:wsp>
                            <wps:cNvPr id="6" name="Rectangle 6"/>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Group 7"/>
                            <wpg:cNvGrpSpPr/>
                            <wpg:grpSpPr>
                              <a:xfrm>
                                <a:off x="0" y="19050"/>
                                <a:ext cx="2249424" cy="832104"/>
                                <a:chOff x="228600" y="0"/>
                                <a:chExt cx="1472184" cy="1024128"/>
                              </a:xfrm>
                            </wpg:grpSpPr>
                            <wps:wsp>
                              <wps:cNvPr id="8"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28600" y="0"/>
                                  <a:ext cx="1472184" cy="1024128"/>
                                </a:xfrm>
                                <a:prstGeom prst="rect">
                                  <a:avLst/>
                                </a:prstGeom>
                                <a:blipFill>
                                  <a:blip r:embed="rId1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Text Box 10"/>
                            <wps:cNvSpPr txBox="1"/>
                            <wps:spPr>
                              <a:xfrm>
                                <a:off x="238023" y="399805"/>
                                <a:ext cx="2980173" cy="14082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3A448B" w14:textId="5C1BB491" w:rsidR="00723291" w:rsidRDefault="00723291">
                                  <w:pPr>
                                    <w:ind w:left="504"/>
                                    <w:jc w:val="right"/>
                                    <w:rPr>
                                      <w:smallCaps/>
                                      <w:color w:val="77B800" w:themeColor="accent2"/>
                                      <w:sz w:val="28"/>
                                      <w:szCs w:val="24"/>
                                    </w:rPr>
                                  </w:pPr>
                                  <w:r>
                                    <w:t>Māori leadership needs to be involved in decisions about the locations of NCGMs in iwi rohe, and local government needs to  consult with Māori and Pasifika social service leaders on NCGM impacts when reviewing alcohol licences</w:t>
                                  </w:r>
                                </w:p>
                                <w:p w14:paraId="48644437" w14:textId="4D93CC93" w:rsidR="00723291" w:rsidRDefault="00723291">
                                  <w:pPr>
                                    <w:pStyle w:val="NoSpacing"/>
                                    <w:ind w:left="360"/>
                                    <w:jc w:val="right"/>
                                    <w:rPr>
                                      <w:color w:val="36424A"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0265C5" id="Group 2" o:spid="_x0000_s1028" style="position:absolute;left:0;text-align:left;margin-left:202.25pt;margin-top:271pt;width:253.45pt;height:134.35pt;z-index:251672576;mso-wrap-distance-left:18pt;mso-wrap-distance-right:18pt;mso-position-horizontal:right;mso-position-horizontal-relative:margin;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">
                    <v:rect id="Rectangle 6" o:spid="_x0000_s1029" style="position:absolute;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gsYA&#10;AADaAAAADwAAAGRycy9kb3ducmV2LnhtbESP3WrCQBSE7wXfYTlCb8RsKjVIzCqlIigtQv3B20P2&#10;mASzZ9PsVlOfvlsQejnMzDdMtuhMLa7UusqygucoBkGcW11xoeCwX42mIJxH1lhbJgU/5GAx7/cy&#10;TLW98Sddd74QAcIuRQWl900qpctLMugi2xAH72xbgz7ItpC6xVuAm1qO4ziRBisOCyU29FZSftl9&#10;GwVfL1PeHN7HyYc/n+7303G4nyy3Sj0NutcZCE+d/w8/2mutIIG/K+EG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q/gsYAAADaAAAADwAAAAAAAAAAAAAAAACYAgAAZHJz&#10;L2Rvd25yZXYueG1sUEsFBgAAAAAEAAQA9QAAAIsDAAAAAA==&#10;" fillcolor="white [3212]" stroked="f" strokeweight="1pt">
                      <v:fill opacity="0"/>
                    </v:rect>
                    <v:group id="Group 7" o:spid="_x0000_s1030"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Rectangle 10" o:spid="_x0000_s1031"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xoMsEA&#10;AADaAAAADwAAAGRycy9kb3ducmV2LnhtbERPXWvCMBR9H+w/hDvYy9DUCSrVKCIKEyZYlT3fNdem&#10;2NzUJrPdvzcPgo+H8z1bdLYSN2p86VjBoJ+AIM6dLrlQcDpuehMQPiBrrByTgn/ysJi/vsww1a7l&#10;jG6HUIgYwj5FBSaEOpXS54Ys+r6riSN3do3FEGFTSN1gG8NtJT+TZCQtlhwbDNa0MpRfDn9Wwfp3&#10;t70OPr7bbLQfXpb7sR1b86PU+1u3nIII1IWn+OH+0gri1ngl3g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8aDLBAAAA2gAAAA8AAAAAAAAAAAAAAAAAmAIAAGRycy9kb3du&#10;cmV2LnhtbFBLBQYAAAAABAAEAPUAAACGAwAAAAA=&#10;" path="m,l2240281,,1659256,222885,,822960,,xe" fillcolor="#36424a [3204]" stroked="f" strokeweight="1pt">
                        <v:stroke joinstyle="miter"/>
                        <v:path arrowok="t" o:connecttype="custom" o:connectlocs="0,0;1466258,0;1085979,274158;0,1012274;0,0" o:connectangles="0,0,0,0,0"/>
                      </v:shape>
                      <v:rect id="Rectangle 9" o:spid="_x0000_s1032"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4U2MIA&#10;AADaAAAADwAAAGRycy9kb3ducmV2LnhtbESPzWrDMBCE74G+g9hCLqGRW8hPXSuhFAo5pcQpPS/W&#10;xjK2VsZSLOfto0Khx2FmvmGK/WQ7MdLgG8cKnpcZCOLK6YZrBd/nz6ctCB+QNXaOScGNPOx3D7MC&#10;c+0in2gsQy0ShH2OCkwIfS6lrwxZ9EvXEyfv4gaLIcmhlnrAmOC2ky9ZtpYWG04LBnv6MFS15dUq&#10;WPS02Z6PP5VpxzGu9FesL9eo1Pxxen8DEWgK/+G/9kEreIXfK+kG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vhTYwgAAANoAAAAPAAAAAAAAAAAAAAAAAJgCAABkcnMvZG93&#10;bnJldi54bWxQSwUGAAAAAAQABAD1AAAAhwMAAAAA&#10;" stroked="f" strokeweight="1pt">
                        <v:fill r:id="rId16" o:title="" recolor="t" rotate="t" type="frame"/>
                      </v:rect>
                    </v:group>
                    <v:shape id="Text Box 10" o:spid="_x0000_s1033" type="#_x0000_t202" style="position:absolute;left:2380;top:3998;width:29801;height:14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C4gcMA&#10;AADbAAAADwAAAGRycy9kb3ducmV2LnhtbESPQYvCQAyF74L/YYjgTacqiHQdZRUVLwvqLuw1dGJb&#10;tpOpndHWf785CN4S3st7X5brzlXqQU0oPRuYjBNQxJm3JecGfr73owWoEJEtVp7JwJMCrFf93hJT&#10;61s+0+MScyUhHFI0UMRYp1qHrCCHYexrYtGuvnEYZW1ybRtsJdxVepokc+2wZGkosKZtQdnf5e4M&#10;zDen++HWtvRbXrfZ12xxmO26qTHDQff5ASpSF9/m1/XRCr7Qyy8ygF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C4gcMAAADbAAAADwAAAAAAAAAAAAAAAACYAgAAZHJzL2Rv&#10;d25yZXYueG1sUEsFBgAAAAAEAAQA9QAAAIgDAAAAAA==&#10;" filled="f" stroked="f" strokeweight=".5pt">
                      <v:textbox inset="3.6pt,7.2pt,0,0">
                        <w:txbxContent>
                          <w:p w14:paraId="1A3A448B" w14:textId="5C1BB491" w:rsidR="00723291" w:rsidRDefault="00723291">
                            <w:pPr>
                              <w:ind w:left="504"/>
                              <w:jc w:val="right"/>
                              <w:rPr>
                                <w:smallCaps/>
                                <w:color w:val="77B800" w:themeColor="accent2"/>
                                <w:sz w:val="28"/>
                                <w:szCs w:val="24"/>
                              </w:rPr>
                            </w:pPr>
                            <w:r>
                              <w:t>Māori leadership needs to be involved in decisions about the locations of NCGMs in iwi rohe, and local government needs to  consult with Māori and Pasifika social service leaders on NCGM impacts when reviewing alcohol licences</w:t>
                            </w:r>
                          </w:p>
                          <w:p w14:paraId="48644437" w14:textId="4D93CC93" w:rsidR="00723291" w:rsidRDefault="00723291">
                            <w:pPr>
                              <w:pStyle w:val="NoSpacing"/>
                              <w:ind w:left="360"/>
                              <w:jc w:val="right"/>
                              <w:rPr>
                                <w:color w:val="36424A" w:themeColor="accent1"/>
                                <w:sz w:val="20"/>
                                <w:szCs w:val="20"/>
                              </w:rPr>
                            </w:pPr>
                          </w:p>
                        </w:txbxContent>
                      </v:textbox>
                    </v:shape>
                    <w10:wrap type="square" anchorx="margin" anchory="page"/>
                  </v:group>
                </w:pict>
              </mc:Fallback>
            </mc:AlternateContent>
          </w:r>
          <w:r w:rsidR="00C86DAA" w:rsidRPr="009E7223">
            <w:rPr>
              <w:b/>
            </w:rPr>
            <w:t>supply controls</w:t>
          </w:r>
          <w:r w:rsidR="00C86DAA" w:rsidRPr="009E7223">
            <w:t xml:space="preserve"> such as reducing permitted numbers of machines per venue from 19 to nine, and reducing the density of NCGMs in high deprivation communities</w:t>
          </w:r>
          <w:r w:rsidR="00C86DAA" w:rsidRPr="009E7223">
            <w:rPr>
              <w:rStyle w:val="FootnoteReference"/>
            </w:rPr>
            <w:footnoteReference w:id="65"/>
          </w:r>
        </w:p>
        <w:p w14:paraId="24598C00" w14:textId="4262958F" w:rsidR="00C86DAA" w:rsidRPr="009E7223" w:rsidRDefault="00C86DAA" w:rsidP="00C86DAA">
          <w:pPr>
            <w:pStyle w:val="List-BulletLvl1"/>
          </w:pPr>
          <w:r w:rsidRPr="009E7223">
            <w:rPr>
              <w:b/>
            </w:rPr>
            <w:t>technology solutions</w:t>
          </w:r>
          <w:r w:rsidRPr="009E7223">
            <w:t xml:space="preserve"> such as facial recognition using a single platform for all land-based gambling providers and services to use, and product controls that build in design features to NCGMs that limit time and spend</w:t>
          </w:r>
          <w:r w:rsidRPr="009E7223">
            <w:rPr>
              <w:rStyle w:val="FootnoteReference"/>
            </w:rPr>
            <w:footnoteReference w:id="66"/>
          </w:r>
        </w:p>
        <w:p w14:paraId="1A5C9BD7" w14:textId="16BB2FDE" w:rsidR="00C86DAA" w:rsidRPr="009E7223" w:rsidRDefault="00C86DAA" w:rsidP="00C86DAA">
          <w:pPr>
            <w:pStyle w:val="List-BulletLvl1"/>
          </w:pPr>
          <w:r w:rsidRPr="009E7223">
            <w:rPr>
              <w:b/>
            </w:rPr>
            <w:t xml:space="preserve">leadership </w:t>
          </w:r>
          <w:r w:rsidRPr="009E7223">
            <w:t>such as more participation by Māori leadership on the locations of NCGMs in iwi rohe, a requirement that local government be required to consult with Māori and Pasifika social service leaders on NCGM impacts when reviewing alcohol licences</w:t>
          </w:r>
          <w:r w:rsidRPr="009E7223">
            <w:rPr>
              <w:rStyle w:val="FootnoteReference"/>
            </w:rPr>
            <w:footnoteReference w:id="67"/>
          </w:r>
        </w:p>
        <w:p w14:paraId="6DD357A7" w14:textId="1E35955B" w:rsidR="00C86DAA" w:rsidRPr="009E7223" w:rsidRDefault="00C86DAA" w:rsidP="00C86DAA">
          <w:pPr>
            <w:pStyle w:val="List-BulletLvl1"/>
          </w:pPr>
          <w:r w:rsidRPr="009E7223">
            <w:rPr>
              <w:b/>
            </w:rPr>
            <w:t xml:space="preserve">training </w:t>
          </w:r>
          <w:r w:rsidRPr="009E7223">
            <w:t>such as better training and host responsibility for venue owners not born in New Zealand</w:t>
          </w:r>
          <w:r w:rsidRPr="009E7223">
            <w:rPr>
              <w:rStyle w:val="FootnoteReference"/>
            </w:rPr>
            <w:footnoteReference w:id="68"/>
          </w:r>
          <w:r w:rsidRPr="009E7223">
            <w:t xml:space="preserve"> and provision of multi-media training kits to support staff</w:t>
          </w:r>
          <w:r w:rsidRPr="009E7223">
            <w:rPr>
              <w:rStyle w:val="FootnoteReference"/>
            </w:rPr>
            <w:footnoteReference w:id="69"/>
          </w:r>
          <w:r w:rsidRPr="009E7223">
            <w:t xml:space="preserve"> </w:t>
          </w:r>
        </w:p>
        <w:p w14:paraId="5FD6859F" w14:textId="0DBC3413" w:rsidR="00C86DAA" w:rsidRPr="009E7223" w:rsidRDefault="00C86DAA" w:rsidP="00C86DAA">
          <w:pPr>
            <w:pStyle w:val="List-BulletLvl1"/>
          </w:pPr>
          <w:r w:rsidRPr="009E7223">
            <w:rPr>
              <w:b/>
            </w:rPr>
            <w:t xml:space="preserve">regulation </w:t>
          </w:r>
          <w:r w:rsidRPr="009E7223">
            <w:t>such as restrictions on culturally-targeted marketing campaigns by casino, Lotto NZ and the New Zealand Racing Board,</w:t>
          </w:r>
          <w:r w:rsidRPr="009E7223">
            <w:rPr>
              <w:rStyle w:val="FootnoteReference"/>
            </w:rPr>
            <w:footnoteReference w:id="70"/>
          </w:r>
          <w:r w:rsidRPr="009E7223">
            <w:t xml:space="preserve"> and</w:t>
          </w:r>
        </w:p>
        <w:p w14:paraId="43D10A97" w14:textId="1F2A950A" w:rsidR="00C86DAA" w:rsidRPr="009E7223" w:rsidRDefault="00C86DAA" w:rsidP="00C86DAA">
          <w:pPr>
            <w:pStyle w:val="List-BulletLvl1"/>
          </w:pPr>
          <w:r w:rsidRPr="009E7223">
            <w:rPr>
              <w:b/>
            </w:rPr>
            <w:t>digital solutions for support services</w:t>
          </w:r>
          <w:r w:rsidRPr="009E7223">
            <w:t xml:space="preserve"> such as a digital platform for Māori and Pasifika </w:t>
          </w:r>
          <w:r w:rsidR="007376EC" w:rsidRPr="009E7223">
            <w:t xml:space="preserve">treatment </w:t>
          </w:r>
          <w:r w:rsidRPr="009E7223">
            <w:t>providers to increase their reach and support, and to be used by services with Māori and Pasifika clients.</w:t>
          </w:r>
          <w:r w:rsidRPr="009E7223">
            <w:rPr>
              <w:rStyle w:val="FootnoteReference"/>
            </w:rPr>
            <w:footnoteReference w:id="71"/>
          </w:r>
        </w:p>
        <w:p w14:paraId="459016ED" w14:textId="2ADFB424" w:rsidR="00C86DAA" w:rsidRPr="009E7223" w:rsidRDefault="002D17EB" w:rsidP="00C86DAA">
          <w:pPr>
            <w:pStyle w:val="BodyText"/>
          </w:pPr>
          <w:r w:rsidRPr="009E7223">
            <w:t xml:space="preserve">Three </w:t>
          </w:r>
          <w:r w:rsidR="00C86DAA" w:rsidRPr="009E7223">
            <w:t>Service Providers catering to Asian clients highlighted the vulnerability of various Asian populations in New Zealand</w:t>
          </w:r>
          <w:r w:rsidR="00C86DAA" w:rsidRPr="009E7223">
            <w:rPr>
              <w:rStyle w:val="FootnoteReference"/>
            </w:rPr>
            <w:footnoteReference w:id="72"/>
          </w:r>
          <w:r w:rsidR="00584D52" w:rsidRPr="009E7223">
            <w:t xml:space="preserve"> – </w:t>
          </w:r>
          <w:r w:rsidR="00C86DAA" w:rsidRPr="009E7223">
            <w:t xml:space="preserve">a population mentioned in the description of the </w:t>
          </w:r>
          <w:r w:rsidR="00CF476B" w:rsidRPr="009E7223">
            <w:t>o</w:t>
          </w:r>
          <w:r w:rsidR="00C86DAA" w:rsidRPr="009E7223">
            <w:t xml:space="preserve">bjective and in one of the short-term actions, but not specifically in the Objective 1 title. They noted the different drivers of Asian gambling harm compared to Māori and Pasifika populations, relating to settlement, language barriers and disconnection from family, particularly for those sub-populations such as young international students, who face pressure and isolation and </w:t>
          </w:r>
          <w:r w:rsidR="007376EC" w:rsidRPr="009E7223">
            <w:t xml:space="preserve">are understood to </w:t>
          </w:r>
          <w:r w:rsidR="00C86DAA" w:rsidRPr="009E7223">
            <w:t xml:space="preserve">turn to online </w:t>
          </w:r>
          <w:r w:rsidR="00C86DAA" w:rsidRPr="009E7223">
            <w:lastRenderedPageBreak/>
            <w:t>gambling as an emotional escape. Submitters described the significant harm that problem gambling can lead to, including suicide, bankruptcy and psychosocial issues. Submitters suggested actions to address Asian populations’ problem gambling, which are discussed in detail in the section on the inclusion of priority actions to reduce inequality and inequity for specific groups, below at</w:t>
          </w:r>
          <w:r w:rsidR="0024151D" w:rsidRPr="009E7223">
            <w:t xml:space="preserve"> section</w:t>
          </w:r>
          <w:r w:rsidR="00ED1867">
            <w:t xml:space="preserve"> </w:t>
          </w:r>
          <w:r w:rsidR="00966A7E">
            <w:rPr>
              <w:i/>
            </w:rPr>
            <w:t>Priority actions intended inequality and inequity were broadly supported</w:t>
          </w:r>
          <w:r w:rsidR="00C86DAA" w:rsidRPr="009E7223">
            <w:t>.</w:t>
          </w:r>
        </w:p>
        <w:p w14:paraId="43CC544B" w14:textId="643709B0" w:rsidR="00C86DAA" w:rsidRPr="009E7223" w:rsidRDefault="00C86DAA" w:rsidP="00C86DAA">
          <w:pPr>
            <w:pStyle w:val="BodyText"/>
          </w:pPr>
          <w:r w:rsidRPr="009E7223">
            <w:t>An individual submitter also wanted to see more focus on family, whānau and communities, and better host responsibility training.</w:t>
          </w:r>
          <w:r w:rsidRPr="009E7223">
            <w:rPr>
              <w:rStyle w:val="FootnoteReference"/>
            </w:rPr>
            <w:footnoteReference w:id="73"/>
          </w:r>
        </w:p>
        <w:p w14:paraId="10CAA50E" w14:textId="5C253345" w:rsidR="00C86DAA" w:rsidRPr="009E7223" w:rsidRDefault="00C86DAA" w:rsidP="00C86DAA">
          <w:pPr>
            <w:pStyle w:val="BodyText"/>
            <w:rPr>
              <w:i/>
            </w:rPr>
          </w:pPr>
          <w:r w:rsidRPr="009E7223">
            <w:rPr>
              <w:i/>
            </w:rPr>
            <w:t>Objective 2: Māori have healthier futures, through the prevention and minimisation of gambling harm</w:t>
          </w:r>
        </w:p>
        <w:p w14:paraId="0766929C" w14:textId="6C8EA1A5" w:rsidR="00C86DAA" w:rsidRPr="009E7223" w:rsidRDefault="00C86DAA" w:rsidP="00C86DAA">
          <w:pPr>
            <w:pStyle w:val="BodyText"/>
          </w:pPr>
          <w:r w:rsidRPr="009E7223">
            <w:t>Service Providers in particular recognised the benefit of dedicated services, or “</w:t>
          </w:r>
          <w:r w:rsidRPr="009E7223">
            <w:rPr>
              <w:i/>
            </w:rPr>
            <w:t>Māori services for Māori</w:t>
          </w:r>
          <w:r w:rsidRPr="009E7223">
            <w:t>”,</w:t>
          </w:r>
          <w:r w:rsidRPr="009E7223">
            <w:rPr>
              <w:rStyle w:val="FootnoteReference"/>
            </w:rPr>
            <w:footnoteReference w:id="74"/>
          </w:r>
          <w:r w:rsidRPr="009E7223">
            <w:t xml:space="preserve"> and that services need to be available for gamblers as well as their family and whānau.</w:t>
          </w:r>
          <w:r w:rsidRPr="009E7223">
            <w:rPr>
              <w:rStyle w:val="FootnoteReference"/>
            </w:rPr>
            <w:footnoteReference w:id="75"/>
          </w:r>
          <w:r w:rsidRPr="009E7223">
            <w:t xml:space="preserve"> They also noted the need for a significant reduction in the density of NCGMs in high deprivation communities, and for Māori to know that there is a choice of </w:t>
          </w:r>
          <w:r w:rsidR="002D17EB" w:rsidRPr="009E7223">
            <w:t xml:space="preserve">treatment </w:t>
          </w:r>
          <w:r w:rsidRPr="009E7223">
            <w:t>service available.</w:t>
          </w:r>
          <w:r w:rsidRPr="009E7223">
            <w:rPr>
              <w:rStyle w:val="FootnoteReference"/>
            </w:rPr>
            <w:footnoteReference w:id="76"/>
          </w:r>
          <w:r w:rsidRPr="009E7223">
            <w:t xml:space="preserve"> Suggested specific actions to achieve this objective included:</w:t>
          </w:r>
        </w:p>
        <w:p w14:paraId="05131E00" w14:textId="6A34BBE0" w:rsidR="00C86DAA" w:rsidRPr="009E7223" w:rsidRDefault="00B4222C" w:rsidP="00C86DAA">
          <w:pPr>
            <w:pStyle w:val="List-BulletLvl1"/>
          </w:pPr>
          <w:r w:rsidRPr="009E7223">
            <w:t>C</w:t>
          </w:r>
          <w:r w:rsidR="00C86DAA" w:rsidRPr="009E7223">
            <w:t>onsultation with Māori on any new NCGM licence renewal or venue relocation</w:t>
          </w:r>
          <w:r w:rsidR="009E2677" w:rsidRPr="009E7223">
            <w:rPr>
              <w:rStyle w:val="FootnoteReference"/>
            </w:rPr>
            <w:footnoteReference w:id="77"/>
          </w:r>
        </w:p>
        <w:p w14:paraId="4972A9BC" w14:textId="0010219A" w:rsidR="00C86DAA" w:rsidRPr="009E7223" w:rsidRDefault="00B4222C" w:rsidP="00C86DAA">
          <w:pPr>
            <w:pStyle w:val="List-BulletLvl1"/>
          </w:pPr>
          <w:r w:rsidRPr="009E7223">
            <w:t>P</w:t>
          </w:r>
          <w:r w:rsidR="00C86DAA" w:rsidRPr="009E7223">
            <w:t>romotion of services other than the Gambling Helpline</w:t>
          </w:r>
          <w:r w:rsidR="006F5967" w:rsidRPr="009E7223">
            <w:rPr>
              <w:rStyle w:val="FootnoteReference"/>
            </w:rPr>
            <w:footnoteReference w:id="78"/>
          </w:r>
        </w:p>
        <w:p w14:paraId="4EE672EE" w14:textId="5A21C52A" w:rsidR="00C86DAA" w:rsidRPr="009E7223" w:rsidRDefault="00B4222C" w:rsidP="00C86DAA">
          <w:pPr>
            <w:pStyle w:val="List-BulletLvl1"/>
          </w:pPr>
          <w:r w:rsidRPr="009E7223">
            <w:t>M</w:t>
          </w:r>
          <w:r w:rsidR="00C86DAA" w:rsidRPr="009E7223">
            <w:t>ore availability of peer support using social media to aid access and mitigate the risk of relapse,</w:t>
          </w:r>
          <w:r w:rsidR="00C86DAA" w:rsidRPr="009E7223">
            <w:rPr>
              <w:rStyle w:val="FootnoteReference"/>
            </w:rPr>
            <w:footnoteReference w:id="79"/>
          </w:r>
          <w:r w:rsidR="00C86DAA" w:rsidRPr="009E7223">
            <w:t xml:space="preserve"> and</w:t>
          </w:r>
        </w:p>
        <w:p w14:paraId="79D3E1EF" w14:textId="5C95B891" w:rsidR="00C86DAA" w:rsidRPr="009E7223" w:rsidRDefault="00B4222C" w:rsidP="00C86DAA">
          <w:pPr>
            <w:pStyle w:val="List-BulletLvl1"/>
          </w:pPr>
          <w:r w:rsidRPr="009E7223">
            <w:t>S</w:t>
          </w:r>
          <w:r w:rsidR="00C86DAA" w:rsidRPr="009E7223">
            <w:t>upport for the Māori workforce to apply their own cultural methods and models of practice to provide more equitable support in minimising gambling harm.</w:t>
          </w:r>
          <w:r w:rsidR="00C86DAA" w:rsidRPr="009E7223">
            <w:rPr>
              <w:rStyle w:val="FootnoteReference"/>
            </w:rPr>
            <w:footnoteReference w:id="80"/>
          </w:r>
        </w:p>
        <w:p w14:paraId="508F86FC" w14:textId="15B2D47C" w:rsidR="00C86DAA" w:rsidRPr="009E7223" w:rsidRDefault="00C86DAA" w:rsidP="00C86DAA">
          <w:pPr>
            <w:pStyle w:val="BodyText"/>
          </w:pPr>
          <w:r w:rsidRPr="009E7223">
            <w:t xml:space="preserve">One NCGM </w:t>
          </w:r>
          <w:r w:rsidR="00527519" w:rsidRPr="009E7223">
            <w:t xml:space="preserve">submitter </w:t>
          </w:r>
          <w:r w:rsidRPr="009E7223">
            <w:t xml:space="preserve">suggested re-framing the </w:t>
          </w:r>
          <w:r w:rsidR="00CF476B" w:rsidRPr="009E7223">
            <w:t>o</w:t>
          </w:r>
          <w:r w:rsidRPr="009E7223">
            <w:t>bjective as “everyone involved in gambling understands the range of gambling harms that can affect individuals, families/whānau and communities and knows how to seek help as and when needed”, on the basis that everyone is entitled to a better future, and specific at-risk population needs should be addressed under Objective 1.</w:t>
          </w:r>
          <w:r w:rsidRPr="009E7223">
            <w:rPr>
              <w:rStyle w:val="FootnoteReference"/>
            </w:rPr>
            <w:footnoteReference w:id="81"/>
          </w:r>
        </w:p>
        <w:p w14:paraId="2D3A4073" w14:textId="0F800AF5" w:rsidR="00C86DAA" w:rsidRPr="009E7223" w:rsidRDefault="00C86DAA" w:rsidP="00C86DAA">
          <w:pPr>
            <w:pStyle w:val="BodyText"/>
          </w:pPr>
          <w:r w:rsidRPr="009E7223">
            <w:t>One individual note</w:t>
          </w:r>
          <w:r w:rsidR="00CF4BFE" w:rsidRPr="009E7223">
            <w:t>d</w:t>
          </w:r>
          <w:r w:rsidRPr="009E7223">
            <w:t xml:space="preserve"> support for Objective 2 without offering further comment.</w:t>
          </w:r>
          <w:r w:rsidRPr="009E7223">
            <w:rPr>
              <w:rStyle w:val="FootnoteReference"/>
            </w:rPr>
            <w:footnoteReference w:id="82"/>
          </w:r>
        </w:p>
        <w:p w14:paraId="2EC73985" w14:textId="77777777" w:rsidR="00C86DAA" w:rsidRPr="009E7223" w:rsidRDefault="00C86DAA" w:rsidP="00527519">
          <w:pPr>
            <w:pStyle w:val="BodyText"/>
            <w:keepNext/>
            <w:rPr>
              <w:i/>
            </w:rPr>
          </w:pPr>
          <w:r w:rsidRPr="009E7223">
            <w:rPr>
              <w:i/>
            </w:rPr>
            <w:t>Objective 3: People participate in decision-making about activities in their communities that prevent and minimise gambling harm</w:t>
          </w:r>
        </w:p>
        <w:p w14:paraId="28494EEE" w14:textId="391B6E8A" w:rsidR="00C86DAA" w:rsidRPr="009E7223" w:rsidRDefault="00C86DAA" w:rsidP="00C86DAA">
          <w:pPr>
            <w:pStyle w:val="BodyText"/>
          </w:pPr>
          <w:r w:rsidRPr="009E7223">
            <w:t xml:space="preserve">Service Providers supported existing initiatives to encourage community participation, such as </w:t>
          </w:r>
          <w:r w:rsidR="00CF4BFE" w:rsidRPr="009E7223">
            <w:t xml:space="preserve">the </w:t>
          </w:r>
          <w:r w:rsidRPr="009E7223">
            <w:t>Gambling Harm Awareness Week Campaign,</w:t>
          </w:r>
          <w:r w:rsidRPr="009E7223">
            <w:rPr>
              <w:rStyle w:val="FootnoteReference"/>
            </w:rPr>
            <w:footnoteReference w:id="83"/>
          </w:r>
          <w:r w:rsidRPr="009E7223">
            <w:t xml:space="preserve"> and support for whānau, hap</w:t>
          </w:r>
          <w:r w:rsidR="0024151D" w:rsidRPr="009E7223">
            <w:t>ū</w:t>
          </w:r>
          <w:r w:rsidRPr="009E7223">
            <w:t xml:space="preserve"> and iwi to have greater input in their communities.</w:t>
          </w:r>
          <w:r w:rsidRPr="009E7223">
            <w:rPr>
              <w:rStyle w:val="FootnoteReference"/>
            </w:rPr>
            <w:footnoteReference w:id="84"/>
          </w:r>
          <w:r w:rsidRPr="009E7223">
            <w:t xml:space="preserve"> One </w:t>
          </w:r>
          <w:r w:rsidR="00CF4BFE" w:rsidRPr="009E7223">
            <w:t>s</w:t>
          </w:r>
          <w:r w:rsidRPr="009E7223">
            <w:t xml:space="preserve">ervice </w:t>
          </w:r>
          <w:r w:rsidR="00CF4BFE" w:rsidRPr="009E7223">
            <w:t>p</w:t>
          </w:r>
          <w:r w:rsidRPr="009E7223">
            <w:t>rovider comment</w:t>
          </w:r>
          <w:r w:rsidR="00CF4BFE" w:rsidRPr="009E7223">
            <w:t>ed</w:t>
          </w:r>
          <w:r w:rsidRPr="009E7223">
            <w:t xml:space="preserve"> that input from Māori should reflect a co-management model of partnership as intended under Te Tiriti o Waitangi principle of partnership.</w:t>
          </w:r>
          <w:r w:rsidRPr="009E7223">
            <w:rPr>
              <w:rStyle w:val="FootnoteReference"/>
            </w:rPr>
            <w:footnoteReference w:id="85"/>
          </w:r>
        </w:p>
        <w:p w14:paraId="1F65DBA7" w14:textId="630E81B9" w:rsidR="00C86DAA" w:rsidRPr="009E7223" w:rsidRDefault="00C86DAA" w:rsidP="00C86DAA">
          <w:pPr>
            <w:pStyle w:val="BodyText"/>
          </w:pPr>
          <w:r w:rsidRPr="009E7223">
            <w:lastRenderedPageBreak/>
            <w:t>One Service Provider noted the need for more transparency at the local government level around opportunities for participation and submissions on local gambling policies, including hearing the voices of Māori, Pasifika and Asian communities on these issues.</w:t>
          </w:r>
          <w:r w:rsidRPr="009E7223">
            <w:rPr>
              <w:rStyle w:val="FootnoteReference"/>
            </w:rPr>
            <w:footnoteReference w:id="86"/>
          </w:r>
          <w:r w:rsidRPr="009E7223">
            <w:t xml:space="preserve"> Another Service Provider stressed the need for more information on specific actions over the next three years on how the “language barriers, lack of knowledge and lack of understanding” in the underlying principle would be addressed to empower individuals and their communities to engage and participate effectively.</w:t>
          </w:r>
          <w:r w:rsidRPr="009E7223">
            <w:rPr>
              <w:rStyle w:val="FootnoteReference"/>
            </w:rPr>
            <w:footnoteReference w:id="87"/>
          </w:r>
          <w:r w:rsidRPr="009E7223">
            <w:t xml:space="preserve"> It was considered that more transparency is needed at the local government level on how money lost through gambling in high deprivation areas is distributed back in those communities, for example</w:t>
          </w:r>
          <w:r w:rsidR="0024151D" w:rsidRPr="009E7223">
            <w:t>,</w:t>
          </w:r>
          <w:r w:rsidRPr="009E7223">
            <w:t xml:space="preserve"> through regular reporting.</w:t>
          </w:r>
          <w:r w:rsidRPr="009E7223">
            <w:rPr>
              <w:rStyle w:val="FootnoteReference"/>
            </w:rPr>
            <w:footnoteReference w:id="88"/>
          </w:r>
        </w:p>
        <w:p w14:paraId="21A84B52" w14:textId="317C8BA2" w:rsidR="00C86DAA" w:rsidRPr="009E7223" w:rsidRDefault="00C86DAA" w:rsidP="00C86DAA">
          <w:pPr>
            <w:pStyle w:val="BodyText"/>
          </w:pPr>
          <w:r w:rsidRPr="009E7223">
            <w:t xml:space="preserve">A </w:t>
          </w:r>
          <w:r w:rsidR="003052F1" w:rsidRPr="009E7223">
            <w:t>Health sector</w:t>
          </w:r>
          <w:r w:rsidRPr="009E7223">
            <w:t xml:space="preserve"> submitter</w:t>
          </w:r>
          <w:r w:rsidR="005A2834" w:rsidRPr="009E7223">
            <w:rPr>
              <w:rStyle w:val="FootnoteReference"/>
            </w:rPr>
            <w:footnoteReference w:id="89"/>
          </w:r>
          <w:r w:rsidRPr="009E7223">
            <w:t xml:space="preserve"> supported this </w:t>
          </w:r>
          <w:r w:rsidR="00CF476B" w:rsidRPr="009E7223">
            <w:t>o</w:t>
          </w:r>
          <w:r w:rsidRPr="009E7223">
            <w:t>bjective in combination with Objective 4 (health policy</w:t>
          </w:r>
          <w:r w:rsidR="00B70FD9" w:rsidRPr="009E7223">
            <w:t>) and</w:t>
          </w:r>
          <w:r w:rsidRPr="009E7223">
            <w:t xml:space="preserve"> noted that decision-making is distributed inequitably from one community to the next, for example, there are more NCGMs in poorer areas. This submitter also raised concerns about awareness of grant distribution being part of this </w:t>
          </w:r>
          <w:r w:rsidR="00CF476B" w:rsidRPr="009E7223">
            <w:t>o</w:t>
          </w:r>
          <w:r w:rsidRPr="009E7223">
            <w:t xml:space="preserve">bjective, given the evidence that gambling-funded grants are inequitable because they distribute money away from highly deprived communities, and suggested further research to inform recommendations in this area. Another </w:t>
          </w:r>
          <w:r w:rsidR="003052F1" w:rsidRPr="009E7223">
            <w:t>Health sector</w:t>
          </w:r>
          <w:r w:rsidRPr="009E7223">
            <w:t xml:space="preserve"> submitter</w:t>
          </w:r>
          <w:r w:rsidRPr="009E7223">
            <w:rPr>
              <w:rStyle w:val="FootnoteReference"/>
            </w:rPr>
            <w:footnoteReference w:id="90"/>
          </w:r>
          <w:r w:rsidRPr="009E7223">
            <w:t xml:space="preserve"> suggested amending the wording of the </w:t>
          </w:r>
          <w:r w:rsidR="00CF476B" w:rsidRPr="009E7223">
            <w:t>o</w:t>
          </w:r>
          <w:r w:rsidRPr="009E7223">
            <w:t xml:space="preserve">bjective to place more emphasis on people not just participating in activities but </w:t>
          </w:r>
          <w:r w:rsidR="00B70FD9">
            <w:t>also those</w:t>
          </w:r>
          <w:r w:rsidRPr="009E7223">
            <w:t xml:space="preserve"> </w:t>
          </w:r>
          <w:r w:rsidR="00B70FD9">
            <w:t xml:space="preserve">who are </w:t>
          </w:r>
          <w:r w:rsidRPr="009E7223">
            <w:t xml:space="preserve">setting </w:t>
          </w:r>
          <w:r w:rsidR="00B70FD9">
            <w:t xml:space="preserve">the </w:t>
          </w:r>
          <w:r w:rsidRPr="009E7223">
            <w:t>direction at the local level around the role of gambling in their community</w:t>
          </w:r>
          <w:r w:rsidR="00CF4BFE" w:rsidRPr="009E7223">
            <w:t>. That</w:t>
          </w:r>
          <w:r w:rsidRPr="009E7223">
            <w:t xml:space="preserve"> is, people participate in the decision-making about the provision of gambling in their communities along with activities that prevent and minimise gambling-related harm.</w:t>
          </w:r>
        </w:p>
        <w:p w14:paraId="505E3E5D" w14:textId="4F0AC7C7" w:rsidR="00C86DAA" w:rsidRPr="009E7223" w:rsidRDefault="00C86DAA" w:rsidP="00C86DAA">
          <w:pPr>
            <w:pStyle w:val="BodyText"/>
          </w:pPr>
          <w:r w:rsidRPr="009E7223">
            <w:t xml:space="preserve">One Local Government submitter recommended that actions under this </w:t>
          </w:r>
          <w:r w:rsidR="00CF476B" w:rsidRPr="009E7223">
            <w:t>o</w:t>
          </w:r>
          <w:r w:rsidRPr="009E7223">
            <w:t>bjective be expanded to include specific methods of increasing participation in decision-making and the allocation of gambling profits of vulnerable communities.</w:t>
          </w:r>
          <w:r w:rsidRPr="009E7223">
            <w:rPr>
              <w:rStyle w:val="FootnoteReference"/>
            </w:rPr>
            <w:footnoteReference w:id="91"/>
          </w:r>
        </w:p>
        <w:p w14:paraId="4A8B4AC1" w14:textId="4E44B076" w:rsidR="00C86DAA" w:rsidRPr="009E7223" w:rsidRDefault="00C86DAA" w:rsidP="00C86DAA">
          <w:pPr>
            <w:pStyle w:val="BodyText"/>
          </w:pPr>
          <w:r w:rsidRPr="009E7223">
            <w:t xml:space="preserve">An individual submitter showed strong support for the </w:t>
          </w:r>
          <w:r w:rsidR="00CF476B" w:rsidRPr="009E7223">
            <w:t>o</w:t>
          </w:r>
          <w:r w:rsidRPr="009E7223">
            <w:t>bjective, noting the more community awareness and discussion the better, and the need for central government leadership.</w:t>
          </w:r>
          <w:r w:rsidRPr="009E7223">
            <w:rPr>
              <w:rStyle w:val="FootnoteReference"/>
            </w:rPr>
            <w:footnoteReference w:id="92"/>
          </w:r>
        </w:p>
        <w:p w14:paraId="5CBFA734" w14:textId="77777777" w:rsidR="00C86DAA" w:rsidRPr="009E7223" w:rsidRDefault="00C86DAA" w:rsidP="00C86DAA">
          <w:pPr>
            <w:pStyle w:val="BodyText"/>
            <w:rPr>
              <w:i/>
            </w:rPr>
          </w:pPr>
          <w:r w:rsidRPr="009E7223">
            <w:rPr>
              <w:i/>
            </w:rPr>
            <w:t>Objective 4: Healthy policy at the national, regional and local level prevents and minimises gambling harm</w:t>
          </w:r>
        </w:p>
        <w:p w14:paraId="6B9A6C8B" w14:textId="2FCB6EC2" w:rsidR="00C86DAA" w:rsidRPr="009E7223" w:rsidRDefault="00C86DAA" w:rsidP="00C86DAA">
          <w:pPr>
            <w:pStyle w:val="BodyText"/>
          </w:pPr>
          <w:r w:rsidRPr="009E7223">
            <w:t xml:space="preserve">One Service Provider supported the </w:t>
          </w:r>
          <w:r w:rsidR="0065722E" w:rsidRPr="009E7223">
            <w:t>strategic direction</w:t>
          </w:r>
          <w:r w:rsidRPr="009E7223">
            <w:t xml:space="preserve"> as generally fit for purpose and noted the value of targeted funding via the levy to spend on preventing minimising harm.</w:t>
          </w:r>
          <w:r w:rsidRPr="009E7223">
            <w:rPr>
              <w:rStyle w:val="FootnoteReference"/>
            </w:rPr>
            <w:footnoteReference w:id="93"/>
          </w:r>
          <w:r w:rsidRPr="009E7223">
            <w:t xml:space="preserve"> However, this submitter considered that the co-dependency of having community interests being supported by NCGMs weakens the effectiveness of the </w:t>
          </w:r>
          <w:r w:rsidR="002D17EB" w:rsidRPr="009E7223">
            <w:t>S</w:t>
          </w:r>
          <w:r w:rsidRPr="009E7223">
            <w:t>trategy and in some high deprivation areas is likely to be exacerbating harm, and the reliance on presentations to services as a measure of the prevalence of harm considerably understates that harm</w:t>
          </w:r>
          <w:r w:rsidR="002D17EB" w:rsidRPr="009E7223">
            <w:t xml:space="preserve"> extends from</w:t>
          </w:r>
          <w:r w:rsidRPr="009E7223">
            <w:t xml:space="preserve"> individuals</w:t>
          </w:r>
          <w:r w:rsidR="002D17EB" w:rsidRPr="009E7223">
            <w:t xml:space="preserve"> to</w:t>
          </w:r>
          <w:r w:rsidRPr="009E7223">
            <w:t xml:space="preserve"> families. The submitter suggested that establishing whether a venue’s primary purpose is NCGMs should be measured by revenue rather than a general consideration of activity, to provide greater clarity for regulators. Another submitter stated that they would like to ensure a healthy policy is applied to all the gambling venues, that is NCGMs, casinos, lotto and racing, with the</w:t>
          </w:r>
          <w:r w:rsidR="002D17EB" w:rsidRPr="009E7223">
            <w:t xml:space="preserve"> support of the</w:t>
          </w:r>
          <w:r w:rsidRPr="009E7223">
            <w:t xml:space="preserve"> Ministry and </w:t>
          </w:r>
          <w:r w:rsidR="002D17EB" w:rsidRPr="009E7223">
            <w:t xml:space="preserve">the </w:t>
          </w:r>
          <w:r w:rsidRPr="009E7223">
            <w:t>D</w:t>
          </w:r>
          <w:r w:rsidR="002D17EB" w:rsidRPr="009E7223">
            <w:t>epartment of Internal Affairs (D</w:t>
          </w:r>
          <w:r w:rsidRPr="009E7223">
            <w:t>IA</w:t>
          </w:r>
          <w:r w:rsidR="002D17EB" w:rsidRPr="009E7223">
            <w:t>).</w:t>
          </w:r>
          <w:r w:rsidRPr="009E7223">
            <w:rPr>
              <w:rStyle w:val="FootnoteReference"/>
            </w:rPr>
            <w:footnoteReference w:id="94"/>
          </w:r>
        </w:p>
        <w:p w14:paraId="1E430157" w14:textId="76C94F5F" w:rsidR="00C86DAA" w:rsidRPr="009E7223" w:rsidRDefault="00C86DAA" w:rsidP="00C86DAA">
          <w:pPr>
            <w:pStyle w:val="BodyText"/>
          </w:pPr>
          <w:r w:rsidRPr="009E7223">
            <w:lastRenderedPageBreak/>
            <w:t xml:space="preserve">One </w:t>
          </w:r>
          <w:r w:rsidR="003052F1" w:rsidRPr="009E7223">
            <w:t>Health sector</w:t>
          </w:r>
          <w:r w:rsidRPr="009E7223">
            <w:t xml:space="preserve"> submitter considered that the </w:t>
          </w:r>
          <w:r w:rsidR="00CF476B" w:rsidRPr="009E7223">
            <w:t>o</w:t>
          </w:r>
          <w:r w:rsidRPr="009E7223">
            <w:t>bjective needs to be strengthened to incorporate a health equities approach, and be reframed to read “healthy policy, incorporating a health equities approach, at the national regional and local level prevents and minimised gambling-related harm.”</w:t>
          </w:r>
          <w:r w:rsidRPr="009E7223">
            <w:rPr>
              <w:rStyle w:val="FootnoteReference"/>
            </w:rPr>
            <w:footnoteReference w:id="95"/>
          </w:r>
        </w:p>
        <w:p w14:paraId="0B972F5D" w14:textId="77777777" w:rsidR="00C86DAA" w:rsidRPr="009E7223" w:rsidRDefault="00C86DAA" w:rsidP="00C86DAA">
          <w:pPr>
            <w:pStyle w:val="BodyText"/>
          </w:pPr>
          <w:r w:rsidRPr="009E7223">
            <w:t>A Local Government submitter considered that priority actions should include specificity around working with local authorities to ensure that they are able to access quality information within their local areas in the short- to medium-term.</w:t>
          </w:r>
          <w:r w:rsidRPr="009E7223">
            <w:rPr>
              <w:rStyle w:val="FootnoteReference"/>
            </w:rPr>
            <w:footnoteReference w:id="96"/>
          </w:r>
          <w:r w:rsidRPr="009E7223">
            <w:t xml:space="preserve"> The submitter also recommended additional funding should be included within the three-year service plan expressly for monitoring and research about the effectiveness of individual local authority gambling venue policies which impact on NCGMs.</w:t>
          </w:r>
        </w:p>
        <w:p w14:paraId="4200C493" w14:textId="5E3C40B0" w:rsidR="00C86DAA" w:rsidRPr="009E7223" w:rsidRDefault="00C86DAA" w:rsidP="00C86DAA">
          <w:pPr>
            <w:pStyle w:val="BodyText"/>
          </w:pPr>
          <w:r w:rsidRPr="009E7223">
            <w:t xml:space="preserve">An individual strongly supported this </w:t>
          </w:r>
          <w:r w:rsidR="00CF476B" w:rsidRPr="009E7223">
            <w:t>o</w:t>
          </w:r>
          <w:r w:rsidRPr="009E7223">
            <w:t>bjective, suggest</w:t>
          </w:r>
          <w:r w:rsidR="00B70FD9">
            <w:t>ing</w:t>
          </w:r>
          <w:r w:rsidRPr="009E7223">
            <w:t xml:space="preserve"> a strong central government role to remove differences between regions.</w:t>
          </w:r>
          <w:r w:rsidRPr="009E7223">
            <w:rPr>
              <w:rStyle w:val="FootnoteReference"/>
            </w:rPr>
            <w:footnoteReference w:id="97"/>
          </w:r>
        </w:p>
        <w:p w14:paraId="32820150" w14:textId="2DAB7601" w:rsidR="00C86DAA" w:rsidRPr="009E7223" w:rsidRDefault="00C86DAA" w:rsidP="00C86DAA">
          <w:pPr>
            <w:pStyle w:val="BodyText"/>
            <w:rPr>
              <w:i/>
            </w:rPr>
          </w:pPr>
          <w:r w:rsidRPr="009E7223">
            <w:rPr>
              <w:i/>
            </w:rPr>
            <w:t>Objective 5: People understand and acknowledge the range of gambling harms that affect individuals, families/whānau and communities</w:t>
          </w:r>
        </w:p>
        <w:p w14:paraId="65C4B3D3" w14:textId="28F018FD" w:rsidR="00422841" w:rsidRPr="009E7223" w:rsidRDefault="00FF033F" w:rsidP="00C86DAA">
          <w:pPr>
            <w:pStyle w:val="BodyText"/>
          </w:pPr>
          <w:r w:rsidRPr="009E7223">
            <w:rPr>
              <w:noProof/>
              <w:lang w:eastAsia="en-NZ"/>
            </w:rPr>
            <mc:AlternateContent>
              <mc:Choice Requires="wpg">
                <w:drawing>
                  <wp:anchor distT="0" distB="0" distL="228600" distR="228600" simplePos="0" relativeHeight="251670528" behindDoc="0" locked="0" layoutInCell="1" allowOverlap="1" wp14:anchorId="6E8A910A" wp14:editId="2E9409F2">
                    <wp:simplePos x="0" y="0"/>
                    <wp:positionH relativeFrom="page">
                      <wp:posOffset>3391135</wp:posOffset>
                    </wp:positionH>
                    <wp:positionV relativeFrom="page">
                      <wp:posOffset>4845200</wp:posOffset>
                    </wp:positionV>
                    <wp:extent cx="3218561" cy="1519119"/>
                    <wp:effectExtent l="0" t="0" r="1270" b="5080"/>
                    <wp:wrapSquare wrapText="bothSides"/>
                    <wp:docPr id="173" name="Group 173"/>
                    <wp:cNvGraphicFramePr/>
                    <a:graphic xmlns:a="http://schemas.openxmlformats.org/drawingml/2006/main">
                      <a:graphicData uri="http://schemas.microsoft.com/office/word/2010/wordprocessingGroup">
                        <wpg:wgp>
                          <wpg:cNvGrpSpPr/>
                          <wpg:grpSpPr>
                            <a:xfrm>
                              <a:off x="0" y="0"/>
                              <a:ext cx="3218561" cy="1519119"/>
                              <a:chOff x="0" y="0"/>
                              <a:chExt cx="3218688" cy="1712187"/>
                            </a:xfrm>
                          </wpg:grpSpPr>
                          <wps:wsp>
                            <wps:cNvPr id="174" name="Rectangle 174"/>
                            <wps:cNvSpPr/>
                            <wps:spPr>
                              <a:xfrm>
                                <a:off x="0" y="0"/>
                                <a:ext cx="3218688" cy="169604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1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180007" y="399130"/>
                                <a:ext cx="3037612" cy="13130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678786" w14:textId="724D5E9D" w:rsidR="00723291" w:rsidRDefault="00723291">
                                  <w:pPr>
                                    <w:ind w:left="504"/>
                                    <w:jc w:val="right"/>
                                    <w:rPr>
                                      <w:smallCaps/>
                                      <w:color w:val="77B800" w:themeColor="accent2"/>
                                      <w:sz w:val="28"/>
                                      <w:szCs w:val="24"/>
                                    </w:rPr>
                                  </w:pPr>
                                  <w:r>
                                    <w:t>Link problem gambling treatment services and other social and health services, given the impact of problem gambling on health outcomes, social services, financial capability, housing and education.</w:t>
                                  </w:r>
                                </w:p>
                                <w:p w14:paraId="43C7105F" w14:textId="37C05A31" w:rsidR="00723291" w:rsidRDefault="00723291">
                                  <w:pPr>
                                    <w:pStyle w:val="NoSpacing"/>
                                    <w:ind w:left="360"/>
                                    <w:jc w:val="right"/>
                                    <w:rPr>
                                      <w:color w:val="36424A"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8A910A" id="Group 173" o:spid="_x0000_s1034" style="position:absolute;left:0;text-align:left;margin-left:267pt;margin-top:381.5pt;width:253.45pt;height:119.6pt;z-index:251670528;mso-wrap-distance-left:18pt;mso-wrap-distance-right:18pt;mso-position-horizontal-relative:page;mso-position-vertical-relative:page;mso-width-relative:margin;mso-height-relative:margin" coordsize="32186,17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">
                    <v:rect id="Rectangle 174" o:spid="_x0000_s1035" style="position:absolute;width:32186;height:16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T1cUA&#10;AADcAAAADwAAAGRycy9kb3ducmV2LnhtbERP22rCQBB9F/yHZYS+FN1UrA3RVUqLUKkI9UJeh+yY&#10;BLOzaXbV6Nd3C4JvczjXmc5bU4kzNa60rOBlEIEgzqwuOVew2y76MQjnkTVWlknBlRzMZ93OFBNt&#10;L/xD543PRQhhl6CCwvs6kdJlBRl0A1sTB+5gG4M+wCaXusFLCDeVHEbRWBosOTQUWNNHQdlxczIK&#10;fkcxL3ffw/HKH9LbLd0/b18/10o99dr3CQhPrX+I7+4vHea/jeD/mXCB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FPVxQAAANwAAAAPAAAAAAAAAAAAAAAAAJgCAABkcnMv&#10;ZG93bnJldi54bWxQSwUGAAAAAAQABAD1AAAAigMAAAAA&#10;" fillcolor="white [3212]" stroked="f" strokeweight="1pt">
                      <v:fill opacity="0"/>
                    </v:rect>
                    <v:group id="Group 175" o:spid="_x0000_s1036"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Rectangle 10" o:spid="_x0000_s1037"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J8MQA&#10;AADcAAAADwAAAGRycy9kb3ducmV2LnhtbERP22rCQBB9L/Qflin4UurGCklJXUVKCwoKXkqfp9lp&#10;NpidTbOriX/vCoJvczjXmcx6W4sTtb5yrGA0TEAQF05XXCr43n+9vIHwAVlj7ZgUnMnDbPr4MMFc&#10;u463dNqFUsQQ9jkqMCE0uZS+MGTRD11DHLk/11oMEbal1C12MdzW8jVJUmmx4thgsKEPQ8Vhd7QK&#10;Pn/Xy//R86rbppvxYb7JbGbNj1KDp37+DiJQH+7im3uh4/wshesz8QI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IyfDEAAAA3AAAAA8AAAAAAAAAAAAAAAAAmAIAAGRycy9k&#10;b3ducmV2LnhtbFBLBQYAAAAABAAEAPUAAACJAwAAAAA=&#10;" path="m,l2240281,,1659256,222885,,822960,,xe" fillcolor="#36424a [3204]" stroked="f" strokeweight="1pt">
                        <v:stroke joinstyle="miter"/>
                        <v:path arrowok="t" o:connecttype="custom" o:connectlocs="0,0;1466258,0;1085979,274158;0,1012274;0,0" o:connectangles="0,0,0,0,0"/>
                      </v:shape>
                      <v:rect id="Rectangle 177" o:spid="_x0000_s1038"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SzQMEA&#10;AADcAAAADwAAAGRycy9kb3ducmV2LnhtbERPS4vCMBC+L/gfwgheFk1XWCvVKLIgeNrFB56HZmyK&#10;zaQ0sen++82C4G0+vuest4NtRE+drx0r+JhlIIhLp2uuFFzO++kShA/IGhvHpOCXPGw3o7c1FtpF&#10;PlJ/CpVIIewLVGBCaAspfWnIop+5ljhxN9dZDAl2ldQdxhRuGznPsoW0WHNqMNjSl6HyfnpYBe8t&#10;5cvz97U0976Pn/onVrdHVGoyHnYrEIGG8BI/3Qed5uc5/D+TLp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Es0DBAAAA3AAAAA8AAAAAAAAAAAAAAAAAmAIAAGRycy9kb3du&#10;cmV2LnhtbFBLBQYAAAAABAAEAPUAAACGAwAAAAA=&#10;" stroked="f" strokeweight="1pt">
                        <v:fill r:id="rId16" o:title="" recolor="t" rotate="t" type="frame"/>
                      </v:rect>
                    </v:group>
                    <v:shape id="Text Box 178" o:spid="_x0000_s1039" type="#_x0000_t202" style="position:absolute;left:1800;top:3991;width:30376;height:13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atsUA&#10;AADcAAAADwAAAGRycy9kb3ducmV2LnhtbESPT2vCQBDF7wW/wzJCb3WjgpXoKiqteBHqH/A6ZMck&#10;mJ1Ns6uJ3945FHqb4b157zfzZecq9aAmlJ4NDAcJKOLM25JzA+fT98cUVIjIFivPZOBJAZaL3tsc&#10;U+tbPtDjGHMlIRxSNFDEWKdah6wgh2Hga2LRrr5xGGVtcm0bbCXcVXqUJBPtsGRpKLCmTUHZ7Xh3&#10;Bibrn/v2t23pUl432X483Y6/upEx7/1uNQMVqYv/5r/rnRX8T6GVZ2QCv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hq2xQAAANwAAAAPAAAAAAAAAAAAAAAAAJgCAABkcnMv&#10;ZG93bnJldi54bWxQSwUGAAAAAAQABAD1AAAAigMAAAAA&#10;" filled="f" stroked="f" strokeweight=".5pt">
                      <v:textbox inset="3.6pt,7.2pt,0,0">
                        <w:txbxContent>
                          <w:p w14:paraId="69678786" w14:textId="724D5E9D" w:rsidR="00723291" w:rsidRDefault="00723291">
                            <w:pPr>
                              <w:ind w:left="504"/>
                              <w:jc w:val="right"/>
                              <w:rPr>
                                <w:smallCaps/>
                                <w:color w:val="77B800" w:themeColor="accent2"/>
                                <w:sz w:val="28"/>
                                <w:szCs w:val="24"/>
                              </w:rPr>
                            </w:pPr>
                            <w:r>
                              <w:t>Link problem gambling treatment services and other social and health services, given the impact of problem gambling on health outcomes, social services, financial capability, housing and education.</w:t>
                            </w:r>
                          </w:p>
                          <w:p w14:paraId="43C7105F" w14:textId="37C05A31" w:rsidR="00723291" w:rsidRDefault="00723291">
                            <w:pPr>
                              <w:pStyle w:val="NoSpacing"/>
                              <w:ind w:left="360"/>
                              <w:jc w:val="right"/>
                              <w:rPr>
                                <w:color w:val="36424A" w:themeColor="accent1"/>
                                <w:sz w:val="20"/>
                                <w:szCs w:val="20"/>
                              </w:rPr>
                            </w:pPr>
                          </w:p>
                        </w:txbxContent>
                      </v:textbox>
                    </v:shape>
                    <w10:wrap type="square" anchorx="page" anchory="page"/>
                  </v:group>
                </w:pict>
              </mc:Fallback>
            </mc:AlternateContent>
          </w:r>
          <w:r w:rsidR="00C86DAA" w:rsidRPr="009E7223">
            <w:t xml:space="preserve">Two Service Providers acknowledged the importance of </w:t>
          </w:r>
          <w:r w:rsidR="002D17EB" w:rsidRPr="009E7223">
            <w:t xml:space="preserve">funded </w:t>
          </w:r>
          <w:r w:rsidR="00C86DAA" w:rsidRPr="009E7223">
            <w:t>public health services that support and empower individuals and affected families, whānau and communities.</w:t>
          </w:r>
          <w:r w:rsidR="00C86DAA" w:rsidRPr="009E7223">
            <w:rPr>
              <w:rStyle w:val="FootnoteReference"/>
            </w:rPr>
            <w:footnoteReference w:id="98"/>
          </w:r>
          <w:r w:rsidR="00C86DAA" w:rsidRPr="009E7223">
            <w:t xml:space="preserve"> They also recommended marketing and health promotion messages be led by people with lived experience, rather than service/organisation/internal led, to raise awareness of the range of gambling harms that affect people, and avoid generic messages that do not reflect </w:t>
          </w:r>
          <w:r w:rsidR="00CF4BFE" w:rsidRPr="009E7223">
            <w:t xml:space="preserve">the </w:t>
          </w:r>
          <w:r w:rsidR="00C86DAA" w:rsidRPr="009E7223">
            <w:t>diversity of cultures</w:t>
          </w:r>
          <w:r w:rsidR="00CF4BFE" w:rsidRPr="009E7223">
            <w:t xml:space="preserve"> within the prioritised populations</w:t>
          </w:r>
          <w:r w:rsidR="00C86DAA" w:rsidRPr="009E7223">
            <w:t>. More investment should be made in culturally specific, language-based campaigns for Māori, Pasifika and Asian peoples.</w:t>
          </w:r>
          <w:r w:rsidR="00C86DAA" w:rsidRPr="009E7223">
            <w:rPr>
              <w:rStyle w:val="FootnoteReference"/>
            </w:rPr>
            <w:footnoteReference w:id="99"/>
          </w:r>
        </w:p>
        <w:p w14:paraId="460CD8A1" w14:textId="492198CF" w:rsidR="00422841" w:rsidRPr="009E7223" w:rsidRDefault="00C86DAA" w:rsidP="00C86DAA">
          <w:pPr>
            <w:pStyle w:val="BodyText"/>
          </w:pPr>
          <w:r w:rsidRPr="009E7223">
            <w:t xml:space="preserve">Another Service Provider supported linking problem gambling </w:t>
          </w:r>
          <w:r w:rsidR="002D17EB" w:rsidRPr="009E7223">
            <w:t xml:space="preserve">treatment </w:t>
          </w:r>
          <w:r w:rsidRPr="009E7223">
            <w:t>services and other social and health services, as identified in the priority actions, given the impact of problem gambling on health outcomes, social services, financial capability, housing and education.</w:t>
          </w:r>
          <w:r w:rsidRPr="009E7223">
            <w:rPr>
              <w:rStyle w:val="FootnoteReference"/>
            </w:rPr>
            <w:footnoteReference w:id="100"/>
          </w:r>
          <w:r w:rsidRPr="009E7223">
            <w:t xml:space="preserve"> The submitter also emphasised the need to acknowledge the broader spectrum of gambling impact, disagree</w:t>
          </w:r>
          <w:r w:rsidR="003D3E66" w:rsidRPr="009E7223">
            <w:t>ing</w:t>
          </w:r>
          <w:r w:rsidRPr="009E7223">
            <w:t xml:space="preserve"> with the statement under Objective 5 that only a significant minority struggle with gambling. The submitter recommended referencing the </w:t>
          </w:r>
          <w:r w:rsidR="00422841" w:rsidRPr="009E7223">
            <w:t>Auckland University of Technology (</w:t>
          </w:r>
          <w:r w:rsidRPr="009E7223">
            <w:t>AUT</w:t>
          </w:r>
          <w:r w:rsidR="00422841" w:rsidRPr="009E7223">
            <w:t>)</w:t>
          </w:r>
          <w:r w:rsidRPr="009E7223">
            <w:t xml:space="preserve"> Burden of Gambling Harm study for a broader understanding of the impact, </w:t>
          </w:r>
          <w:r w:rsidR="002F67D7" w:rsidRPr="009E7223">
            <w:t>emphasising</w:t>
          </w:r>
          <w:r w:rsidRPr="009E7223">
            <w:t xml:space="preserve"> the fact that although only a small proportion of the population is at high risk, more of the population is at low to moderate risk.</w:t>
          </w:r>
          <w:r w:rsidRPr="009E7223">
            <w:rPr>
              <w:rStyle w:val="FootnoteReference"/>
            </w:rPr>
            <w:footnoteReference w:id="101"/>
          </w:r>
          <w:r w:rsidRPr="009E7223">
            <w:t xml:space="preserve"> </w:t>
          </w:r>
        </w:p>
        <w:p w14:paraId="01BDF9A4" w14:textId="09B7D7EC" w:rsidR="00C86DAA" w:rsidRPr="009E7223" w:rsidRDefault="005026F7" w:rsidP="00C86DAA">
          <w:pPr>
            <w:pStyle w:val="BodyText"/>
          </w:pPr>
          <w:r w:rsidRPr="009E7223">
            <w:t xml:space="preserve">One </w:t>
          </w:r>
          <w:r w:rsidR="00C86DAA" w:rsidRPr="009E7223">
            <w:t>Service Provider suggested more research into the broader economic and social costs related to harmful gambling</w:t>
          </w:r>
          <w:r w:rsidRPr="009E7223">
            <w:t>;</w:t>
          </w:r>
          <w:r w:rsidR="00C86DAA" w:rsidRPr="009E7223">
            <w:rPr>
              <w:rStyle w:val="FootnoteReference"/>
            </w:rPr>
            <w:footnoteReference w:id="102"/>
          </w:r>
          <w:r w:rsidR="00C86DAA" w:rsidRPr="009E7223">
            <w:t xml:space="preserve"> and </w:t>
          </w:r>
          <w:r w:rsidRPr="009E7223">
            <w:t xml:space="preserve">another suggested </w:t>
          </w:r>
          <w:r w:rsidR="00C86DAA" w:rsidRPr="009E7223">
            <w:t>more public information on the costs of gambling harm to families, employers, on mental health and addictions, and especially on children.</w:t>
          </w:r>
          <w:r w:rsidR="00C86DAA" w:rsidRPr="009E7223">
            <w:rPr>
              <w:rStyle w:val="FootnoteReference"/>
            </w:rPr>
            <w:footnoteReference w:id="103"/>
          </w:r>
        </w:p>
        <w:p w14:paraId="701EBFDF" w14:textId="77777777" w:rsidR="00C86DAA" w:rsidRPr="009E7223" w:rsidRDefault="00C86DAA" w:rsidP="00C86DAA">
          <w:pPr>
            <w:pStyle w:val="BodyText"/>
          </w:pPr>
          <w:r w:rsidRPr="009E7223">
            <w:lastRenderedPageBreak/>
            <w:t>An individual submitter supported this objective, noting that it had similar wording to Objective 3.</w:t>
          </w:r>
          <w:r w:rsidRPr="009E7223">
            <w:rPr>
              <w:rStyle w:val="FootnoteReference"/>
            </w:rPr>
            <w:footnoteReference w:id="104"/>
          </w:r>
        </w:p>
        <w:p w14:paraId="66B3D02A" w14:textId="77777777" w:rsidR="00C86DAA" w:rsidRPr="009E7223" w:rsidRDefault="00C86DAA" w:rsidP="00C86DAA">
          <w:pPr>
            <w:pStyle w:val="BodyText"/>
            <w:rPr>
              <w:i/>
            </w:rPr>
          </w:pPr>
          <w:r w:rsidRPr="009E7223">
            <w:rPr>
              <w:bCs/>
              <w:i/>
            </w:rPr>
            <w:t>Objective 6:</w:t>
          </w:r>
          <w:r w:rsidRPr="009E7223">
            <w:rPr>
              <w:i/>
            </w:rPr>
            <w:t xml:space="preserve"> A skilled workforce is developed to deliver effective services to prevent and minimise gambling harm</w:t>
          </w:r>
        </w:p>
        <w:p w14:paraId="5CE24A83" w14:textId="24C16097" w:rsidR="00C86DAA" w:rsidRPr="009E7223" w:rsidRDefault="00C86DAA" w:rsidP="00C86DAA">
          <w:pPr>
            <w:pStyle w:val="BodyText"/>
          </w:pPr>
          <w:r w:rsidRPr="009E7223">
            <w:t>Two NCGM</w:t>
          </w:r>
          <w:r w:rsidR="002F67D7" w:rsidRPr="009E7223">
            <w:t xml:space="preserve"> submitter</w:t>
          </w:r>
          <w:r w:rsidRPr="009E7223">
            <w:t>s noted that peer support programmes work well in the alcohol and drug sectors and that similar positive results could be achieved from a gambling peer support programme.</w:t>
          </w:r>
          <w:r w:rsidRPr="009E7223">
            <w:rPr>
              <w:rStyle w:val="FootnoteReference"/>
            </w:rPr>
            <w:footnoteReference w:id="105"/>
          </w:r>
          <w:r w:rsidRPr="009E7223">
            <w:t xml:space="preserve"> The</w:t>
          </w:r>
          <w:r w:rsidR="002F67D7" w:rsidRPr="009E7223">
            <w:t xml:space="preserve">ses submitters </w:t>
          </w:r>
          <w:r w:rsidRPr="009E7223">
            <w:t xml:space="preserve">recommended providing peer support on a voluntary, or minimal cost basis to keep costs low. </w:t>
          </w:r>
        </w:p>
        <w:p w14:paraId="70515C61" w14:textId="0EC3EF90" w:rsidR="00C86DAA" w:rsidRPr="009E7223" w:rsidRDefault="00C86DAA" w:rsidP="00C86DAA">
          <w:pPr>
            <w:pStyle w:val="BodyText"/>
          </w:pPr>
          <w:r w:rsidRPr="009E7223">
            <w:t xml:space="preserve">Service Providers agreed on the need for a skilled workforce. One suggested inserting wording in the </w:t>
          </w:r>
          <w:r w:rsidR="00CF476B" w:rsidRPr="009E7223">
            <w:t>o</w:t>
          </w:r>
          <w:r w:rsidRPr="009E7223">
            <w:t>bjective to reinforce the need for a skilled, culturally diverse and culturally trained workforce.</w:t>
          </w:r>
          <w:r w:rsidRPr="009E7223">
            <w:rPr>
              <w:rStyle w:val="FootnoteReference"/>
            </w:rPr>
            <w:footnoteReference w:id="106"/>
          </w:r>
          <w:r w:rsidRPr="009E7223">
            <w:t xml:space="preserve"> One Service Provider also noted that Māori clients using mainstream services </w:t>
          </w:r>
          <w:r w:rsidR="00540F93" w:rsidRPr="009E7223">
            <w:t xml:space="preserve">have </w:t>
          </w:r>
          <w:r w:rsidRPr="009E7223">
            <w:t xml:space="preserve">access </w:t>
          </w:r>
          <w:r w:rsidR="00540F93" w:rsidRPr="009E7223">
            <w:t xml:space="preserve">to </w:t>
          </w:r>
          <w:r w:rsidRPr="009E7223">
            <w:t>culturally competence counsellors, including Māori counsellors.</w:t>
          </w:r>
          <w:r w:rsidRPr="009E7223">
            <w:rPr>
              <w:rStyle w:val="FootnoteReference"/>
            </w:rPr>
            <w:footnoteReference w:id="107"/>
          </w:r>
          <w:r w:rsidRPr="009E7223">
            <w:t xml:space="preserve"> This Service Provider also commented that wage pressures in the mental health and addictions workforce impact on the ability to recruit and re</w:t>
          </w:r>
          <w:r w:rsidR="00215FAC" w:rsidRPr="009E7223">
            <w:t>-</w:t>
          </w:r>
          <w:r w:rsidRPr="009E7223">
            <w:t xml:space="preserve">train qualified personnel, especially those qualified to work with the priority populations. The current Full Time Equivalent (FTE) funding model limits the ability for </w:t>
          </w:r>
          <w:r w:rsidR="005026F7" w:rsidRPr="009E7223">
            <w:t xml:space="preserve">service </w:t>
          </w:r>
          <w:r w:rsidRPr="009E7223">
            <w:t>providers to be flexible with the workforce and how it is deployed.</w:t>
          </w:r>
          <w:r w:rsidRPr="009E7223">
            <w:rPr>
              <w:rStyle w:val="FootnoteReference"/>
            </w:rPr>
            <w:footnoteReference w:id="108"/>
          </w:r>
          <w:r w:rsidRPr="009E7223">
            <w:t xml:space="preserve"> This submitter considered that there is a need for more counsellors and public health trained professionals to be able to work in a culturally and linguistically appropriate way, particularly for the Asian community, where the submitter considered that demand far outstrips the ability to provide support. Investment should continue in building a quality service</w:t>
          </w:r>
          <w:r w:rsidR="005026F7" w:rsidRPr="009E7223">
            <w:t xml:space="preserve"> for Asian people experiencing gambling harm, which </w:t>
          </w:r>
          <w:r w:rsidRPr="009E7223">
            <w:t>work</w:t>
          </w:r>
          <w:r w:rsidR="005026F7" w:rsidRPr="009E7223">
            <w:t>s</w:t>
          </w:r>
          <w:r w:rsidRPr="009E7223">
            <w:t xml:space="preserve"> across languages and cultural support areas with high Asian populations. All services should also be funded to work with Māori and Pasifika clients and be held accountable for that in key performance indicators.</w:t>
          </w:r>
          <w:r w:rsidRPr="009E7223">
            <w:rPr>
              <w:rStyle w:val="FootnoteReference"/>
            </w:rPr>
            <w:footnoteReference w:id="109"/>
          </w:r>
        </w:p>
        <w:p w14:paraId="7C51D871" w14:textId="3D5702B4" w:rsidR="00C86DAA" w:rsidRPr="009E7223" w:rsidRDefault="00C86DAA" w:rsidP="00C86DAA">
          <w:pPr>
            <w:pStyle w:val="BodyText"/>
          </w:pPr>
          <w:r w:rsidRPr="009E7223">
            <w:t>Another Service Provider noted that in the current training culture, the training and development function is centralised, with Abacus and Te Kākano controlling the resources for learning. In a learning culture, learning is decentralised, and the entire organisation is engaged in facilitating and supporting learning, in and outside the workplace. This submitter wanted support for exploring a learning culture model for training, to assist in creating a more self-directed learning and problem-solving approach.</w:t>
          </w:r>
          <w:r w:rsidRPr="009E7223">
            <w:rPr>
              <w:rStyle w:val="FootnoteReference"/>
            </w:rPr>
            <w:footnoteReference w:id="110"/>
          </w:r>
          <w:r w:rsidRPr="009E7223">
            <w:t xml:space="preserve"> This Service Provider also noted that there should be a special focus when designing and delivering training for Māori, Pasifika and Asian populations. Trainers delivering clinical and public health training should have either worked extensively and effectively in these communities or have indigenous knowledge and linkages through whakapapa or kaupapa affiliations.</w:t>
          </w:r>
          <w:r w:rsidRPr="009E7223">
            <w:rPr>
              <w:rStyle w:val="FootnoteReference"/>
            </w:rPr>
            <w:footnoteReference w:id="111"/>
          </w:r>
        </w:p>
        <w:p w14:paraId="6AE953C5" w14:textId="38784A8C" w:rsidR="00C86DAA" w:rsidRPr="009E7223" w:rsidRDefault="00C86DAA" w:rsidP="00C86DAA">
          <w:pPr>
            <w:pStyle w:val="BodyText"/>
          </w:pPr>
          <w:r w:rsidRPr="009E7223">
            <w:t xml:space="preserve">There was some support for the peer support model (in addition to the support mentioned above in Section </w:t>
          </w:r>
          <w:r w:rsidRPr="009E7223">
            <w:fldChar w:fldCharType="begin"/>
          </w:r>
          <w:r w:rsidRPr="009E7223">
            <w:instrText xml:space="preserve"> REF _Ref527474383 \r \h </w:instrText>
          </w:r>
          <w:r w:rsidRPr="009E7223">
            <w:fldChar w:fldCharType="separate"/>
          </w:r>
          <w:r w:rsidR="00CE4EFF">
            <w:t>2.1</w:t>
          </w:r>
          <w:r w:rsidRPr="009E7223">
            <w:fldChar w:fldCharType="end"/>
          </w:r>
          <w:r w:rsidRPr="009E7223">
            <w:t>, where submitters expressed their support without providing additional comment). This is a similar model to what has been in place in Pasifika culture and journeys for a long time, in the concept of “Mafuta” or “Mafutaga”, which offers both a collective and relational approach. An example</w:t>
          </w:r>
          <w:r w:rsidRPr="009E7223">
            <w:rPr>
              <w:rStyle w:val="FootnoteReference"/>
            </w:rPr>
            <w:footnoteReference w:id="112"/>
          </w:r>
          <w:r w:rsidRPr="009E7223">
            <w:t xml:space="preserve"> given was a women’s led group: Mafutaga a Tine (mother’s group), which has had some success in addressing the barriers to treatment that Pasifika women fac</w:t>
          </w:r>
          <w:r w:rsidR="005026F7" w:rsidRPr="009E7223">
            <w:t>e</w:t>
          </w:r>
          <w:r w:rsidRPr="009E7223">
            <w:t xml:space="preserve">. Such groups </w:t>
          </w:r>
          <w:r w:rsidR="002F67D7" w:rsidRPr="009E7223">
            <w:t>were</w:t>
          </w:r>
          <w:r w:rsidRPr="009E7223">
            <w:t xml:space="preserve"> seen to:</w:t>
          </w:r>
        </w:p>
        <w:p w14:paraId="143F9BFD" w14:textId="46E33402" w:rsidR="00C86DAA" w:rsidRPr="009E7223" w:rsidRDefault="002F67D7" w:rsidP="00C86DAA">
          <w:pPr>
            <w:pStyle w:val="List-BulletLvl1"/>
          </w:pPr>
          <w:r w:rsidRPr="009E7223">
            <w:lastRenderedPageBreak/>
            <w:t>M</w:t>
          </w:r>
          <w:r w:rsidR="00C86DAA" w:rsidRPr="009E7223">
            <w:t>inimise stigma and individual judgments</w:t>
          </w:r>
        </w:p>
        <w:p w14:paraId="674FF048" w14:textId="154F1549" w:rsidR="00C86DAA" w:rsidRPr="009E7223" w:rsidRDefault="002F67D7" w:rsidP="00C86DAA">
          <w:pPr>
            <w:pStyle w:val="List-BulletLvl1"/>
          </w:pPr>
          <w:r w:rsidRPr="009E7223">
            <w:t>I</w:t>
          </w:r>
          <w:r w:rsidR="00C86DAA" w:rsidRPr="009E7223">
            <w:t>ncrease social connectedness</w:t>
          </w:r>
        </w:p>
        <w:p w14:paraId="00C1DCEA" w14:textId="15F03BDB" w:rsidR="00C86DAA" w:rsidRPr="009E7223" w:rsidRDefault="002F67D7" w:rsidP="00C86DAA">
          <w:pPr>
            <w:pStyle w:val="List-BulletLvl1"/>
          </w:pPr>
          <w:r w:rsidRPr="009E7223">
            <w:t>P</w:t>
          </w:r>
          <w:r w:rsidR="00C86DAA" w:rsidRPr="009E7223">
            <w:t>rovide advice to younger families contemplating gambling</w:t>
          </w:r>
        </w:p>
        <w:p w14:paraId="2844BFEC" w14:textId="3C350C16" w:rsidR="00C86DAA" w:rsidRPr="009E7223" w:rsidRDefault="002F67D7" w:rsidP="00C86DAA">
          <w:pPr>
            <w:pStyle w:val="List-BulletLvl1"/>
          </w:pPr>
          <w:r w:rsidRPr="009E7223">
            <w:t>E</w:t>
          </w:r>
          <w:r w:rsidR="00C86DAA" w:rsidRPr="009E7223">
            <w:t>nable them to seek appropriate intervention through self-referrals, and</w:t>
          </w:r>
        </w:p>
        <w:p w14:paraId="70837C13" w14:textId="5A1D856D" w:rsidR="00C86DAA" w:rsidRPr="009E7223" w:rsidRDefault="002F67D7" w:rsidP="00C86DAA">
          <w:pPr>
            <w:pStyle w:val="List-BulletLvl1"/>
          </w:pPr>
          <w:r w:rsidRPr="009E7223">
            <w:t>H</w:t>
          </w:r>
          <w:r w:rsidR="00C86DAA" w:rsidRPr="009E7223">
            <w:t>elp to prevent relapse.</w:t>
          </w:r>
        </w:p>
        <w:p w14:paraId="7F3BEB35" w14:textId="17AD2ACC" w:rsidR="00C86DAA" w:rsidRPr="009E7223" w:rsidRDefault="00C86DAA" w:rsidP="00C86DAA">
          <w:pPr>
            <w:pStyle w:val="BodyText"/>
          </w:pPr>
          <w:r w:rsidRPr="009E7223">
            <w:t xml:space="preserve">A </w:t>
          </w:r>
          <w:r w:rsidR="003052F1" w:rsidRPr="009E7223">
            <w:t>Health sector</w:t>
          </w:r>
          <w:r w:rsidRPr="009E7223">
            <w:t xml:space="preserve"> submitter suggested strengthening Objective 6 to include all </w:t>
          </w:r>
          <w:r w:rsidR="00540F93" w:rsidRPr="009E7223">
            <w:t>kaiāwhina [</w:t>
          </w:r>
          <w:r w:rsidR="00527519" w:rsidRPr="009E7223">
            <w:t>support workers</w:t>
          </w:r>
          <w:r w:rsidR="00540F93" w:rsidRPr="009E7223">
            <w:t>]</w:t>
          </w:r>
          <w:r w:rsidRPr="009E7223">
            <w:t xml:space="preserve"> (unregulated) roles and prioritise Māori leadership within the development of the workforce.</w:t>
          </w:r>
          <w:r w:rsidRPr="009E7223">
            <w:rPr>
              <w:rStyle w:val="FootnoteReference"/>
            </w:rPr>
            <w:footnoteReference w:id="113"/>
          </w:r>
        </w:p>
        <w:p w14:paraId="38BB540E" w14:textId="3EA3B429" w:rsidR="00C86DAA" w:rsidRPr="009E7223" w:rsidRDefault="00C86DAA" w:rsidP="00C86DAA">
          <w:pPr>
            <w:pStyle w:val="BodyText"/>
          </w:pPr>
          <w:r w:rsidRPr="009E7223">
            <w:t xml:space="preserve">Two individual submitters supported this </w:t>
          </w:r>
          <w:r w:rsidR="00CF476B" w:rsidRPr="009E7223">
            <w:t>o</w:t>
          </w:r>
          <w:r w:rsidRPr="009E7223">
            <w:t>bjective and provided further comment.</w:t>
          </w:r>
          <w:r w:rsidRPr="009E7223">
            <w:rPr>
              <w:rStyle w:val="FootnoteReference"/>
            </w:rPr>
            <w:footnoteReference w:id="114"/>
          </w:r>
          <w:r w:rsidRPr="009E7223">
            <w:t xml:space="preserve"> One commented on the potential of the peer support concept in facilitation, sponsor/buddy relationships and client contact, while noting the challenges of a limited pool of such a workforce, the need to consider privacy and confidentiality aspects, and the need for appropriate training of peer support workers.</w:t>
          </w:r>
          <w:r w:rsidRPr="009E7223">
            <w:rPr>
              <w:rStyle w:val="FootnoteReference"/>
            </w:rPr>
            <w:footnoteReference w:id="115"/>
          </w:r>
          <w:r w:rsidRPr="009E7223">
            <w:t xml:space="preserve"> The other individual noted that the peer support role could potentially be merged with the consumer advisor role, given similarities in the tasks that they would be undertaking.</w:t>
          </w:r>
          <w:r w:rsidRPr="009E7223">
            <w:rPr>
              <w:rStyle w:val="FootnoteReference"/>
            </w:rPr>
            <w:footnoteReference w:id="116"/>
          </w:r>
        </w:p>
        <w:p w14:paraId="0594640C" w14:textId="77777777" w:rsidR="00C86DAA" w:rsidRPr="009E7223" w:rsidRDefault="00C86DAA" w:rsidP="00C86DAA">
          <w:pPr>
            <w:pStyle w:val="BodyText"/>
            <w:rPr>
              <w:i/>
            </w:rPr>
          </w:pPr>
          <w:r w:rsidRPr="009E7223">
            <w:rPr>
              <w:bCs/>
              <w:i/>
            </w:rPr>
            <w:t>Objective 7:</w:t>
          </w:r>
          <w:r w:rsidRPr="009E7223">
            <w:rPr>
              <w:i/>
            </w:rPr>
            <w:t xml:space="preserve"> Services enhance people’s mana and build life skills and resiliency to improve healthy choices that prevent and minimise gambling harm</w:t>
          </w:r>
        </w:p>
        <w:p w14:paraId="21B5A983" w14:textId="08123DE7" w:rsidR="00C86DAA" w:rsidRPr="009E7223" w:rsidRDefault="00C86DAA" w:rsidP="00C86DAA">
          <w:pPr>
            <w:pStyle w:val="BodyText"/>
          </w:pPr>
          <w:r w:rsidRPr="009E7223">
            <w:t>One Service Provider noted that ‘mana’ is not defined in any part of the document</w:t>
          </w:r>
          <w:r w:rsidR="00B70FD9">
            <w:t>. The Service Provider</w:t>
          </w:r>
          <w:r w:rsidRPr="009E7223">
            <w:t xml:space="preserve"> considered </w:t>
          </w:r>
          <w:r w:rsidR="00B70FD9">
            <w:t xml:space="preserve">this </w:t>
          </w:r>
          <w:r w:rsidRPr="009E7223">
            <w:t xml:space="preserve">to be problematic, given that </w:t>
          </w:r>
          <w:r w:rsidR="00B70FD9">
            <w:t>mana</w:t>
          </w:r>
          <w:r w:rsidRPr="009E7223">
            <w:t xml:space="preserve"> encompasses many interrelated concepts</w:t>
          </w:r>
          <w:r w:rsidR="00B70FD9">
            <w:t>,</w:t>
          </w:r>
          <w:r w:rsidRPr="009E7223">
            <w:t xml:space="preserve"> including tapu and mauri</w:t>
          </w:r>
          <w:r w:rsidR="00B70FD9">
            <w:t>,</w:t>
          </w:r>
          <w:r w:rsidRPr="009E7223">
            <w:t xml:space="preserve"> that only make sense when considered as a whole.</w:t>
          </w:r>
          <w:r w:rsidRPr="009E7223">
            <w:rPr>
              <w:rStyle w:val="FootnoteReference"/>
            </w:rPr>
            <w:footnoteReference w:id="117"/>
          </w:r>
        </w:p>
        <w:p w14:paraId="5134C322" w14:textId="2CC4E567" w:rsidR="00C86DAA" w:rsidRPr="009E7223" w:rsidRDefault="00C86DAA" w:rsidP="00C86DAA">
          <w:pPr>
            <w:pStyle w:val="BodyText"/>
          </w:pPr>
          <w:r w:rsidRPr="009E7223">
            <w:t>Another Service Provider supported the way that the levy enables services to work with people affected by problem gamblers, and provide choice for clients to include groups, which can work for Pasifika and Asian clients, and Māori in some settings.</w:t>
          </w:r>
          <w:r w:rsidRPr="009E7223">
            <w:rPr>
              <w:rStyle w:val="FootnoteReference"/>
            </w:rPr>
            <w:footnoteReference w:id="118"/>
          </w:r>
          <w:r w:rsidRPr="009E7223">
            <w:t xml:space="preserve"> This Service Provider also noted that the</w:t>
          </w:r>
          <w:r w:rsidR="00527519" w:rsidRPr="009E7223">
            <w:t xml:space="preserve"> Problem Gambling Severity Index (</w:t>
          </w:r>
          <w:r w:rsidRPr="009E7223">
            <w:t>PGSI</w:t>
          </w:r>
          <w:r w:rsidR="00527519" w:rsidRPr="009E7223">
            <w:t>)</w:t>
          </w:r>
          <w:r w:rsidRPr="009E7223">
            <w:t xml:space="preserve"> is a useful screening tool and the Partnering for Change Outcomes Measurement System (PCOMS) provides a client-centred measure of change, but considered that the PGSI needs better granularity to effectively measure change for the gambler and whānau.</w:t>
          </w:r>
          <w:r w:rsidRPr="009E7223">
            <w:rPr>
              <w:rStyle w:val="FootnoteReference"/>
            </w:rPr>
            <w:footnoteReference w:id="119"/>
          </w:r>
          <w:r w:rsidRPr="009E7223">
            <w:t xml:space="preserve"> However, the Service Provider also noted that the focus on outputs creates adverse incentives. If the Ministry purchase “treated clients”, this would enable services to use whatever treatment tools (sessions, digital etc.) which were most effective for the individual and their whānau. The submitter considered that this would also incentivise relapse management. The Service Provider went on to comment that the environment for the gambler remains challenging with NCGM density, casino behaviours, poverty, isolation and distress all being factors. This needs to change for treatment to be enduring and to prevent relapse.</w:t>
          </w:r>
          <w:r w:rsidRPr="009E7223">
            <w:rPr>
              <w:rStyle w:val="FootnoteReference"/>
            </w:rPr>
            <w:footnoteReference w:id="120"/>
          </w:r>
        </w:p>
        <w:p w14:paraId="702EC032" w14:textId="013BFA35" w:rsidR="00C86DAA" w:rsidRPr="009E7223" w:rsidRDefault="00C86DAA" w:rsidP="00C86DAA">
          <w:pPr>
            <w:pStyle w:val="BodyText"/>
          </w:pPr>
          <w:r w:rsidRPr="009E7223">
            <w:t xml:space="preserve">One </w:t>
          </w:r>
          <w:r w:rsidR="003052F1" w:rsidRPr="009E7223">
            <w:t>Health sector</w:t>
          </w:r>
          <w:r w:rsidRPr="009E7223">
            <w:t xml:space="preserve"> submitter agreed that these services are important to those experiencing gambling-related harm, suggest</w:t>
          </w:r>
          <w:r w:rsidR="00B70FD9">
            <w:t>ing</w:t>
          </w:r>
          <w:r w:rsidRPr="009E7223">
            <w:t xml:space="preserve"> extending a similar offering to those choosing to profit from </w:t>
          </w:r>
          <w:r w:rsidRPr="009E7223">
            <w:lastRenderedPageBreak/>
            <w:t>gambling</w:t>
          </w:r>
          <w:r w:rsidR="00B70FD9">
            <w:t xml:space="preserve">, providing </w:t>
          </w:r>
          <w:r w:rsidRPr="009E7223">
            <w:t>them with support to improve healthy choices. Research into this could help to better understand the drivers of behaviour in the industry.</w:t>
          </w:r>
          <w:r w:rsidRPr="009E7223">
            <w:rPr>
              <w:rStyle w:val="FootnoteReference"/>
            </w:rPr>
            <w:footnoteReference w:id="121"/>
          </w:r>
        </w:p>
        <w:p w14:paraId="4C903DFE" w14:textId="3E972DB7" w:rsidR="00C86DAA" w:rsidRPr="009E7223" w:rsidRDefault="00C86DAA" w:rsidP="00C86DAA">
          <w:pPr>
            <w:pStyle w:val="BodyText"/>
          </w:pPr>
          <w:r w:rsidRPr="009E7223">
            <w:t>Two individuals commented on th</w:t>
          </w:r>
          <w:r w:rsidR="00422841" w:rsidRPr="009E7223">
            <w:t>is</w:t>
          </w:r>
          <w:r w:rsidRPr="009E7223">
            <w:t xml:space="preserve"> </w:t>
          </w:r>
          <w:r w:rsidR="00CF476B" w:rsidRPr="009E7223">
            <w:t>o</w:t>
          </w:r>
          <w:r w:rsidRPr="009E7223">
            <w:t>bjective.</w:t>
          </w:r>
          <w:r w:rsidRPr="009E7223">
            <w:rPr>
              <w:rStyle w:val="FootnoteReference"/>
            </w:rPr>
            <w:footnoteReference w:id="122"/>
          </w:r>
          <w:r w:rsidRPr="009E7223">
            <w:t xml:space="preserve"> One of them supported the </w:t>
          </w:r>
          <w:r w:rsidR="00CF476B" w:rsidRPr="009E7223">
            <w:t>o</w:t>
          </w:r>
          <w:r w:rsidRPr="009E7223">
            <w:t>bjective and suggested installing clocks in gambling venues.</w:t>
          </w:r>
          <w:r w:rsidRPr="009E7223">
            <w:rPr>
              <w:rStyle w:val="FootnoteReference"/>
            </w:rPr>
            <w:footnoteReference w:id="123"/>
          </w:r>
          <w:r w:rsidRPr="009E7223">
            <w:t xml:space="preserve"> The other commented on the challenge of the underlying principle of “one team/Kotahi te tīma”, including the tender process for services and other related sectors reforms (for example, the amalgamation of the alcohol and other drugs and gambling sectors under the Addictions umbrella, and the proposal to explore the potential for Residential Care for Gamblers), which pose questions around differences in funding across sectors.</w:t>
          </w:r>
          <w:r w:rsidRPr="009E7223">
            <w:rPr>
              <w:rStyle w:val="FootnoteReference"/>
            </w:rPr>
            <w:footnoteReference w:id="124"/>
          </w:r>
        </w:p>
        <w:p w14:paraId="27E898F8" w14:textId="29C4DEC3" w:rsidR="00C86DAA" w:rsidRPr="009E7223" w:rsidRDefault="00C86DAA" w:rsidP="00C86DAA">
          <w:pPr>
            <w:pStyle w:val="BodyText"/>
            <w:rPr>
              <w:i/>
            </w:rPr>
          </w:pPr>
          <w:r w:rsidRPr="009E7223">
            <w:rPr>
              <w:bCs/>
              <w:i/>
            </w:rPr>
            <w:t>Objective 8</w:t>
          </w:r>
          <w:r w:rsidRPr="009E7223">
            <w:rPr>
              <w:i/>
            </w:rPr>
            <w:t>: Gambling environments are designed to prevent and minimise gambling harm</w:t>
          </w:r>
        </w:p>
        <w:p w14:paraId="21412635" w14:textId="77777777" w:rsidR="00C86DAA" w:rsidRPr="009E7223" w:rsidRDefault="00C86DAA" w:rsidP="00CE2CD8">
          <w:pPr>
            <w:pStyle w:val="BodyText"/>
          </w:pPr>
          <w:r w:rsidRPr="009E7223">
            <w:t>One Service Provider noted that the Act has strong regulation and enforcement powers.</w:t>
          </w:r>
          <w:r w:rsidRPr="009E7223">
            <w:rPr>
              <w:rStyle w:val="FootnoteReference"/>
            </w:rPr>
            <w:footnoteReference w:id="125"/>
          </w:r>
          <w:r w:rsidRPr="009E7223">
            <w:t xml:space="preserve"> However, the Service Provider considered that:</w:t>
          </w:r>
        </w:p>
        <w:p w14:paraId="5B637700" w14:textId="62F88249" w:rsidR="00C86DAA" w:rsidRPr="009E7223" w:rsidRDefault="00455D3E" w:rsidP="00C86DAA">
          <w:pPr>
            <w:pStyle w:val="List-BulletLvl1"/>
          </w:pPr>
          <w:r w:rsidRPr="009E7223">
            <w:t xml:space="preserve">The </w:t>
          </w:r>
          <w:r w:rsidR="00C86DAA" w:rsidRPr="009E7223">
            <w:t xml:space="preserve">Ministry has insufficient powers to enforce actions that support the Strategic </w:t>
          </w:r>
          <w:r w:rsidR="0065722E" w:rsidRPr="009E7223">
            <w:t>Framework</w:t>
          </w:r>
        </w:p>
        <w:p w14:paraId="11D91A3D" w14:textId="77777777" w:rsidR="00C86DAA" w:rsidRPr="009E7223" w:rsidRDefault="00C86DAA" w:rsidP="00C86DAA">
          <w:pPr>
            <w:pStyle w:val="List-BulletLvl1"/>
          </w:pPr>
          <w:r w:rsidRPr="009E7223">
            <w:t>DIA monitoring of NCGMs is insufficient to identify venues not exercising host responsibility, and</w:t>
          </w:r>
        </w:p>
        <w:p w14:paraId="50D04477" w14:textId="6CF0624D" w:rsidR="00C86DAA" w:rsidRPr="009E7223" w:rsidRDefault="00455D3E" w:rsidP="00C86DAA">
          <w:pPr>
            <w:pStyle w:val="List-BulletLvl1"/>
          </w:pPr>
          <w:r w:rsidRPr="009E7223">
            <w:t xml:space="preserve">The </w:t>
          </w:r>
          <w:r w:rsidR="00C86DAA" w:rsidRPr="009E7223">
            <w:t xml:space="preserve">Gambling Commission </w:t>
          </w:r>
          <w:r w:rsidRPr="009E7223">
            <w:t xml:space="preserve">uses </w:t>
          </w:r>
          <w:r w:rsidR="00C86DAA" w:rsidRPr="009E7223">
            <w:t xml:space="preserve">narrow definitions of impact and harm that mean gambling providers have little or no accountability, because the Commission relies solely on presentation to services as an indicator. </w:t>
          </w:r>
        </w:p>
        <w:p w14:paraId="60DF6CCF" w14:textId="77777777" w:rsidR="00C86DAA" w:rsidRPr="009E7223" w:rsidRDefault="00C86DAA" w:rsidP="00C86DAA">
          <w:pPr>
            <w:pStyle w:val="BodyText"/>
          </w:pPr>
          <w:r w:rsidRPr="009E7223">
            <w:t>The Service Provider emphasised that “lack of information does not demonstrate lack of harm”.</w:t>
          </w:r>
          <w:r w:rsidRPr="009E7223">
            <w:rPr>
              <w:rStyle w:val="FootnoteReference"/>
            </w:rPr>
            <w:footnoteReference w:id="126"/>
          </w:r>
          <w:r w:rsidRPr="009E7223">
            <w:t xml:space="preserve"> The submitter also noted the challenge of variation in NCGM venue design which makes monitoring gambling behaviour difficult or impossible in some areas. The same Service Provider also recommended that some purposes of the Act should be weighted to provide:</w:t>
          </w:r>
        </w:p>
        <w:p w14:paraId="765E2A65" w14:textId="5CF81EB4" w:rsidR="00C86DAA" w:rsidRPr="009E7223" w:rsidRDefault="00455D3E" w:rsidP="00C86DAA">
          <w:pPr>
            <w:pStyle w:val="List-BulletLvl1"/>
          </w:pPr>
          <w:r w:rsidRPr="009E7223">
            <w:t xml:space="preserve">More </w:t>
          </w:r>
          <w:r w:rsidR="00C86DAA" w:rsidRPr="009E7223">
            <w:t>effective guidance to regulators</w:t>
          </w:r>
        </w:p>
        <w:p w14:paraId="158D65CC" w14:textId="5209C0E2" w:rsidR="00C86DAA" w:rsidRPr="009E7223" w:rsidRDefault="00455D3E" w:rsidP="00C86DAA">
          <w:pPr>
            <w:pStyle w:val="List-BulletLvl1"/>
          </w:pPr>
          <w:r w:rsidRPr="009E7223">
            <w:t xml:space="preserve">Closure </w:t>
          </w:r>
          <w:r w:rsidR="00C86DAA" w:rsidRPr="009E7223">
            <w:t xml:space="preserve">of loopholes that allow promotion of overseas gambling </w:t>
          </w:r>
          <w:r w:rsidR="005026F7" w:rsidRPr="009E7223">
            <w:t>web</w:t>
          </w:r>
          <w:r w:rsidR="00C86DAA" w:rsidRPr="009E7223">
            <w:t>sites; and</w:t>
          </w:r>
        </w:p>
        <w:p w14:paraId="6C86F562" w14:textId="73E2BAED" w:rsidR="00C86DAA" w:rsidRPr="009E7223" w:rsidRDefault="00455D3E" w:rsidP="00C86DAA">
          <w:pPr>
            <w:pStyle w:val="List-BulletLvl1"/>
          </w:pPr>
          <w:r w:rsidRPr="009E7223">
            <w:t xml:space="preserve">Investigation </w:t>
          </w:r>
          <w:r w:rsidR="00C86DAA" w:rsidRPr="009E7223">
            <w:t>into what is enabling the increased spend in NCGMs despite fewer machines.</w:t>
          </w:r>
        </w:p>
        <w:p w14:paraId="1080AC3D" w14:textId="5210C7B3" w:rsidR="00C86DAA" w:rsidRPr="009E7223" w:rsidRDefault="00C86DAA" w:rsidP="00C86DAA">
          <w:pPr>
            <w:pStyle w:val="BodyText"/>
          </w:pPr>
          <w:r w:rsidRPr="009E7223">
            <w:t>This Service Provider, and another, also mentioned NCGMs, want</w:t>
          </w:r>
          <w:r w:rsidR="00B70FD9">
            <w:t>ing</w:t>
          </w:r>
          <w:r w:rsidRPr="009E7223">
            <w:t xml:space="preserve"> the </w:t>
          </w:r>
          <w:r w:rsidR="0065722E" w:rsidRPr="009E7223">
            <w:t>strategic direction</w:t>
          </w:r>
          <w:r w:rsidRPr="009E7223">
            <w:t xml:space="preserve"> to focus more on the harm that NCGMs are doing, and seek to severely reduce this.</w:t>
          </w:r>
          <w:r w:rsidRPr="009E7223">
            <w:rPr>
              <w:rStyle w:val="FootnoteReference"/>
            </w:rPr>
            <w:footnoteReference w:id="127"/>
          </w:r>
        </w:p>
        <w:p w14:paraId="335C488C" w14:textId="77777777" w:rsidR="00C86DAA" w:rsidRPr="009E7223" w:rsidRDefault="00C86DAA" w:rsidP="00C86DAA">
          <w:pPr>
            <w:pStyle w:val="BodyText"/>
          </w:pPr>
          <w:r w:rsidRPr="009E7223">
            <w:t>Another Service Provider considered that active on-site gambling support services should be mandated, to strengthen the link between support services and gambling venues, which would help address the current barrier of gambling harm services engaging with gambling venues. They suggested a lead support person in regions to ensure connection between service providers and venues.</w:t>
          </w:r>
          <w:r w:rsidRPr="009E7223">
            <w:rPr>
              <w:rStyle w:val="FootnoteReference"/>
            </w:rPr>
            <w:footnoteReference w:id="128"/>
          </w:r>
          <w:r w:rsidRPr="009E7223">
            <w:t xml:space="preserve"> </w:t>
          </w:r>
        </w:p>
        <w:p w14:paraId="7657F906" w14:textId="146E34DA" w:rsidR="00C86DAA" w:rsidRPr="009E7223" w:rsidRDefault="00C86DAA" w:rsidP="00C86DAA">
          <w:pPr>
            <w:pStyle w:val="BodyText"/>
          </w:pPr>
          <w:r w:rsidRPr="009E7223">
            <w:t xml:space="preserve">A </w:t>
          </w:r>
          <w:r w:rsidR="003052F1" w:rsidRPr="009E7223">
            <w:t>Health sector</w:t>
          </w:r>
          <w:r w:rsidRPr="009E7223">
            <w:t xml:space="preserve"> submitter supported the Ministry’s intention to support the DIA</w:t>
          </w:r>
          <w:r w:rsidR="00422841" w:rsidRPr="009E7223">
            <w:t xml:space="preserve"> to</w:t>
          </w:r>
          <w:r w:rsidRPr="009E7223">
            <w:t xml:space="preserve"> judiciously and effectively use its regulation tool to deal with operators or venues that do not meet legal </w:t>
          </w:r>
          <w:r w:rsidRPr="009E7223">
            <w:lastRenderedPageBreak/>
            <w:t>requirements.</w:t>
          </w:r>
          <w:r w:rsidRPr="009E7223">
            <w:rPr>
              <w:rStyle w:val="FootnoteReference"/>
            </w:rPr>
            <w:footnoteReference w:id="129"/>
          </w:r>
          <w:r w:rsidRPr="009E7223">
            <w:t xml:space="preserve"> Another </w:t>
          </w:r>
          <w:r w:rsidR="003052F1" w:rsidRPr="009E7223">
            <w:t>Health sector</w:t>
          </w:r>
          <w:r w:rsidRPr="009E7223">
            <w:t xml:space="preserve"> submitter supported the DIA’s ‘secret shopper’ research as a means of monitoring host responsibility and an opportunity to enhance enforcement.</w:t>
          </w:r>
          <w:r w:rsidRPr="009E7223">
            <w:rPr>
              <w:rStyle w:val="FootnoteReference"/>
            </w:rPr>
            <w:footnoteReference w:id="130"/>
          </w:r>
          <w:r w:rsidRPr="009E7223">
            <w:t xml:space="preserve"> </w:t>
          </w:r>
        </w:p>
        <w:p w14:paraId="27F9570A" w14:textId="28F7AF7C" w:rsidR="00C86DAA" w:rsidRPr="009E7223" w:rsidRDefault="00C86DAA" w:rsidP="00C86DAA">
          <w:pPr>
            <w:pStyle w:val="BodyText"/>
          </w:pPr>
          <w:r w:rsidRPr="009E7223">
            <w:t xml:space="preserve">One of these </w:t>
          </w:r>
          <w:r w:rsidR="003052F1" w:rsidRPr="009E7223">
            <w:t>Health sector</w:t>
          </w:r>
          <w:r w:rsidRPr="009E7223">
            <w:t xml:space="preserve"> submitters also recommended that the </w:t>
          </w:r>
          <w:r w:rsidR="00CF476B" w:rsidRPr="009E7223">
            <w:t>o</w:t>
          </w:r>
          <w:r w:rsidRPr="009E7223">
            <w:t>bjective have a stronger focus on prevention, and stronger actions such as reducing access to NCGMs through prioritising a true sinking lid approach in policy, and empowering communities in decision-making about provision of gambling in their communities.</w:t>
          </w:r>
          <w:r w:rsidRPr="009E7223">
            <w:rPr>
              <w:rStyle w:val="FootnoteReference"/>
            </w:rPr>
            <w:footnoteReference w:id="131"/>
          </w:r>
          <w:r w:rsidRPr="009E7223">
            <w:t xml:space="preserve"> The other </w:t>
          </w:r>
          <w:r w:rsidR="003052F1" w:rsidRPr="009E7223">
            <w:t>Health sector</w:t>
          </w:r>
          <w:r w:rsidRPr="009E7223">
            <w:t xml:space="preserve"> submitter wanted to see more robust auditing/monitoring of venues’ reliance on gambling, so that the DIA can curb non-compliant, unsustainable behaviours, and also suggested using machine design adjustments to reduce harm, for example muting machines and banning alcohol sale.</w:t>
          </w:r>
          <w:r w:rsidRPr="009E7223">
            <w:rPr>
              <w:rStyle w:val="FootnoteReference"/>
            </w:rPr>
            <w:footnoteReference w:id="132"/>
          </w:r>
          <w:r w:rsidRPr="009E7223">
            <w:t xml:space="preserve"> The submitter considered that interventions associated with alcohol use are of particular interest, given the comorbidity </w:t>
          </w:r>
          <w:r w:rsidR="00540F93" w:rsidRPr="009E7223">
            <w:t>of</w:t>
          </w:r>
          <w:r w:rsidRPr="009E7223">
            <w:t xml:space="preserve"> problem gambling </w:t>
          </w:r>
          <w:r w:rsidR="00540F93" w:rsidRPr="009E7223">
            <w:t>with</w:t>
          </w:r>
          <w:r w:rsidRPr="009E7223">
            <w:t xml:space="preserve"> alcohol consumption</w:t>
          </w:r>
          <w:r w:rsidR="00540F93" w:rsidRPr="009E7223">
            <w:t>.</w:t>
          </w:r>
          <w:r w:rsidRPr="009E7223">
            <w:t xml:space="preserve"> Another </w:t>
          </w:r>
          <w:r w:rsidR="003052F1" w:rsidRPr="009E7223">
            <w:t>Health sector</w:t>
          </w:r>
          <w:r w:rsidRPr="009E7223">
            <w:t xml:space="preserve"> submitter also wanted stronger preventative measures under this objective, given the clear evidence that </w:t>
          </w:r>
          <w:r w:rsidR="00B70FD9">
            <w:t xml:space="preserve">areas of high deprivation experience more </w:t>
          </w:r>
          <w:r w:rsidRPr="009E7223">
            <w:t>gambling harm</w:t>
          </w:r>
          <w:r w:rsidR="00B70FD9">
            <w:t xml:space="preserve"> from NCGMs.</w:t>
          </w:r>
          <w:r w:rsidRPr="009E7223">
            <w:rPr>
              <w:rStyle w:val="FootnoteReference"/>
            </w:rPr>
            <w:footnoteReference w:id="133"/>
          </w:r>
          <w:r w:rsidRPr="009E7223">
            <w:t xml:space="preserve"> This submitter recommended policy or regulations to support those who are identified as being most at risk of interactive online gambling, as it evolves and increases.</w:t>
          </w:r>
        </w:p>
        <w:p w14:paraId="238CD7DA" w14:textId="01C8A361" w:rsidR="00C86DAA" w:rsidRPr="009E7223" w:rsidRDefault="00C86DAA" w:rsidP="00C86DAA">
          <w:pPr>
            <w:pStyle w:val="BodyText"/>
          </w:pPr>
          <w:r w:rsidRPr="009E7223">
            <w:t xml:space="preserve">A Local </w:t>
          </w:r>
          <w:r w:rsidR="00422841" w:rsidRPr="009E7223">
            <w:t xml:space="preserve">Government submitter </w:t>
          </w:r>
          <w:r w:rsidRPr="009E7223">
            <w:t xml:space="preserve">also discussed the location of venues in relation to this </w:t>
          </w:r>
          <w:r w:rsidR="00CF476B" w:rsidRPr="009E7223">
            <w:t>o</w:t>
          </w:r>
          <w:r w:rsidRPr="009E7223">
            <w:t>bjective.</w:t>
          </w:r>
          <w:r w:rsidRPr="009E7223">
            <w:rPr>
              <w:rStyle w:val="FootnoteReference"/>
            </w:rPr>
            <w:footnoteReference w:id="134"/>
          </w:r>
          <w:r w:rsidRPr="009E7223">
            <w:t xml:space="preserve"> It recommended adding consideration of locations to the </w:t>
          </w:r>
          <w:r w:rsidR="00CF476B" w:rsidRPr="009E7223">
            <w:t>o</w:t>
          </w:r>
          <w:r w:rsidRPr="009E7223">
            <w:t>bjective (such as “Gambling environments are designed and located to prevent and minimise gambling harm”), given the evidence that gambling-related harm is significantly higher in deprived areas.</w:t>
          </w:r>
        </w:p>
        <w:p w14:paraId="6D418907" w14:textId="21C2F171" w:rsidR="00C86DAA" w:rsidRPr="009E7223" w:rsidRDefault="00C86DAA" w:rsidP="00C86DAA">
          <w:pPr>
            <w:pStyle w:val="BodyText"/>
          </w:pPr>
          <w:r w:rsidRPr="009E7223">
            <w:t xml:space="preserve">Two individuals also commented on this </w:t>
          </w:r>
          <w:r w:rsidR="00CF476B" w:rsidRPr="009E7223">
            <w:t>o</w:t>
          </w:r>
          <w:r w:rsidRPr="009E7223">
            <w:t>bjective.</w:t>
          </w:r>
          <w:r w:rsidRPr="009E7223">
            <w:rPr>
              <w:rStyle w:val="FootnoteReference"/>
            </w:rPr>
            <w:footnoteReference w:id="135"/>
          </w:r>
          <w:r w:rsidRPr="009E7223">
            <w:t xml:space="preserve"> One noted that simple actions should be included, such as installing clocks or timers in gambling environments.</w:t>
          </w:r>
          <w:r w:rsidRPr="009E7223">
            <w:rPr>
              <w:rStyle w:val="FootnoteReference"/>
            </w:rPr>
            <w:footnoteReference w:id="136"/>
          </w:r>
          <w:r w:rsidRPr="009E7223">
            <w:t xml:space="preserve"> The other considered that important roles should be captured in the actions of both the local authority (in promoting safe gambling venues, since it approves the venues and can put sinking lids in place) and the Gambling Commission (as the ultimate authority below the Courts and Government).</w:t>
          </w:r>
          <w:r w:rsidRPr="009E7223">
            <w:rPr>
              <w:rStyle w:val="FootnoteReference"/>
            </w:rPr>
            <w:footnoteReference w:id="137"/>
          </w:r>
          <w:r w:rsidRPr="009E7223">
            <w:t xml:space="preserve"> This individual also commented that simplification of the various bodies involved in the gambling process could bring transparency.</w:t>
          </w:r>
        </w:p>
        <w:p w14:paraId="66C7DC94" w14:textId="0BBDE1F8" w:rsidR="00C86DAA" w:rsidRPr="009E7223" w:rsidRDefault="00C86DAA" w:rsidP="00C86DAA">
          <w:pPr>
            <w:pStyle w:val="BodyText"/>
            <w:rPr>
              <w:i/>
            </w:rPr>
          </w:pPr>
          <w:r w:rsidRPr="009E7223">
            <w:rPr>
              <w:bCs/>
              <w:i/>
            </w:rPr>
            <w:t>Objective 9:</w:t>
          </w:r>
          <w:r w:rsidRPr="009E7223">
            <w:rPr>
              <w:i/>
            </w:rPr>
            <w:t xml:space="preserve"> Services raise awareness about the range of gambling harms that affect individuals, families/whānau and communities</w:t>
          </w:r>
        </w:p>
        <w:p w14:paraId="1C661566" w14:textId="77777777" w:rsidR="00C86DAA" w:rsidRPr="009E7223" w:rsidRDefault="00C86DAA" w:rsidP="00C86DAA">
          <w:pPr>
            <w:pStyle w:val="BodyText"/>
          </w:pPr>
          <w:r w:rsidRPr="009E7223">
            <w:t>NCGM submitters were critical of actions related to services. One NCGM implied that treatment providers are more focussed on designing ways to close down gaming venues than treating clients,</w:t>
          </w:r>
          <w:r w:rsidRPr="009E7223">
            <w:rPr>
              <w:rStyle w:val="FootnoteReference"/>
            </w:rPr>
            <w:footnoteReference w:id="138"/>
          </w:r>
          <w:r w:rsidRPr="009E7223">
            <w:t xml:space="preserve"> while another suggested, in terms of action relating to improving access, that rather than setting up new offices in small towns with anticipated low volume of demand, counsellors located in the nearest larger city could travel to the township on an as-needed basis.</w:t>
          </w:r>
          <w:r w:rsidRPr="009E7223">
            <w:rPr>
              <w:rStyle w:val="FootnoteReference"/>
            </w:rPr>
            <w:footnoteReference w:id="139"/>
          </w:r>
          <w:r w:rsidRPr="009E7223">
            <w:t xml:space="preserve"> A third NCGM did not support more money being spent setting up new Problem Gambling Foundation offices and employing new staff in remote rural areas of New Zealand, on the basis that it did not consider it to be cost-effective.</w:t>
          </w:r>
          <w:r w:rsidRPr="009E7223">
            <w:rPr>
              <w:rStyle w:val="FootnoteReference"/>
            </w:rPr>
            <w:footnoteReference w:id="140"/>
          </w:r>
        </w:p>
        <w:p w14:paraId="134FB8A8" w14:textId="77777777" w:rsidR="00C86DAA" w:rsidRPr="009E7223" w:rsidRDefault="00C86DAA" w:rsidP="00C86DAA">
          <w:pPr>
            <w:pStyle w:val="BodyText"/>
          </w:pPr>
          <w:r w:rsidRPr="009E7223">
            <w:lastRenderedPageBreak/>
            <w:t>One Service Provider noted that the current public health contracts enable services to raise awareness relatively well.</w:t>
          </w:r>
          <w:r w:rsidRPr="009E7223">
            <w:rPr>
              <w:rStyle w:val="FootnoteReference"/>
            </w:rPr>
            <w:footnoteReference w:id="141"/>
          </w:r>
          <w:r w:rsidRPr="009E7223">
            <w:t xml:space="preserve"> However, it also considered that:</w:t>
          </w:r>
        </w:p>
        <w:p w14:paraId="746BCD42" w14:textId="254E16B3" w:rsidR="00C86DAA" w:rsidRPr="009E7223" w:rsidRDefault="000939D4" w:rsidP="00C86DAA">
          <w:pPr>
            <w:pStyle w:val="List-BulletLvl1"/>
          </w:pPr>
          <w:r w:rsidRPr="009E7223">
            <w:t xml:space="preserve">There </w:t>
          </w:r>
          <w:r w:rsidR="00C86DAA" w:rsidRPr="009E7223">
            <w:t>are insufficient resources allocated to effectively raise awareness for Asian communities</w:t>
          </w:r>
        </w:p>
        <w:p w14:paraId="66AE6113" w14:textId="36569C33" w:rsidR="00C86DAA" w:rsidRPr="009E7223" w:rsidRDefault="00C86DAA" w:rsidP="00C86DAA">
          <w:pPr>
            <w:pStyle w:val="List-BulletLvl1"/>
          </w:pPr>
          <w:r w:rsidRPr="009E7223">
            <w:t xml:space="preserve">Pasifika clients need </w:t>
          </w:r>
          <w:r w:rsidR="000939D4" w:rsidRPr="009E7223">
            <w:t>own-language</w:t>
          </w:r>
          <w:r w:rsidRPr="009E7223">
            <w:t xml:space="preserve"> resources, particularly on social media, and</w:t>
          </w:r>
        </w:p>
        <w:p w14:paraId="4ACEF8BC" w14:textId="33B33276" w:rsidR="00C86DAA" w:rsidRPr="009E7223" w:rsidRDefault="000939D4" w:rsidP="00C86DAA">
          <w:pPr>
            <w:pStyle w:val="List-BulletLvl1"/>
          </w:pPr>
          <w:r w:rsidRPr="009E7223">
            <w:t xml:space="preserve">There </w:t>
          </w:r>
          <w:r w:rsidR="00C86DAA" w:rsidRPr="009E7223">
            <w:t xml:space="preserve">need to be better services available than the current HPA ‘one-size-fits-all’ campaigns. </w:t>
          </w:r>
        </w:p>
        <w:p w14:paraId="01290E2E" w14:textId="77777777" w:rsidR="00C86DAA" w:rsidRPr="009E7223" w:rsidRDefault="00C86DAA" w:rsidP="00C86DAA">
          <w:pPr>
            <w:pStyle w:val="BodyText"/>
          </w:pPr>
          <w:r w:rsidRPr="009E7223">
            <w:t>In particular, this submitter considered that Lotto NZ should not advertise during primetime and when children are likely to be exposed to promotions, and that the NZRB should not be allowed to promote sports odds in mainstream media or during major sports fixtures where children are likely to be exposed to those promotions.</w:t>
          </w:r>
          <w:r w:rsidRPr="009E7223">
            <w:rPr>
              <w:rStyle w:val="FootnoteReference"/>
            </w:rPr>
            <w:footnoteReference w:id="142"/>
          </w:r>
          <w:r w:rsidRPr="009E7223">
            <w:t xml:space="preserve"> </w:t>
          </w:r>
        </w:p>
        <w:p w14:paraId="1F11B1EF" w14:textId="78428ECB" w:rsidR="00C86DAA" w:rsidRPr="009E7223" w:rsidRDefault="00C86DAA" w:rsidP="00C86DAA">
          <w:pPr>
            <w:pStyle w:val="BodyText"/>
          </w:pPr>
          <w:r w:rsidRPr="009E7223">
            <w:t xml:space="preserve">Another Service Provider considered that this </w:t>
          </w:r>
          <w:r w:rsidR="00CF476B" w:rsidRPr="009E7223">
            <w:t>o</w:t>
          </w:r>
          <w:r w:rsidRPr="009E7223">
            <w:t xml:space="preserve">bjective was </w:t>
          </w:r>
          <w:r w:rsidR="00F50F98">
            <w:t>ins</w:t>
          </w:r>
          <w:r w:rsidRPr="009E7223">
            <w:t>ufficient to reduce inequity.</w:t>
          </w:r>
          <w:r w:rsidRPr="009E7223">
            <w:rPr>
              <w:rStyle w:val="FootnoteReference"/>
            </w:rPr>
            <w:footnoteReference w:id="143"/>
          </w:r>
        </w:p>
        <w:p w14:paraId="04E3F2A6" w14:textId="2007BF1F" w:rsidR="00C86DAA" w:rsidRPr="009E7223" w:rsidRDefault="00C86DAA" w:rsidP="00C86DAA">
          <w:pPr>
            <w:pStyle w:val="BodyText"/>
          </w:pPr>
          <w:r w:rsidRPr="009E7223">
            <w:t xml:space="preserve">A </w:t>
          </w:r>
          <w:r w:rsidR="003052F1" w:rsidRPr="009E7223">
            <w:t>Health sector</w:t>
          </w:r>
          <w:r w:rsidRPr="009E7223">
            <w:t xml:space="preserve"> submitter recommended rewording this </w:t>
          </w:r>
          <w:r w:rsidR="00CF476B" w:rsidRPr="009E7223">
            <w:t>o</w:t>
          </w:r>
          <w:r w:rsidRPr="009E7223">
            <w:t>bjective to avoid a misunderstanding that it is the responsibility of counselling services to raise awareness of the range of gambling harms that affect individuals, families, whānau and communities, with alternative words to reflect the collaborative role of the Ministry, the DIA and the HPA in raising awareness of gambling harm at all levels.</w:t>
          </w:r>
          <w:r w:rsidRPr="009E7223">
            <w:rPr>
              <w:rStyle w:val="FootnoteReference"/>
            </w:rPr>
            <w:footnoteReference w:id="144"/>
          </w:r>
          <w:r w:rsidRPr="009E7223">
            <w:t xml:space="preserve"> Another </w:t>
          </w:r>
          <w:r w:rsidR="003052F1" w:rsidRPr="009E7223">
            <w:t>Health sector</w:t>
          </w:r>
          <w:r w:rsidRPr="009E7223">
            <w:t xml:space="preserve"> submitter also recommended a rewording of the </w:t>
          </w:r>
          <w:r w:rsidR="00CF476B" w:rsidRPr="009E7223">
            <w:t>o</w:t>
          </w:r>
          <w:r w:rsidRPr="009E7223">
            <w:t xml:space="preserve">bjective, to replace “awareness activities” (in this </w:t>
          </w:r>
          <w:r w:rsidR="00CF476B" w:rsidRPr="009E7223">
            <w:t>o</w:t>
          </w:r>
          <w:r w:rsidRPr="009E7223">
            <w:t xml:space="preserve">bjective and throughout the </w:t>
          </w:r>
          <w:r w:rsidR="00BF1C58" w:rsidRPr="009E7223">
            <w:t>Strateg</w:t>
          </w:r>
          <w:r w:rsidR="00CE2CD8" w:rsidRPr="009E7223">
            <w:t>ic Framework</w:t>
          </w:r>
          <w:r w:rsidR="00BF1C58" w:rsidRPr="009E7223">
            <w:t xml:space="preserve"> and Service Plan</w:t>
          </w:r>
          <w:r w:rsidRPr="009E7223">
            <w:t xml:space="preserve">) with </w:t>
          </w:r>
          <w:r w:rsidRPr="009E7223">
            <w:rPr>
              <w:i/>
            </w:rPr>
            <w:t>“behaviour change activities</w:t>
          </w:r>
          <w:r w:rsidRPr="009E7223">
            <w:t>”.</w:t>
          </w:r>
          <w:r w:rsidRPr="009E7223">
            <w:rPr>
              <w:rStyle w:val="FootnoteReference"/>
            </w:rPr>
            <w:footnoteReference w:id="145"/>
          </w:r>
        </w:p>
        <w:p w14:paraId="37E07A99" w14:textId="6289F43C" w:rsidR="00C86DAA" w:rsidRPr="009E7223" w:rsidRDefault="00C86DAA" w:rsidP="00C86DAA">
          <w:pPr>
            <w:pStyle w:val="BodyText"/>
          </w:pPr>
          <w:r w:rsidRPr="009E7223">
            <w:t xml:space="preserve">One individual supported this </w:t>
          </w:r>
          <w:r w:rsidR="00CF476B" w:rsidRPr="009E7223">
            <w:t>o</w:t>
          </w:r>
          <w:r w:rsidRPr="009E7223">
            <w:t>bjective, and did not provide any further comment.</w:t>
          </w:r>
          <w:r w:rsidRPr="009E7223">
            <w:rPr>
              <w:rStyle w:val="FootnoteReference"/>
            </w:rPr>
            <w:footnoteReference w:id="146"/>
          </w:r>
        </w:p>
        <w:p w14:paraId="39CC08D3" w14:textId="77777777" w:rsidR="00C86DAA" w:rsidRPr="009E7223" w:rsidRDefault="00C86DAA" w:rsidP="00C86DAA">
          <w:pPr>
            <w:pStyle w:val="BodyText"/>
            <w:rPr>
              <w:i/>
            </w:rPr>
          </w:pPr>
          <w:r w:rsidRPr="009E7223">
            <w:rPr>
              <w:i/>
            </w:rPr>
            <w:t>Objective 10: People access effective treatment and support services at the right time and place</w:t>
          </w:r>
        </w:p>
        <w:p w14:paraId="0F7F2FF5" w14:textId="2331BAA2" w:rsidR="00C86DAA" w:rsidRPr="009E7223" w:rsidRDefault="00C86DAA" w:rsidP="00C86DAA">
          <w:pPr>
            <w:pStyle w:val="BodyText"/>
          </w:pPr>
          <w:r w:rsidRPr="009E7223">
            <w:t>One Service Provider commended the well-established land-based counselling services, the Gambling Helpline promoted in the HPA publicity, and that services are mandated to work with affected others.</w:t>
          </w:r>
          <w:r w:rsidRPr="009E7223">
            <w:rPr>
              <w:rStyle w:val="FootnoteReference"/>
            </w:rPr>
            <w:footnoteReference w:id="147"/>
          </w:r>
          <w:r w:rsidRPr="009E7223">
            <w:t xml:space="preserve"> However, this submitter also noted that reliance on the Gambling Helpline </w:t>
          </w:r>
          <w:r w:rsidR="000939D4" w:rsidRPr="009E7223">
            <w:t>has</w:t>
          </w:r>
          <w:r w:rsidRPr="009E7223">
            <w:t xml:space="preserve"> </w:t>
          </w:r>
          <w:r w:rsidR="000939D4" w:rsidRPr="009E7223">
            <w:t xml:space="preserve">reduced </w:t>
          </w:r>
          <w:r w:rsidRPr="009E7223">
            <w:t xml:space="preserve">referrals, and that clients report not being able to access the support they expected </w:t>
          </w:r>
          <w:r w:rsidR="00BF1C58" w:rsidRPr="009E7223">
            <w:t xml:space="preserve">when </w:t>
          </w:r>
          <w:r w:rsidRPr="009E7223">
            <w:t>i</w:t>
          </w:r>
          <w:r w:rsidR="00BF1C58" w:rsidRPr="009E7223">
            <w:t>t i</w:t>
          </w:r>
          <w:r w:rsidRPr="009E7223">
            <w:t xml:space="preserve">s needed between different cultures and populations. It went on to suggest that the actions under this </w:t>
          </w:r>
          <w:r w:rsidR="00CF476B" w:rsidRPr="009E7223">
            <w:t>o</w:t>
          </w:r>
          <w:r w:rsidRPr="009E7223">
            <w:t xml:space="preserve">bjective could be more explicit about services that can support clients 24/7 using digital tools, to promote access and availability in different languages (which requires more resources). Another Service Provider recommended inserting “culturally appropriate and culturally targeted” into the </w:t>
          </w:r>
          <w:r w:rsidR="00CF476B" w:rsidRPr="009E7223">
            <w:t>o</w:t>
          </w:r>
          <w:r w:rsidRPr="009E7223">
            <w:t>bjective, noting the overall focus of the Strategy on targeted service provision.</w:t>
          </w:r>
          <w:r w:rsidRPr="009E7223">
            <w:rPr>
              <w:rStyle w:val="FootnoteReference"/>
            </w:rPr>
            <w:footnoteReference w:id="148"/>
          </w:r>
        </w:p>
        <w:p w14:paraId="1D5F80DB" w14:textId="14E221BB" w:rsidR="00C86DAA" w:rsidRPr="009E7223" w:rsidRDefault="00C86DAA" w:rsidP="00C86DAA">
          <w:pPr>
            <w:pStyle w:val="BodyText"/>
          </w:pPr>
          <w:r w:rsidRPr="009E7223">
            <w:t>Two Health Service submitters supported the commitment to dedicated Māori, Pasifika and Asian services, and culturally appropriate service provision.</w:t>
          </w:r>
          <w:r w:rsidRPr="009E7223">
            <w:rPr>
              <w:rStyle w:val="FootnoteReference"/>
            </w:rPr>
            <w:footnoteReference w:id="149"/>
          </w:r>
          <w:r w:rsidRPr="009E7223">
            <w:t xml:space="preserve"> In acknowledging the challenges in reaching rural areas, one of these submitters suggested exploring whether its psychological wellbeing service provision model, develop</w:t>
          </w:r>
          <w:r w:rsidR="00BF1C58" w:rsidRPr="009E7223">
            <w:t>ed</w:t>
          </w:r>
          <w:r w:rsidRPr="009E7223">
            <w:t xml:space="preserve"> following the Hurunui/Kaikoura earthquakes, could be a source for a mobile, community-linked service.</w:t>
          </w:r>
          <w:r w:rsidRPr="009E7223">
            <w:rPr>
              <w:rStyle w:val="FootnoteReference"/>
            </w:rPr>
            <w:footnoteReference w:id="150"/>
          </w:r>
        </w:p>
        <w:p w14:paraId="73DF0388" w14:textId="17D82C73" w:rsidR="00C86DAA" w:rsidRPr="009E7223" w:rsidRDefault="00C86DAA" w:rsidP="00C86DAA">
          <w:pPr>
            <w:pStyle w:val="BodyText"/>
          </w:pPr>
          <w:r w:rsidRPr="009E7223">
            <w:lastRenderedPageBreak/>
            <w:t xml:space="preserve">One individual supported this </w:t>
          </w:r>
          <w:r w:rsidR="00CF476B" w:rsidRPr="009E7223">
            <w:t>o</w:t>
          </w:r>
          <w:r w:rsidRPr="009E7223">
            <w:t>bjective and suggested installing CCTV cameras in venues to highlight problem gamblers and direct them towards treatment earlier.</w:t>
          </w:r>
          <w:r w:rsidRPr="009E7223">
            <w:rPr>
              <w:rStyle w:val="FootnoteReference"/>
            </w:rPr>
            <w:footnoteReference w:id="151"/>
          </w:r>
        </w:p>
        <w:p w14:paraId="4D977E87" w14:textId="77777777" w:rsidR="00C86DAA" w:rsidRPr="009E7223" w:rsidRDefault="00C86DAA" w:rsidP="00C86DAA">
          <w:pPr>
            <w:pStyle w:val="BodyText"/>
            <w:rPr>
              <w:i/>
            </w:rPr>
          </w:pPr>
          <w:r w:rsidRPr="009E7223">
            <w:rPr>
              <w:bCs/>
              <w:i/>
            </w:rPr>
            <w:t>Objective 11:</w:t>
          </w:r>
          <w:r w:rsidRPr="009E7223">
            <w:rPr>
              <w:i/>
            </w:rPr>
            <w:t xml:space="preserve"> A programme of research and evaluation establishes an evidence base that underpins all activities to prevent and minimises gambling harm</w:t>
          </w:r>
        </w:p>
        <w:p w14:paraId="25F1D877" w14:textId="6D942450" w:rsidR="00C86DAA" w:rsidRPr="009E7223" w:rsidRDefault="005026F7" w:rsidP="00C86DAA">
          <w:pPr>
            <w:pStyle w:val="BodyText"/>
          </w:pPr>
          <w:r w:rsidRPr="009E7223">
            <w:t xml:space="preserve">Two </w:t>
          </w:r>
          <w:r w:rsidR="00C86DAA" w:rsidRPr="009E7223">
            <w:t xml:space="preserve">Service Providers supported a dedicated research fund with a focus on priority populations, including </w:t>
          </w:r>
          <w:r w:rsidRPr="009E7223">
            <w:t xml:space="preserve">culturally </w:t>
          </w:r>
          <w:r w:rsidR="00C86DAA" w:rsidRPr="009E7223">
            <w:t>appropriate</w:t>
          </w:r>
          <w:r w:rsidRPr="009E7223">
            <w:t xml:space="preserve"> </w:t>
          </w:r>
          <w:r w:rsidR="00C86DAA" w:rsidRPr="009E7223">
            <w:t>support.</w:t>
          </w:r>
          <w:r w:rsidR="00C86DAA" w:rsidRPr="009E7223">
            <w:rPr>
              <w:rStyle w:val="FootnoteReference"/>
            </w:rPr>
            <w:footnoteReference w:id="152"/>
          </w:r>
          <w:r w:rsidR="00C86DAA" w:rsidRPr="009E7223">
            <w:t xml:space="preserve"> One of these submitters</w:t>
          </w:r>
          <w:r w:rsidR="00C86DAA" w:rsidRPr="009E7223">
            <w:rPr>
              <w:rStyle w:val="FootnoteReference"/>
            </w:rPr>
            <w:footnoteReference w:id="153"/>
          </w:r>
          <w:r w:rsidR="00C86DAA" w:rsidRPr="009E7223">
            <w:t xml:space="preserve"> noted shortcomings of current research, including:</w:t>
          </w:r>
        </w:p>
        <w:p w14:paraId="4A0A0A72" w14:textId="754F22E7" w:rsidR="00C86DAA" w:rsidRPr="009E7223" w:rsidRDefault="000939D4" w:rsidP="00C86DAA">
          <w:pPr>
            <w:pStyle w:val="List-BulletLvl1"/>
          </w:pPr>
          <w:r w:rsidRPr="009E7223">
            <w:t>L</w:t>
          </w:r>
          <w:r w:rsidR="00C86DAA" w:rsidRPr="009E7223">
            <w:t>ittle research into the causes of high prevalence problem gambling among priority populations (for example</w:t>
          </w:r>
          <w:r w:rsidR="00BF1C58" w:rsidRPr="009E7223">
            <w:t>,</w:t>
          </w:r>
          <w:r w:rsidR="00C86DAA" w:rsidRPr="009E7223">
            <w:t xml:space="preserve"> mental health and poverty), and</w:t>
          </w:r>
        </w:p>
        <w:p w14:paraId="7E3FA09C" w14:textId="1C64F2A3" w:rsidR="00C86DAA" w:rsidRPr="009E7223" w:rsidRDefault="000939D4" w:rsidP="00C86DAA">
          <w:pPr>
            <w:pStyle w:val="List-BulletLvl1"/>
          </w:pPr>
          <w:r w:rsidRPr="009E7223">
            <w:t xml:space="preserve">A </w:t>
          </w:r>
          <w:r w:rsidR="00C86DAA" w:rsidRPr="009E7223">
            <w:t>lack of practical application or policy impact from completed research (except the Needs Assessment).</w:t>
          </w:r>
        </w:p>
        <w:p w14:paraId="6A0181C5" w14:textId="66778771" w:rsidR="00C86DAA" w:rsidRPr="009E7223" w:rsidRDefault="00C86DAA" w:rsidP="00C86DAA">
          <w:pPr>
            <w:pStyle w:val="BodyText"/>
          </w:pPr>
          <w:r w:rsidRPr="009E7223">
            <w:t xml:space="preserve">The </w:t>
          </w:r>
          <w:r w:rsidR="005026F7" w:rsidRPr="009E7223">
            <w:t xml:space="preserve">same </w:t>
          </w:r>
          <w:r w:rsidRPr="009E7223">
            <w:t xml:space="preserve">Service Provider recommended a research focus on collecting baseline data on online gambling to track changes and identify intervention opportunities, and tracking changes in Lotto spend to identify the impact of new Instant Play Games. Another Service Provider suggested developing an evidence base </w:t>
          </w:r>
          <w:r w:rsidR="005026F7" w:rsidRPr="009E7223">
            <w:t xml:space="preserve">showing the effectiveness </w:t>
          </w:r>
          <w:r w:rsidRPr="009E7223">
            <w:t xml:space="preserve">of </w:t>
          </w:r>
          <w:r w:rsidR="005026F7" w:rsidRPr="009E7223">
            <w:t>t</w:t>
          </w:r>
          <w:r w:rsidRPr="009E7223">
            <w:t>he Māori, Pasifika and Asian workforce</w:t>
          </w:r>
          <w:r w:rsidR="005026F7" w:rsidRPr="009E7223">
            <w:t xml:space="preserve"> at </w:t>
          </w:r>
          <w:r w:rsidRPr="009E7223">
            <w:t>provid</w:t>
          </w:r>
          <w:r w:rsidR="005026F7" w:rsidRPr="009E7223">
            <w:t>ing</w:t>
          </w:r>
          <w:r w:rsidRPr="009E7223">
            <w:t xml:space="preserve"> support </w:t>
          </w:r>
          <w:r w:rsidR="005026F7" w:rsidRPr="009E7223">
            <w:t xml:space="preserve">using </w:t>
          </w:r>
          <w:r w:rsidRPr="009E7223">
            <w:t>their cultural methods and models</w:t>
          </w:r>
          <w:r w:rsidR="005026F7" w:rsidRPr="009E7223">
            <w:t>.</w:t>
          </w:r>
          <w:r w:rsidRPr="009E7223">
            <w:rPr>
              <w:rStyle w:val="FootnoteReference"/>
            </w:rPr>
            <w:footnoteReference w:id="154"/>
          </w:r>
        </w:p>
        <w:p w14:paraId="56DC6192" w14:textId="1869C6F9" w:rsidR="00C86DAA" w:rsidRPr="009E7223" w:rsidRDefault="00C86DAA" w:rsidP="00C86DAA">
          <w:pPr>
            <w:pStyle w:val="BodyText"/>
          </w:pPr>
          <w:r w:rsidRPr="009E7223">
            <w:t xml:space="preserve">A </w:t>
          </w:r>
          <w:r w:rsidR="003052F1" w:rsidRPr="009E7223">
            <w:t>Health sector</w:t>
          </w:r>
          <w:r w:rsidRPr="009E7223">
            <w:t xml:space="preserve"> submitter</w:t>
          </w:r>
          <w:r w:rsidRPr="009E7223">
            <w:rPr>
              <w:rStyle w:val="FootnoteReference"/>
            </w:rPr>
            <w:footnoteReference w:id="155"/>
          </w:r>
          <w:r w:rsidRPr="009E7223">
            <w:t xml:space="preserve"> supported this </w:t>
          </w:r>
          <w:r w:rsidR="00CF476B" w:rsidRPr="009E7223">
            <w:t>o</w:t>
          </w:r>
          <w:r w:rsidRPr="009E7223">
            <w:t>bjective, and offered</w:t>
          </w:r>
          <w:r w:rsidR="00BF1C58" w:rsidRPr="009E7223">
            <w:t xml:space="preserve"> two</w:t>
          </w:r>
          <w:r w:rsidRPr="009E7223">
            <w:t xml:space="preserve"> ideas for future research</w:t>
          </w:r>
          <w:r w:rsidR="005026F7" w:rsidRPr="009E7223">
            <w:t>:</w:t>
          </w:r>
        </w:p>
        <w:p w14:paraId="5F97F34E" w14:textId="25A1EC50" w:rsidR="00C86DAA" w:rsidRPr="009E7223" w:rsidRDefault="000939D4" w:rsidP="00C86DAA">
          <w:pPr>
            <w:pStyle w:val="List-BulletLvl1"/>
          </w:pPr>
          <w:r w:rsidRPr="009E7223">
            <w:t>G</w:t>
          </w:r>
          <w:r w:rsidR="00C86DAA" w:rsidRPr="009E7223">
            <w:t>aps in local level knowledge about gambling-related harm, and</w:t>
          </w:r>
        </w:p>
        <w:p w14:paraId="635DEC4C" w14:textId="7EB8C008" w:rsidR="00C86DAA" w:rsidRPr="009E7223" w:rsidRDefault="000939D4" w:rsidP="00C86DAA">
          <w:pPr>
            <w:pStyle w:val="List-BulletLvl1"/>
          </w:pPr>
          <w:r w:rsidRPr="009E7223">
            <w:t xml:space="preserve">Research </w:t>
          </w:r>
          <w:r w:rsidR="00C86DAA" w:rsidRPr="009E7223">
            <w:t>on developing sustainable community funding models not built on harm.</w:t>
          </w:r>
        </w:p>
        <w:p w14:paraId="10ABDF7B" w14:textId="2D5AF69A" w:rsidR="005026F7" w:rsidRPr="009E7223" w:rsidRDefault="005026F7" w:rsidP="005026F7">
          <w:pPr>
            <w:pStyle w:val="BodyText"/>
          </w:pPr>
          <w:r w:rsidRPr="009E7223">
            <w:t>This submitter further recommended that any funding for future research is not derived from the gambling industry to maintain academic integrity.</w:t>
          </w:r>
        </w:p>
        <w:p w14:paraId="253F0E35" w14:textId="3BD2BE28" w:rsidR="00C86DAA" w:rsidRPr="009E7223" w:rsidRDefault="00C86DAA" w:rsidP="00C86DAA">
          <w:pPr>
            <w:pStyle w:val="BodyText"/>
          </w:pPr>
          <w:r w:rsidRPr="009E7223">
            <w:t xml:space="preserve">One individual supported this </w:t>
          </w:r>
          <w:r w:rsidR="00CF476B" w:rsidRPr="009E7223">
            <w:t>o</w:t>
          </w:r>
          <w:r w:rsidRPr="009E7223">
            <w:t>bjective without providing further comment.</w:t>
          </w:r>
          <w:r w:rsidRPr="009E7223">
            <w:rPr>
              <w:rStyle w:val="FootnoteReference"/>
            </w:rPr>
            <w:footnoteReference w:id="156"/>
          </w:r>
          <w:r w:rsidRPr="009E7223">
            <w:t xml:space="preserve"> Another individual noted that while the proposal of research on relapse has merit, the real need and challenge is research to discover why over 90 percent of problems gamblers are not presenting for treatment.</w:t>
          </w:r>
          <w:r w:rsidRPr="009E7223">
            <w:rPr>
              <w:rStyle w:val="FootnoteReference"/>
            </w:rPr>
            <w:footnoteReference w:id="157"/>
          </w:r>
        </w:p>
        <w:p w14:paraId="4193552F" w14:textId="093E3F01" w:rsidR="00FF3BB5" w:rsidRPr="009E7223" w:rsidRDefault="00FF3BB5" w:rsidP="00FF3BB5">
          <w:pPr>
            <w:pStyle w:val="NumberedHeading3"/>
          </w:pPr>
          <w:bookmarkStart w:id="52" w:name="_Toc531098160"/>
          <w:r w:rsidRPr="009E7223">
            <w:t xml:space="preserve">Some submitters agreed that the </w:t>
          </w:r>
          <w:r w:rsidR="0065722E" w:rsidRPr="009E7223">
            <w:t>strategic direction</w:t>
          </w:r>
          <w:r w:rsidRPr="009E7223">
            <w:t xml:space="preserve"> adequately reflected changes in the gambling environment</w:t>
          </w:r>
          <w:bookmarkEnd w:id="52"/>
        </w:p>
        <w:p w14:paraId="42B336E8" w14:textId="0AC06CF1" w:rsidR="003712E5" w:rsidRPr="009E7223" w:rsidRDefault="003712E5" w:rsidP="00C86DAA">
          <w:pPr>
            <w:pStyle w:val="BodyText"/>
          </w:pPr>
          <w:r w:rsidRPr="009E7223">
            <w:rPr>
              <w:noProof/>
              <w:lang w:eastAsia="en-NZ"/>
            </w:rPr>
            <mc:AlternateContent>
              <mc:Choice Requires="wpg">
                <w:drawing>
                  <wp:anchor distT="0" distB="0" distL="228600" distR="228600" simplePos="0" relativeHeight="251674624" behindDoc="0" locked="0" layoutInCell="1" allowOverlap="1" wp14:anchorId="58CFBCBE" wp14:editId="2FC44D38">
                    <wp:simplePos x="0" y="0"/>
                    <wp:positionH relativeFrom="margin">
                      <wp:align>right</wp:align>
                    </wp:positionH>
                    <wp:positionV relativeFrom="page">
                      <wp:posOffset>2221860</wp:posOffset>
                    </wp:positionV>
                    <wp:extent cx="3218180" cy="1195070"/>
                    <wp:effectExtent l="0" t="0" r="1270" b="5080"/>
                    <wp:wrapSquare wrapText="bothSides"/>
                    <wp:docPr id="11" name="Group 11"/>
                    <wp:cNvGraphicFramePr/>
                    <a:graphic xmlns:a="http://schemas.openxmlformats.org/drawingml/2006/main">
                      <a:graphicData uri="http://schemas.microsoft.com/office/word/2010/wordprocessingGroup">
                        <wpg:wgp>
                          <wpg:cNvGrpSpPr/>
                          <wpg:grpSpPr>
                            <a:xfrm>
                              <a:off x="0" y="0"/>
                              <a:ext cx="3218180" cy="1195070"/>
                              <a:chOff x="0" y="0"/>
                              <a:chExt cx="3218688" cy="2028766"/>
                            </a:xfrm>
                          </wpg:grpSpPr>
                          <wps:wsp>
                            <wps:cNvPr id="13" name="Rectangle 13"/>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Group 14"/>
                            <wpg:cNvGrpSpPr/>
                            <wpg:grpSpPr>
                              <a:xfrm>
                                <a:off x="0" y="19050"/>
                                <a:ext cx="2249424" cy="832104"/>
                                <a:chOff x="228600" y="0"/>
                                <a:chExt cx="1472184" cy="1024128"/>
                              </a:xfrm>
                            </wpg:grpSpPr>
                            <wps:wsp>
                              <wps:cNvPr id="15"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28600" y="0"/>
                                  <a:ext cx="1472184" cy="1024128"/>
                                </a:xfrm>
                                <a:prstGeom prst="rect">
                                  <a:avLst/>
                                </a:prstGeom>
                                <a:blipFill>
                                  <a:blip r:embed="rId1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Text Box 17"/>
                            <wps:cNvSpPr txBox="1"/>
                            <wps:spPr>
                              <a:xfrm>
                                <a:off x="237783" y="399440"/>
                                <a:ext cx="2978676" cy="15599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4D2EC" w14:textId="0DE059FD" w:rsidR="00723291" w:rsidRDefault="00723291">
                                  <w:pPr>
                                    <w:ind w:left="504"/>
                                    <w:jc w:val="right"/>
                                    <w:rPr>
                                      <w:smallCaps/>
                                      <w:color w:val="77B800" w:themeColor="accent2"/>
                                      <w:sz w:val="28"/>
                                      <w:szCs w:val="24"/>
                                    </w:rPr>
                                  </w:pPr>
                                  <w:r>
                                    <w:t>I</w:t>
                                  </w:r>
                                  <w:r w:rsidRPr="00C86DAA">
                                    <w:t>mprove</w:t>
                                  </w:r>
                                  <w:r>
                                    <w:t xml:space="preserve">d technology means that online gambling is likely to </w:t>
                                  </w:r>
                                  <w:r w:rsidRPr="00C86DAA">
                                    <w:t>increase, and the sector could be a growing area of concern in the future.</w:t>
                                  </w:r>
                                </w:p>
                                <w:p w14:paraId="625C93C7" w14:textId="7A1FFC0B" w:rsidR="00723291" w:rsidRDefault="00723291">
                                  <w:pPr>
                                    <w:pStyle w:val="NoSpacing"/>
                                    <w:ind w:left="360"/>
                                    <w:jc w:val="right"/>
                                    <w:rPr>
                                      <w:color w:val="36424A"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CFBCBE" id="Group 11" o:spid="_x0000_s1040" style="position:absolute;left:0;text-align:left;margin-left:202.2pt;margin-top:174.95pt;width:253.4pt;height:94.1pt;z-index:251674624;mso-wrap-distance-left:18pt;mso-wrap-distance-right:18pt;mso-position-horizontal:right;mso-position-horizontal-relative:margin;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">
                    <v:rect id="Rectangle 13" o:spid="_x0000_s1041" style="position:absolute;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M6s8QA&#10;AADbAAAADwAAAGRycy9kb3ducmV2LnhtbERPTWvCQBC9F/oflin0UnRTtRKiq0hLoUURjEquQ3ZM&#10;gtnZNLvV1F/vCkJv83ifM513phYnal1lWcFrPwJBnFtdcaFgt/3sxSCcR9ZYWyYFf+RgPnt8mGKi&#10;7Zk3dEp9IUIIuwQVlN43iZQuL8mg69uGOHAH2xr0AbaF1C2eQ7ip5SCKxtJgxaGhxIbeS8qP6a9R&#10;8DOK+Xu3HIxX/pBdLtn+Zfv2sVbq+albTEB46vy/+O7+0mH+EG6/hAP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TOrPEAAAA2wAAAA8AAAAAAAAAAAAAAAAAmAIAAGRycy9k&#10;b3ducmV2LnhtbFBLBQYAAAAABAAEAPUAAACJAwAAAAA=&#10;" fillcolor="white [3212]" stroked="f" strokeweight="1pt">
                      <v:fill opacity="0"/>
                    </v:rect>
                    <v:group id="Group 14" o:spid="_x0000_s1042"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Rectangle 10" o:spid="_x0000_s1043"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g58cMA&#10;AADbAAAADwAAAGRycy9kb3ducmV2LnhtbERP32vCMBB+H/g/hBN8GZrqmI7OKCIKEzawbuz51pxN&#10;sbnUJtr63y+DgW/38f28+bKzlbhS40vHCsajBARx7nTJhYKvz+3wBYQPyBorx6TgRh6Wi97DHFPt&#10;Ws7oegiFiCHsU1RgQqhTKX1uyKIfuZo4ckfXWAwRNoXUDbYx3FZykiRTabHk2GCwprWh/HS4WAWb&#10;n4/defz43mbT/dNptZ/ZmTXfSg363eoVRKAu3MX/7jcd5z/D3y/x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g58cMAAADbAAAADwAAAAAAAAAAAAAAAACYAgAAZHJzL2Rv&#10;d25yZXYueG1sUEsFBgAAAAAEAAQA9QAAAIgDAAAAAA==&#10;" path="m,l2240281,,1659256,222885,,822960,,xe" fillcolor="#36424a [3204]" stroked="f" strokeweight="1pt">
                        <v:stroke joinstyle="miter"/>
                        <v:path arrowok="t" o:connecttype="custom" o:connectlocs="0,0;1466258,0;1085979,274158;0,1012274;0,0" o:connectangles="0,0,0,0,0"/>
                      </v:shape>
                      <v:rect id="Rectangle 16" o:spid="_x0000_s1044"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K97cEA&#10;AADbAAAADwAAAGRycy9kb3ducmV2LnhtbERPyWrDMBC9B/oPYgq9hEZuIW5wI5tSKPTUkIWeB2ti&#10;mVgjY8mW+/dVIJDbPN4622q2nZho8K1jBS+rDARx7XTLjYLT8et5A8IHZI2dY1LwRx6q8mGxxUK7&#10;yHuaDqERKYR9gQpMCH0hpa8NWfQr1xMn7uwGiyHBoZF6wJjCbSdfsyyXFltODQZ7+jRUXw6jVbDs&#10;6W1z/PmtzWWa4lrvYnMeo1JPj/PHO4hAc7iLb+5vnebncP0lHS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Cve3BAAAA2wAAAA8AAAAAAAAAAAAAAAAAmAIAAGRycy9kb3du&#10;cmV2LnhtbFBLBQYAAAAABAAEAPUAAACGAwAAAAA=&#10;" stroked="f" strokeweight="1pt">
                        <v:fill r:id="rId16" o:title="" recolor="t" rotate="t" type="frame"/>
                      </v:rect>
                    </v:group>
                    <v:shape id="Text Box 17" o:spid="_x0000_s1045" type="#_x0000_t202" style="position:absolute;left:2377;top:3994;width:29787;height:15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g9cIA&#10;AADbAAAADwAAAGRycy9kb3ducmV2LnhtbERPS2vCQBC+F/wPywi9NRsVrMSsomLFS6GNgtchO3lg&#10;djZmVxP/fbdQ6G0+vuek68E04kGdqy0rmEQxCOLc6ppLBefTx9sChPPIGhvLpOBJDtar0UuKibY9&#10;f9Mj86UIIewSVFB53yZSurwigy6yLXHgCtsZ9AF2pdQd9iHcNHIax3NpsObQUGFLu4rya3Y3Cubb&#10;r/vh1vd0qYtd/jlbHGb7YarU63jYLEF4Gvy/+M991GH+O/z+Eg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SD1wgAAANsAAAAPAAAAAAAAAAAAAAAAAJgCAABkcnMvZG93&#10;bnJldi54bWxQSwUGAAAAAAQABAD1AAAAhwMAAAAA&#10;" filled="f" stroked="f" strokeweight=".5pt">
                      <v:textbox inset="3.6pt,7.2pt,0,0">
                        <w:txbxContent>
                          <w:p w14:paraId="6344D2EC" w14:textId="0DE059FD" w:rsidR="00723291" w:rsidRDefault="00723291">
                            <w:pPr>
                              <w:ind w:left="504"/>
                              <w:jc w:val="right"/>
                              <w:rPr>
                                <w:smallCaps/>
                                <w:color w:val="77B800" w:themeColor="accent2"/>
                                <w:sz w:val="28"/>
                                <w:szCs w:val="24"/>
                              </w:rPr>
                            </w:pPr>
                            <w:r>
                              <w:t>I</w:t>
                            </w:r>
                            <w:r w:rsidRPr="00C86DAA">
                              <w:t>mprove</w:t>
                            </w:r>
                            <w:r>
                              <w:t xml:space="preserve">d technology means that online gambling is likely to </w:t>
                            </w:r>
                            <w:r w:rsidRPr="00C86DAA">
                              <w:t>increase, and the sector could be a growing area of concern in the future.</w:t>
                            </w:r>
                          </w:p>
                          <w:p w14:paraId="625C93C7" w14:textId="7A1FFC0B" w:rsidR="00723291" w:rsidRDefault="00723291">
                            <w:pPr>
                              <w:pStyle w:val="NoSpacing"/>
                              <w:ind w:left="360"/>
                              <w:jc w:val="right"/>
                              <w:rPr>
                                <w:color w:val="36424A" w:themeColor="accent1"/>
                                <w:sz w:val="20"/>
                                <w:szCs w:val="20"/>
                              </w:rPr>
                            </w:pPr>
                          </w:p>
                        </w:txbxContent>
                      </v:textbox>
                    </v:shape>
                    <w10:wrap type="square" anchorx="margin" anchory="page"/>
                  </v:group>
                </w:pict>
              </mc:Fallback>
            </mc:AlternateContent>
          </w:r>
          <w:r w:rsidR="00C86DAA" w:rsidRPr="009E7223">
            <w:t>One Local Government submitter</w:t>
          </w:r>
          <w:r w:rsidR="00C86DAA" w:rsidRPr="009E7223">
            <w:rPr>
              <w:rStyle w:val="FootnoteReference"/>
            </w:rPr>
            <w:footnoteReference w:id="158"/>
          </w:r>
          <w:r w:rsidR="00C86DAA" w:rsidRPr="009E7223">
            <w:rPr>
              <w:rStyle w:val="FootnoteReference"/>
            </w:rPr>
            <w:t xml:space="preserve"> </w:t>
          </w:r>
          <w:r w:rsidR="00C86DAA" w:rsidRPr="009E7223">
            <w:t xml:space="preserve">agreed that overall, the gambling environment is much the same as it was three years ago. However, </w:t>
          </w:r>
          <w:r w:rsidRPr="009E7223">
            <w:t xml:space="preserve">the submitter </w:t>
          </w:r>
          <w:r w:rsidR="00C86DAA" w:rsidRPr="009E7223">
            <w:t xml:space="preserve">also noted that an emerging concern is the potential rise in international online gambling, and associated gambling-related harm. </w:t>
          </w:r>
          <w:r w:rsidRPr="009E7223">
            <w:t>While the submitter observed that p</w:t>
          </w:r>
          <w:r w:rsidR="00C86DAA" w:rsidRPr="009E7223">
            <w:t xml:space="preserve">articipation levels are still relatively low compared to other forms of gambling, the prevalence of problem gambling among those who gamble via overseas internet gambling is 11.5 percent, which </w:t>
          </w:r>
          <w:r w:rsidR="000939D4" w:rsidRPr="009E7223">
            <w:t>was considered</w:t>
          </w:r>
          <w:r w:rsidR="00C86DAA" w:rsidRPr="009E7223">
            <w:t xml:space="preserve"> high in comparison to other gambling modes. The </w:t>
          </w:r>
          <w:r w:rsidR="00C86DAA" w:rsidRPr="009E7223">
            <w:lastRenderedPageBreak/>
            <w:t xml:space="preserve">submitter considered that coupled with technology improvements, it can be expected that participation </w:t>
          </w:r>
          <w:r w:rsidRPr="009E7223">
            <w:t xml:space="preserve">in online gambling </w:t>
          </w:r>
          <w:r w:rsidR="00C86DAA" w:rsidRPr="009E7223">
            <w:t>will increase, and the sector could be a growing area of concern in the future.</w:t>
          </w:r>
        </w:p>
        <w:p w14:paraId="52A5BB29" w14:textId="2F0352CB" w:rsidR="00C86DAA" w:rsidRPr="009E7223" w:rsidRDefault="00C86DAA" w:rsidP="00C86DAA">
          <w:pPr>
            <w:pStyle w:val="BodyText"/>
          </w:pPr>
          <w:r w:rsidRPr="009E7223">
            <w:t xml:space="preserve">Another Local Government submitter </w:t>
          </w:r>
          <w:r w:rsidR="00633AC1" w:rsidRPr="009E7223">
            <w:t xml:space="preserve">particularly </w:t>
          </w:r>
          <w:r w:rsidRPr="009E7223">
            <w:t>supported the increased focus on reducing inequalities and inequities in proposed Objectives 9 and 10.</w:t>
          </w:r>
          <w:r w:rsidRPr="009E7223">
            <w:rPr>
              <w:rStyle w:val="FootnoteReference"/>
            </w:rPr>
            <w:footnoteReference w:id="159"/>
          </w:r>
          <w:r w:rsidRPr="009E7223">
            <w:rPr>
              <w:rStyle w:val="FootnoteReference"/>
            </w:rPr>
            <w:t xml:space="preserve"> </w:t>
          </w:r>
          <w:r w:rsidRPr="009E7223">
            <w:t>The differences in levels of gambling harm among different population groups have been well document</w:t>
          </w:r>
          <w:r w:rsidR="00633AC1" w:rsidRPr="009E7223">
            <w:t>ed</w:t>
          </w:r>
          <w:r w:rsidRPr="009E7223">
            <w:t xml:space="preserve">, and the submitter commended the Ministry for placing increased focus on developing and implementing initiatives that make problem-gambling services more accessible and </w:t>
          </w:r>
          <w:r w:rsidR="003712E5" w:rsidRPr="009E7223">
            <w:t xml:space="preserve">more </w:t>
          </w:r>
          <w:r w:rsidRPr="009E7223">
            <w:t xml:space="preserve">culturally appropriate. The submitter also acknowledged the concern of possible online gambling growth, and supported the identification of this as an issue in the draft </w:t>
          </w:r>
          <w:r w:rsidR="0065722E" w:rsidRPr="009E7223">
            <w:t>strategic direction</w:t>
          </w:r>
          <w:r w:rsidR="00EA42C0">
            <w:t>,</w:t>
          </w:r>
          <w:r w:rsidRPr="009E7223">
            <w:t xml:space="preserve"> </w:t>
          </w:r>
          <w:r w:rsidR="00EA42C0">
            <w:t xml:space="preserve">particularly </w:t>
          </w:r>
          <w:r w:rsidRPr="009E7223">
            <w:t>the inclusion of “the use of internet or other digital distribution platforms to provide access to gambling opportunities” as a theme in the Ministry’s research and evaluation work programme.</w:t>
          </w:r>
        </w:p>
        <w:p w14:paraId="3B0A038A" w14:textId="338069AE" w:rsidR="00C86DAA" w:rsidRPr="009E7223" w:rsidRDefault="00C86DAA" w:rsidP="00C86DAA">
          <w:pPr>
            <w:pStyle w:val="BodyText"/>
          </w:pPr>
          <w:r w:rsidRPr="009E7223">
            <w:t>One Service Provider considered that changes in the gambling environment</w:t>
          </w:r>
          <w:r w:rsidR="003712E5" w:rsidRPr="009E7223">
            <w:t xml:space="preserve"> were adequately reflected,</w:t>
          </w:r>
          <w:r w:rsidRPr="009E7223">
            <w:rPr>
              <w:rStyle w:val="FootnoteReference"/>
            </w:rPr>
            <w:footnoteReference w:id="160"/>
          </w:r>
          <w:r w:rsidRPr="009E7223">
            <w:rPr>
              <w:rStyle w:val="FootnoteReference"/>
            </w:rPr>
            <w:t xml:space="preserve"> </w:t>
          </w:r>
          <w:r w:rsidR="003712E5" w:rsidRPr="009E7223">
            <w:t xml:space="preserve">but </w:t>
          </w:r>
          <w:r w:rsidRPr="009E7223">
            <w:t>also noted that more emphasis should be put on running a pilot programme in Whanganui to create a new service model to address the gaps around Māori, Pasifika and Asian populations. Another Service Provider also agreed</w:t>
          </w:r>
          <w:r w:rsidR="00EA42C0">
            <w:t>,</w:t>
          </w:r>
          <w:r w:rsidRPr="009E7223">
            <w:rPr>
              <w:rStyle w:val="FootnoteReference"/>
            </w:rPr>
            <w:t>,</w:t>
          </w:r>
          <w:r w:rsidRPr="009E7223">
            <w:rPr>
              <w:rStyle w:val="FootnoteReference"/>
            </w:rPr>
            <w:footnoteReference w:id="161"/>
          </w:r>
          <w:r w:rsidRPr="009E7223">
            <w:rPr>
              <w:rStyle w:val="FootnoteReference"/>
            </w:rPr>
            <w:t xml:space="preserve"> </w:t>
          </w:r>
          <w:r w:rsidR="00EA42C0">
            <w:t xml:space="preserve">particularly noting </w:t>
          </w:r>
          <w:r w:rsidRPr="009E7223">
            <w:t>that it highlights the harms experienced by Māori, Pasifika and Asian communities and people living in high deprivation areas.</w:t>
          </w:r>
        </w:p>
        <w:p w14:paraId="0A369157" w14:textId="7ED156B8" w:rsidR="00C86DAA" w:rsidRPr="009E7223" w:rsidRDefault="00C86DAA" w:rsidP="00C86DAA">
          <w:pPr>
            <w:pStyle w:val="BodyText"/>
          </w:pPr>
          <w:r w:rsidRPr="009E7223">
            <w:t xml:space="preserve">One NCGM </w:t>
          </w:r>
          <w:r w:rsidR="00633AC1" w:rsidRPr="009E7223">
            <w:t xml:space="preserve">sector submitter </w:t>
          </w:r>
          <w:r w:rsidRPr="009E7223">
            <w:t>agreed,</w:t>
          </w:r>
          <w:r w:rsidRPr="009E7223">
            <w:rPr>
              <w:rStyle w:val="FootnoteReference"/>
            </w:rPr>
            <w:footnoteReference w:id="162"/>
          </w:r>
          <w:r w:rsidRPr="009E7223">
            <w:rPr>
              <w:rStyle w:val="FootnoteReference"/>
            </w:rPr>
            <w:t xml:space="preserve"> </w:t>
          </w:r>
          <w:r w:rsidRPr="009E7223">
            <w:t>and stated that it was good to see that research into online gambling and new technology, such as facial recognition, have been included as priorities.</w:t>
          </w:r>
        </w:p>
        <w:p w14:paraId="6A725FAA" w14:textId="1A9FD53D" w:rsidR="00C86DAA" w:rsidRPr="009E7223" w:rsidRDefault="00FF3BB5" w:rsidP="00FF3BB5">
          <w:pPr>
            <w:pStyle w:val="NumberedHeading3"/>
          </w:pPr>
          <w:bookmarkStart w:id="53" w:name="_Toc531098161"/>
          <w:r w:rsidRPr="009E7223">
            <w:t>O</w:t>
          </w:r>
          <w:r w:rsidR="00C86DAA" w:rsidRPr="009E7223">
            <w:t xml:space="preserve">thers stated that the </w:t>
          </w:r>
          <w:r w:rsidR="0065722E" w:rsidRPr="009E7223">
            <w:t>strategic direction</w:t>
          </w:r>
          <w:r w:rsidR="00C86DAA" w:rsidRPr="009E7223">
            <w:t xml:space="preserve"> need</w:t>
          </w:r>
          <w:r w:rsidRPr="009E7223">
            <w:t xml:space="preserve">ed strengthening to </w:t>
          </w:r>
          <w:r w:rsidR="00C86DAA" w:rsidRPr="009E7223">
            <w:t>recognise new challenges and opportunities in the gambling environment</w:t>
          </w:r>
          <w:bookmarkEnd w:id="53"/>
        </w:p>
        <w:p w14:paraId="40CCEB47" w14:textId="06FC2601" w:rsidR="00C86DAA" w:rsidRPr="009E7223" w:rsidRDefault="00C86DAA" w:rsidP="00C86DAA">
          <w:pPr>
            <w:pStyle w:val="BodyText"/>
          </w:pPr>
          <w:r w:rsidRPr="009E7223">
            <w:t xml:space="preserve">Submitters considered that aspects of the </w:t>
          </w:r>
          <w:r w:rsidR="0065722E" w:rsidRPr="009E7223">
            <w:t>strategic direction</w:t>
          </w:r>
          <w:r w:rsidRPr="009E7223">
            <w:t xml:space="preserve"> relating to the evidence base and service delivery models could be strengthened to better meet the needs and challenges of the current gambling environment.</w:t>
          </w:r>
        </w:p>
        <w:p w14:paraId="106AD990" w14:textId="0C85C673" w:rsidR="00C86DAA" w:rsidRPr="009E7223" w:rsidRDefault="00C86DAA" w:rsidP="00C86DAA">
          <w:pPr>
            <w:pStyle w:val="BodyText"/>
          </w:pPr>
          <w:r w:rsidRPr="009E7223">
            <w:t>A stronger and more innovative prevention focus has broad support. While raising awareness of gambling harm among other health and support services was considered important,</w:t>
          </w:r>
          <w:r w:rsidRPr="009E7223">
            <w:rPr>
              <w:rStyle w:val="FootnoteReference"/>
            </w:rPr>
            <w:footnoteReference w:id="163"/>
          </w:r>
          <w:r w:rsidRPr="009E7223">
            <w:rPr>
              <w:rStyle w:val="FootnoteReference"/>
            </w:rPr>
            <w:t xml:space="preserve"> </w:t>
          </w:r>
          <w:r w:rsidRPr="009E7223">
            <w:t xml:space="preserve">new approaches were also suggested by Service Providers and the </w:t>
          </w:r>
          <w:r w:rsidR="003052F1" w:rsidRPr="009E7223">
            <w:t>Health sector</w:t>
          </w:r>
          <w:r w:rsidRPr="009E7223">
            <w:t>, as well as NCGMs and Gambling Industry (other) submitters, such as:</w:t>
          </w:r>
        </w:p>
        <w:p w14:paraId="6E2929D3" w14:textId="3DB6810D" w:rsidR="00C86DAA" w:rsidRPr="009E7223" w:rsidRDefault="00633AC1" w:rsidP="00C86DAA">
          <w:pPr>
            <w:pStyle w:val="List-BulletLvl1"/>
          </w:pPr>
          <w:r w:rsidRPr="009E7223">
            <w:t xml:space="preserve">Pilot </w:t>
          </w:r>
          <w:r w:rsidR="00C86DAA" w:rsidRPr="009E7223">
            <w:t>programmes for one-stop-shop public health and intervention support</w:t>
          </w:r>
          <w:r w:rsidR="00C86DAA" w:rsidRPr="009E7223">
            <w:rPr>
              <w:rStyle w:val="FootnoteReference"/>
            </w:rPr>
            <w:footnoteReference w:id="164"/>
          </w:r>
        </w:p>
        <w:p w14:paraId="3C366C8D" w14:textId="1D819D33" w:rsidR="00C86DAA" w:rsidRPr="009E7223" w:rsidRDefault="00633AC1" w:rsidP="00C86DAA">
          <w:pPr>
            <w:pStyle w:val="List-BulletLvl1"/>
          </w:pPr>
          <w:r w:rsidRPr="009E7223">
            <w:t xml:space="preserve">Activities </w:t>
          </w:r>
          <w:r w:rsidR="00C86DAA" w:rsidRPr="009E7223">
            <w:t>beyond awareness raising that enabled individuals and families/whānau to make positive changes,</w:t>
          </w:r>
          <w:r w:rsidR="00C86DAA" w:rsidRPr="009E7223">
            <w:rPr>
              <w:rStyle w:val="FootnoteReference"/>
            </w:rPr>
            <w:footnoteReference w:id="165"/>
          </w:r>
        </w:p>
        <w:p w14:paraId="0EEF4274" w14:textId="10788054" w:rsidR="00C86DAA" w:rsidRPr="009E7223" w:rsidRDefault="00633AC1" w:rsidP="00C86DAA">
          <w:pPr>
            <w:pStyle w:val="List-BulletLvl1"/>
          </w:pPr>
          <w:r w:rsidRPr="009E7223">
            <w:t xml:space="preserve">Funding </w:t>
          </w:r>
          <w:r w:rsidR="00C86DAA" w:rsidRPr="009E7223">
            <w:t>for early identification, intervention</w:t>
          </w:r>
          <w:r w:rsidR="00C86DAA" w:rsidRPr="009E7223">
            <w:rPr>
              <w:rStyle w:val="FootnoteReference"/>
            </w:rPr>
            <w:footnoteReference w:id="166"/>
          </w:r>
          <w:r w:rsidR="00C86DAA" w:rsidRPr="009E7223">
            <w:t xml:space="preserve"> and education of gamblers on how to manage their gambling spend.</w:t>
          </w:r>
          <w:r w:rsidR="00C86DAA" w:rsidRPr="009E7223">
            <w:rPr>
              <w:rStyle w:val="FootnoteReference"/>
            </w:rPr>
            <w:footnoteReference w:id="167"/>
          </w:r>
        </w:p>
        <w:p w14:paraId="0BD51ED5" w14:textId="3AE5A977" w:rsidR="00C86DAA" w:rsidRPr="009E7223" w:rsidRDefault="00C86DAA" w:rsidP="00C86DAA">
          <w:pPr>
            <w:pStyle w:val="BodyText"/>
          </w:pPr>
          <w:r w:rsidRPr="009E7223">
            <w:lastRenderedPageBreak/>
            <w:t xml:space="preserve">One Gambling Industry (other) submitter suggested using predictive modelling of </w:t>
          </w:r>
          <w:r w:rsidR="006F5967" w:rsidRPr="009E7223">
            <w:t xml:space="preserve">gambling </w:t>
          </w:r>
          <w:r w:rsidRPr="009E7223">
            <w:t>account behaviour to identify potential problem gamblers, and improve early intervention rates.</w:t>
          </w:r>
          <w:r w:rsidRPr="009E7223">
            <w:rPr>
              <w:rStyle w:val="FootnoteReference"/>
            </w:rPr>
            <w:footnoteReference w:id="168"/>
          </w:r>
        </w:p>
        <w:p w14:paraId="0A0C77D2" w14:textId="5D95233C" w:rsidR="00C86DAA" w:rsidRPr="009E7223" w:rsidRDefault="00C86DAA" w:rsidP="00C86DAA">
          <w:pPr>
            <w:pStyle w:val="BodyText"/>
          </w:pPr>
          <w:r w:rsidRPr="009E7223">
            <w:t xml:space="preserve">With the increase in online gaming and gambling, </w:t>
          </w:r>
          <w:r w:rsidR="00213BA7" w:rsidRPr="009E7223">
            <w:t>two</w:t>
          </w:r>
          <w:r w:rsidRPr="009E7223">
            <w:t xml:space="preserve"> submitters </w:t>
          </w:r>
          <w:r w:rsidR="00213BA7" w:rsidRPr="009E7223">
            <w:t xml:space="preserve">(NCGM and health sectors) </w:t>
          </w:r>
          <w:r w:rsidRPr="009E7223">
            <w:t>highlighted the need for research to develop a robust evidence base</w:t>
          </w:r>
          <w:r w:rsidR="00213BA7" w:rsidRPr="009E7223">
            <w:t>;</w:t>
          </w:r>
          <w:r w:rsidRPr="009E7223">
            <w:rPr>
              <w:rStyle w:val="FootnoteReference"/>
            </w:rPr>
            <w:footnoteReference w:id="169"/>
          </w:r>
          <w:r w:rsidRPr="009E7223">
            <w:t xml:space="preserve"> a</w:t>
          </w:r>
          <w:r w:rsidR="00213BA7" w:rsidRPr="009E7223">
            <w:t>nd three</w:t>
          </w:r>
          <w:r w:rsidRPr="009E7223">
            <w:t xml:space="preserve"> </w:t>
          </w:r>
          <w:r w:rsidR="00213BA7" w:rsidRPr="009E7223">
            <w:t xml:space="preserve">Service Providers submitters argued </w:t>
          </w:r>
          <w:r w:rsidR="00BF1C58" w:rsidRPr="009E7223">
            <w:t xml:space="preserve">for </w:t>
          </w:r>
          <w:r w:rsidR="00213BA7" w:rsidRPr="009E7223">
            <w:t xml:space="preserve">the </w:t>
          </w:r>
          <w:r w:rsidRPr="009E7223">
            <w:t>development and piloting of online treatment and support services.</w:t>
          </w:r>
          <w:r w:rsidRPr="009E7223">
            <w:rPr>
              <w:rStyle w:val="FootnoteReference"/>
            </w:rPr>
            <w:footnoteReference w:id="170"/>
          </w:r>
          <w:r w:rsidRPr="009E7223">
            <w:t xml:space="preserve"> </w:t>
          </w:r>
          <w:r w:rsidR="006F5967" w:rsidRPr="009E7223">
            <w:t>Three</w:t>
          </w:r>
          <w:r w:rsidR="0092539A">
            <w:t xml:space="preserve"> </w:t>
          </w:r>
          <w:r w:rsidRPr="009E7223">
            <w:t>Service Providers</w:t>
          </w:r>
          <w:r w:rsidRPr="009E7223">
            <w:rPr>
              <w:rStyle w:val="FootnoteReference"/>
            </w:rPr>
            <w:footnoteReference w:id="171"/>
          </w:r>
          <w:r w:rsidRPr="009E7223">
            <w:t xml:space="preserve"> agreed that online options should not replace face-to-face delivery models in any region, while NCGM sector and Gambling Industry (other) submitters</w:t>
          </w:r>
          <w:r w:rsidRPr="009E7223">
            <w:rPr>
              <w:rStyle w:val="FootnoteReference"/>
            </w:rPr>
            <w:footnoteReference w:id="172"/>
          </w:r>
          <w:r w:rsidRPr="009E7223">
            <w:t xml:space="preserve"> strongly opposed resources being spent on new offices for treatment providers in remote rural areas.</w:t>
          </w:r>
        </w:p>
        <w:p w14:paraId="1B5D6DBC" w14:textId="77777777" w:rsidR="00C86DAA" w:rsidRPr="009E7223" w:rsidRDefault="00C86DAA" w:rsidP="00C86DAA">
          <w:pPr>
            <w:pStyle w:val="BodyText"/>
          </w:pPr>
          <w:r w:rsidRPr="009E7223">
            <w:t>Leveraging technology in research and delivery was another common theme across submitters. NCGM sector submitters</w:t>
          </w:r>
          <w:r w:rsidRPr="009E7223">
            <w:rPr>
              <w:rStyle w:val="FootnoteReference"/>
            </w:rPr>
            <w:footnoteReference w:id="173"/>
          </w:r>
          <w:r w:rsidRPr="009E7223">
            <w:t xml:space="preserve"> advocated for prompt attention in piloting facial recognition technology and harm minimisation technology in treatment providers’ offices and at venues, dependent on funding to make such changes.</w:t>
          </w:r>
          <w:r w:rsidRPr="009E7223">
            <w:rPr>
              <w:rStyle w:val="FootnoteReference"/>
            </w:rPr>
            <w:footnoteReference w:id="174"/>
          </w:r>
        </w:p>
        <w:p w14:paraId="6A4792D8" w14:textId="2A176ABD" w:rsidR="00C86DAA" w:rsidRPr="009E7223" w:rsidRDefault="00213BA7" w:rsidP="00C86DAA">
          <w:pPr>
            <w:pStyle w:val="BodyText"/>
          </w:pPr>
          <w:r w:rsidRPr="009E7223">
            <w:t>Six</w:t>
          </w:r>
          <w:r w:rsidR="00C86DAA" w:rsidRPr="009E7223">
            <w:t xml:space="preserve"> NCGM sector submitters</w:t>
          </w:r>
          <w:r w:rsidR="00C86DAA" w:rsidRPr="009E7223">
            <w:rPr>
              <w:rStyle w:val="FootnoteReference"/>
            </w:rPr>
            <w:footnoteReference w:id="175"/>
          </w:r>
          <w:r w:rsidR="00C86DAA" w:rsidRPr="009E7223">
            <w:t xml:space="preserve"> and one individual</w:t>
          </w:r>
          <w:r w:rsidR="00C86DAA" w:rsidRPr="009E7223">
            <w:rPr>
              <w:rStyle w:val="FootnoteReference"/>
            </w:rPr>
            <w:footnoteReference w:id="176"/>
          </w:r>
          <w:r w:rsidR="00C86DAA" w:rsidRPr="009E7223">
            <w:t xml:space="preserve"> considered further research into at-risk populations was unnecessary, as the focus should be on actions, given the existing evidence base. However, one Service Provider</w:t>
          </w:r>
          <w:r w:rsidR="00C86DAA" w:rsidRPr="009E7223">
            <w:rPr>
              <w:rStyle w:val="FootnoteReference"/>
            </w:rPr>
            <w:footnoteReference w:id="177"/>
          </w:r>
          <w:r w:rsidR="00C86DAA" w:rsidRPr="009E7223">
            <w:t xml:space="preserve"> advocated for more research to understand the needs of specific population groups. </w:t>
          </w:r>
          <w:r w:rsidR="006F5967" w:rsidRPr="009E7223">
            <w:t xml:space="preserve">Two </w:t>
          </w:r>
          <w:r w:rsidR="003052F1" w:rsidRPr="009E7223">
            <w:t>Health sector</w:t>
          </w:r>
          <w:r w:rsidR="00C86DAA" w:rsidRPr="009E7223">
            <w:t xml:space="preserve"> submitters</w:t>
          </w:r>
          <w:r w:rsidR="00C86DAA" w:rsidRPr="009E7223">
            <w:rPr>
              <w:rStyle w:val="FootnoteReference"/>
            </w:rPr>
            <w:footnoteReference w:id="178"/>
          </w:r>
          <w:r w:rsidR="00C86DAA" w:rsidRPr="009E7223">
            <w:t xml:space="preserve"> and another Service Provider</w:t>
          </w:r>
          <w:r w:rsidR="00C86DAA" w:rsidRPr="009E7223">
            <w:rPr>
              <w:rStyle w:val="FootnoteReference"/>
            </w:rPr>
            <w:footnoteReference w:id="179"/>
          </w:r>
          <w:r w:rsidR="00C86DAA" w:rsidRPr="009E7223">
            <w:t xml:space="preserve"> argued for appropriately proportionate funding for at-risk groups. </w:t>
          </w:r>
        </w:p>
        <w:p w14:paraId="56D96898" w14:textId="487407E6" w:rsidR="00C86DAA" w:rsidRPr="009E7223" w:rsidRDefault="00C86DAA" w:rsidP="00C86DAA">
          <w:pPr>
            <w:pStyle w:val="BodyText"/>
          </w:pPr>
          <w:r w:rsidRPr="009E7223">
            <w:t>The move towards accountable and outcome-based funding models was also supported, with one Service Provider</w:t>
          </w:r>
          <w:r w:rsidRPr="009E7223">
            <w:rPr>
              <w:rStyle w:val="FootnoteReference"/>
            </w:rPr>
            <w:footnoteReference w:id="180"/>
          </w:r>
          <w:r w:rsidRPr="009E7223">
            <w:t xml:space="preserve"> noting that funding levels for provider contracts should be reviewed to avoid perverse measures of outputs.</w:t>
          </w:r>
        </w:p>
        <w:p w14:paraId="6D8E8048" w14:textId="46B3D88B" w:rsidR="00C86DAA" w:rsidRPr="009E7223" w:rsidRDefault="00C86DAA" w:rsidP="00C86DAA">
          <w:pPr>
            <w:pStyle w:val="NumberedHeading2"/>
          </w:pPr>
          <w:bookmarkStart w:id="54" w:name="_Toc527040865"/>
          <w:bookmarkStart w:id="55" w:name="_Toc531098162"/>
          <w:r w:rsidRPr="009E7223">
            <w:t>The d</w:t>
          </w:r>
          <w:r w:rsidR="00FF3BB5" w:rsidRPr="009E7223">
            <w:t xml:space="preserve">egree of support for </w:t>
          </w:r>
          <w:r w:rsidR="0029387B" w:rsidRPr="009E7223">
            <w:t xml:space="preserve">draft </w:t>
          </w:r>
          <w:r w:rsidRPr="009E7223">
            <w:t>objectives and priorities for action</w:t>
          </w:r>
          <w:bookmarkEnd w:id="54"/>
          <w:bookmarkEnd w:id="55"/>
        </w:p>
        <w:p w14:paraId="34AA56C2" w14:textId="6B511E54" w:rsidR="00C86DAA" w:rsidRPr="009E7223" w:rsidRDefault="00C86DAA" w:rsidP="00C86DAA">
          <w:pPr>
            <w:pStyle w:val="BodyText"/>
          </w:pPr>
          <w:r w:rsidRPr="009E7223">
            <w:t>Twenty-five submitters commented on Question 3 in relation to the importance of the objectives and priority actions (nine Service providers,</w:t>
          </w:r>
          <w:r w:rsidRPr="009E7223">
            <w:rPr>
              <w:rStyle w:val="FootnoteReference"/>
            </w:rPr>
            <w:footnoteReference w:id="181"/>
          </w:r>
          <w:r w:rsidRPr="009E7223">
            <w:t xml:space="preserve"> seven NCGM sector submitters,</w:t>
          </w:r>
          <w:r w:rsidRPr="009E7223">
            <w:rPr>
              <w:rStyle w:val="FootnoteReference"/>
            </w:rPr>
            <w:footnoteReference w:id="182"/>
          </w:r>
          <w:r w:rsidRPr="009E7223">
            <w:t xml:space="preserve"> three Local Government submitters,</w:t>
          </w:r>
          <w:r w:rsidRPr="009E7223">
            <w:rPr>
              <w:rStyle w:val="FootnoteReference"/>
            </w:rPr>
            <w:footnoteReference w:id="183"/>
          </w:r>
          <w:r w:rsidRPr="009E7223">
            <w:t xml:space="preserve"> three individuals,</w:t>
          </w:r>
          <w:r w:rsidRPr="009E7223">
            <w:rPr>
              <w:rStyle w:val="FootnoteReference"/>
            </w:rPr>
            <w:footnoteReference w:id="184"/>
          </w:r>
          <w:r w:rsidRPr="009E7223">
            <w:t xml:space="preserve"> two </w:t>
          </w:r>
          <w:r w:rsidR="003052F1" w:rsidRPr="009E7223">
            <w:t>Health sector</w:t>
          </w:r>
          <w:r w:rsidRPr="009E7223">
            <w:t xml:space="preserve"> submitters</w:t>
          </w:r>
          <w:r w:rsidRPr="009E7223">
            <w:rPr>
              <w:rStyle w:val="FootnoteReference"/>
            </w:rPr>
            <w:footnoteReference w:id="185"/>
          </w:r>
          <w:r w:rsidRPr="009E7223">
            <w:t xml:space="preserve"> and one Gambling Industry (other)</w:t>
          </w:r>
          <w:r w:rsidRPr="009E7223">
            <w:rPr>
              <w:rStyle w:val="FootnoteReference"/>
            </w:rPr>
            <w:footnoteReference w:id="186"/>
          </w:r>
          <w:r w:rsidRPr="009E7223">
            <w:t>).</w:t>
          </w:r>
        </w:p>
        <w:p w14:paraId="05CF1FC1" w14:textId="6C96C3F7" w:rsidR="00C86DAA" w:rsidRPr="009E7223" w:rsidRDefault="00C86DAA" w:rsidP="0029387B">
          <w:pPr>
            <w:pStyle w:val="NumberedHeading3"/>
          </w:pPr>
          <w:bookmarkStart w:id="56" w:name="_Toc531098163"/>
          <w:r w:rsidRPr="009E7223">
            <w:lastRenderedPageBreak/>
            <w:t>S</w:t>
          </w:r>
          <w:r w:rsidR="005B0590">
            <w:t>ome</w:t>
          </w:r>
          <w:r w:rsidRPr="009E7223">
            <w:t xml:space="preserve"> </w:t>
          </w:r>
          <w:r w:rsidR="00232B8E" w:rsidRPr="009E7223">
            <w:t>o</w:t>
          </w:r>
          <w:r w:rsidRPr="009E7223">
            <w:t>bjectives were identified as more important than others</w:t>
          </w:r>
          <w:bookmarkEnd w:id="56"/>
        </w:p>
        <w:p w14:paraId="7601E954" w14:textId="0FBEE47D" w:rsidR="00C86DAA" w:rsidRPr="009E7223" w:rsidRDefault="00C86DAA" w:rsidP="00C86DAA">
          <w:pPr>
            <w:pStyle w:val="BodyText"/>
          </w:pPr>
          <w:r w:rsidRPr="009E7223">
            <w:t xml:space="preserve">Objective 1 was identified as important by </w:t>
          </w:r>
          <w:r w:rsidR="00213BA7" w:rsidRPr="009E7223">
            <w:t xml:space="preserve">two </w:t>
          </w:r>
          <w:r w:rsidRPr="009E7223">
            <w:t>Service Providers,</w:t>
          </w:r>
          <w:r w:rsidRPr="009E7223">
            <w:rPr>
              <w:rStyle w:val="FootnoteReference"/>
            </w:rPr>
            <w:footnoteReference w:id="187"/>
          </w:r>
          <w:r w:rsidRPr="009E7223">
            <w:t xml:space="preserve"> given the need to service high-needs populations such as Asian populations;</w:t>
          </w:r>
          <w:r w:rsidRPr="009E7223">
            <w:rPr>
              <w:rStyle w:val="FootnoteReference"/>
            </w:rPr>
            <w:footnoteReference w:id="188"/>
          </w:r>
          <w:r w:rsidRPr="009E7223">
            <w:t xml:space="preserve"> and by a </w:t>
          </w:r>
          <w:r w:rsidR="003052F1" w:rsidRPr="009E7223">
            <w:t>Health sector</w:t>
          </w:r>
          <w:r w:rsidRPr="009E7223">
            <w:t xml:space="preserve"> submitter in an area with </w:t>
          </w:r>
          <w:r w:rsidR="00BF1C58" w:rsidRPr="009E7223">
            <w:t xml:space="preserve">a </w:t>
          </w:r>
          <w:r w:rsidRPr="009E7223">
            <w:t>high Māori population and high levels of deprivation.</w:t>
          </w:r>
          <w:r w:rsidRPr="009E7223">
            <w:rPr>
              <w:rStyle w:val="FootnoteReference"/>
            </w:rPr>
            <w:footnoteReference w:id="189"/>
          </w:r>
        </w:p>
        <w:p w14:paraId="426140E3" w14:textId="77777777" w:rsidR="00C86DAA" w:rsidRPr="009E7223" w:rsidRDefault="00C86DAA" w:rsidP="00C86DAA">
          <w:pPr>
            <w:pStyle w:val="BodyText"/>
          </w:pPr>
          <w:r w:rsidRPr="009E7223">
            <w:t>Objective 2 was considered important by:</w:t>
          </w:r>
        </w:p>
        <w:p w14:paraId="28032A98" w14:textId="79DFBEF9" w:rsidR="00C86DAA" w:rsidRPr="009E7223" w:rsidRDefault="00633AC1" w:rsidP="00C86DAA">
          <w:pPr>
            <w:pStyle w:val="List-BulletLvl1"/>
          </w:pPr>
          <w:r w:rsidRPr="009E7223">
            <w:t xml:space="preserve">A </w:t>
          </w:r>
          <w:r w:rsidR="00C86DAA" w:rsidRPr="009E7223">
            <w:t>Service Provider in a community with a high Māori population, to show a commitment to a bi-cultural way of working and respecting Te Tiriti o Waitangi principle of equity</w:t>
          </w:r>
          <w:r w:rsidR="00C86DAA" w:rsidRPr="009E7223">
            <w:rPr>
              <w:rStyle w:val="FootnoteReference"/>
            </w:rPr>
            <w:footnoteReference w:id="190"/>
          </w:r>
        </w:p>
        <w:p w14:paraId="1C85D2CD" w14:textId="17AE59F5" w:rsidR="00C86DAA" w:rsidRPr="009E7223" w:rsidRDefault="00633AC1" w:rsidP="00C86DAA">
          <w:pPr>
            <w:pStyle w:val="List-BulletLvl1"/>
          </w:pPr>
          <w:r w:rsidRPr="009E7223">
            <w:t xml:space="preserve">A </w:t>
          </w:r>
          <w:r w:rsidR="003052F1" w:rsidRPr="009E7223">
            <w:t>Health sector</w:t>
          </w:r>
          <w:r w:rsidR="00C86DAA" w:rsidRPr="009E7223">
            <w:t xml:space="preserve"> submitter</w:t>
          </w:r>
          <w:r w:rsidRPr="009E7223">
            <w:t>,</w:t>
          </w:r>
          <w:r w:rsidR="00C86DAA" w:rsidRPr="009E7223">
            <w:t xml:space="preserve"> as a way to achieve health equity in access to health services</w:t>
          </w:r>
          <w:r w:rsidR="00C86DAA" w:rsidRPr="009E7223">
            <w:rPr>
              <w:rStyle w:val="FootnoteReference"/>
            </w:rPr>
            <w:footnoteReference w:id="191"/>
          </w:r>
        </w:p>
        <w:p w14:paraId="54F4C42F" w14:textId="0CE56FA1" w:rsidR="00C86DAA" w:rsidRPr="009E7223" w:rsidRDefault="00633AC1" w:rsidP="00C86DAA">
          <w:pPr>
            <w:pStyle w:val="List-BulletLvl1"/>
          </w:pPr>
          <w:r w:rsidRPr="009E7223">
            <w:t xml:space="preserve">A </w:t>
          </w:r>
          <w:r w:rsidR="00C86DAA" w:rsidRPr="009E7223">
            <w:t>Local Government submitter</w:t>
          </w:r>
          <w:r w:rsidRPr="009E7223">
            <w:t xml:space="preserve"> </w:t>
          </w:r>
          <w:r w:rsidR="00C86DAA" w:rsidRPr="009E7223">
            <w:t>in an area with a high Māori population,</w:t>
          </w:r>
          <w:r w:rsidR="00C86DAA" w:rsidRPr="009E7223">
            <w:rPr>
              <w:rStyle w:val="FootnoteReference"/>
            </w:rPr>
            <w:footnoteReference w:id="192"/>
          </w:r>
          <w:r w:rsidR="00C86DAA" w:rsidRPr="009E7223">
            <w:t xml:space="preserve"> and</w:t>
          </w:r>
        </w:p>
        <w:p w14:paraId="4D172460" w14:textId="58F827B6" w:rsidR="00C86DAA" w:rsidRPr="009E7223" w:rsidRDefault="00633AC1" w:rsidP="00C86DAA">
          <w:pPr>
            <w:pStyle w:val="List-BulletLvl1"/>
          </w:pPr>
          <w:r w:rsidRPr="009E7223">
            <w:t>O</w:t>
          </w:r>
          <w:r w:rsidR="00C86DAA" w:rsidRPr="009E7223">
            <w:t>ne individual, who provided no further comment</w:t>
          </w:r>
          <w:r w:rsidRPr="009E7223">
            <w:t>.</w:t>
          </w:r>
          <w:r w:rsidR="00C86DAA" w:rsidRPr="009E7223">
            <w:rPr>
              <w:rStyle w:val="FootnoteReference"/>
            </w:rPr>
            <w:footnoteReference w:id="193"/>
          </w:r>
        </w:p>
        <w:p w14:paraId="0BDB66E5" w14:textId="469B9D04" w:rsidR="00C86DAA" w:rsidRPr="009E7223" w:rsidRDefault="00EA42C0" w:rsidP="00C86DAA">
          <w:pPr>
            <w:pStyle w:val="BodyText"/>
          </w:pPr>
          <w:r w:rsidRPr="009E7223">
            <w:t>Regarding</w:t>
          </w:r>
          <w:r w:rsidR="00C86DAA" w:rsidRPr="009E7223">
            <w:t xml:space="preserve"> Objective 3,</w:t>
          </w:r>
          <w:r w:rsidR="00C86DAA" w:rsidRPr="009E7223">
            <w:rPr>
              <w:b/>
            </w:rPr>
            <w:t xml:space="preserve"> </w:t>
          </w:r>
          <w:r w:rsidR="00C86DAA" w:rsidRPr="009E7223">
            <w:t xml:space="preserve">a </w:t>
          </w:r>
          <w:r w:rsidR="003052F1" w:rsidRPr="009E7223">
            <w:t>Health sector</w:t>
          </w:r>
          <w:r w:rsidR="00C86DAA" w:rsidRPr="009E7223">
            <w:t xml:space="preserve"> submitter</w:t>
          </w:r>
          <w:r w:rsidR="00C86DAA" w:rsidRPr="009E7223">
            <w:rPr>
              <w:rStyle w:val="FootnoteReference"/>
            </w:rPr>
            <w:footnoteReference w:id="194"/>
          </w:r>
          <w:r w:rsidR="00C86DAA" w:rsidRPr="009E7223">
            <w:t xml:space="preserve"> noted that it can be challenging for everyone to take part in the process, because the format of decision-making processes creates barriers to people from all walks of life. A Local Government submitter</w:t>
          </w:r>
          <w:r w:rsidR="00C86DAA" w:rsidRPr="009E7223">
            <w:rPr>
              <w:rStyle w:val="FootnoteReference"/>
            </w:rPr>
            <w:footnoteReference w:id="195"/>
          </w:r>
          <w:r w:rsidR="00C86DAA" w:rsidRPr="009E7223">
            <w:t xml:space="preserve"> commented that Objective 3 is particular</w:t>
          </w:r>
          <w:r>
            <w:t>ly</w:t>
          </w:r>
          <w:r w:rsidR="00C86DAA" w:rsidRPr="009E7223">
            <w:t xml:space="preserve"> importan</w:t>
          </w:r>
          <w:r>
            <w:t>t</w:t>
          </w:r>
          <w:r w:rsidR="00C86DAA" w:rsidRPr="009E7223">
            <w:t xml:space="preserve"> to local authorities</w:t>
          </w:r>
          <w:r>
            <w:t>,</w:t>
          </w:r>
          <w:r w:rsidR="00C86DAA" w:rsidRPr="009E7223">
            <w:t xml:space="preserve"> because they have obligations to prepare policies on NCGMs and NZRB venues, and public consultation is a key component of policy development.</w:t>
          </w:r>
        </w:p>
        <w:p w14:paraId="7B0727DE" w14:textId="56104FBF" w:rsidR="00C86DAA" w:rsidRPr="009E7223" w:rsidRDefault="00C86DAA" w:rsidP="00C86DAA">
          <w:pPr>
            <w:pStyle w:val="BodyText"/>
          </w:pPr>
          <w:r w:rsidRPr="009E7223">
            <w:t>Two Local Government submitters</w:t>
          </w:r>
          <w:r w:rsidRPr="009E7223">
            <w:rPr>
              <w:rStyle w:val="FootnoteReference"/>
            </w:rPr>
            <w:footnoteReference w:id="196"/>
          </w:r>
          <w:r w:rsidRPr="009E7223">
            <w:t xml:space="preserve"> and one Service Provider</w:t>
          </w:r>
          <w:r w:rsidRPr="009E7223">
            <w:rPr>
              <w:rStyle w:val="FootnoteReference"/>
            </w:rPr>
            <w:footnoteReference w:id="197"/>
          </w:r>
          <w:r w:rsidRPr="009E7223">
            <w:t xml:space="preserve"> submitted that Objective 4 is of importance, because</w:t>
          </w:r>
          <w:r w:rsidR="00187D04" w:rsidRPr="009E7223">
            <w:t>:</w:t>
          </w:r>
          <w:r w:rsidRPr="009E7223">
            <w:t xml:space="preserve"> </w:t>
          </w:r>
        </w:p>
        <w:p w14:paraId="5C917731" w14:textId="1978A2B7" w:rsidR="00C86DAA" w:rsidRPr="009E7223" w:rsidRDefault="00633AC1" w:rsidP="00C86DAA">
          <w:pPr>
            <w:pStyle w:val="List-BulletLvl1"/>
          </w:pPr>
          <w:r w:rsidRPr="009E7223">
            <w:t>I</w:t>
          </w:r>
          <w:r w:rsidR="00C86DAA" w:rsidRPr="009E7223">
            <w:t>t sets out the commitment to continue to provide information to assist territorial authorities when they are reviewing gambling policies,</w:t>
          </w:r>
          <w:r w:rsidR="00C86DAA" w:rsidRPr="009E7223">
            <w:rPr>
              <w:rStyle w:val="FootnoteReference"/>
            </w:rPr>
            <w:footnoteReference w:id="198"/>
          </w:r>
          <w:r w:rsidR="00C86DAA" w:rsidRPr="009E7223">
            <w:t xml:space="preserve"> and</w:t>
          </w:r>
        </w:p>
        <w:p w14:paraId="53968344" w14:textId="77777777" w:rsidR="00C86DAA" w:rsidRPr="009E7223" w:rsidRDefault="00C86DAA" w:rsidP="00C86DAA">
          <w:pPr>
            <w:pStyle w:val="List-BulletLvl1"/>
          </w:pPr>
          <w:r w:rsidRPr="009E7223">
            <w:t>New Zealand does not currently have an effective policy framework.</w:t>
          </w:r>
          <w:r w:rsidRPr="009E7223">
            <w:rPr>
              <w:rStyle w:val="FootnoteReference"/>
            </w:rPr>
            <w:footnoteReference w:id="199"/>
          </w:r>
        </w:p>
        <w:p w14:paraId="5036BA31" w14:textId="77777777" w:rsidR="00C86DAA" w:rsidRPr="009E7223" w:rsidRDefault="00C86DAA" w:rsidP="00C86DAA">
          <w:pPr>
            <w:pStyle w:val="BodyText"/>
          </w:pPr>
          <w:r w:rsidRPr="009E7223">
            <w:t>No submitters mentioned Objective 5 as being any more or less important than other objectives.</w:t>
          </w:r>
        </w:p>
        <w:p w14:paraId="5E91D89E" w14:textId="0A6AFA99" w:rsidR="00C86DAA" w:rsidRPr="009E7223" w:rsidRDefault="00C86DAA" w:rsidP="00C86DAA">
          <w:pPr>
            <w:pStyle w:val="BodyText"/>
          </w:pPr>
          <w:r w:rsidRPr="009E7223">
            <w:t>Two NCGM submitters</w:t>
          </w:r>
          <w:r w:rsidRPr="009E7223">
            <w:rPr>
              <w:rStyle w:val="FootnoteReference"/>
            </w:rPr>
            <w:footnoteReference w:id="200"/>
          </w:r>
          <w:r w:rsidRPr="009E7223">
            <w:t xml:space="preserve"> and two individuals</w:t>
          </w:r>
          <w:r w:rsidRPr="009E7223">
            <w:rPr>
              <w:rStyle w:val="FootnoteReference"/>
            </w:rPr>
            <w:footnoteReference w:id="201"/>
          </w:r>
          <w:r w:rsidRPr="009E7223">
            <w:t xml:space="preserve"> expressed support for the peer support elements of Objective 6. A Local Government submitter also considered this objective important, given the scarcity of providers in their district.</w:t>
          </w:r>
          <w:r w:rsidRPr="009E7223">
            <w:rPr>
              <w:rStyle w:val="FootnoteReference"/>
            </w:rPr>
            <w:footnoteReference w:id="202"/>
          </w:r>
          <w:r w:rsidRPr="009E7223">
            <w:t xml:space="preserve"> A Service Provider also considered that this </w:t>
          </w:r>
          <w:r w:rsidR="00CF476B" w:rsidRPr="009E7223">
            <w:t>o</w:t>
          </w:r>
          <w:r w:rsidRPr="009E7223">
            <w:t>bjective was important.</w:t>
          </w:r>
          <w:r w:rsidRPr="009E7223">
            <w:rPr>
              <w:rStyle w:val="FootnoteReference"/>
            </w:rPr>
            <w:footnoteReference w:id="203"/>
          </w:r>
        </w:p>
        <w:p w14:paraId="1C30180B" w14:textId="438FC285" w:rsidR="00C86DAA" w:rsidRPr="009E7223" w:rsidRDefault="00C86DAA" w:rsidP="00C86DAA">
          <w:pPr>
            <w:pStyle w:val="BodyText"/>
          </w:pPr>
          <w:r w:rsidRPr="009E7223">
            <w:t>Two Service Providers</w:t>
          </w:r>
          <w:r w:rsidRPr="009E7223">
            <w:rPr>
              <w:rStyle w:val="FootnoteReference"/>
            </w:rPr>
            <w:footnoteReference w:id="204"/>
          </w:r>
          <w:r w:rsidRPr="009E7223">
            <w:t xml:space="preserve"> submitted that Objective 7 is important because enhancing people’s life skills and resilience enables them to make better decisions, and solutions are with people </w:t>
          </w:r>
          <w:r w:rsidR="00CE2CD8" w:rsidRPr="009E7223">
            <w:t xml:space="preserve">in </w:t>
          </w:r>
          <w:r w:rsidRPr="009E7223">
            <w:t>their own communities. An individual</w:t>
          </w:r>
          <w:r w:rsidRPr="009E7223">
            <w:rPr>
              <w:rStyle w:val="FootnoteReference"/>
            </w:rPr>
            <w:footnoteReference w:id="205"/>
          </w:r>
          <w:r w:rsidRPr="009E7223">
            <w:t xml:space="preserve"> also considered that Objective 7 was of high importance.</w:t>
          </w:r>
        </w:p>
        <w:p w14:paraId="7C170E06" w14:textId="55DA7BD1" w:rsidR="00C86DAA" w:rsidRPr="009E7223" w:rsidRDefault="00C86DAA" w:rsidP="00C86DAA">
          <w:pPr>
            <w:pStyle w:val="BodyText"/>
          </w:pPr>
          <w:r w:rsidRPr="009E7223">
            <w:lastRenderedPageBreak/>
            <w:t>Five NCGM,</w:t>
          </w:r>
          <w:r w:rsidRPr="009E7223">
            <w:rPr>
              <w:rStyle w:val="FootnoteReference"/>
            </w:rPr>
            <w:footnoteReference w:id="206"/>
          </w:r>
          <w:r w:rsidRPr="009E7223">
            <w:t xml:space="preserve"> three Service Providers</w:t>
          </w:r>
          <w:r w:rsidRPr="009E7223">
            <w:rPr>
              <w:rStyle w:val="FootnoteReference"/>
            </w:rPr>
            <w:footnoteReference w:id="207"/>
          </w:r>
          <w:r w:rsidRPr="009E7223">
            <w:t xml:space="preserve"> and one Gambling Industry (other) submitters supported the focus of Objective 8 on harm minimisation technology, including a secure national database of people subject to exclusion orders. Another Service Provider</w:t>
          </w:r>
          <w:r w:rsidRPr="009E7223">
            <w:rPr>
              <w:rStyle w:val="FootnoteReference"/>
            </w:rPr>
            <w:footnoteReference w:id="208"/>
          </w:r>
          <w:r w:rsidRPr="009E7223">
            <w:t xml:space="preserve"> also supported Objective 8 in terms of its focus on safer gambling environments and using technology to support </w:t>
          </w:r>
          <w:r w:rsidR="00213BA7" w:rsidRPr="009E7223">
            <w:t>people receiving treatment for gambling harm.</w:t>
          </w:r>
        </w:p>
        <w:p w14:paraId="1B81E695" w14:textId="462E8EDE" w:rsidR="00C86DAA" w:rsidRPr="009E7223" w:rsidRDefault="00C86DAA" w:rsidP="00C86DAA">
          <w:pPr>
            <w:pStyle w:val="BodyText"/>
          </w:pPr>
          <w:r w:rsidRPr="009E7223">
            <w:t>A Local Government</w:t>
          </w:r>
          <w:r w:rsidRPr="009E7223">
            <w:rPr>
              <w:b/>
            </w:rPr>
            <w:t xml:space="preserve"> </w:t>
          </w:r>
          <w:r w:rsidRPr="009E7223">
            <w:t>submitter</w:t>
          </w:r>
          <w:r w:rsidRPr="009E7223">
            <w:rPr>
              <w:rStyle w:val="FootnoteReference"/>
            </w:rPr>
            <w:footnoteReference w:id="209"/>
          </w:r>
          <w:r w:rsidRPr="009E7223">
            <w:t xml:space="preserve"> considered that Objective 9 was important with respect to addressing barriers to service experienced by those who are most in need. More specifically, a Service Provider</w:t>
          </w:r>
          <w:r w:rsidRPr="009E7223">
            <w:rPr>
              <w:rStyle w:val="FootnoteReference"/>
            </w:rPr>
            <w:footnoteReference w:id="210"/>
          </w:r>
          <w:r w:rsidRPr="009E7223">
            <w:t xml:space="preserve"> considered that Objective 9</w:t>
          </w:r>
          <w:r w:rsidRPr="009E7223">
            <w:rPr>
              <w:b/>
            </w:rPr>
            <w:t xml:space="preserve"> </w:t>
          </w:r>
          <w:r w:rsidRPr="009E7223">
            <w:t xml:space="preserve">was </w:t>
          </w:r>
          <w:r w:rsidR="00EA42C0">
            <w:t xml:space="preserve">particularly </w:t>
          </w:r>
          <w:r w:rsidRPr="009E7223">
            <w:t>important in respect of raising awareness about Asian problem gambling</w:t>
          </w:r>
          <w:r w:rsidR="00EA42C0">
            <w:t>.</w:t>
          </w:r>
        </w:p>
        <w:p w14:paraId="617792E8" w14:textId="5794D2F1" w:rsidR="00C86DAA" w:rsidRPr="009E7223" w:rsidRDefault="00C86DAA" w:rsidP="00C86DAA">
          <w:pPr>
            <w:pStyle w:val="BodyText"/>
          </w:pPr>
          <w:r w:rsidRPr="009E7223">
            <w:t>A Service Provider</w:t>
          </w:r>
          <w:r w:rsidRPr="009E7223">
            <w:rPr>
              <w:rStyle w:val="FootnoteReference"/>
            </w:rPr>
            <w:footnoteReference w:id="211"/>
          </w:r>
          <w:r w:rsidRPr="009E7223">
            <w:t xml:space="preserve"> and a Local Government submitter</w:t>
          </w:r>
          <w:r w:rsidR="00213BA7" w:rsidRPr="009E7223">
            <w:rPr>
              <w:rStyle w:val="FootnoteReference"/>
            </w:rPr>
            <w:footnoteReference w:id="212"/>
          </w:r>
          <w:r w:rsidRPr="009E7223">
            <w:t xml:space="preserve"> considered Objective 10 to be</w:t>
          </w:r>
          <w:r w:rsidR="00EA42C0">
            <w:t xml:space="preserve"> especially</w:t>
          </w:r>
          <w:r w:rsidRPr="009E7223">
            <w:t xml:space="preserve"> importance, </w:t>
          </w:r>
          <w:r w:rsidR="00EA42C0">
            <w:t xml:space="preserve">due to there being </w:t>
          </w:r>
          <w:r w:rsidRPr="009E7223">
            <w:t>scarce resources in their areas. Another Service Provider</w:t>
          </w:r>
          <w:r w:rsidRPr="009E7223">
            <w:rPr>
              <w:rStyle w:val="FootnoteReference"/>
            </w:rPr>
            <w:footnoteReference w:id="213"/>
          </w:r>
          <w:r w:rsidRPr="009E7223">
            <w:t xml:space="preserve"> put emphasis on this </w:t>
          </w:r>
          <w:r w:rsidR="00CF476B" w:rsidRPr="009E7223">
            <w:t>o</w:t>
          </w:r>
          <w:r w:rsidRPr="009E7223">
            <w:t>bjective because accessing treatment is “clearly an important</w:t>
          </w:r>
          <w:r w:rsidRPr="009E7223">
            <w:rPr>
              <w:i/>
            </w:rPr>
            <w:t xml:space="preserve"> </w:t>
          </w:r>
          <w:r w:rsidRPr="009E7223">
            <w:t>focus”. An NCGM submitter</w:t>
          </w:r>
          <w:r w:rsidRPr="009E7223">
            <w:rPr>
              <w:rStyle w:val="FootnoteReference"/>
            </w:rPr>
            <w:footnoteReference w:id="214"/>
          </w:r>
          <w:r w:rsidRPr="009E7223">
            <w:t xml:space="preserve"> stated that Objective 10 was important because for those needing help, </w:t>
          </w:r>
          <w:r w:rsidR="00213BA7" w:rsidRPr="009E7223">
            <w:t xml:space="preserve">having </w:t>
          </w:r>
          <w:r w:rsidR="005D7D36" w:rsidRPr="009E7223">
            <w:t xml:space="preserve">immediate access to support and </w:t>
          </w:r>
          <w:r w:rsidRPr="009E7223">
            <w:t>treatment is critical.</w:t>
          </w:r>
        </w:p>
        <w:p w14:paraId="434BB1A3" w14:textId="39CCF165" w:rsidR="00C86DAA" w:rsidRPr="009E7223" w:rsidRDefault="00C86DAA" w:rsidP="00C86DAA">
          <w:pPr>
            <w:pStyle w:val="BodyText"/>
          </w:pPr>
          <w:r w:rsidRPr="009E7223">
            <w:t>A Gambling Industry (other) submitter identified Objective 11</w:t>
          </w:r>
          <w:r w:rsidRPr="009E7223">
            <w:rPr>
              <w:b/>
            </w:rPr>
            <w:t xml:space="preserve"> </w:t>
          </w:r>
          <w:r w:rsidRPr="009E7223">
            <w:t xml:space="preserve">as particularly relevant because it underpins all activities in the Strategic </w:t>
          </w:r>
          <w:r w:rsidR="0065722E" w:rsidRPr="009E7223">
            <w:t>Framework</w:t>
          </w:r>
          <w:r w:rsidRPr="009E7223">
            <w:t>, and there is a need for more robust data.</w:t>
          </w:r>
          <w:r w:rsidRPr="009E7223">
            <w:rPr>
              <w:rStyle w:val="FootnoteReference"/>
            </w:rPr>
            <w:footnoteReference w:id="215"/>
          </w:r>
          <w:r w:rsidRPr="009E7223">
            <w:t xml:space="preserve"> A Local Government submitter</w:t>
          </w:r>
          <w:r w:rsidRPr="009E7223">
            <w:rPr>
              <w:rStyle w:val="FootnoteReference"/>
            </w:rPr>
            <w:footnoteReference w:id="216"/>
          </w:r>
          <w:r w:rsidRPr="009E7223">
            <w:t xml:space="preserve"> agreed that this </w:t>
          </w:r>
          <w:r w:rsidR="00CF476B" w:rsidRPr="009E7223">
            <w:t>o</w:t>
          </w:r>
          <w:r w:rsidRPr="009E7223">
            <w:t>bjective was important, because it supports research and evaluation activities to support local policy decisions.</w:t>
          </w:r>
        </w:p>
        <w:p w14:paraId="589BD3DE" w14:textId="2D1FCFAD" w:rsidR="0029387B" w:rsidRPr="009E7223" w:rsidRDefault="0029387B" w:rsidP="0029387B">
          <w:pPr>
            <w:pStyle w:val="NumberedHeading3"/>
          </w:pPr>
          <w:bookmarkStart w:id="57" w:name="_Toc531098164"/>
          <w:r w:rsidRPr="009E7223">
            <w:t xml:space="preserve">Priority actions to reduce inequality and inequity were broadly supported, </w:t>
          </w:r>
          <w:r w:rsidR="006C364C">
            <w:t>with</w:t>
          </w:r>
          <w:r w:rsidRPr="009E7223">
            <w:t xml:space="preserve"> </w:t>
          </w:r>
          <w:r w:rsidR="005B0590">
            <w:t>Service Providers strongly advocat</w:t>
          </w:r>
          <w:r w:rsidR="006C364C">
            <w:t>ing</w:t>
          </w:r>
          <w:r w:rsidR="005B0590">
            <w:t xml:space="preserve"> for culturally-specific supports services</w:t>
          </w:r>
          <w:bookmarkEnd w:id="57"/>
        </w:p>
        <w:p w14:paraId="4669F854" w14:textId="0D718E30" w:rsidR="00C86DAA" w:rsidRPr="009E7223" w:rsidRDefault="00C86DAA" w:rsidP="00C86DAA">
          <w:pPr>
            <w:pStyle w:val="BodyText"/>
          </w:pPr>
          <w:r w:rsidRPr="009E7223">
            <w:t>Twenty-nine submitters commented on Question 4 in relation to the inclusion of priority actions to reduce inequality and inequity for priority groups (14 Service providers,</w:t>
          </w:r>
          <w:r w:rsidRPr="009E7223">
            <w:rPr>
              <w:rStyle w:val="FootnoteReference"/>
            </w:rPr>
            <w:footnoteReference w:id="217"/>
          </w:r>
          <w:r w:rsidRPr="009E7223">
            <w:t xml:space="preserve"> five individuals,</w:t>
          </w:r>
          <w:r w:rsidRPr="009E7223">
            <w:rPr>
              <w:rStyle w:val="FootnoteReference"/>
            </w:rPr>
            <w:footnoteReference w:id="218"/>
          </w:r>
          <w:r w:rsidRPr="009E7223">
            <w:t xml:space="preserve"> four </w:t>
          </w:r>
          <w:r w:rsidR="003052F1" w:rsidRPr="009E7223">
            <w:t>Health sector</w:t>
          </w:r>
          <w:r w:rsidRPr="009E7223">
            <w:t xml:space="preserve"> submitters,</w:t>
          </w:r>
          <w:r w:rsidRPr="009E7223">
            <w:rPr>
              <w:rStyle w:val="FootnoteReference"/>
            </w:rPr>
            <w:footnoteReference w:id="219"/>
          </w:r>
          <w:r w:rsidRPr="009E7223">
            <w:t xml:space="preserve"> three NCGM sector submitters</w:t>
          </w:r>
          <w:r w:rsidRPr="009E7223">
            <w:rPr>
              <w:rStyle w:val="FootnoteReference"/>
            </w:rPr>
            <w:footnoteReference w:id="220"/>
          </w:r>
          <w:r w:rsidRPr="009E7223">
            <w:t xml:space="preserve"> and three Local Government submitters</w:t>
          </w:r>
          <w:r w:rsidRPr="009E7223">
            <w:rPr>
              <w:rStyle w:val="FootnoteReference"/>
            </w:rPr>
            <w:footnoteReference w:id="221"/>
          </w:r>
          <w:r w:rsidRPr="009E7223">
            <w:t>).</w:t>
          </w:r>
        </w:p>
        <w:p w14:paraId="7075A636" w14:textId="76F489E5" w:rsidR="005D7D36" w:rsidRPr="009E7223" w:rsidRDefault="005D7D36" w:rsidP="005D7D36">
          <w:pPr>
            <w:pStyle w:val="BodyText"/>
          </w:pPr>
          <w:r w:rsidRPr="009E7223">
            <w:t>Three Service Providers,</w:t>
          </w:r>
          <w:r w:rsidRPr="009E7223">
            <w:rPr>
              <w:rStyle w:val="FootnoteReference"/>
            </w:rPr>
            <w:footnoteReference w:id="222"/>
          </w:r>
          <w:r w:rsidRPr="009E7223">
            <w:t xml:space="preserve"> one Local Government submitter</w:t>
          </w:r>
          <w:r w:rsidRPr="009E7223">
            <w:rPr>
              <w:rStyle w:val="FootnoteReference"/>
            </w:rPr>
            <w:footnoteReference w:id="223"/>
          </w:r>
          <w:r w:rsidRPr="009E7223">
            <w:t xml:space="preserve"> and one individual</w:t>
          </w:r>
          <w:r w:rsidRPr="009E7223">
            <w:rPr>
              <w:rStyle w:val="FootnoteReference"/>
            </w:rPr>
            <w:footnoteReference w:id="224"/>
          </w:r>
          <w:r w:rsidRPr="009E7223">
            <w:t xml:space="preserve"> expressed support for the priority actions, and two of the Service Providers emphasised that it is important that clients have a choice of services.</w:t>
          </w:r>
          <w:r w:rsidRPr="009E7223">
            <w:rPr>
              <w:rStyle w:val="FootnoteReference"/>
            </w:rPr>
            <w:footnoteReference w:id="225"/>
          </w:r>
        </w:p>
        <w:p w14:paraId="46E7E0DE" w14:textId="17BA92C7" w:rsidR="00C86DAA" w:rsidRPr="009E7223" w:rsidRDefault="005D7D36" w:rsidP="005D7D36">
          <w:pPr>
            <w:pStyle w:val="BodyText"/>
          </w:pPr>
          <w:r w:rsidRPr="009E7223">
            <w:t>Another</w:t>
          </w:r>
          <w:r w:rsidR="00C86DAA" w:rsidRPr="009E7223">
            <w:t xml:space="preserve"> Local Government submitter</w:t>
          </w:r>
          <w:r w:rsidRPr="009E7223">
            <w:rPr>
              <w:rStyle w:val="FootnoteReference"/>
            </w:rPr>
            <w:footnoteReference w:id="226"/>
          </w:r>
          <w:r w:rsidR="00C86DAA" w:rsidRPr="009E7223">
            <w:t xml:space="preserve"> commented that the priority actions to reduce inequality and inequity will be an important focus to reduce gambling harm for the groups identified. </w:t>
          </w:r>
          <w:r w:rsidR="00C86DAA" w:rsidRPr="009E7223">
            <w:lastRenderedPageBreak/>
            <w:t>However, this submitter also noted that hard-to-reach populations sometimes do</w:t>
          </w:r>
          <w:r w:rsidR="00187D04" w:rsidRPr="009E7223">
            <w:t xml:space="preserve"> </w:t>
          </w:r>
          <w:r w:rsidR="00C86DAA" w:rsidRPr="009E7223">
            <w:t>n</w:t>
          </w:r>
          <w:r w:rsidR="00187D04" w:rsidRPr="009E7223">
            <w:t>o</w:t>
          </w:r>
          <w:r w:rsidR="00C86DAA" w:rsidRPr="009E7223">
            <w:t>t have access to the internet, and online tools should only be part of a multi-pronged approach to support hard-to-reach populations.</w:t>
          </w:r>
        </w:p>
        <w:p w14:paraId="5235F6E3" w14:textId="1D104DE9" w:rsidR="00C86DAA" w:rsidRPr="009E7223" w:rsidRDefault="00C86DAA" w:rsidP="005D7D36">
          <w:pPr>
            <w:pStyle w:val="BodyText"/>
          </w:pPr>
          <w:r w:rsidRPr="009E7223">
            <w:t xml:space="preserve">One NCGM submitter stated that there was not enough information on the priority actions to comment, but that whatever </w:t>
          </w:r>
          <w:r w:rsidR="00187D04" w:rsidRPr="009E7223">
            <w:t xml:space="preserve">is </w:t>
          </w:r>
          <w:r w:rsidRPr="009E7223">
            <w:t>done needs to have demonstrable outcomes.</w:t>
          </w:r>
          <w:r w:rsidRPr="009E7223">
            <w:rPr>
              <w:rStyle w:val="FootnoteReference"/>
            </w:rPr>
            <w:footnoteReference w:id="227"/>
          </w:r>
        </w:p>
        <w:p w14:paraId="7B4D522E" w14:textId="74000DBE" w:rsidR="00C86DAA" w:rsidRPr="009E7223" w:rsidRDefault="00C86DAA" w:rsidP="00B90947">
          <w:pPr>
            <w:pStyle w:val="Heading4"/>
          </w:pPr>
          <w:r w:rsidRPr="009E7223">
            <w:t xml:space="preserve">Service Providers </w:t>
          </w:r>
          <w:r w:rsidR="00632A34" w:rsidRPr="009E7223">
            <w:t xml:space="preserve">and other submitters </w:t>
          </w:r>
          <w:r w:rsidRPr="009E7223">
            <w:t>were clear that there should be culturally-specific support services across all areas, particular</w:t>
          </w:r>
          <w:r w:rsidR="00EA42C0">
            <w:t>ly</w:t>
          </w:r>
          <w:r w:rsidRPr="009E7223">
            <w:t xml:space="preserve"> for Māori, Pasifika and Asian groups</w:t>
          </w:r>
        </w:p>
        <w:p w14:paraId="6056A83E" w14:textId="22432E74" w:rsidR="00C86DAA" w:rsidRPr="009E7223" w:rsidRDefault="00A70D17" w:rsidP="00C86DAA">
          <w:pPr>
            <w:pStyle w:val="BodyText"/>
          </w:pPr>
          <w:r w:rsidRPr="009E7223">
            <w:t xml:space="preserve">Fourteen submitters, chiefly </w:t>
          </w:r>
          <w:r w:rsidR="00C86DAA" w:rsidRPr="009E7223">
            <w:t>Service Providers</w:t>
          </w:r>
          <w:r w:rsidRPr="009E7223">
            <w:t>,</w:t>
          </w:r>
          <w:r w:rsidR="00C86DAA" w:rsidRPr="009E7223">
            <w:t xml:space="preserve"> commented that</w:t>
          </w:r>
          <w:r w:rsidR="00CE2CD8" w:rsidRPr="009E7223">
            <w:t xml:space="preserve"> health promotion </w:t>
          </w:r>
          <w:r w:rsidR="00C86DAA" w:rsidRPr="009E7223">
            <w:t>material and provision should be more widely available in multiple languages</w:t>
          </w:r>
          <w:r w:rsidR="00632A34" w:rsidRPr="009E7223">
            <w:t xml:space="preserve">, </w:t>
          </w:r>
          <w:r w:rsidR="00C86DAA" w:rsidRPr="009E7223">
            <w:t xml:space="preserve">with </w:t>
          </w:r>
          <w:r w:rsidRPr="009E7223">
            <w:t>service</w:t>
          </w:r>
          <w:r w:rsidR="00C86DAA" w:rsidRPr="009E7223">
            <w:t xml:space="preserve"> providers</w:t>
          </w:r>
          <w:r w:rsidRPr="009E7223">
            <w:t xml:space="preserve"> </w:t>
          </w:r>
          <w:r w:rsidR="00632A34" w:rsidRPr="009E7223">
            <w:t>that</w:t>
          </w:r>
          <w:r w:rsidRPr="009E7223">
            <w:t xml:space="preserve"> are set up to meet the cultural needs</w:t>
          </w:r>
          <w:r w:rsidR="00632A34" w:rsidRPr="009E7223">
            <w:t xml:space="preserve"> of priority populations</w:t>
          </w:r>
          <w:r w:rsidR="00C86DAA" w:rsidRPr="009E7223">
            <w:t>.</w:t>
          </w:r>
          <w:r w:rsidRPr="009E7223">
            <w:rPr>
              <w:rStyle w:val="FootnoteReference"/>
            </w:rPr>
            <w:footnoteReference w:id="228"/>
          </w:r>
          <w:r w:rsidR="00C86DAA" w:rsidRPr="009E7223">
            <w:t xml:space="preserve"> HPA funding allocations should be reviewed and be more reflective of the entire population base, rather than being a ‘one-size-fits-all’ model.</w:t>
          </w:r>
          <w:r w:rsidR="00C86DAA" w:rsidRPr="009E7223">
            <w:rPr>
              <w:rStyle w:val="FootnoteReference"/>
            </w:rPr>
            <w:footnoteReference w:id="229"/>
          </w:r>
          <w:r w:rsidR="00C86DAA" w:rsidRPr="009E7223">
            <w:t xml:space="preserve"> In addition, </w:t>
          </w:r>
          <w:r w:rsidR="00632A34" w:rsidRPr="009E7223">
            <w:t xml:space="preserve">one Service Providers suggested </w:t>
          </w:r>
          <w:r w:rsidR="00C86DAA" w:rsidRPr="009E7223">
            <w:t>specific harm minimisation campaigns are needed for Māori, Pasifika, Asian and young people across a range of gambling products, including sport and online gambling.</w:t>
          </w:r>
          <w:r w:rsidR="00C86DAA" w:rsidRPr="009E7223">
            <w:rPr>
              <w:rStyle w:val="FootnoteReference"/>
            </w:rPr>
            <w:footnoteReference w:id="230"/>
          </w:r>
          <w:r w:rsidR="00C86DAA" w:rsidRPr="009E7223">
            <w:rPr>
              <w:rFonts w:cs="Calibri"/>
              <w:color w:val="222A35"/>
            </w:rPr>
            <w:t xml:space="preserve"> </w:t>
          </w:r>
          <w:r w:rsidR="00632A34" w:rsidRPr="009E7223">
            <w:rPr>
              <w:rFonts w:cs="Calibri"/>
              <w:color w:val="222A35"/>
            </w:rPr>
            <w:t>Three Service Providers noted that p</w:t>
          </w:r>
          <w:r w:rsidR="00C86DAA" w:rsidRPr="009E7223">
            <w:t>riority populations experience problems accessing services, and therefore providing culturally and linguistically appropriate information and helpline services is extremely important for reaching priority groups.</w:t>
          </w:r>
          <w:r w:rsidR="00C86DAA" w:rsidRPr="009E7223">
            <w:rPr>
              <w:rStyle w:val="FootnoteReference"/>
            </w:rPr>
            <w:footnoteReference w:id="231"/>
          </w:r>
        </w:p>
        <w:p w14:paraId="77814456" w14:textId="3EDCB672" w:rsidR="00C86DAA" w:rsidRPr="009E7223" w:rsidRDefault="00C86DAA" w:rsidP="00C86DAA">
          <w:pPr>
            <w:pStyle w:val="BodyText"/>
          </w:pPr>
          <w:r w:rsidRPr="009E7223">
            <w:t>One Service Provider also submitted that there should be an increase in co-designing campaigns with on</w:t>
          </w:r>
          <w:r w:rsidR="00187D04" w:rsidRPr="009E7223">
            <w:t>-</w:t>
          </w:r>
          <w:r w:rsidRPr="009E7223">
            <w:t>the</w:t>
          </w:r>
          <w:r w:rsidR="00187D04" w:rsidRPr="009E7223">
            <w:t>-</w:t>
          </w:r>
          <w:r w:rsidRPr="009E7223">
            <w:t>ground public health staff, or deferring funding to contracted public health providers to run campaigns locally.</w:t>
          </w:r>
          <w:r w:rsidRPr="009E7223">
            <w:rPr>
              <w:rStyle w:val="FootnoteReference"/>
            </w:rPr>
            <w:footnoteReference w:id="232"/>
          </w:r>
          <w:r w:rsidRPr="009E7223">
            <w:t xml:space="preserve"> A Local Government submitter agreed, and commented that innovative intervention approaches and more accessible and targeted services responsive to the needs of different populations groups are needed to address persistent gambling harm.</w:t>
          </w:r>
          <w:r w:rsidRPr="009E7223">
            <w:rPr>
              <w:rStyle w:val="FootnoteReference"/>
            </w:rPr>
            <w:footnoteReference w:id="233"/>
          </w:r>
          <w:r w:rsidRPr="009E7223">
            <w:t xml:space="preserve"> One NCGM submitter suggested producing gam</w:t>
          </w:r>
          <w:r w:rsidR="00D23A73" w:rsidRPr="009E7223">
            <w:t>bl</w:t>
          </w:r>
          <w:r w:rsidRPr="009E7223">
            <w:t xml:space="preserve">ing harm literature in </w:t>
          </w:r>
          <w:r w:rsidR="00CE2CD8" w:rsidRPr="009E7223">
            <w:t>t</w:t>
          </w:r>
          <w:r w:rsidRPr="009E7223">
            <w:t xml:space="preserve">e </w:t>
          </w:r>
          <w:r w:rsidR="00CE2CD8" w:rsidRPr="009E7223">
            <w:t>r</w:t>
          </w:r>
          <w:r w:rsidRPr="009E7223">
            <w:t>eo and Mandarin,</w:t>
          </w:r>
          <w:r w:rsidRPr="009E7223">
            <w:rPr>
              <w:rStyle w:val="FootnoteReference"/>
            </w:rPr>
            <w:footnoteReference w:id="234"/>
          </w:r>
          <w:r w:rsidRPr="009E7223">
            <w:t xml:space="preserve"> and a </w:t>
          </w:r>
          <w:r w:rsidR="003052F1" w:rsidRPr="009E7223">
            <w:t>Health sector</w:t>
          </w:r>
          <w:r w:rsidRPr="009E7223">
            <w:t xml:space="preserve"> submitter also called for culturally-specific social Service Providers to ensure access to services for all clients who require support.</w:t>
          </w:r>
          <w:r w:rsidRPr="009E7223">
            <w:rPr>
              <w:rStyle w:val="FootnoteReference"/>
            </w:rPr>
            <w:footnoteReference w:id="235"/>
          </w:r>
          <w:r w:rsidRPr="009E7223">
            <w:t xml:space="preserve"> </w:t>
          </w:r>
        </w:p>
        <w:p w14:paraId="35279413" w14:textId="1CB982F1" w:rsidR="00C86DAA" w:rsidRPr="009E7223" w:rsidRDefault="00C86DAA" w:rsidP="00B90947">
          <w:pPr>
            <w:pStyle w:val="Heading4"/>
          </w:pPr>
          <w:r w:rsidRPr="009E7223">
            <w:t xml:space="preserve">Service Providers considered that </w:t>
          </w:r>
          <w:r w:rsidR="00EA42C0">
            <w:t xml:space="preserve">with </w:t>
          </w:r>
          <w:r w:rsidRPr="009E7223">
            <w:t xml:space="preserve">Māori harm levels </w:t>
          </w:r>
          <w:r w:rsidR="00EA42C0">
            <w:t>being</w:t>
          </w:r>
          <w:r w:rsidRPr="009E7223">
            <w:t xml:space="preserve"> higher than the general population</w:t>
          </w:r>
          <w:r w:rsidR="00EA42C0">
            <w:t>,</w:t>
          </w:r>
          <w:r w:rsidRPr="009E7223">
            <w:t xml:space="preserve"> there is a clear need to prioritise Māori-specific services, focus</w:t>
          </w:r>
          <w:r w:rsidR="00EA42C0">
            <w:t>ing</w:t>
          </w:r>
          <w:r w:rsidRPr="009E7223">
            <w:t xml:space="preserve"> on collective </w:t>
          </w:r>
          <w:r w:rsidR="00EA42C0">
            <w:t xml:space="preserve">action </w:t>
          </w:r>
          <w:r w:rsidRPr="009E7223">
            <w:t>rather than individual action</w:t>
          </w:r>
        </w:p>
        <w:p w14:paraId="226CC20C" w14:textId="09F62EC9" w:rsidR="00C86DAA" w:rsidRPr="009E7223" w:rsidRDefault="00C86DAA" w:rsidP="00C86DAA">
          <w:pPr>
            <w:pStyle w:val="BodyText"/>
          </w:pPr>
          <w:r w:rsidRPr="009E7223">
            <w:t>One Service Provider stated that Māori and Pasifika are being harmed by gambling in far greater numbers than other populations (specifically by NCGMs), and stated that all providers of treatment and public health services must be able to work appropriately with Māori.</w:t>
          </w:r>
          <w:r w:rsidRPr="009E7223">
            <w:rPr>
              <w:rStyle w:val="FootnoteReference"/>
            </w:rPr>
            <w:footnoteReference w:id="236"/>
          </w:r>
          <w:r w:rsidRPr="009E7223">
            <w:t xml:space="preserve"> This means that engagement in a culturally specific way needs to be embraced by all</w:t>
          </w:r>
          <w:r w:rsidR="00CE2CD8" w:rsidRPr="009E7223">
            <w:t>,</w:t>
          </w:r>
          <w:r w:rsidRPr="009E7223">
            <w:t xml:space="preserve"> in order for Māori to achieve better outcomes. </w:t>
          </w:r>
          <w:r w:rsidR="00632A34" w:rsidRPr="009E7223">
            <w:t>Another Service Provider</w:t>
          </w:r>
          <w:r w:rsidR="00632A34" w:rsidRPr="009E7223">
            <w:rPr>
              <w:rStyle w:val="FootnoteReference"/>
            </w:rPr>
            <w:footnoteReference w:id="237"/>
          </w:r>
          <w:r w:rsidR="00632A34" w:rsidRPr="009E7223">
            <w:t xml:space="preserve"> pointed out that </w:t>
          </w:r>
          <w:r w:rsidRPr="009E7223">
            <w:t>Māori cannot just be fitted into mainstream models; ongoing support needs to be acknowledged as best practice with time and space allocated to help whānau achieve hauora.</w:t>
          </w:r>
        </w:p>
        <w:p w14:paraId="415CFB7C" w14:textId="51918FF3" w:rsidR="00C86DAA" w:rsidRPr="009E7223" w:rsidRDefault="00C86DAA" w:rsidP="00C86DAA">
          <w:pPr>
            <w:pStyle w:val="BodyText"/>
          </w:pPr>
          <w:r w:rsidRPr="009E7223">
            <w:lastRenderedPageBreak/>
            <w:t>Another Service Provider supported the focus on multi-media and social marketing to drive people to seek help in Objective 11.</w:t>
          </w:r>
          <w:r w:rsidRPr="009E7223">
            <w:rPr>
              <w:rStyle w:val="FootnoteReference"/>
            </w:rPr>
            <w:footnoteReference w:id="238"/>
          </w:r>
          <w:r w:rsidRPr="009E7223">
            <w:t xml:space="preserve"> They considered that the HPA and the Ministry need to contextualise material for local audiences, rather than having a broad approach.</w:t>
          </w:r>
        </w:p>
        <w:p w14:paraId="27289592" w14:textId="6EA420BD" w:rsidR="00C86DAA" w:rsidRPr="009E7223" w:rsidRDefault="00C86DAA" w:rsidP="00C86DAA">
          <w:pPr>
            <w:pStyle w:val="BodyText"/>
          </w:pPr>
          <w:r w:rsidRPr="009E7223">
            <w:t>One Service Provider</w:t>
          </w:r>
          <w:r w:rsidR="00632A34" w:rsidRPr="009E7223">
            <w:rPr>
              <w:rStyle w:val="FootnoteReference"/>
            </w:rPr>
            <w:footnoteReference w:id="239"/>
          </w:r>
          <w:r w:rsidR="00632A34" w:rsidRPr="009E7223">
            <w:t xml:space="preserve"> </w:t>
          </w:r>
          <w:r w:rsidRPr="009E7223">
            <w:t>focused on the kaiāwhina workforce, stat</w:t>
          </w:r>
          <w:r w:rsidR="00632A34" w:rsidRPr="009E7223">
            <w:t>ing</w:t>
          </w:r>
          <w:r w:rsidRPr="009E7223">
            <w:t xml:space="preserve"> that </w:t>
          </w:r>
          <w:r w:rsidR="00632A34" w:rsidRPr="009E7223">
            <w:t xml:space="preserve">more </w:t>
          </w:r>
          <w:r w:rsidRPr="009E7223">
            <w:t xml:space="preserve">investment is needed given the immense opportunity to deliver whānau, family and community-based support at the right time, by the right people, </w:t>
          </w:r>
          <w:r w:rsidR="00EA42C0">
            <w:t>particularly</w:t>
          </w:r>
          <w:r w:rsidRPr="009E7223">
            <w:t xml:space="preserve"> actions that reflect the guidance from He Korowai Tangata. This Service Provider expected demand to rise for kaiāwhina as the population grows and ages and as models of care move closer to home. </w:t>
          </w:r>
          <w:r w:rsidR="00632A34" w:rsidRPr="009E7223">
            <w:t>The submitter suggested h</w:t>
          </w:r>
          <w:r w:rsidRPr="009E7223">
            <w:t>aving comprehensive workforce data that spans both DHBs and community providers would allow for improved workforce planning.</w:t>
          </w:r>
        </w:p>
        <w:p w14:paraId="5AFECD7E" w14:textId="77777777" w:rsidR="00C86DAA" w:rsidRPr="009E7223" w:rsidRDefault="00C86DAA" w:rsidP="00C86DAA">
          <w:pPr>
            <w:pStyle w:val="BodyText"/>
          </w:pPr>
          <w:r w:rsidRPr="009E7223">
            <w:t>Two other Service Providers commented that the most effective programmes involved peer support by people who have experienced similar issues, for example whānau helping whānau</w:t>
          </w:r>
          <w:r w:rsidRPr="009E7223">
            <w:rPr>
              <w:rStyle w:val="FootnoteReference"/>
            </w:rPr>
            <w:footnoteReference w:id="240"/>
          </w:r>
          <w:r w:rsidRPr="009E7223">
            <w:t xml:space="preserve"> or a programme designed by Māori men for Māori men.</w:t>
          </w:r>
          <w:r w:rsidRPr="009E7223">
            <w:rPr>
              <w:rStyle w:val="FootnoteReference"/>
            </w:rPr>
            <w:footnoteReference w:id="241"/>
          </w:r>
        </w:p>
        <w:p w14:paraId="7C1E313D" w14:textId="00E534D0" w:rsidR="00C86DAA" w:rsidRPr="009E7223" w:rsidRDefault="00C86DAA" w:rsidP="00C86DAA">
          <w:pPr>
            <w:pStyle w:val="BodyText"/>
          </w:pPr>
          <w:r w:rsidRPr="009E7223">
            <w:t>Three Service Providers discussed community involvement</w:t>
          </w:r>
          <w:r w:rsidR="00187D04" w:rsidRPr="009E7223">
            <w:t>,</w:t>
          </w:r>
          <w:r w:rsidRPr="009E7223">
            <w:t xml:space="preserve"> giving ownership of improving community wellness back to the community.</w:t>
          </w:r>
          <w:r w:rsidRPr="009E7223">
            <w:rPr>
              <w:rStyle w:val="FootnoteReference"/>
            </w:rPr>
            <w:footnoteReference w:id="242"/>
          </w:r>
          <w:r w:rsidRPr="009E7223">
            <w:t xml:space="preserve"> One of these submitters proposed that the Ministry consider innovation through employment of kaumatua/kuia who have the skills required to gauge whether cultural competency is being applied appropriately, while incorporating tikanga and pono concepts.</w:t>
          </w:r>
          <w:r w:rsidRPr="009E7223">
            <w:rPr>
              <w:rStyle w:val="FootnoteReference"/>
            </w:rPr>
            <w:footnoteReference w:id="243"/>
          </w:r>
          <w:r w:rsidRPr="009E7223">
            <w:t xml:space="preserve"> One of these Service Providers also recommended that the specific </w:t>
          </w:r>
          <w:r w:rsidR="00187D04" w:rsidRPr="009E7223">
            <w:t xml:space="preserve">focus </w:t>
          </w:r>
          <w:r w:rsidRPr="009E7223">
            <w:t>on Māori women should be shifted to a wider whānau approach, recognising the importance of the collective and placing a responsibility on all rather than the individual, to reflect that the cornerstone of Whānau Ora is whānau.</w:t>
          </w:r>
          <w:r w:rsidRPr="009E7223">
            <w:rPr>
              <w:rStyle w:val="FootnoteReference"/>
            </w:rPr>
            <w:footnoteReference w:id="244"/>
          </w:r>
        </w:p>
        <w:p w14:paraId="2D53E287" w14:textId="77777777" w:rsidR="00C86DAA" w:rsidRPr="009E7223" w:rsidRDefault="00C86DAA" w:rsidP="00C86DAA">
          <w:pPr>
            <w:pStyle w:val="BodyText"/>
          </w:pPr>
          <w:r w:rsidRPr="009E7223">
            <w:t>One Service Provider emphasised that problem gambling is one of many contributing factors hindering the ability of whānau to progress, and should not be considered in isolation.</w:t>
          </w:r>
          <w:r w:rsidRPr="009E7223">
            <w:rPr>
              <w:rStyle w:val="FootnoteReference"/>
            </w:rPr>
            <w:footnoteReference w:id="245"/>
          </w:r>
        </w:p>
        <w:p w14:paraId="06262824" w14:textId="77777777" w:rsidR="00C86DAA" w:rsidRPr="009E7223" w:rsidRDefault="00C86DAA" w:rsidP="00B90947">
          <w:pPr>
            <w:pStyle w:val="Heading4"/>
          </w:pPr>
          <w:r w:rsidRPr="009E7223">
            <w:t>Pasifika harm levels are also higher than the general population, and there is a clear need to prioritise Pasifika-specific communication and services</w:t>
          </w:r>
        </w:p>
        <w:p w14:paraId="00DEB16B" w14:textId="486289A8" w:rsidR="00C86DAA" w:rsidRPr="009E7223" w:rsidRDefault="00C86DAA" w:rsidP="00C86DAA">
          <w:pPr>
            <w:pStyle w:val="BodyText"/>
          </w:pPr>
          <w:r w:rsidRPr="009E7223">
            <w:t xml:space="preserve">One of the main problems expressed by Pasifika Service Providers </w:t>
          </w:r>
          <w:r w:rsidR="006F5967" w:rsidRPr="009E7223">
            <w:t>wa</w:t>
          </w:r>
          <w:r w:rsidRPr="009E7223">
            <w:t>s the lack of cultural competency in working with high priority populations. There is concern about the lack of Pasifika researchers working on projects that are particularly focused on Pasifika gamblers and affected others. In addition, Service Providers have seen a significant decrease in referrals since the consolidation of helplines including the Gambling Helpline and Pasifika Helpline. The Pasifika Helpline is not service</w:t>
          </w:r>
          <w:r w:rsidR="00BD43C5" w:rsidRPr="009E7223">
            <w:t>d</w:t>
          </w:r>
          <w:r w:rsidRPr="009E7223">
            <w:t xml:space="preserve"> by Pasifika staff but by anyone who happens to pick up the call; clients rely on the Pasifika Helpline, particularly during high-risk times like the weekend, but often get no response. A Pasifika-specific helpline pilot was recommended to address this.</w:t>
          </w:r>
          <w:r w:rsidRPr="009E7223">
            <w:rPr>
              <w:rStyle w:val="FootnoteReference"/>
            </w:rPr>
            <w:footnoteReference w:id="246"/>
          </w:r>
        </w:p>
        <w:p w14:paraId="7A48FC28" w14:textId="4AE0F1A9" w:rsidR="00C86DAA" w:rsidRPr="009E7223" w:rsidRDefault="00C86DAA" w:rsidP="00C86DAA">
          <w:pPr>
            <w:pStyle w:val="BodyText"/>
          </w:pPr>
          <w:r w:rsidRPr="009E7223">
            <w:t>Similar</w:t>
          </w:r>
          <w:r w:rsidR="00EA42C0">
            <w:t xml:space="preserve"> </w:t>
          </w:r>
          <w:r w:rsidRPr="009E7223">
            <w:t xml:space="preserve">to </w:t>
          </w:r>
          <w:r w:rsidR="003052F1" w:rsidRPr="009E7223">
            <w:t>Māori</w:t>
          </w:r>
          <w:r w:rsidRPr="009E7223">
            <w:t xml:space="preserve"> Service Providers, </w:t>
          </w:r>
          <w:r w:rsidR="00632A34" w:rsidRPr="009E7223">
            <w:t xml:space="preserve">three </w:t>
          </w:r>
          <w:r w:rsidRPr="009E7223">
            <w:t xml:space="preserve">Pasifika </w:t>
          </w:r>
          <w:r w:rsidR="00BD43C5" w:rsidRPr="009E7223">
            <w:t xml:space="preserve">Service </w:t>
          </w:r>
          <w:r w:rsidRPr="009E7223">
            <w:t>Providers also recommended a review of the HPA Strategy to include the development of a Pasifika-specific clinical gambling assessment, and meaningful Pasifika campaigns, including the use of local Pasifika media in campaigns instead of one to fit all needs.</w:t>
          </w:r>
          <w:r w:rsidRPr="009E7223">
            <w:rPr>
              <w:rStyle w:val="FootnoteReference"/>
            </w:rPr>
            <w:footnoteReference w:id="247"/>
          </w:r>
        </w:p>
        <w:p w14:paraId="5CFE83C4" w14:textId="04A9D6A9" w:rsidR="00C86DAA" w:rsidRPr="009E7223" w:rsidRDefault="00C86DAA" w:rsidP="00C86DAA">
          <w:pPr>
            <w:pStyle w:val="BodyText"/>
          </w:pPr>
          <w:r w:rsidRPr="009E7223">
            <w:lastRenderedPageBreak/>
            <w:t xml:space="preserve">The workforce of the service should reflect the needs more strongly (for Pasifika and </w:t>
          </w:r>
          <w:r w:rsidR="003052F1" w:rsidRPr="009E7223">
            <w:t>Māori</w:t>
          </w:r>
          <w:r w:rsidRPr="009E7223">
            <w:t xml:space="preserve"> in particular), and the distribution of the service should be reviewed to provide services where the need is greatest</w:t>
          </w:r>
          <w:r w:rsidR="00BD43C5" w:rsidRPr="009E7223">
            <w:t>.</w:t>
          </w:r>
          <w:r w:rsidRPr="009E7223">
            <w:t xml:space="preserve"> </w:t>
          </w:r>
          <w:r w:rsidR="00BD43C5" w:rsidRPr="009E7223">
            <w:t>P</w:t>
          </w:r>
          <w:r w:rsidRPr="009E7223">
            <w:t>articipation should be at the co-design phase, rather than half way through the pilot.</w:t>
          </w:r>
          <w:r w:rsidRPr="009E7223">
            <w:rPr>
              <w:rStyle w:val="FootnoteReference"/>
            </w:rPr>
            <w:footnoteReference w:id="248"/>
          </w:r>
        </w:p>
        <w:p w14:paraId="2B11D789" w14:textId="6210E485" w:rsidR="00C86DAA" w:rsidRPr="009E7223" w:rsidRDefault="00752179" w:rsidP="00C86DAA">
          <w:pPr>
            <w:pStyle w:val="BodyText"/>
          </w:pPr>
          <w:r w:rsidRPr="009E7223">
            <w:t>An Individual submitter</w:t>
          </w:r>
          <w:r w:rsidRPr="009E7223">
            <w:rPr>
              <w:rStyle w:val="FootnoteReference"/>
            </w:rPr>
            <w:footnoteReference w:id="249"/>
          </w:r>
          <w:r w:rsidRPr="009E7223">
            <w:t xml:space="preserve"> </w:t>
          </w:r>
          <w:r w:rsidR="00C86DAA" w:rsidRPr="009E7223">
            <w:t xml:space="preserve">stressed that there needs to be a commitment to create innovative Peer Education programs that can be used as models for outreach to Pasifika </w:t>
          </w:r>
          <w:r w:rsidR="00BD43C5" w:rsidRPr="009E7223">
            <w:t>y</w:t>
          </w:r>
          <w:r w:rsidR="00C86DAA" w:rsidRPr="009E7223">
            <w:t xml:space="preserve">outh and </w:t>
          </w:r>
          <w:r w:rsidR="00BD43C5" w:rsidRPr="009E7223">
            <w:t>c</w:t>
          </w:r>
          <w:r w:rsidR="00C86DAA" w:rsidRPr="009E7223">
            <w:t xml:space="preserve">ommunities. </w:t>
          </w:r>
          <w:r w:rsidRPr="009E7223">
            <w:t xml:space="preserve">The submitter </w:t>
          </w:r>
          <w:r w:rsidR="00307AC1" w:rsidRPr="009E7223">
            <w:t>suggested that t</w:t>
          </w:r>
          <w:r w:rsidR="00C86DAA" w:rsidRPr="009E7223">
            <w:t xml:space="preserve">here is a disconnect when it comes to dealing with the issue of </w:t>
          </w:r>
          <w:r w:rsidR="00BD43C5" w:rsidRPr="009E7223">
            <w:t>g</w:t>
          </w:r>
          <w:r w:rsidR="00C86DAA" w:rsidRPr="009E7223">
            <w:t xml:space="preserve">ambling </w:t>
          </w:r>
          <w:r w:rsidR="00BD43C5" w:rsidRPr="009E7223">
            <w:t>h</w:t>
          </w:r>
          <w:r w:rsidR="00C86DAA" w:rsidRPr="009E7223">
            <w:t xml:space="preserve">arm </w:t>
          </w:r>
          <w:r w:rsidR="00BD43C5" w:rsidRPr="009E7223">
            <w:t>m</w:t>
          </w:r>
          <w:r w:rsidR="00C86DAA" w:rsidRPr="009E7223">
            <w:t xml:space="preserve">inimisation and the community. </w:t>
          </w:r>
          <w:r w:rsidRPr="009E7223">
            <w:t>This submitter commented that t</w:t>
          </w:r>
          <w:r w:rsidR="00C86DAA" w:rsidRPr="009E7223">
            <w:t xml:space="preserve">he best way to deal with the issue </w:t>
          </w:r>
          <w:r w:rsidR="0073797A" w:rsidRPr="009E7223">
            <w:t>was</w:t>
          </w:r>
          <w:r w:rsidR="00C86DAA" w:rsidRPr="009E7223">
            <w:t xml:space="preserve"> </w:t>
          </w:r>
          <w:r w:rsidR="0073797A" w:rsidRPr="009E7223">
            <w:t xml:space="preserve">by </w:t>
          </w:r>
          <w:r w:rsidR="00C86DAA" w:rsidRPr="009E7223">
            <w:t>provid</w:t>
          </w:r>
          <w:r w:rsidR="0073797A" w:rsidRPr="009E7223">
            <w:t>ing materials that are m</w:t>
          </w:r>
          <w:r w:rsidR="00C86DAA" w:rsidRPr="009E7223">
            <w:t xml:space="preserve">ore communicative </w:t>
          </w:r>
          <w:r w:rsidR="0073797A" w:rsidRPr="009E7223">
            <w:t xml:space="preserve">for the intended audience. </w:t>
          </w:r>
          <w:r w:rsidRPr="009E7223">
            <w:t>This submitter further suggested that f</w:t>
          </w:r>
          <w:r w:rsidR="00CE2CD8" w:rsidRPr="009E7223">
            <w:t>or</w:t>
          </w:r>
          <w:r w:rsidR="00C86DAA" w:rsidRPr="009E7223">
            <w:t xml:space="preserve"> Pasifika people, the use of dramas to deliver specific messages can be quite persuasive</w:t>
          </w:r>
          <w:r w:rsidR="00BD43C5" w:rsidRPr="009E7223">
            <w:t>:</w:t>
          </w:r>
          <w:r w:rsidR="00C86DAA" w:rsidRPr="009E7223">
            <w:t xml:space="preserve"> there are differences in the way that Pasifika people like to be communicated with, and these are important to recognise.</w:t>
          </w:r>
        </w:p>
        <w:p w14:paraId="66867ABC" w14:textId="1160A023" w:rsidR="00C86DAA" w:rsidRPr="009E7223" w:rsidRDefault="00C86DAA" w:rsidP="00B90947">
          <w:pPr>
            <w:pStyle w:val="Heading4"/>
          </w:pPr>
          <w:r w:rsidRPr="009E7223">
            <w:t>The problem gambling risk and harm profile of Asian New Zealanders is unique, and this needs to be recognised and addressed</w:t>
          </w:r>
        </w:p>
        <w:p w14:paraId="501F6194" w14:textId="689B80C8" w:rsidR="00C86DAA" w:rsidRPr="009E7223" w:rsidRDefault="00C86DAA" w:rsidP="00C86DAA">
          <w:pPr>
            <w:pStyle w:val="BodyText"/>
          </w:pPr>
          <w:r w:rsidRPr="009E7223">
            <w:t xml:space="preserve">It was stressed by </w:t>
          </w:r>
          <w:r w:rsidR="00307AC1" w:rsidRPr="009E7223">
            <w:t>a Se</w:t>
          </w:r>
          <w:r w:rsidRPr="009E7223">
            <w:t>rvice Provider that the Asian population views gambling differently, and cultural competency and workforce development concerning knowledge and sensitivity of how to work with Asian clients is essential.</w:t>
          </w:r>
          <w:r w:rsidRPr="009E7223">
            <w:rPr>
              <w:rStyle w:val="FootnoteReference"/>
            </w:rPr>
            <w:footnoteReference w:id="250"/>
          </w:r>
          <w:r w:rsidRPr="009E7223">
            <w:t xml:space="preserve"> Asian populations are disproportionately affected by problem gambling (particularly in casinos), many </w:t>
          </w:r>
          <w:r w:rsidR="00307AC1" w:rsidRPr="009E7223">
            <w:t>in</w:t>
          </w:r>
          <w:r w:rsidRPr="009E7223">
            <w:t xml:space="preserve"> the Asian population are open to exploitation due to lack of information and support, and it is critical that in-language information is available to reduce harm and enable informed choices to be made.</w:t>
          </w:r>
          <w:r w:rsidRPr="009E7223">
            <w:rPr>
              <w:rStyle w:val="FootnoteReference"/>
            </w:rPr>
            <w:footnoteReference w:id="251"/>
          </w:r>
          <w:r w:rsidRPr="009E7223">
            <w:t xml:space="preserve"> Systematic barriers </w:t>
          </w:r>
          <w:r w:rsidR="00307AC1" w:rsidRPr="009E7223">
            <w:t>to accessibility were identified by a Service Provider:</w:t>
          </w:r>
          <w:r w:rsidRPr="009E7223">
            <w:rPr>
              <w:rStyle w:val="FootnoteReference"/>
            </w:rPr>
            <w:footnoteReference w:id="252"/>
          </w:r>
        </w:p>
        <w:p w14:paraId="5EEF3817" w14:textId="78A1CF84" w:rsidR="00C86DAA" w:rsidRPr="009E7223" w:rsidRDefault="00D23A73" w:rsidP="00C86DAA">
          <w:pPr>
            <w:pStyle w:val="List-BulletLvl1"/>
          </w:pPr>
          <w:r w:rsidRPr="009E7223">
            <w:t>L</w:t>
          </w:r>
          <w:r w:rsidR="00C86DAA" w:rsidRPr="009E7223">
            <w:t>ack of interpreting or culturally/linguistically appropriate services</w:t>
          </w:r>
        </w:p>
        <w:p w14:paraId="1A47B595" w14:textId="66ABB225" w:rsidR="00C86DAA" w:rsidRPr="009E7223" w:rsidRDefault="00D23A73" w:rsidP="00C86DAA">
          <w:pPr>
            <w:pStyle w:val="List-BulletLvl1"/>
          </w:pPr>
          <w:r w:rsidRPr="009E7223">
            <w:t xml:space="preserve">Lack </w:t>
          </w:r>
          <w:r w:rsidR="00C86DAA" w:rsidRPr="009E7223">
            <w:t xml:space="preserve">of a 24/7 specific language </w:t>
          </w:r>
          <w:r w:rsidR="00307AC1" w:rsidRPr="009E7223">
            <w:t>help</w:t>
          </w:r>
          <w:r w:rsidR="00C86DAA" w:rsidRPr="009E7223">
            <w:t xml:space="preserve">line, and </w:t>
          </w:r>
        </w:p>
        <w:p w14:paraId="4C0DC5D5" w14:textId="7241F700" w:rsidR="00C86DAA" w:rsidRPr="009E7223" w:rsidRDefault="00D23A73" w:rsidP="00C86DAA">
          <w:pPr>
            <w:pStyle w:val="List-BulletLvl1"/>
          </w:pPr>
          <w:r w:rsidRPr="009E7223">
            <w:t>I</w:t>
          </w:r>
          <w:r w:rsidR="00C86DAA" w:rsidRPr="009E7223">
            <w:t>ncompatible Western mental health treatment models.</w:t>
          </w:r>
        </w:p>
        <w:p w14:paraId="476B58C4" w14:textId="203015E8" w:rsidR="00C86DAA" w:rsidRPr="009E7223" w:rsidRDefault="00307AC1" w:rsidP="00C86DAA">
          <w:pPr>
            <w:pStyle w:val="BodyText"/>
          </w:pPr>
          <w:r w:rsidRPr="009E7223">
            <w:t xml:space="preserve">Three </w:t>
          </w:r>
          <w:r w:rsidR="00C86DAA" w:rsidRPr="009E7223">
            <w:t>Service Providers</w:t>
          </w:r>
          <w:r w:rsidRPr="009E7223">
            <w:t xml:space="preserve"> similarly</w:t>
          </w:r>
          <w:r w:rsidR="00C86DAA" w:rsidRPr="009E7223">
            <w:t xml:space="preserve"> stressed </w:t>
          </w:r>
          <w:r w:rsidRPr="009E7223">
            <w:t xml:space="preserve">the need for </w:t>
          </w:r>
          <w:r w:rsidR="00C86DAA" w:rsidRPr="009E7223">
            <w:t xml:space="preserve">online and </w:t>
          </w:r>
          <w:r w:rsidRPr="009E7223">
            <w:t>tele</w:t>
          </w:r>
          <w:r w:rsidR="00C86DAA" w:rsidRPr="009E7223">
            <w:t xml:space="preserve">phone support </w:t>
          </w:r>
          <w:r w:rsidRPr="009E7223">
            <w:t xml:space="preserve">services, noting that these delivery modes </w:t>
          </w:r>
          <w:r w:rsidR="00C86DAA" w:rsidRPr="009E7223">
            <w:t>reduce stigma</w:t>
          </w:r>
          <w:r w:rsidRPr="009E7223">
            <w:t>, because</w:t>
          </w:r>
          <w:r w:rsidR="00C86DAA" w:rsidRPr="009E7223">
            <w:t xml:space="preserve"> the caller can remain anonymous. This provides an opportunity for the caller to address their concerns and issues. The Asian Helpline should extend to </w:t>
          </w:r>
          <w:r w:rsidRPr="009E7223">
            <w:t xml:space="preserve">a </w:t>
          </w:r>
          <w:r w:rsidR="00C86DAA" w:rsidRPr="009E7223">
            <w:t>24/7 service to be able to provide the same support and access as mainstream</w:t>
          </w:r>
          <w:r w:rsidRPr="009E7223">
            <w:t xml:space="preserve"> services</w:t>
          </w:r>
          <w:r w:rsidR="00C86DAA" w:rsidRPr="009E7223">
            <w:t xml:space="preserve">. Additionally, a web-based service in Asian languages </w:t>
          </w:r>
          <w:r w:rsidR="000D381D" w:rsidRPr="009E7223">
            <w:t xml:space="preserve">that enables clients to seek correct information and self-help tools whenever needed should </w:t>
          </w:r>
          <w:r w:rsidR="00C86DAA" w:rsidRPr="009E7223">
            <w:t>be developed urgently.</w:t>
          </w:r>
          <w:r w:rsidR="00C86DAA" w:rsidRPr="009E7223">
            <w:rPr>
              <w:rStyle w:val="FootnoteReference"/>
            </w:rPr>
            <w:footnoteReference w:id="253"/>
          </w:r>
        </w:p>
        <w:p w14:paraId="7C392F9D" w14:textId="04EB8B42" w:rsidR="00C86DAA" w:rsidRPr="009E7223" w:rsidRDefault="00C86DAA" w:rsidP="00C86DAA">
          <w:pPr>
            <w:pStyle w:val="BodyText"/>
          </w:pPr>
          <w:r w:rsidRPr="009E7223">
            <w:t xml:space="preserve">Within the Asian population, </w:t>
          </w:r>
          <w:r w:rsidR="00307AC1" w:rsidRPr="009E7223">
            <w:t>two</w:t>
          </w:r>
          <w:r w:rsidRPr="009E7223">
            <w:t xml:space="preserve"> Service Providers</w:t>
          </w:r>
          <w:r w:rsidR="00307AC1" w:rsidRPr="009E7223">
            <w:rPr>
              <w:rStyle w:val="FootnoteReference"/>
            </w:rPr>
            <w:footnoteReference w:id="254"/>
          </w:r>
          <w:r w:rsidRPr="009E7223">
            <w:t xml:space="preserve"> identified specific at-risk groups which need urgent recognition and support. For example, international students are one of the most vulnerable groups to experience poor mental health and addiction.</w:t>
          </w:r>
          <w:r w:rsidRPr="009E7223">
            <w:rPr>
              <w:rStyle w:val="FootnoteReference"/>
            </w:rPr>
            <w:footnoteReference w:id="255"/>
          </w:r>
          <w:r w:rsidRPr="009E7223">
            <w:t xml:space="preserve"> Many international students have high anxiety levels, social isolation or depressive symptoms. Service Providers </w:t>
          </w:r>
          <w:r w:rsidR="000D381D" w:rsidRPr="009E7223">
            <w:t xml:space="preserve">must </w:t>
          </w:r>
          <w:r w:rsidRPr="009E7223">
            <w:t>accurately understand the needs of Asian international students so that potential barriers can be addressed.</w:t>
          </w:r>
          <w:r w:rsidRPr="009E7223">
            <w:rPr>
              <w:rStyle w:val="FootnoteReference"/>
            </w:rPr>
            <w:footnoteReference w:id="256"/>
          </w:r>
          <w:r w:rsidRPr="009E7223">
            <w:t xml:space="preserve"> </w:t>
          </w:r>
          <w:r w:rsidR="00307AC1" w:rsidRPr="009E7223">
            <w:t xml:space="preserve">A Service Providers noted that </w:t>
          </w:r>
          <w:r w:rsidRPr="009E7223">
            <w:t>Indian women were also as a highly vulnerable group that require</w:t>
          </w:r>
          <w:r w:rsidR="00307AC1" w:rsidRPr="009E7223">
            <w:t>d</w:t>
          </w:r>
          <w:r w:rsidRPr="009E7223">
            <w:t xml:space="preserve"> special consideration.</w:t>
          </w:r>
          <w:r w:rsidRPr="009E7223">
            <w:rPr>
              <w:rStyle w:val="FootnoteReference"/>
            </w:rPr>
            <w:footnoteReference w:id="257"/>
          </w:r>
        </w:p>
        <w:p w14:paraId="38E4A720" w14:textId="1A5A5002" w:rsidR="00C86DAA" w:rsidRPr="009E7223" w:rsidRDefault="005A4B9F" w:rsidP="00C86DAA">
          <w:pPr>
            <w:pStyle w:val="BodyText"/>
          </w:pPr>
          <w:r w:rsidRPr="009E7223">
            <w:lastRenderedPageBreak/>
            <w:t>A Service Provider Commented that h</w:t>
          </w:r>
          <w:r w:rsidR="00C86DAA" w:rsidRPr="009E7223">
            <w:t>ost</w:t>
          </w:r>
          <w:r w:rsidR="000D381D" w:rsidRPr="009E7223">
            <w:t>s</w:t>
          </w:r>
          <w:r w:rsidR="00C86DAA" w:rsidRPr="009E7223">
            <w:t xml:space="preserve"> in NCGM venues </w:t>
          </w:r>
          <w:r w:rsidR="000D381D" w:rsidRPr="009E7223">
            <w:t xml:space="preserve">are </w:t>
          </w:r>
          <w:r w:rsidR="00C86DAA" w:rsidRPr="009E7223">
            <w:t xml:space="preserve">not competent in approaching Asian gamblers, and </w:t>
          </w:r>
          <w:r w:rsidR="000D381D" w:rsidRPr="009E7223">
            <w:t xml:space="preserve">host responsibility </w:t>
          </w:r>
          <w:r w:rsidR="00C86DAA" w:rsidRPr="009E7223">
            <w:t>needs to be addressed.</w:t>
          </w:r>
          <w:r w:rsidR="00540F93" w:rsidRPr="009E7223">
            <w:rPr>
              <w:rStyle w:val="FootnoteReference"/>
            </w:rPr>
            <w:footnoteReference w:id="258"/>
          </w:r>
          <w:r w:rsidR="00C86DAA" w:rsidRPr="009E7223">
            <w:t xml:space="preserve"> There is a strong need to provide appropriate training to staff about</w:t>
          </w:r>
          <w:r w:rsidRPr="009E7223">
            <w:t xml:space="preserve"> how to build</w:t>
          </w:r>
          <w:r w:rsidR="00C86DAA" w:rsidRPr="009E7223">
            <w:t xml:space="preserve"> rapport with Indian clients in particular, by increasing their understanding about the cultural aspects which underpin the South Asian gambler’s thinking.</w:t>
          </w:r>
          <w:r w:rsidR="00C86DAA" w:rsidRPr="009E7223">
            <w:rPr>
              <w:rStyle w:val="FootnoteReference"/>
            </w:rPr>
            <w:footnoteReference w:id="259"/>
          </w:r>
          <w:r w:rsidR="00C86DAA" w:rsidRPr="009E7223">
            <w:t xml:space="preserve"> This submitter considered that strong measures should be put in place by DIA when venues apply for licensing, such as thorough auditing processes in terms of staff capacities in engaging with clients from a South Asian cultural background.</w:t>
          </w:r>
          <w:r w:rsidRPr="009E7223">
            <w:rPr>
              <w:rStyle w:val="FootnoteReference"/>
            </w:rPr>
            <w:footnoteReference w:id="260"/>
          </w:r>
        </w:p>
        <w:p w14:paraId="36EC51AA" w14:textId="77777777" w:rsidR="00C86DAA" w:rsidRPr="009E7223" w:rsidRDefault="00C86DAA" w:rsidP="00B90947">
          <w:pPr>
            <w:pStyle w:val="Heading4"/>
          </w:pPr>
          <w:r w:rsidRPr="009E7223">
            <w:t>There should be more recognition that problem gambling often does not occur in isolation, and a more holistic approach to intervention needs to be taken to treat priority groups</w:t>
          </w:r>
        </w:p>
        <w:p w14:paraId="2305B4D6" w14:textId="1AD71156" w:rsidR="00C86DAA" w:rsidRPr="009E7223" w:rsidRDefault="005A4B9F" w:rsidP="00C86DAA">
          <w:pPr>
            <w:pStyle w:val="BodyText"/>
          </w:pPr>
          <w:r w:rsidRPr="009E7223">
            <w:t xml:space="preserve">Two </w:t>
          </w:r>
          <w:r w:rsidR="00C86DAA" w:rsidRPr="009E7223">
            <w:t>Service Provider</w:t>
          </w:r>
          <w:r w:rsidRPr="009E7223">
            <w:t>s</w:t>
          </w:r>
          <w:r w:rsidRPr="009E7223">
            <w:rPr>
              <w:rStyle w:val="FootnoteReference"/>
            </w:rPr>
            <w:footnoteReference w:id="261"/>
          </w:r>
          <w:r w:rsidR="00C86DAA" w:rsidRPr="009E7223">
            <w:t xml:space="preserve"> considered that the Ministry needs to reflect on the complex nature of addiction issues such as </w:t>
          </w:r>
          <w:r w:rsidR="000D381D" w:rsidRPr="009E7223">
            <w:t>p</w:t>
          </w:r>
          <w:r w:rsidR="00C86DAA" w:rsidRPr="009E7223">
            <w:t xml:space="preserve">roblem </w:t>
          </w:r>
          <w:r w:rsidR="000D381D" w:rsidRPr="009E7223">
            <w:t>g</w:t>
          </w:r>
          <w:r w:rsidR="00C86DAA" w:rsidRPr="009E7223">
            <w:t>ambling.</w:t>
          </w:r>
          <w:r w:rsidR="00C462D1" w:rsidRPr="009E7223">
            <w:t xml:space="preserve"> The</w:t>
          </w:r>
          <w:r w:rsidRPr="009E7223">
            <w:t>y considered that the</w:t>
          </w:r>
          <w:r w:rsidR="00C462D1" w:rsidRPr="009E7223">
            <w:t xml:space="preserve"> development of a gambling problem is not a matter of making poor choices: the contributing factors are often complex.</w:t>
          </w:r>
          <w:r w:rsidR="00C86DAA" w:rsidRPr="009E7223">
            <w:t xml:space="preserve"> The</w:t>
          </w:r>
          <w:r w:rsidRPr="009E7223">
            <w:t>y reiterated that the</w:t>
          </w:r>
          <w:r w:rsidR="00C86DAA" w:rsidRPr="009E7223">
            <w:t xml:space="preserve"> person, product, and environment</w:t>
          </w:r>
          <w:r w:rsidRPr="009E7223">
            <w:t xml:space="preserve"> </w:t>
          </w:r>
          <w:r w:rsidR="00C86DAA" w:rsidRPr="009E7223">
            <w:t>it occurs in all need to be considered.</w:t>
          </w:r>
          <w:r w:rsidR="00C86DAA" w:rsidRPr="009E7223">
            <w:rPr>
              <w:rStyle w:val="FootnoteReference"/>
            </w:rPr>
            <w:footnoteReference w:id="262"/>
          </w:r>
          <w:r w:rsidR="00C86DAA" w:rsidRPr="009E7223">
            <w:t xml:space="preserve"> It </w:t>
          </w:r>
          <w:r w:rsidRPr="009E7223">
            <w:t xml:space="preserve">was also considered important </w:t>
          </w:r>
          <w:r w:rsidR="00C86DAA" w:rsidRPr="009E7223">
            <w:t>to address the reasons behind the gambling, particularly poverty.</w:t>
          </w:r>
          <w:r w:rsidR="00C86DAA" w:rsidRPr="009E7223">
            <w:rPr>
              <w:rStyle w:val="FootnoteReference"/>
            </w:rPr>
            <w:footnoteReference w:id="263"/>
          </w:r>
        </w:p>
        <w:p w14:paraId="2CF7338F" w14:textId="39EBFD89" w:rsidR="00C86DAA" w:rsidRPr="009E7223" w:rsidRDefault="009220AC" w:rsidP="00C86DAA">
          <w:pPr>
            <w:pStyle w:val="BodyText"/>
          </w:pPr>
          <w:r w:rsidRPr="009E7223">
            <w:t>Service Provider</w:t>
          </w:r>
          <w:r w:rsidR="005A4B9F" w:rsidRPr="009E7223">
            <w:rPr>
              <w:rStyle w:val="FootnoteReference"/>
            </w:rPr>
            <w:footnoteReference w:id="264"/>
          </w:r>
          <w:r w:rsidRPr="009E7223">
            <w:t xml:space="preserve"> and NCGM</w:t>
          </w:r>
          <w:r w:rsidR="005A4B9F" w:rsidRPr="009E7223">
            <w:rPr>
              <w:rStyle w:val="FootnoteReference"/>
            </w:rPr>
            <w:footnoteReference w:id="265"/>
          </w:r>
          <w:r w:rsidRPr="009E7223">
            <w:t xml:space="preserve"> submitters consider that it</w:t>
          </w:r>
          <w:r w:rsidR="00C86DAA" w:rsidRPr="009E7223">
            <w:t xml:space="preserve"> is clear from the research that rates for problem gamblers are higher for certain ethnic communities, and </w:t>
          </w:r>
          <w:r w:rsidR="000D381D" w:rsidRPr="009E7223">
            <w:t xml:space="preserve">for </w:t>
          </w:r>
          <w:r w:rsidR="00C86DAA" w:rsidRPr="009E7223">
            <w:t xml:space="preserve">those with comorbidity issues such as smoking, drinking and drugs. </w:t>
          </w:r>
          <w:r w:rsidR="005A4B9F" w:rsidRPr="009E7223">
            <w:t>The NCGM submitter asserted that n</w:t>
          </w:r>
          <w:r w:rsidR="00C86DAA" w:rsidRPr="009E7223">
            <w:t>o issue should be dealt with in isolation</w:t>
          </w:r>
          <w:r w:rsidR="000D381D" w:rsidRPr="009E7223">
            <w:t xml:space="preserve"> –</w:t>
          </w:r>
          <w:r w:rsidR="00C86DAA" w:rsidRPr="009E7223">
            <w:t xml:space="preserve"> the best results will occur when all issues are dealt with together.</w:t>
          </w:r>
          <w:r w:rsidR="00C86DAA" w:rsidRPr="009E7223">
            <w:rPr>
              <w:rStyle w:val="FootnoteReference"/>
            </w:rPr>
            <w:footnoteReference w:id="266"/>
          </w:r>
          <w:r w:rsidR="00C86DAA" w:rsidRPr="009E7223">
            <w:t xml:space="preserve"> The</w:t>
          </w:r>
          <w:r w:rsidR="005A4B9F" w:rsidRPr="009E7223">
            <w:t xml:space="preserve"> Service Providers </w:t>
          </w:r>
          <w:r w:rsidR="00555813" w:rsidRPr="009E7223">
            <w:t xml:space="preserve">considered that there </w:t>
          </w:r>
          <w:r w:rsidR="00C86DAA" w:rsidRPr="009E7223">
            <w:t>should be an overall focus on strengths based, resiliency and mental health programmes to support the underlying causes of problem gambling.</w:t>
          </w:r>
          <w:r w:rsidR="00C86DAA" w:rsidRPr="009E7223">
            <w:rPr>
              <w:rStyle w:val="FootnoteReference"/>
            </w:rPr>
            <w:footnoteReference w:id="267"/>
          </w:r>
        </w:p>
        <w:p w14:paraId="2281C92C" w14:textId="64241B68" w:rsidR="00C86DAA" w:rsidRPr="009E7223" w:rsidRDefault="00C86DAA" w:rsidP="00C86DAA">
          <w:pPr>
            <w:pStyle w:val="BodyText"/>
          </w:pPr>
          <w:r w:rsidRPr="009E7223">
            <w:t xml:space="preserve">One </w:t>
          </w:r>
          <w:r w:rsidR="003052F1" w:rsidRPr="009E7223">
            <w:t>Health sector</w:t>
          </w:r>
          <w:r w:rsidRPr="009E7223">
            <w:t xml:space="preserve"> submitter</w:t>
          </w:r>
          <w:r w:rsidR="00555813" w:rsidRPr="009E7223">
            <w:rPr>
              <w:rStyle w:val="FootnoteReference"/>
            </w:rPr>
            <w:footnoteReference w:id="268"/>
          </w:r>
          <w:r w:rsidRPr="009E7223">
            <w:t xml:space="preserve"> commented that the public health approach to gambling has been weakened by inappropriate industry input and an over-reliance on industry profits at the local and government levels. The community’s view and concern about how much gambling they want in their communities is frequently ignored by decision</w:t>
          </w:r>
          <w:r w:rsidR="000D381D" w:rsidRPr="009E7223">
            <w:t>-</w:t>
          </w:r>
          <w:r w:rsidRPr="009E7223">
            <w:t xml:space="preserve">makers and needs to be </w:t>
          </w:r>
          <w:r w:rsidR="0092539A" w:rsidRPr="009E7223">
            <w:t>considered</w:t>
          </w:r>
          <w:r w:rsidRPr="009E7223">
            <w:t>.</w:t>
          </w:r>
        </w:p>
        <w:p w14:paraId="680F56C1" w14:textId="738D2870" w:rsidR="00C86DAA" w:rsidRPr="009E7223" w:rsidRDefault="005B0590" w:rsidP="00C86DAA">
          <w:pPr>
            <w:pStyle w:val="NumberedHeading3"/>
          </w:pPr>
          <w:bookmarkStart w:id="58" w:name="_Toc527040867"/>
          <w:bookmarkStart w:id="59" w:name="_Toc531098165"/>
          <w:r>
            <w:t>A</w:t>
          </w:r>
          <w:r w:rsidR="0029387B" w:rsidRPr="009E7223">
            <w:t xml:space="preserve">dditional </w:t>
          </w:r>
          <w:r w:rsidR="00C86DAA" w:rsidRPr="009E7223">
            <w:t>objectives and priority actions</w:t>
          </w:r>
          <w:bookmarkEnd w:id="58"/>
          <w:r>
            <w:t xml:space="preserve"> were suggested, especially technological enhancements for harm minimisation</w:t>
          </w:r>
          <w:bookmarkEnd w:id="59"/>
        </w:p>
        <w:p w14:paraId="2F8005AD" w14:textId="121DAF63" w:rsidR="00C86DAA" w:rsidRPr="009E7223" w:rsidRDefault="00C86DAA" w:rsidP="00C86DAA">
          <w:pPr>
            <w:pStyle w:val="BodyText"/>
          </w:pPr>
          <w:r w:rsidRPr="009E7223">
            <w:t>Thirty submitters (14 Service Providers,</w:t>
          </w:r>
          <w:r w:rsidRPr="009E7223">
            <w:rPr>
              <w:rStyle w:val="FootnoteReference"/>
            </w:rPr>
            <w:footnoteReference w:id="269"/>
          </w:r>
          <w:r w:rsidRPr="009E7223">
            <w:t xml:space="preserve"> six NCGM sector submitters,</w:t>
          </w:r>
          <w:r w:rsidRPr="009E7223">
            <w:rPr>
              <w:rStyle w:val="FootnoteReference"/>
            </w:rPr>
            <w:footnoteReference w:id="270"/>
          </w:r>
          <w:r w:rsidRPr="009E7223">
            <w:t xml:space="preserve"> six individuals,</w:t>
          </w:r>
          <w:r w:rsidRPr="009E7223">
            <w:rPr>
              <w:rStyle w:val="FootnoteReference"/>
            </w:rPr>
            <w:footnoteReference w:id="271"/>
          </w:r>
          <w:r w:rsidRPr="009E7223">
            <w:t xml:space="preserve"> three </w:t>
          </w:r>
          <w:r w:rsidR="003052F1" w:rsidRPr="009E7223">
            <w:t>Health sector</w:t>
          </w:r>
          <w:r w:rsidRPr="009E7223">
            <w:t xml:space="preserve"> submitters</w:t>
          </w:r>
          <w:r w:rsidRPr="009E7223">
            <w:rPr>
              <w:rStyle w:val="FootnoteReference"/>
            </w:rPr>
            <w:footnoteReference w:id="272"/>
          </w:r>
          <w:r w:rsidRPr="009E7223">
            <w:t xml:space="preserve"> and one Gambling Industry (other) submitter</w:t>
          </w:r>
          <w:r w:rsidRPr="009E7223">
            <w:rPr>
              <w:rStyle w:val="FootnoteReference"/>
            </w:rPr>
            <w:footnoteReference w:id="273"/>
          </w:r>
          <w:r w:rsidRPr="009E7223">
            <w:t xml:space="preserve">) suggested additional objectives and priority actions that could be included in the Strategic </w:t>
          </w:r>
          <w:r w:rsidR="0065722E" w:rsidRPr="009E7223">
            <w:t>Framework</w:t>
          </w:r>
          <w:r w:rsidRPr="009E7223">
            <w:t>.</w:t>
          </w:r>
        </w:p>
        <w:p w14:paraId="5D669656" w14:textId="20D72FD5" w:rsidR="00C86DAA" w:rsidRPr="009E7223" w:rsidRDefault="00C86DAA" w:rsidP="00B90947">
          <w:pPr>
            <w:pStyle w:val="Heading4"/>
          </w:pPr>
          <w:r w:rsidRPr="009E7223">
            <w:lastRenderedPageBreak/>
            <w:t xml:space="preserve">Submitters expressed a need to prioritise the use of harm minimisation technology, </w:t>
          </w:r>
          <w:r w:rsidR="00EA42C0">
            <w:t xml:space="preserve">with </w:t>
          </w:r>
          <w:r w:rsidRPr="009E7223">
            <w:t xml:space="preserve">MVE </w:t>
          </w:r>
          <w:r w:rsidR="00EA42C0">
            <w:t xml:space="preserve">considered </w:t>
          </w:r>
          <w:r w:rsidRPr="009E7223">
            <w:t>as an effective tool for harm minimisation</w:t>
          </w:r>
        </w:p>
        <w:p w14:paraId="43A24EF0" w14:textId="592860F9" w:rsidR="00C86DAA" w:rsidRPr="009E7223" w:rsidRDefault="00C86DAA" w:rsidP="00C86DAA">
          <w:pPr>
            <w:pStyle w:val="BodyText"/>
          </w:pPr>
          <w:r w:rsidRPr="009E7223">
            <w:t>Service Providers,</w:t>
          </w:r>
          <w:r w:rsidRPr="009E7223">
            <w:rPr>
              <w:rStyle w:val="FootnoteReference"/>
            </w:rPr>
            <w:footnoteReference w:id="274"/>
          </w:r>
          <w:r w:rsidRPr="009E7223">
            <w:t xml:space="preserve"> NCGM Sector submitters,</w:t>
          </w:r>
          <w:r w:rsidRPr="009E7223">
            <w:rPr>
              <w:rStyle w:val="FootnoteReference"/>
            </w:rPr>
            <w:footnoteReference w:id="275"/>
          </w:r>
          <w:r w:rsidRPr="009E7223">
            <w:t xml:space="preserve"> individuals</w:t>
          </w:r>
          <w:r w:rsidRPr="009E7223">
            <w:rPr>
              <w:rStyle w:val="FootnoteReference"/>
            </w:rPr>
            <w:footnoteReference w:id="276"/>
          </w:r>
          <w:r w:rsidRPr="009E7223">
            <w:t xml:space="preserve"> and one Gambling Industry (other) submitter</w:t>
          </w:r>
          <w:r w:rsidRPr="009E7223">
            <w:rPr>
              <w:rStyle w:val="FootnoteReference"/>
            </w:rPr>
            <w:footnoteReference w:id="277"/>
          </w:r>
          <w:r w:rsidRPr="009E7223">
            <w:t xml:space="preserve"> submitted that there should be a focus on harm minimisation technology over the next funding period, and particular</w:t>
          </w:r>
          <w:r w:rsidR="00743272" w:rsidRPr="009E7223">
            <w:t>ly the</w:t>
          </w:r>
          <w:r w:rsidRPr="009E7223">
            <w:t xml:space="preserve"> promotion of MVE as an effective harm minimisation tool. The use of MVE and facial recognition to monitor enforcement and prevent relapse has proven </w:t>
          </w:r>
          <w:r w:rsidR="00555813" w:rsidRPr="009E7223">
            <w:t xml:space="preserve">to be </w:t>
          </w:r>
          <w:r w:rsidRPr="009E7223">
            <w:t>valu</w:t>
          </w:r>
          <w:r w:rsidR="00555813" w:rsidRPr="009E7223">
            <w:t>abl</w:t>
          </w:r>
          <w:r w:rsidRPr="009E7223">
            <w:t>e, and the Ministry should take a lead in such technology by actively encouraging new initiatives and providing strong funding support.</w:t>
          </w:r>
        </w:p>
        <w:p w14:paraId="44BB2408" w14:textId="7D1D1096" w:rsidR="00C86DAA" w:rsidRPr="009E7223" w:rsidRDefault="00C86DAA" w:rsidP="00C86DAA">
          <w:pPr>
            <w:pStyle w:val="BodyText"/>
          </w:pPr>
          <w:r w:rsidRPr="009E7223">
            <w:t>Three NCGM sector submitters</w:t>
          </w:r>
          <w:r w:rsidRPr="009E7223">
            <w:rPr>
              <w:rStyle w:val="FootnoteReference"/>
            </w:rPr>
            <w:footnoteReference w:id="278"/>
          </w:r>
          <w:r w:rsidRPr="009E7223">
            <w:t xml:space="preserve"> suggested that the Ministry establish a technology fund </w:t>
          </w:r>
          <w:r w:rsidR="00743272" w:rsidRPr="009E7223">
            <w:t xml:space="preserve">to </w:t>
          </w:r>
          <w:r w:rsidRPr="009E7223">
            <w:t>which societies can apply for the start-up costs associated with installing new, voluntary, harm minimisation initiatives. They also considered that clear timeframes for implementation should be set.</w:t>
          </w:r>
        </w:p>
        <w:p w14:paraId="5A620E63" w14:textId="01668659" w:rsidR="00C86DAA" w:rsidRPr="009E7223" w:rsidRDefault="00C86DAA" w:rsidP="00C86DAA">
          <w:pPr>
            <w:pStyle w:val="BodyText"/>
          </w:pPr>
          <w:r w:rsidRPr="009E7223">
            <w:t>One Gambling Industry (other) submitter</w:t>
          </w:r>
          <w:r w:rsidRPr="009E7223">
            <w:rPr>
              <w:rStyle w:val="FootnoteReference"/>
            </w:rPr>
            <w:footnoteReference w:id="279"/>
          </w:r>
          <w:r w:rsidRPr="009E7223">
            <w:t xml:space="preserve"> noted that the main barrier to reducing the problem gambling rate further is the very high relapse rate. A well-coordinated MVE order system that automatically detects attempted exclusion order breaches would help prevent p</w:t>
          </w:r>
          <w:r w:rsidR="00555813" w:rsidRPr="009E7223">
            <w:t>eople</w:t>
          </w:r>
          <w:r w:rsidRPr="009E7223">
            <w:t xml:space="preserve"> from relapsing. This submitter considered that NCGM venues and societies are supportive of a secure national MVE database, and stated that positive industry support should be acted on. Uptake of facial recognition and confidence in the system would be improved if the Ministry owned the national database of excluded persons and provided access to the data to multiple accredited facial recognition providers. The submitter also suggested setting a clear goal of hav</w:t>
          </w:r>
          <w:r w:rsidR="00743272" w:rsidRPr="009E7223">
            <w:t>ing</w:t>
          </w:r>
          <w:r w:rsidRPr="009E7223">
            <w:t xml:space="preserve"> all New Zealand’s high-risk NCGM venues equipped with facial recognition by July 2022. This submitter and another NCGM section submitter</w:t>
          </w:r>
          <w:r w:rsidRPr="009E7223">
            <w:rPr>
              <w:rStyle w:val="FootnoteReference"/>
            </w:rPr>
            <w:footnoteReference w:id="280"/>
          </w:r>
          <w:r w:rsidRPr="009E7223">
            <w:t xml:space="preserve"> commented that the Ministry </w:t>
          </w:r>
          <w:r w:rsidR="00D244EB" w:rsidRPr="009E7223">
            <w:t>could</w:t>
          </w:r>
          <w:r w:rsidRPr="009E7223">
            <w:t xml:space="preserve"> purchase or contract with a commercial supplier of this kind of technology, and should do so.</w:t>
          </w:r>
        </w:p>
        <w:p w14:paraId="7ECED0BD" w14:textId="767F9280" w:rsidR="00C86DAA" w:rsidRPr="009E7223" w:rsidRDefault="00B90947" w:rsidP="00B90947">
          <w:pPr>
            <w:pStyle w:val="Heading4"/>
          </w:pPr>
          <w:r>
            <w:t>A</w:t>
          </w:r>
          <w:r w:rsidR="00C86DAA" w:rsidRPr="009E7223">
            <w:t>ctions to manage international online gambling-related harm were</w:t>
          </w:r>
          <w:r>
            <w:t xml:space="preserve"> considered</w:t>
          </w:r>
          <w:r w:rsidR="00C86DAA" w:rsidRPr="009E7223">
            <w:t xml:space="preserve"> important priorities</w:t>
          </w:r>
        </w:p>
        <w:p w14:paraId="5F2AEEA0" w14:textId="5DC249A6" w:rsidR="00C86DAA" w:rsidRPr="009E7223" w:rsidRDefault="00C86DAA" w:rsidP="00C86DAA">
          <w:pPr>
            <w:pStyle w:val="BodyText"/>
          </w:pPr>
          <w:r w:rsidRPr="009E7223">
            <w:t>Another strong theme regarding priority actions was the need to address the growing problem of online gambling-related harm, particularly from international providers.</w:t>
          </w:r>
        </w:p>
        <w:p w14:paraId="0D1155A8" w14:textId="685DACBD" w:rsidR="00C86DAA" w:rsidRPr="009E7223" w:rsidRDefault="00C86DAA" w:rsidP="00C86DAA">
          <w:pPr>
            <w:pStyle w:val="BodyText"/>
          </w:pPr>
          <w:r w:rsidRPr="009E7223">
            <w:t>One Service Provider</w:t>
          </w:r>
          <w:r w:rsidRPr="009E7223">
            <w:rPr>
              <w:rStyle w:val="FootnoteReference"/>
            </w:rPr>
            <w:footnoteReference w:id="281"/>
          </w:r>
          <w:r w:rsidRPr="009E7223">
            <w:t xml:space="preserve"> stated that low levels of help-seeking behaviour for online gambling</w:t>
          </w:r>
          <w:r w:rsidR="00D6631E" w:rsidRPr="009E7223">
            <w:t xml:space="preserve"> </w:t>
          </w:r>
          <w:r w:rsidRPr="009E7223">
            <w:t>related harm indicates that further innovative initiatives</w:t>
          </w:r>
          <w:r w:rsidR="00743272" w:rsidRPr="009E7223">
            <w:t xml:space="preserve"> are needed</w:t>
          </w:r>
          <w:r w:rsidRPr="009E7223">
            <w:t>. Another Service Provider</w:t>
          </w:r>
          <w:r w:rsidRPr="009E7223">
            <w:rPr>
              <w:rStyle w:val="FootnoteReference"/>
            </w:rPr>
            <w:footnoteReference w:id="282"/>
          </w:r>
          <w:r w:rsidRPr="009E7223">
            <w:t xml:space="preserve"> suggested that </w:t>
          </w:r>
          <w:r w:rsidR="00743272" w:rsidRPr="009E7223">
            <w:t xml:space="preserve">harm minimisation </w:t>
          </w:r>
          <w:r w:rsidRPr="009E7223">
            <w:t>advertising should be targeted at youth, as this is the group using online gambling most, and that</w:t>
          </w:r>
          <w:r w:rsidR="009220AC" w:rsidRPr="009E7223">
            <w:t xml:space="preserve"> this advertising</w:t>
          </w:r>
          <w:r w:rsidRPr="009E7223">
            <w:t xml:space="preserve"> should be monitored. This Service Provider advocated for gambling awareness ad</w:t>
          </w:r>
          <w:r w:rsidR="00743272" w:rsidRPr="009E7223">
            <w:t>vertisement</w:t>
          </w:r>
          <w:r w:rsidRPr="009E7223">
            <w:t xml:space="preserve">s to be </w:t>
          </w:r>
          <w:r w:rsidR="00743272" w:rsidRPr="009E7223">
            <w:t>placed alongside online</w:t>
          </w:r>
          <w:r w:rsidRPr="009E7223">
            <w:t xml:space="preserve"> gambling promotion</w:t>
          </w:r>
          <w:r w:rsidR="00743272" w:rsidRPr="009E7223">
            <w:t xml:space="preserve"> advertising.</w:t>
          </w:r>
          <w:r w:rsidRPr="009E7223">
            <w:t xml:space="preserve"> Another Service Provider</w:t>
          </w:r>
          <w:r w:rsidRPr="009E7223">
            <w:rPr>
              <w:rStyle w:val="FootnoteReference"/>
            </w:rPr>
            <w:footnoteReference w:id="283"/>
          </w:r>
          <w:r w:rsidRPr="009E7223">
            <w:t xml:space="preserve"> noted that while youth and gaming is mentioned by the Ministry as a future priority research project, there is nothing in</w:t>
          </w:r>
          <w:r w:rsidR="00743272" w:rsidRPr="009E7223">
            <w:t>cluded</w:t>
          </w:r>
          <w:r w:rsidRPr="009E7223">
            <w:t xml:space="preserve"> for intervention teams who are already working with youth under the age of 15 years. </w:t>
          </w:r>
        </w:p>
        <w:p w14:paraId="6D0FC63A" w14:textId="1AA3F234" w:rsidR="00C86DAA" w:rsidRPr="009E7223" w:rsidRDefault="00C86DAA" w:rsidP="00C86DAA">
          <w:pPr>
            <w:pStyle w:val="BodyText"/>
          </w:pPr>
          <w:r w:rsidRPr="009E7223">
            <w:lastRenderedPageBreak/>
            <w:t>One NCGM sector submitter</w:t>
          </w:r>
          <w:r w:rsidRPr="009E7223">
            <w:rPr>
              <w:rStyle w:val="FootnoteReference"/>
            </w:rPr>
            <w:footnoteReference w:id="284"/>
          </w:r>
          <w:r w:rsidRPr="009E7223">
            <w:t xml:space="preserve"> </w:t>
          </w:r>
          <w:r w:rsidR="00D244EB">
            <w:t>was</w:t>
          </w:r>
          <w:r w:rsidRPr="009E7223">
            <w:t xml:space="preserve"> concern</w:t>
          </w:r>
          <w:r w:rsidR="00D244EB">
            <w:t>ed</w:t>
          </w:r>
          <w:r w:rsidRPr="009E7223">
            <w:t xml:space="preserve"> that gamblers who are excluded from NCGM venues are turning to unsupervised online gambling, and that online providers should therefore be monitored, levied and taxed. </w:t>
          </w:r>
        </w:p>
        <w:p w14:paraId="113481C1" w14:textId="77777777" w:rsidR="00C86DAA" w:rsidRPr="009E7223" w:rsidRDefault="00C86DAA" w:rsidP="00C86DAA">
          <w:pPr>
            <w:pStyle w:val="BodyText"/>
          </w:pPr>
          <w:r w:rsidRPr="009E7223">
            <w:t>An individual submitter</w:t>
          </w:r>
          <w:r w:rsidRPr="009E7223">
            <w:rPr>
              <w:rStyle w:val="FootnoteReference"/>
            </w:rPr>
            <w:footnoteReference w:id="285"/>
          </w:r>
          <w:r w:rsidRPr="009E7223">
            <w:t xml:space="preserve"> considered that online gambling is not covered under the Act, and needs to be appropriately regulated. </w:t>
          </w:r>
        </w:p>
        <w:p w14:paraId="26628522" w14:textId="5D9EB428" w:rsidR="00C86DAA" w:rsidRPr="009E7223" w:rsidRDefault="00C86DAA" w:rsidP="00B90947">
          <w:pPr>
            <w:pStyle w:val="Heading4"/>
          </w:pPr>
          <w:r w:rsidRPr="009E7223">
            <w:t xml:space="preserve">Increasing the workforce capacity of Service Providers should be a priority action, </w:t>
          </w:r>
          <w:r w:rsidR="00D244EB">
            <w:t xml:space="preserve">especially </w:t>
          </w:r>
          <w:r w:rsidRPr="009E7223">
            <w:t>increasing the availability of online help services</w:t>
          </w:r>
        </w:p>
        <w:p w14:paraId="2C9A2FC9" w14:textId="7B7D1E36" w:rsidR="00C86DAA" w:rsidRPr="009E7223" w:rsidRDefault="00C86DAA" w:rsidP="00C86DAA">
          <w:pPr>
            <w:pStyle w:val="BodyText"/>
          </w:pPr>
          <w:r w:rsidRPr="009E7223">
            <w:t>Three Service Providers</w:t>
          </w:r>
          <w:r w:rsidRPr="009E7223">
            <w:rPr>
              <w:rStyle w:val="FootnoteReference"/>
            </w:rPr>
            <w:footnoteReference w:id="286"/>
          </w:r>
          <w:r w:rsidRPr="009E7223">
            <w:t xml:space="preserve"> and one individual</w:t>
          </w:r>
          <w:r w:rsidRPr="009E7223">
            <w:rPr>
              <w:rStyle w:val="FootnoteReference"/>
            </w:rPr>
            <w:footnoteReference w:id="287"/>
          </w:r>
          <w:r w:rsidRPr="009E7223">
            <w:t xml:space="preserve"> noted that people generally seek help via online methods as a first step. Therefore, there should be an immediate priority action to fund and develop online access and intervention tools for specialist gambling harm intervention services and provide training to the workforce in working across different modalities. In addition, digital services and promotion should be directed at vulnerable populations, including young people.</w:t>
          </w:r>
          <w:r w:rsidRPr="009E7223">
            <w:rPr>
              <w:rStyle w:val="FootnoteReference"/>
            </w:rPr>
            <w:footnoteReference w:id="288"/>
          </w:r>
          <w:r w:rsidRPr="009E7223">
            <w:t xml:space="preserve"> One Service Provider noted that </w:t>
          </w:r>
          <w:r w:rsidR="00876391" w:rsidRPr="009E7223">
            <w:t xml:space="preserve">since </w:t>
          </w:r>
          <w:r w:rsidRPr="009E7223">
            <w:t>rural communities often still do not have reliable access to internet, toll</w:t>
          </w:r>
          <w:r w:rsidR="00876391" w:rsidRPr="009E7223">
            <w:t>-</w:t>
          </w:r>
          <w:r w:rsidRPr="009E7223">
            <w:t>free helplines also still need to be available for all communities.</w:t>
          </w:r>
          <w:r w:rsidRPr="009E7223">
            <w:rPr>
              <w:rStyle w:val="FootnoteReference"/>
            </w:rPr>
            <w:footnoteReference w:id="289"/>
          </w:r>
        </w:p>
        <w:p w14:paraId="322801F8" w14:textId="60E212E5" w:rsidR="00C86DAA" w:rsidRPr="009E7223" w:rsidRDefault="00B90947" w:rsidP="00B90947">
          <w:pPr>
            <w:pStyle w:val="Heading4"/>
          </w:pPr>
          <w:r>
            <w:t>Additional p</w:t>
          </w:r>
          <w:r w:rsidR="00C86DAA" w:rsidRPr="009E7223">
            <w:t>riority actions included restrictions on advertising, support for vulnerable groups</w:t>
          </w:r>
          <w:r>
            <w:t>,</w:t>
          </w:r>
          <w:r w:rsidR="00C86DAA" w:rsidRPr="009E7223">
            <w:t xml:space="preserve"> and additional actions in terms of research areas</w:t>
          </w:r>
        </w:p>
        <w:p w14:paraId="43E059AA" w14:textId="753BA481" w:rsidR="00C86DAA" w:rsidRPr="009E7223" w:rsidRDefault="00C86DAA" w:rsidP="00C86DAA">
          <w:pPr>
            <w:pStyle w:val="BodyText"/>
          </w:pPr>
          <w:r w:rsidRPr="009E7223">
            <w:t>One Service Provider</w:t>
          </w:r>
          <w:r w:rsidRPr="009E7223">
            <w:rPr>
              <w:rStyle w:val="FootnoteReference"/>
            </w:rPr>
            <w:footnoteReference w:id="290"/>
          </w:r>
          <w:r w:rsidRPr="009E7223">
            <w:t xml:space="preserve"> wanted an action to increase restrictions on advertising and promotion of gambling, such as there is for alcohol, and another wanted more awareness of services for </w:t>
          </w:r>
          <w:r w:rsidR="00555813" w:rsidRPr="009E7223">
            <w:t xml:space="preserve">whanau that are experiencing harm from gambling – a group that </w:t>
          </w:r>
          <w:r w:rsidRPr="009E7223">
            <w:t>currently make up a low percentage of clients.</w:t>
          </w:r>
          <w:r w:rsidRPr="009E7223">
            <w:rPr>
              <w:rStyle w:val="FootnoteReference"/>
            </w:rPr>
            <w:footnoteReference w:id="291"/>
          </w:r>
        </w:p>
        <w:p w14:paraId="10DCAF0B" w14:textId="3DE57C5D" w:rsidR="00C86DAA" w:rsidRPr="009E7223" w:rsidRDefault="00555813" w:rsidP="00C86DAA">
          <w:pPr>
            <w:pStyle w:val="BodyText"/>
          </w:pPr>
          <w:r w:rsidRPr="009E7223">
            <w:t xml:space="preserve">Four </w:t>
          </w:r>
          <w:r w:rsidR="00C86DAA" w:rsidRPr="009E7223">
            <w:t xml:space="preserve">Service Providers also wanted additional actions to support vulnerable groups which they considered are not specifically highlighted in the Strategic </w:t>
          </w:r>
          <w:r w:rsidR="0065722E" w:rsidRPr="009E7223">
            <w:t>Framework</w:t>
          </w:r>
          <w:r w:rsidR="00C86DAA" w:rsidRPr="009E7223">
            <w:t>, including youth</w:t>
          </w:r>
          <w:r w:rsidR="00C86DAA" w:rsidRPr="009E7223">
            <w:rPr>
              <w:rStyle w:val="FootnoteReference"/>
            </w:rPr>
            <w:footnoteReference w:id="292"/>
          </w:r>
          <w:r w:rsidR="00C86DAA" w:rsidRPr="009E7223">
            <w:t xml:space="preserve"> and Asian populations.</w:t>
          </w:r>
          <w:r w:rsidR="00C86DAA" w:rsidRPr="009E7223">
            <w:rPr>
              <w:rStyle w:val="FootnoteReference"/>
            </w:rPr>
            <w:footnoteReference w:id="293"/>
          </w:r>
        </w:p>
        <w:p w14:paraId="7D33FC21" w14:textId="221E116E" w:rsidR="00C86DAA" w:rsidRPr="009E7223" w:rsidRDefault="00C86DAA" w:rsidP="00C86DAA">
          <w:pPr>
            <w:pStyle w:val="BodyText"/>
          </w:pPr>
          <w:r w:rsidRPr="009E7223">
            <w:t xml:space="preserve">A </w:t>
          </w:r>
          <w:r w:rsidR="003052F1" w:rsidRPr="009E7223">
            <w:t>Health sector</w:t>
          </w:r>
          <w:r w:rsidRPr="009E7223">
            <w:t xml:space="preserve"> submitter</w:t>
          </w:r>
          <w:r w:rsidRPr="009E7223">
            <w:rPr>
              <w:rStyle w:val="FootnoteReference"/>
            </w:rPr>
            <w:footnoteReference w:id="294"/>
          </w:r>
          <w:r w:rsidRPr="009E7223">
            <w:t xml:space="preserve"> suggested additional actions in terms of research areas, including:</w:t>
          </w:r>
        </w:p>
        <w:p w14:paraId="4E5C7499" w14:textId="768F7CA7" w:rsidR="00C86DAA" w:rsidRPr="009E7223" w:rsidRDefault="00C705FC" w:rsidP="00C86DAA">
          <w:pPr>
            <w:pStyle w:val="List-BulletLvl1"/>
          </w:pPr>
          <w:r w:rsidRPr="009E7223">
            <w:t xml:space="preserve">Gambling </w:t>
          </w:r>
          <w:r w:rsidR="00C86DAA" w:rsidRPr="009E7223">
            <w:t>grant funding distribution</w:t>
          </w:r>
        </w:p>
        <w:p w14:paraId="4BF2001A" w14:textId="79AE0EBF" w:rsidR="00C86DAA" w:rsidRPr="009E7223" w:rsidRDefault="00C705FC" w:rsidP="00C86DAA">
          <w:pPr>
            <w:pStyle w:val="List-BulletLvl1"/>
          </w:pPr>
          <w:r w:rsidRPr="009E7223">
            <w:t xml:space="preserve">Drivers </w:t>
          </w:r>
          <w:r w:rsidR="00C86DAA" w:rsidRPr="009E7223">
            <w:t>of health-depleting behaviour in the gambling industry, and</w:t>
          </w:r>
        </w:p>
        <w:p w14:paraId="1DFABC37" w14:textId="2578ADCC" w:rsidR="00C86DAA" w:rsidRPr="009E7223" w:rsidRDefault="00C705FC" w:rsidP="00C86DAA">
          <w:pPr>
            <w:pStyle w:val="List-BulletLvl1"/>
          </w:pPr>
          <w:r w:rsidRPr="009E7223">
            <w:t xml:space="preserve">The </w:t>
          </w:r>
          <w:r w:rsidR="00C86DAA" w:rsidRPr="009E7223">
            <w:t xml:space="preserve">efficacy of structural and environmental interventions to reduce problem gambling (for example, muting machines or banning alcohol consumption while gambling). </w:t>
          </w:r>
        </w:p>
        <w:p w14:paraId="37134A7F" w14:textId="77777777" w:rsidR="00C86DAA" w:rsidRPr="009E7223" w:rsidRDefault="00C86DAA" w:rsidP="00C86DAA">
          <w:pPr>
            <w:pStyle w:val="BodyText"/>
          </w:pPr>
          <w:r w:rsidRPr="009E7223">
            <w:t>Other suggested priority actions included:</w:t>
          </w:r>
        </w:p>
        <w:p w14:paraId="7A1DACAB" w14:textId="21B0410E" w:rsidR="00C86DAA" w:rsidRPr="009E7223" w:rsidRDefault="00C705FC" w:rsidP="00C86DAA">
          <w:pPr>
            <w:pStyle w:val="List-BulletLvl1"/>
          </w:pPr>
          <w:r w:rsidRPr="009E7223">
            <w:t xml:space="preserve">Greater </w:t>
          </w:r>
          <w:r w:rsidR="00C86DAA" w:rsidRPr="009E7223">
            <w:t>support for low and moderate risk gamblers, such as those using Lotto</w:t>
          </w:r>
          <w:r w:rsidR="00C86DAA" w:rsidRPr="009E7223">
            <w:rPr>
              <w:rStyle w:val="FootnoteReference"/>
            </w:rPr>
            <w:footnoteReference w:id="295"/>
          </w:r>
        </w:p>
        <w:p w14:paraId="5F7627B6" w14:textId="01BC76AE" w:rsidR="00C86DAA" w:rsidRPr="009E7223" w:rsidRDefault="00C705FC" w:rsidP="00C86DAA">
          <w:pPr>
            <w:pStyle w:val="List-BulletLvl1"/>
          </w:pPr>
          <w:r w:rsidRPr="009E7223">
            <w:t xml:space="preserve">Requiring </w:t>
          </w:r>
          <w:r w:rsidR="00C86DAA" w:rsidRPr="009E7223">
            <w:t>GPs to screen annually for addiction, abuse and mental health,</w:t>
          </w:r>
          <w:r w:rsidR="00C86DAA" w:rsidRPr="009E7223">
            <w:rPr>
              <w:rStyle w:val="FootnoteReference"/>
            </w:rPr>
            <w:footnoteReference w:id="296"/>
          </w:r>
          <w:r w:rsidR="00C86DAA" w:rsidRPr="009E7223">
            <w:t xml:space="preserve"> and</w:t>
          </w:r>
        </w:p>
        <w:p w14:paraId="52DE5A3E" w14:textId="77777777" w:rsidR="00C86DAA" w:rsidRPr="009E7223" w:rsidRDefault="00C86DAA" w:rsidP="00C86DAA">
          <w:pPr>
            <w:pStyle w:val="List-BulletLvl1"/>
          </w:pPr>
          <w:r w:rsidRPr="009E7223">
            <w:lastRenderedPageBreak/>
            <w:t>Responsible Gambling training to identify those who have established certain behaviours and may need to seek treatment.</w:t>
          </w:r>
          <w:r w:rsidRPr="009E7223">
            <w:rPr>
              <w:rStyle w:val="FootnoteReference"/>
            </w:rPr>
            <w:footnoteReference w:id="297"/>
          </w:r>
        </w:p>
        <w:p w14:paraId="1940B808" w14:textId="6BCBC123" w:rsidR="0063633E" w:rsidRPr="009E7223" w:rsidRDefault="00C86DAA" w:rsidP="00C86DAA">
          <w:pPr>
            <w:pStyle w:val="BodyText"/>
          </w:pPr>
          <w:r w:rsidRPr="009E7223">
            <w:t>The</w:t>
          </w:r>
          <w:r w:rsidR="00555813" w:rsidRPr="009E7223">
            <w:t>re was a</w:t>
          </w:r>
          <w:r w:rsidRPr="009E7223">
            <w:t xml:space="preserve"> cross-sector call for culturally-specific support services</w:t>
          </w:r>
          <w:r w:rsidR="00555813" w:rsidRPr="009E7223">
            <w:t>, including five Service Providers,</w:t>
          </w:r>
          <w:r w:rsidR="00555813" w:rsidRPr="009E7223">
            <w:rPr>
              <w:rStyle w:val="FootnoteReference"/>
            </w:rPr>
            <w:footnoteReference w:id="298"/>
          </w:r>
          <w:r w:rsidR="00555813" w:rsidRPr="009E7223">
            <w:t xml:space="preserve"> two Health sector submitters</w:t>
          </w:r>
          <w:r w:rsidRPr="009E7223">
            <w:t>,</w:t>
          </w:r>
          <w:r w:rsidR="00555813" w:rsidRPr="009E7223">
            <w:rPr>
              <w:rStyle w:val="FootnoteReference"/>
            </w:rPr>
            <w:footnoteReference w:id="299"/>
          </w:r>
          <w:r w:rsidR="00555813" w:rsidRPr="009E7223">
            <w:t xml:space="preserve"> </w:t>
          </w:r>
          <w:r w:rsidR="00A45049" w:rsidRPr="009E7223">
            <w:t>one NCGM sector submitter,</w:t>
          </w:r>
          <w:r w:rsidR="00A45049" w:rsidRPr="009E7223">
            <w:rPr>
              <w:rStyle w:val="FootnoteReference"/>
            </w:rPr>
            <w:footnoteReference w:id="300"/>
          </w:r>
          <w:r w:rsidR="00555813" w:rsidRPr="009E7223">
            <w:t xml:space="preserve"> </w:t>
          </w:r>
          <w:r w:rsidR="00A45049" w:rsidRPr="009E7223">
            <w:t>and one Individual,</w:t>
          </w:r>
          <w:r w:rsidR="00A45049" w:rsidRPr="009E7223">
            <w:rPr>
              <w:rStyle w:val="FootnoteReference"/>
            </w:rPr>
            <w:footnoteReference w:id="301"/>
          </w:r>
          <w:r w:rsidRPr="009E7223">
            <w:t xml:space="preserve"> and recognition of problem-gambling as an issue in combination with other mental health and addiction issues</w:t>
          </w:r>
          <w:r w:rsidR="00A45049" w:rsidRPr="009E7223">
            <w:t>.</w:t>
          </w:r>
          <w:r w:rsidRPr="009E7223">
            <w:rPr>
              <w:rStyle w:val="FootnoteReference"/>
            </w:rPr>
            <w:footnoteReference w:id="302"/>
          </w:r>
          <w:r w:rsidRPr="009E7223">
            <w:t xml:space="preserve"> </w:t>
          </w:r>
          <w:r w:rsidR="00A45049" w:rsidRPr="009E7223">
            <w:t xml:space="preserve">These points, which are </w:t>
          </w:r>
          <w:r w:rsidRPr="009E7223">
            <w:t xml:space="preserve">discussed above in </w:t>
          </w:r>
          <w:r w:rsidR="00966A7E">
            <w:t xml:space="preserve">the section </w:t>
          </w:r>
          <w:r w:rsidR="00966A7E">
            <w:rPr>
              <w:i/>
            </w:rPr>
            <w:t xml:space="preserve">Priority actions intended to reduce inequality and inequity </w:t>
          </w:r>
          <w:r w:rsidRPr="009E7223">
            <w:t xml:space="preserve">were also reiterated. </w:t>
          </w:r>
          <w:r w:rsidR="0063633E" w:rsidRPr="009E7223">
            <w:br w:type="page"/>
          </w:r>
        </w:p>
        <w:p w14:paraId="67854A88" w14:textId="77777777" w:rsidR="0094303A" w:rsidRPr="009E7223" w:rsidRDefault="0094303A" w:rsidP="0094303A">
          <w:pPr>
            <w:pStyle w:val="NumberedHeading1"/>
          </w:pPr>
          <w:bookmarkStart w:id="60" w:name="_Toc531098166"/>
          <w:r w:rsidRPr="009E7223">
            <w:lastRenderedPageBreak/>
            <w:t>The draft Service Plan</w:t>
          </w:r>
          <w:bookmarkEnd w:id="60"/>
        </w:p>
        <w:p w14:paraId="705C2B5B" w14:textId="60C3C24D" w:rsidR="00CD6704" w:rsidRPr="009E7223" w:rsidRDefault="00CD6704" w:rsidP="00CD6704">
          <w:pPr>
            <w:pStyle w:val="BodyText"/>
          </w:pPr>
          <w:r w:rsidRPr="009E7223">
            <w:t>This part of this report outlines the commentary received from submitters on the draft Service Plan. It covers:</w:t>
          </w:r>
        </w:p>
        <w:p w14:paraId="4DC022B1" w14:textId="77777777" w:rsidR="0094303A" w:rsidRPr="009E7223" w:rsidRDefault="0094303A" w:rsidP="0094303A">
          <w:pPr>
            <w:pStyle w:val="List-BulletLvl1"/>
          </w:pPr>
          <w:r w:rsidRPr="009E7223">
            <w:t>Satisfaction (or otherwise) with the direction and overall content of the draft Service Plan, and</w:t>
          </w:r>
        </w:p>
        <w:p w14:paraId="5EFFBBF0" w14:textId="7B2EAE23" w:rsidR="0094303A" w:rsidRPr="009E7223" w:rsidRDefault="0094303A" w:rsidP="0094303A">
          <w:pPr>
            <w:pStyle w:val="List-BulletLvl1"/>
          </w:pPr>
          <w:r w:rsidRPr="009E7223">
            <w:t>The proposed funding allocation and activities, and opinions about the key service areas</w:t>
          </w:r>
          <w:r w:rsidR="0066715F" w:rsidRPr="009E7223">
            <w:t xml:space="preserve"> including</w:t>
          </w:r>
          <w:r w:rsidRPr="009E7223">
            <w:t>:</w:t>
          </w:r>
        </w:p>
        <w:p w14:paraId="13D9C5A6" w14:textId="55282DFE" w:rsidR="0094303A" w:rsidRPr="009E7223" w:rsidRDefault="00B42C19" w:rsidP="0094303A">
          <w:pPr>
            <w:pStyle w:val="List-BulletLvl2"/>
          </w:pPr>
          <w:r w:rsidRPr="009E7223">
            <w:t>P</w:t>
          </w:r>
          <w:r w:rsidR="0094303A" w:rsidRPr="009E7223">
            <w:t>ublic health services</w:t>
          </w:r>
        </w:p>
        <w:p w14:paraId="24803484" w14:textId="24C2B931" w:rsidR="0094303A" w:rsidRPr="009E7223" w:rsidRDefault="00B42C19" w:rsidP="0094303A">
          <w:pPr>
            <w:pStyle w:val="List-BulletLvl2"/>
          </w:pPr>
          <w:r w:rsidRPr="009E7223">
            <w:t>I</w:t>
          </w:r>
          <w:r w:rsidR="0094303A" w:rsidRPr="009E7223">
            <w:t>ntervention services</w:t>
          </w:r>
        </w:p>
        <w:p w14:paraId="656B832B" w14:textId="135CAB3E" w:rsidR="0094303A" w:rsidRPr="009E7223" w:rsidRDefault="00B42C19" w:rsidP="0094303A">
          <w:pPr>
            <w:pStyle w:val="List-BulletLvl2"/>
          </w:pPr>
          <w:r w:rsidRPr="009E7223">
            <w:t>R</w:t>
          </w:r>
          <w:r w:rsidR="0094303A" w:rsidRPr="009E7223">
            <w:t>esearch and evaluation, and</w:t>
          </w:r>
        </w:p>
        <w:p w14:paraId="6893F2F1" w14:textId="77777777" w:rsidR="0094303A" w:rsidRPr="009E7223" w:rsidRDefault="0094303A" w:rsidP="0094303A">
          <w:pPr>
            <w:pStyle w:val="List-BulletLvl2"/>
          </w:pPr>
          <w:r w:rsidRPr="009E7223">
            <w:t>Ministry operating costs.</w:t>
          </w:r>
        </w:p>
        <w:p w14:paraId="0EDBFE17" w14:textId="606E62A3" w:rsidR="0094303A" w:rsidRPr="009E7223" w:rsidRDefault="0094303A" w:rsidP="0094303A">
          <w:pPr>
            <w:pStyle w:val="BodyText"/>
          </w:pPr>
          <w:r w:rsidRPr="009E7223">
            <w:t xml:space="preserve">Five questions were asked, four of which included ‘Yes/No’ responses. </w:t>
          </w:r>
          <w:r w:rsidRPr="009E7223">
            <w:fldChar w:fldCharType="begin"/>
          </w:r>
          <w:r w:rsidRPr="009E7223">
            <w:instrText xml:space="preserve"> REF _Ref527705818 \h </w:instrText>
          </w:r>
          <w:r w:rsidRPr="009E7223">
            <w:fldChar w:fldCharType="separate"/>
          </w:r>
          <w:r w:rsidR="00CE4EFF" w:rsidRPr="009E7223">
            <w:t xml:space="preserve">Table </w:t>
          </w:r>
          <w:r w:rsidR="00CE4EFF">
            <w:rPr>
              <w:noProof/>
            </w:rPr>
            <w:t>5</w:t>
          </w:r>
          <w:r w:rsidRPr="009E7223">
            <w:fldChar w:fldCharType="end"/>
          </w:r>
          <w:r w:rsidRPr="009E7223">
            <w:t xml:space="preserve"> shows the wording of these questions and the number of submitters who responded, by response. Sometimes the narrative response suggested that support was qualified or conditional, in which case the ‘Yes’ response was altered to ‘Qualified Support’, at the request of the Ministry.</w:t>
          </w:r>
        </w:p>
        <w:p w14:paraId="28AF7978" w14:textId="7F00C942" w:rsidR="0094303A" w:rsidRPr="009E7223" w:rsidRDefault="0094303A" w:rsidP="0094303A">
          <w:pPr>
            <w:pStyle w:val="Caption"/>
            <w:keepNext/>
          </w:pPr>
          <w:bookmarkStart w:id="61" w:name="_Ref527705818"/>
          <w:bookmarkStart w:id="62" w:name="_Toc529787386"/>
          <w:r w:rsidRPr="009E7223">
            <w:t xml:space="preserve">Table </w:t>
          </w:r>
          <w:r w:rsidR="000939D4" w:rsidRPr="009E7223">
            <w:rPr>
              <w:noProof/>
            </w:rPr>
            <w:fldChar w:fldCharType="begin"/>
          </w:r>
          <w:r w:rsidR="000939D4" w:rsidRPr="009E7223">
            <w:rPr>
              <w:noProof/>
            </w:rPr>
            <w:instrText xml:space="preserve"> SEQ Table \* ARABIC </w:instrText>
          </w:r>
          <w:r w:rsidR="000939D4" w:rsidRPr="009E7223">
            <w:rPr>
              <w:noProof/>
            </w:rPr>
            <w:fldChar w:fldCharType="separate"/>
          </w:r>
          <w:r w:rsidR="00CE4EFF">
            <w:rPr>
              <w:noProof/>
            </w:rPr>
            <w:t>5</w:t>
          </w:r>
          <w:r w:rsidR="000939D4" w:rsidRPr="009E7223">
            <w:rPr>
              <w:noProof/>
            </w:rPr>
            <w:fldChar w:fldCharType="end"/>
          </w:r>
          <w:bookmarkEnd w:id="61"/>
          <w:r w:rsidRPr="009E7223">
            <w:t xml:space="preserve">: Questions about the draft Service Plan from the </w:t>
          </w:r>
          <w:r w:rsidR="002E446A" w:rsidRPr="009E7223">
            <w:t>c</w:t>
          </w:r>
          <w:r w:rsidRPr="009E7223">
            <w:t xml:space="preserve">onsultation </w:t>
          </w:r>
          <w:r w:rsidR="002E446A" w:rsidRPr="009E7223">
            <w:t>d</w:t>
          </w:r>
          <w:r w:rsidRPr="009E7223">
            <w:t>ocument</w:t>
          </w:r>
          <w:bookmarkEnd w:id="62"/>
        </w:p>
        <w:tbl>
          <w:tblPr>
            <w:tblStyle w:val="ACGrey-BasicTable"/>
            <w:tblW w:w="0" w:type="auto"/>
            <w:tblLook w:val="04A0" w:firstRow="1" w:lastRow="0" w:firstColumn="1" w:lastColumn="0" w:noHBand="0" w:noVBand="1"/>
          </w:tblPr>
          <w:tblGrid>
            <w:gridCol w:w="4657"/>
            <w:gridCol w:w="1041"/>
            <w:gridCol w:w="1156"/>
            <w:gridCol w:w="1215"/>
            <w:gridCol w:w="992"/>
          </w:tblGrid>
          <w:tr w:rsidR="0066715F" w:rsidRPr="009E7223" w14:paraId="099B7F9D" w14:textId="362E8F94" w:rsidTr="0066715F">
            <w:trPr>
              <w:cnfStyle w:val="100000000000" w:firstRow="1" w:lastRow="0" w:firstColumn="0" w:lastColumn="0" w:oddVBand="0" w:evenVBand="0" w:oddHBand="0" w:evenHBand="0" w:firstRowFirstColumn="0" w:firstRowLastColumn="0" w:lastRowFirstColumn="0" w:lastRowLastColumn="0"/>
            </w:trPr>
            <w:tc>
              <w:tcPr>
                <w:tcW w:w="4657" w:type="dxa"/>
                <w:tcBorders>
                  <w:top w:val="single" w:sz="4" w:space="0" w:color="36424A" w:themeColor="text2"/>
                  <w:left w:val="single" w:sz="4" w:space="0" w:color="36424A" w:themeColor="text2"/>
                  <w:bottom w:val="single" w:sz="4" w:space="0" w:color="36424A" w:themeColor="text2"/>
                  <w:right w:val="single" w:sz="4" w:space="0" w:color="36424A" w:themeColor="text2"/>
                </w:tcBorders>
                <w:vAlign w:val="center"/>
              </w:tcPr>
              <w:p w14:paraId="72478C6F" w14:textId="590CC290" w:rsidR="00CD6704" w:rsidRPr="009E7223" w:rsidRDefault="0066715F" w:rsidP="0066715F">
                <w:pPr>
                  <w:rPr>
                    <w:rFonts w:ascii="Calibri" w:hAnsi="Calibri" w:cs="Calibri"/>
                  </w:rPr>
                </w:pPr>
                <w:r w:rsidRPr="009E7223">
                  <w:rPr>
                    <w:rFonts w:ascii="Calibri" w:hAnsi="Calibri" w:cs="Calibri"/>
                  </w:rPr>
                  <w:t>Question</w:t>
                </w:r>
              </w:p>
            </w:tc>
            <w:tc>
              <w:tcPr>
                <w:tcW w:w="1041" w:type="dxa"/>
                <w:tcBorders>
                  <w:top w:val="single" w:sz="4" w:space="0" w:color="36424A" w:themeColor="text2"/>
                  <w:left w:val="single" w:sz="4" w:space="0" w:color="36424A" w:themeColor="text2"/>
                  <w:bottom w:val="single" w:sz="4" w:space="0" w:color="36424A" w:themeColor="text2"/>
                  <w:right w:val="single" w:sz="4" w:space="0" w:color="36424A" w:themeColor="text2"/>
                </w:tcBorders>
                <w:vAlign w:val="center"/>
              </w:tcPr>
              <w:p w14:paraId="3DE36820" w14:textId="78A57246" w:rsidR="00CD6704" w:rsidRPr="009E7223" w:rsidRDefault="0066715F" w:rsidP="0066715F">
                <w:pPr>
                  <w:pStyle w:val="BodyText"/>
                  <w:ind w:firstLine="122"/>
                  <w:jc w:val="center"/>
                </w:pPr>
                <w:r w:rsidRPr="009E7223">
                  <w:t>Yes</w:t>
                </w:r>
              </w:p>
            </w:tc>
            <w:tc>
              <w:tcPr>
                <w:tcW w:w="1156" w:type="dxa"/>
                <w:tcBorders>
                  <w:top w:val="single" w:sz="4" w:space="0" w:color="36424A" w:themeColor="text2"/>
                  <w:left w:val="single" w:sz="4" w:space="0" w:color="36424A" w:themeColor="text2"/>
                  <w:bottom w:val="single" w:sz="4" w:space="0" w:color="36424A" w:themeColor="text2"/>
                  <w:right w:val="single" w:sz="4" w:space="0" w:color="36424A" w:themeColor="text2"/>
                </w:tcBorders>
                <w:vAlign w:val="center"/>
              </w:tcPr>
              <w:p w14:paraId="581E5962" w14:textId="5AAB366D" w:rsidR="00CD6704" w:rsidRPr="009E7223" w:rsidRDefault="0066715F" w:rsidP="0066715F">
                <w:pPr>
                  <w:pStyle w:val="BodyText"/>
                  <w:ind w:firstLine="122"/>
                  <w:jc w:val="center"/>
                </w:pPr>
                <w:r w:rsidRPr="009E7223">
                  <w:t>No</w:t>
                </w:r>
              </w:p>
            </w:tc>
            <w:tc>
              <w:tcPr>
                <w:tcW w:w="1215" w:type="dxa"/>
                <w:tcBorders>
                  <w:top w:val="single" w:sz="4" w:space="0" w:color="36424A" w:themeColor="text2"/>
                  <w:left w:val="single" w:sz="4" w:space="0" w:color="36424A" w:themeColor="text2"/>
                  <w:bottom w:val="single" w:sz="4" w:space="0" w:color="36424A" w:themeColor="text2"/>
                  <w:right w:val="single" w:sz="4" w:space="0" w:color="36424A" w:themeColor="text2"/>
                </w:tcBorders>
                <w:vAlign w:val="center"/>
              </w:tcPr>
              <w:p w14:paraId="1F57E290" w14:textId="2F022D60" w:rsidR="00CD6704" w:rsidRPr="009E7223" w:rsidRDefault="0066715F" w:rsidP="0066715F">
                <w:pPr>
                  <w:pStyle w:val="BodyText"/>
                  <w:ind w:firstLine="122"/>
                  <w:jc w:val="center"/>
                </w:pPr>
                <w:r w:rsidRPr="009E7223">
                  <w:t>Qualified Support</w:t>
                </w:r>
              </w:p>
            </w:tc>
            <w:tc>
              <w:tcPr>
                <w:tcW w:w="992" w:type="dxa"/>
                <w:tcBorders>
                  <w:top w:val="single" w:sz="4" w:space="0" w:color="36424A" w:themeColor="text2"/>
                  <w:left w:val="single" w:sz="4" w:space="0" w:color="36424A" w:themeColor="text2"/>
                  <w:bottom w:val="single" w:sz="4" w:space="0" w:color="36424A" w:themeColor="text2"/>
                  <w:right w:val="single" w:sz="4" w:space="0" w:color="36424A" w:themeColor="text2"/>
                </w:tcBorders>
                <w:vAlign w:val="center"/>
              </w:tcPr>
              <w:p w14:paraId="3346FC41" w14:textId="7F5266C9" w:rsidR="00CD6704" w:rsidRPr="009E7223" w:rsidRDefault="0066715F" w:rsidP="0066715F">
                <w:pPr>
                  <w:pStyle w:val="BodyText"/>
                  <w:ind w:firstLine="122"/>
                  <w:jc w:val="center"/>
                  <w:rPr>
                    <w:b w:val="0"/>
                  </w:rPr>
                </w:pPr>
                <w:r w:rsidRPr="009E7223">
                  <w:t>Total</w:t>
                </w:r>
              </w:p>
            </w:tc>
          </w:tr>
          <w:tr w:rsidR="0066715F" w:rsidRPr="009E7223" w14:paraId="5AE5450A" w14:textId="77777777" w:rsidTr="00CD6704">
            <w:tc>
              <w:tcPr>
                <w:tcW w:w="4657" w:type="dxa"/>
                <w:tcBorders>
                  <w:top w:val="single" w:sz="4" w:space="0" w:color="36424A" w:themeColor="text2"/>
                  <w:left w:val="single" w:sz="4" w:space="0" w:color="36424A" w:themeColor="text2"/>
                  <w:bottom w:val="single" w:sz="4" w:space="0" w:color="36424A" w:themeColor="text2"/>
                  <w:right w:val="single" w:sz="4" w:space="0" w:color="36424A" w:themeColor="text2"/>
                </w:tcBorders>
              </w:tcPr>
              <w:p w14:paraId="2DB1DCAB" w14:textId="68D552BC" w:rsidR="0066715F" w:rsidRPr="009E7223" w:rsidRDefault="0066715F" w:rsidP="0066715F">
                <w:pPr>
                  <w:jc w:val="both"/>
                  <w:rPr>
                    <w:rFonts w:ascii="Calibri" w:hAnsi="Calibri" w:cs="Calibri"/>
                    <w:color w:val="000000"/>
                  </w:rPr>
                </w:pPr>
                <w:r w:rsidRPr="009E7223">
                  <w:rPr>
                    <w:rFonts w:ascii="Calibri" w:hAnsi="Calibri" w:cs="Calibri"/>
                    <w:color w:val="000000"/>
                  </w:rPr>
                  <w:t>6. Does the draft service plan adequately cover what it needs to cover, for example, does it include the right types of services and activities?</w:t>
                </w:r>
              </w:p>
            </w:tc>
            <w:tc>
              <w:tcPr>
                <w:tcW w:w="1041" w:type="dxa"/>
                <w:tcBorders>
                  <w:top w:val="single" w:sz="4" w:space="0" w:color="36424A" w:themeColor="text2"/>
                  <w:left w:val="single" w:sz="4" w:space="0" w:color="36424A" w:themeColor="text2"/>
                  <w:bottom w:val="single" w:sz="4" w:space="0" w:color="36424A" w:themeColor="text2"/>
                  <w:right w:val="single" w:sz="4" w:space="0" w:color="36424A" w:themeColor="text2"/>
                </w:tcBorders>
              </w:tcPr>
              <w:p w14:paraId="1B6B4E5C" w14:textId="5AD3D4A1" w:rsidR="0066715F" w:rsidRPr="009E7223" w:rsidRDefault="0066715F" w:rsidP="0066715F">
                <w:pPr>
                  <w:pStyle w:val="BodyText"/>
                  <w:ind w:firstLine="122"/>
                  <w:jc w:val="center"/>
                </w:pPr>
                <w:r w:rsidRPr="009E7223">
                  <w:t>20</w:t>
                </w:r>
              </w:p>
            </w:tc>
            <w:tc>
              <w:tcPr>
                <w:tcW w:w="1156" w:type="dxa"/>
                <w:tcBorders>
                  <w:top w:val="single" w:sz="4" w:space="0" w:color="36424A" w:themeColor="text2"/>
                  <w:left w:val="single" w:sz="4" w:space="0" w:color="36424A" w:themeColor="text2"/>
                  <w:bottom w:val="single" w:sz="4" w:space="0" w:color="36424A" w:themeColor="text2"/>
                  <w:right w:val="single" w:sz="4" w:space="0" w:color="36424A" w:themeColor="text2"/>
                </w:tcBorders>
              </w:tcPr>
              <w:p w14:paraId="7EA9E8C6" w14:textId="0B9118A1" w:rsidR="0066715F" w:rsidRPr="009E7223" w:rsidRDefault="0066715F" w:rsidP="0066715F">
                <w:pPr>
                  <w:pStyle w:val="BodyText"/>
                  <w:ind w:firstLine="122"/>
                  <w:jc w:val="center"/>
                </w:pPr>
                <w:r w:rsidRPr="009E7223">
                  <w:t>16</w:t>
                </w:r>
              </w:p>
            </w:tc>
            <w:tc>
              <w:tcPr>
                <w:tcW w:w="1215" w:type="dxa"/>
                <w:tcBorders>
                  <w:top w:val="single" w:sz="4" w:space="0" w:color="36424A" w:themeColor="text2"/>
                  <w:left w:val="single" w:sz="4" w:space="0" w:color="36424A" w:themeColor="text2"/>
                  <w:bottom w:val="single" w:sz="4" w:space="0" w:color="36424A" w:themeColor="text2"/>
                  <w:right w:val="single" w:sz="4" w:space="0" w:color="36424A" w:themeColor="text2"/>
                </w:tcBorders>
              </w:tcPr>
              <w:p w14:paraId="5753ED76" w14:textId="586AA0CB" w:rsidR="0066715F" w:rsidRPr="009E7223" w:rsidRDefault="0066715F" w:rsidP="0066715F">
                <w:pPr>
                  <w:pStyle w:val="BodyText"/>
                  <w:ind w:firstLine="122"/>
                  <w:jc w:val="center"/>
                </w:pPr>
                <w:r w:rsidRPr="009E7223">
                  <w:t>2</w:t>
                </w:r>
              </w:p>
            </w:tc>
            <w:tc>
              <w:tcPr>
                <w:tcW w:w="992" w:type="dxa"/>
                <w:tcBorders>
                  <w:top w:val="single" w:sz="4" w:space="0" w:color="36424A" w:themeColor="text2"/>
                  <w:left w:val="single" w:sz="4" w:space="0" w:color="36424A" w:themeColor="text2"/>
                  <w:bottom w:val="single" w:sz="4" w:space="0" w:color="36424A" w:themeColor="text2"/>
                  <w:right w:val="single" w:sz="4" w:space="0" w:color="36424A" w:themeColor="text2"/>
                </w:tcBorders>
              </w:tcPr>
              <w:p w14:paraId="49C9B9AF" w14:textId="0DA77074" w:rsidR="0066715F" w:rsidRPr="009E7223" w:rsidRDefault="0066715F" w:rsidP="0066715F">
                <w:pPr>
                  <w:pStyle w:val="BodyText"/>
                  <w:ind w:firstLine="122"/>
                  <w:jc w:val="center"/>
                  <w:rPr>
                    <w:b/>
                  </w:rPr>
                </w:pPr>
                <w:r w:rsidRPr="009E7223">
                  <w:rPr>
                    <w:b/>
                  </w:rPr>
                  <w:t>38</w:t>
                </w:r>
              </w:p>
            </w:tc>
          </w:tr>
          <w:tr w:rsidR="0066715F" w:rsidRPr="009E7223" w14:paraId="2E539985" w14:textId="45481B23" w:rsidTr="00CD6704">
            <w:tc>
              <w:tcPr>
                <w:tcW w:w="4657"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2D7B6096" w14:textId="77777777" w:rsidR="0066715F" w:rsidRPr="009E7223" w:rsidRDefault="0066715F" w:rsidP="0066715F">
                <w:pPr>
                  <w:jc w:val="both"/>
                  <w:rPr>
                    <w:rFonts w:ascii="Calibri" w:hAnsi="Calibri" w:cs="Calibri"/>
                    <w:color w:val="000000"/>
                  </w:rPr>
                </w:pPr>
                <w:r w:rsidRPr="009E7223">
                  <w:rPr>
                    <w:rFonts w:ascii="Calibri" w:hAnsi="Calibri" w:cs="Calibri"/>
                    <w:color w:val="000000"/>
                  </w:rPr>
                  <w:t>7. Does the draft service plan provide the right mix of activities (public health, intervention and research/evaluation) including line item activities in tables 14-17?</w:t>
                </w:r>
              </w:p>
            </w:tc>
            <w:tc>
              <w:tcPr>
                <w:tcW w:w="104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713516F5" w14:textId="77777777" w:rsidR="0066715F" w:rsidRPr="009E7223" w:rsidRDefault="0066715F" w:rsidP="0066715F">
                <w:pPr>
                  <w:pStyle w:val="BodyText"/>
                  <w:ind w:firstLine="122"/>
                  <w:jc w:val="center"/>
                </w:pPr>
                <w:r w:rsidRPr="009E7223">
                  <w:t>21</w:t>
                </w:r>
              </w:p>
            </w:tc>
            <w:tc>
              <w:tcPr>
                <w:tcW w:w="1156"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1CBEA540" w14:textId="77777777" w:rsidR="0066715F" w:rsidRPr="009E7223" w:rsidRDefault="0066715F" w:rsidP="0066715F">
                <w:pPr>
                  <w:pStyle w:val="BodyText"/>
                  <w:ind w:firstLine="122"/>
                  <w:jc w:val="center"/>
                </w:pPr>
                <w:r w:rsidRPr="009E7223">
                  <w:t>24</w:t>
                </w:r>
              </w:p>
            </w:tc>
            <w:tc>
              <w:tcPr>
                <w:tcW w:w="121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58D63F9F" w14:textId="77777777" w:rsidR="0066715F" w:rsidRPr="009E7223" w:rsidRDefault="0066715F" w:rsidP="00130B64">
                <w:pPr>
                  <w:pStyle w:val="BodyText"/>
                  <w:ind w:firstLine="122"/>
                  <w:jc w:val="center"/>
                </w:pPr>
                <w:r w:rsidRPr="009E7223">
                  <w:t>3</w:t>
                </w:r>
              </w:p>
            </w:tc>
            <w:tc>
              <w:tcPr>
                <w:tcW w:w="992" w:type="dxa"/>
                <w:tcBorders>
                  <w:top w:val="single" w:sz="4" w:space="0" w:color="36424A" w:themeColor="text2"/>
                  <w:left w:val="single" w:sz="4" w:space="0" w:color="36424A" w:themeColor="text2"/>
                  <w:bottom w:val="single" w:sz="4" w:space="0" w:color="36424A" w:themeColor="text2"/>
                  <w:right w:val="single" w:sz="4" w:space="0" w:color="36424A" w:themeColor="text2"/>
                </w:tcBorders>
              </w:tcPr>
              <w:p w14:paraId="7A45D92A" w14:textId="36BF75BD" w:rsidR="0066715F" w:rsidRPr="009E7223" w:rsidRDefault="0066715F" w:rsidP="00130B64">
                <w:pPr>
                  <w:pStyle w:val="BodyText"/>
                  <w:ind w:firstLine="122"/>
                  <w:jc w:val="center"/>
                  <w:rPr>
                    <w:b/>
                  </w:rPr>
                </w:pPr>
                <w:r w:rsidRPr="009E7223">
                  <w:rPr>
                    <w:b/>
                  </w:rPr>
                  <w:t>48</w:t>
                </w:r>
              </w:p>
            </w:tc>
          </w:tr>
          <w:tr w:rsidR="0066715F" w:rsidRPr="009E7223" w14:paraId="291F0598" w14:textId="64A91D16" w:rsidTr="00CD6704">
            <w:tc>
              <w:tcPr>
                <w:tcW w:w="4657"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5835463A" w14:textId="77777777" w:rsidR="0066715F" w:rsidRPr="009E7223" w:rsidRDefault="0066715F" w:rsidP="0066715F">
                <w:pPr>
                  <w:jc w:val="both"/>
                  <w:rPr>
                    <w:rFonts w:ascii="Calibri" w:hAnsi="Calibri" w:cs="Calibri"/>
                    <w:color w:val="000000"/>
                  </w:rPr>
                </w:pPr>
                <w:r w:rsidRPr="009E7223">
                  <w:rPr>
                    <w:rFonts w:ascii="Calibri" w:hAnsi="Calibri" w:cs="Calibri"/>
                    <w:color w:val="000000"/>
                  </w:rPr>
                  <w:t>9.Do you think the total indicative funding appropriation ($55.339 million over three years) proposed in the draft service plan is appropriate?</w:t>
                </w:r>
              </w:p>
            </w:tc>
            <w:tc>
              <w:tcPr>
                <w:tcW w:w="104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0ED400C8" w14:textId="77777777" w:rsidR="0066715F" w:rsidRPr="009E7223" w:rsidRDefault="0066715F" w:rsidP="0066715F">
                <w:pPr>
                  <w:pStyle w:val="BodyText"/>
                  <w:ind w:firstLine="122"/>
                  <w:jc w:val="center"/>
                </w:pPr>
                <w:r w:rsidRPr="009E7223">
                  <w:t>13</w:t>
                </w:r>
              </w:p>
            </w:tc>
            <w:tc>
              <w:tcPr>
                <w:tcW w:w="1156"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762EA6BC" w14:textId="77777777" w:rsidR="0066715F" w:rsidRPr="009E7223" w:rsidRDefault="0066715F" w:rsidP="0066715F">
                <w:pPr>
                  <w:pStyle w:val="BodyText"/>
                  <w:ind w:firstLine="122"/>
                  <w:jc w:val="center"/>
                </w:pPr>
                <w:r w:rsidRPr="009E7223">
                  <w:t>38</w:t>
                </w:r>
              </w:p>
            </w:tc>
            <w:tc>
              <w:tcPr>
                <w:tcW w:w="121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76BF6F55" w14:textId="77777777" w:rsidR="0066715F" w:rsidRPr="009E7223" w:rsidRDefault="0066715F" w:rsidP="00130B64">
                <w:pPr>
                  <w:pStyle w:val="BodyText"/>
                  <w:ind w:firstLine="122"/>
                  <w:jc w:val="center"/>
                </w:pPr>
                <w:r w:rsidRPr="009E7223">
                  <w:t>3</w:t>
                </w:r>
              </w:p>
            </w:tc>
            <w:tc>
              <w:tcPr>
                <w:tcW w:w="992" w:type="dxa"/>
                <w:tcBorders>
                  <w:top w:val="single" w:sz="4" w:space="0" w:color="36424A" w:themeColor="text2"/>
                  <w:left w:val="single" w:sz="4" w:space="0" w:color="36424A" w:themeColor="text2"/>
                  <w:bottom w:val="single" w:sz="4" w:space="0" w:color="36424A" w:themeColor="text2"/>
                  <w:right w:val="single" w:sz="4" w:space="0" w:color="36424A" w:themeColor="text2"/>
                </w:tcBorders>
              </w:tcPr>
              <w:p w14:paraId="46CDC682" w14:textId="338AD91E" w:rsidR="0066715F" w:rsidRPr="009E7223" w:rsidRDefault="0066715F" w:rsidP="00130B64">
                <w:pPr>
                  <w:pStyle w:val="BodyText"/>
                  <w:ind w:firstLine="122"/>
                  <w:jc w:val="center"/>
                  <w:rPr>
                    <w:b/>
                  </w:rPr>
                </w:pPr>
                <w:r w:rsidRPr="009E7223">
                  <w:rPr>
                    <w:b/>
                  </w:rPr>
                  <w:t>54</w:t>
                </w:r>
              </w:p>
            </w:tc>
          </w:tr>
          <w:tr w:rsidR="0066715F" w:rsidRPr="009E7223" w14:paraId="70E784E9" w14:textId="5F454A2F" w:rsidTr="00CD6704">
            <w:tc>
              <w:tcPr>
                <w:tcW w:w="4657"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2626597C" w14:textId="77777777" w:rsidR="0066715F" w:rsidRPr="009E7223" w:rsidRDefault="0066715F" w:rsidP="0066715F">
                <w:pPr>
                  <w:jc w:val="both"/>
                </w:pPr>
                <w:r w:rsidRPr="009E7223">
                  <w:t>10.Do you think that the service plan would be more effective if some funding amounts allocated in Tables 14-17 were shifted from one budget line item or service area to another? This may include proposing the Ministry stop funding some activities or should fund something not already covered in the proposals.</w:t>
                </w:r>
              </w:p>
            </w:tc>
            <w:tc>
              <w:tcPr>
                <w:tcW w:w="104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2843A58B" w14:textId="77777777" w:rsidR="0066715F" w:rsidRPr="009E7223" w:rsidRDefault="0066715F" w:rsidP="0066715F">
                <w:pPr>
                  <w:pStyle w:val="BodyText"/>
                  <w:ind w:firstLine="122"/>
                  <w:jc w:val="center"/>
                </w:pPr>
                <w:r w:rsidRPr="009E7223">
                  <w:t>20</w:t>
                </w:r>
              </w:p>
            </w:tc>
            <w:tc>
              <w:tcPr>
                <w:tcW w:w="1156"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46328183" w14:textId="77777777" w:rsidR="0066715F" w:rsidRPr="009E7223" w:rsidRDefault="0066715F" w:rsidP="0066715F">
                <w:pPr>
                  <w:pStyle w:val="BodyText"/>
                  <w:ind w:firstLine="122"/>
                  <w:jc w:val="center"/>
                </w:pPr>
                <w:r w:rsidRPr="009E7223">
                  <w:t>10</w:t>
                </w:r>
              </w:p>
            </w:tc>
            <w:tc>
              <w:tcPr>
                <w:tcW w:w="121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1A9F6B63" w14:textId="77777777" w:rsidR="0066715F" w:rsidRPr="009E7223" w:rsidRDefault="0066715F" w:rsidP="00130B64">
                <w:pPr>
                  <w:pStyle w:val="BodyText"/>
                  <w:ind w:firstLine="122"/>
                  <w:jc w:val="center"/>
                </w:pPr>
                <w:r w:rsidRPr="009E7223">
                  <w:t>1</w:t>
                </w:r>
              </w:p>
            </w:tc>
            <w:tc>
              <w:tcPr>
                <w:tcW w:w="992" w:type="dxa"/>
                <w:tcBorders>
                  <w:top w:val="single" w:sz="4" w:space="0" w:color="36424A" w:themeColor="text2"/>
                  <w:left w:val="single" w:sz="4" w:space="0" w:color="36424A" w:themeColor="text2"/>
                  <w:bottom w:val="single" w:sz="4" w:space="0" w:color="36424A" w:themeColor="text2"/>
                  <w:right w:val="single" w:sz="4" w:space="0" w:color="36424A" w:themeColor="text2"/>
                </w:tcBorders>
              </w:tcPr>
              <w:p w14:paraId="003BC891" w14:textId="61FF3D04" w:rsidR="0066715F" w:rsidRPr="009E7223" w:rsidRDefault="0066715F" w:rsidP="00130B64">
                <w:pPr>
                  <w:pStyle w:val="BodyText"/>
                  <w:ind w:firstLine="122"/>
                  <w:jc w:val="center"/>
                  <w:rPr>
                    <w:b/>
                  </w:rPr>
                </w:pPr>
                <w:r w:rsidRPr="009E7223">
                  <w:rPr>
                    <w:b/>
                  </w:rPr>
                  <w:t>31</w:t>
                </w:r>
              </w:p>
            </w:tc>
          </w:tr>
        </w:tbl>
        <w:p w14:paraId="7CE2D793" w14:textId="1D9C3A5D" w:rsidR="0094303A" w:rsidRPr="009E7223" w:rsidRDefault="0094303A" w:rsidP="0094303A">
          <w:pPr>
            <w:pStyle w:val="BodyText"/>
          </w:pPr>
          <w:r w:rsidRPr="009E7223">
            <w:t xml:space="preserve">Sixty-six submitters provided narrative responses to at least some of the questions about the draft Service Plan. Responses were received from across the six sector groups, as detailed in </w:t>
          </w:r>
          <w:r w:rsidRPr="009E7223">
            <w:fldChar w:fldCharType="begin"/>
          </w:r>
          <w:r w:rsidRPr="009E7223">
            <w:instrText xml:space="preserve"> REF _Ref527444696 \h </w:instrText>
          </w:r>
          <w:r w:rsidRPr="009E7223">
            <w:fldChar w:fldCharType="separate"/>
          </w:r>
          <w:r w:rsidR="00CE4EFF" w:rsidRPr="009E7223">
            <w:t xml:space="preserve">Table </w:t>
          </w:r>
          <w:r w:rsidR="00CE4EFF">
            <w:rPr>
              <w:noProof/>
            </w:rPr>
            <w:t>6</w:t>
          </w:r>
          <w:r w:rsidRPr="009E7223">
            <w:fldChar w:fldCharType="end"/>
          </w:r>
          <w:r w:rsidRPr="009E7223">
            <w:t>.</w:t>
          </w:r>
        </w:p>
        <w:p w14:paraId="25752933" w14:textId="73CD7629" w:rsidR="0094303A" w:rsidRPr="009E7223" w:rsidRDefault="0094303A" w:rsidP="0094303A">
          <w:pPr>
            <w:pStyle w:val="Caption"/>
            <w:keepNext/>
          </w:pPr>
          <w:bookmarkStart w:id="63" w:name="_Ref527444696"/>
          <w:bookmarkStart w:id="64" w:name="_Toc529787387"/>
          <w:r w:rsidRPr="009E7223">
            <w:lastRenderedPageBreak/>
            <w:t xml:space="preserve">Table </w:t>
          </w:r>
          <w:r w:rsidR="000939D4" w:rsidRPr="009E7223">
            <w:rPr>
              <w:noProof/>
            </w:rPr>
            <w:fldChar w:fldCharType="begin"/>
          </w:r>
          <w:r w:rsidR="000939D4" w:rsidRPr="009E7223">
            <w:rPr>
              <w:noProof/>
            </w:rPr>
            <w:instrText xml:space="preserve"> SEQ Table \* ARABIC </w:instrText>
          </w:r>
          <w:r w:rsidR="000939D4" w:rsidRPr="009E7223">
            <w:rPr>
              <w:noProof/>
            </w:rPr>
            <w:fldChar w:fldCharType="separate"/>
          </w:r>
          <w:r w:rsidR="00CE4EFF">
            <w:rPr>
              <w:noProof/>
            </w:rPr>
            <w:t>6</w:t>
          </w:r>
          <w:r w:rsidR="000939D4" w:rsidRPr="009E7223">
            <w:rPr>
              <w:noProof/>
            </w:rPr>
            <w:fldChar w:fldCharType="end"/>
          </w:r>
          <w:bookmarkEnd w:id="63"/>
          <w:r w:rsidRPr="009E7223">
            <w:t>: Number of submissions, by sector, that addressed the Service Plan</w:t>
          </w:r>
          <w:bookmarkEnd w:id="64"/>
        </w:p>
        <w:tbl>
          <w:tblPr>
            <w:tblStyle w:val="ACGrey-BasicTable"/>
            <w:tblW w:w="5000" w:type="pct"/>
            <w:tblLook w:val="04A0" w:firstRow="1" w:lastRow="0" w:firstColumn="1" w:lastColumn="0" w:noHBand="0" w:noVBand="1"/>
          </w:tblPr>
          <w:tblGrid>
            <w:gridCol w:w="1461"/>
            <w:gridCol w:w="1517"/>
            <w:gridCol w:w="1521"/>
            <w:gridCol w:w="1495"/>
            <w:gridCol w:w="1662"/>
            <w:gridCol w:w="1548"/>
          </w:tblGrid>
          <w:tr w:rsidR="0094303A" w:rsidRPr="009E7223" w14:paraId="6CC4C499" w14:textId="77777777" w:rsidTr="0066715F">
            <w:trPr>
              <w:cnfStyle w:val="100000000000" w:firstRow="1" w:lastRow="0" w:firstColumn="0" w:lastColumn="0" w:oddVBand="0" w:evenVBand="0" w:oddHBand="0" w:evenHBand="0" w:firstRowFirstColumn="0" w:firstRowLastColumn="0" w:lastRowFirstColumn="0" w:lastRowLastColumn="0"/>
              <w:trHeight w:val="755"/>
            </w:trPr>
            <w:tc>
              <w:tcPr>
                <w:tcW w:w="793" w:type="pct"/>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1ABA5AAD" w14:textId="6504001A" w:rsidR="0094303A" w:rsidRPr="009E7223" w:rsidRDefault="0094303A" w:rsidP="0094303A">
                <w:pPr>
                  <w:pStyle w:val="BodyText"/>
                  <w:jc w:val="center"/>
                </w:pPr>
                <w:r w:rsidRPr="009E7223">
                  <w:t>NCGM</w:t>
                </w:r>
                <w:r w:rsidR="00422741" w:rsidRPr="009E7223">
                  <w:br/>
                  <w:t>sector</w:t>
                </w:r>
              </w:p>
            </w:tc>
            <w:tc>
              <w:tcPr>
                <w:tcW w:w="824" w:type="pct"/>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7A356DD2" w14:textId="77777777" w:rsidR="0094303A" w:rsidRPr="009E7223" w:rsidRDefault="0094303A" w:rsidP="0094303A">
                <w:pPr>
                  <w:pStyle w:val="BodyText"/>
                  <w:jc w:val="center"/>
                </w:pPr>
                <w:r w:rsidRPr="009E7223">
                  <w:t>Gambling Industry (other)</w:t>
                </w:r>
              </w:p>
            </w:tc>
            <w:tc>
              <w:tcPr>
                <w:tcW w:w="826" w:type="pct"/>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6EC2FC5C" w14:textId="77777777" w:rsidR="0094303A" w:rsidRPr="009E7223" w:rsidRDefault="0094303A" w:rsidP="0094303A">
                <w:pPr>
                  <w:pStyle w:val="BodyText"/>
                  <w:jc w:val="center"/>
                </w:pPr>
                <w:r w:rsidRPr="009E7223">
                  <w:t>Service Providers</w:t>
                </w:r>
              </w:p>
            </w:tc>
            <w:tc>
              <w:tcPr>
                <w:tcW w:w="812" w:type="pct"/>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495844FD" w14:textId="5C0A7078" w:rsidR="0094303A" w:rsidRPr="009E7223" w:rsidRDefault="0094303A" w:rsidP="0094303A">
                <w:pPr>
                  <w:pStyle w:val="BodyText"/>
                  <w:jc w:val="center"/>
                </w:pPr>
                <w:r w:rsidRPr="009E7223">
                  <w:t>Health</w:t>
                </w:r>
                <w:r w:rsidR="00C462D1" w:rsidRPr="009E7223">
                  <w:br/>
                </w:r>
                <w:r w:rsidR="00422741" w:rsidRPr="009E7223">
                  <w:t>sector</w:t>
                </w:r>
              </w:p>
            </w:tc>
            <w:tc>
              <w:tcPr>
                <w:tcW w:w="903" w:type="pct"/>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5A5B8995" w14:textId="7EDE41B1" w:rsidR="0094303A" w:rsidRPr="009E7223" w:rsidRDefault="0094303A" w:rsidP="0094303A">
                <w:pPr>
                  <w:pStyle w:val="BodyText"/>
                  <w:jc w:val="center"/>
                </w:pPr>
                <w:r w:rsidRPr="009E7223">
                  <w:t>Local</w:t>
                </w:r>
                <w:r w:rsidR="00C462D1" w:rsidRPr="009E7223">
                  <w:br/>
                </w:r>
                <w:r w:rsidRPr="009E7223">
                  <w:t>Government</w:t>
                </w:r>
              </w:p>
            </w:tc>
            <w:tc>
              <w:tcPr>
                <w:tcW w:w="841" w:type="pct"/>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04B9F3A5" w14:textId="77777777" w:rsidR="0094303A" w:rsidRPr="009E7223" w:rsidRDefault="0094303A" w:rsidP="0094303A">
                <w:pPr>
                  <w:pStyle w:val="BodyText"/>
                  <w:jc w:val="center"/>
                </w:pPr>
                <w:r w:rsidRPr="009E7223">
                  <w:t>Individuals</w:t>
                </w:r>
              </w:p>
            </w:tc>
          </w:tr>
          <w:tr w:rsidR="0094303A" w:rsidRPr="009E7223" w14:paraId="38466C76" w14:textId="77777777" w:rsidTr="0066715F">
            <w:trPr>
              <w:trHeight w:val="489"/>
            </w:trPr>
            <w:tc>
              <w:tcPr>
                <w:tcW w:w="793" w:type="pct"/>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53B7229C" w14:textId="77777777" w:rsidR="0094303A" w:rsidRPr="009E7223" w:rsidRDefault="0094303A" w:rsidP="0094303A">
                <w:pPr>
                  <w:pStyle w:val="BodyText"/>
                  <w:jc w:val="center"/>
                </w:pPr>
                <w:r w:rsidRPr="009E7223">
                  <w:t>21/22</w:t>
                </w:r>
              </w:p>
            </w:tc>
            <w:tc>
              <w:tcPr>
                <w:tcW w:w="824" w:type="pct"/>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33B78C6B" w14:textId="77777777" w:rsidR="0094303A" w:rsidRPr="009E7223" w:rsidRDefault="0094303A" w:rsidP="0094303A">
                <w:pPr>
                  <w:pStyle w:val="BodyText"/>
                  <w:jc w:val="center"/>
                </w:pPr>
                <w:r w:rsidRPr="009E7223">
                  <w:t>5/8</w:t>
                </w:r>
              </w:p>
            </w:tc>
            <w:tc>
              <w:tcPr>
                <w:tcW w:w="826" w:type="pct"/>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2392C53B" w14:textId="77777777" w:rsidR="0094303A" w:rsidRPr="009E7223" w:rsidRDefault="0094303A" w:rsidP="0094303A">
                <w:pPr>
                  <w:pStyle w:val="BodyText"/>
                  <w:jc w:val="center"/>
                </w:pPr>
                <w:r w:rsidRPr="009E7223">
                  <w:t>18/21</w:t>
                </w:r>
              </w:p>
            </w:tc>
            <w:tc>
              <w:tcPr>
                <w:tcW w:w="812" w:type="pct"/>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50A53289" w14:textId="77777777" w:rsidR="0094303A" w:rsidRPr="009E7223" w:rsidRDefault="0094303A" w:rsidP="0094303A">
                <w:pPr>
                  <w:pStyle w:val="BodyText"/>
                  <w:jc w:val="center"/>
                </w:pPr>
                <w:r w:rsidRPr="009E7223">
                  <w:t>11/13</w:t>
                </w:r>
              </w:p>
            </w:tc>
            <w:tc>
              <w:tcPr>
                <w:tcW w:w="903" w:type="pct"/>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6C90A442" w14:textId="77777777" w:rsidR="0094303A" w:rsidRPr="009E7223" w:rsidRDefault="0094303A" w:rsidP="0094303A">
                <w:pPr>
                  <w:pStyle w:val="BodyText"/>
                  <w:jc w:val="center"/>
                </w:pPr>
                <w:r w:rsidRPr="009E7223">
                  <w:t>3/6</w:t>
                </w:r>
              </w:p>
            </w:tc>
            <w:tc>
              <w:tcPr>
                <w:tcW w:w="841" w:type="pct"/>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03FA66CD" w14:textId="77777777" w:rsidR="0094303A" w:rsidRPr="009E7223" w:rsidRDefault="0094303A" w:rsidP="0094303A">
                <w:pPr>
                  <w:pStyle w:val="BodyText"/>
                  <w:jc w:val="center"/>
                </w:pPr>
                <w:r w:rsidRPr="009E7223">
                  <w:t>7/12</w:t>
                </w:r>
              </w:p>
            </w:tc>
          </w:tr>
        </w:tbl>
        <w:p w14:paraId="00BBC83B" w14:textId="37DD1F3F" w:rsidR="0094303A" w:rsidRPr="009E7223" w:rsidRDefault="0029387B" w:rsidP="0094303A">
          <w:pPr>
            <w:pStyle w:val="NumberedHeading2"/>
          </w:pPr>
          <w:bookmarkStart w:id="65" w:name="_Toc531098167"/>
          <w:r w:rsidRPr="009E7223">
            <w:t xml:space="preserve">The degree of support for the </w:t>
          </w:r>
          <w:r w:rsidR="0094303A" w:rsidRPr="009E7223">
            <w:t>proposed funding allocation</w:t>
          </w:r>
          <w:bookmarkEnd w:id="65"/>
        </w:p>
        <w:p w14:paraId="3EFD3F59" w14:textId="6C3EC314" w:rsidR="0094303A" w:rsidRPr="009E7223" w:rsidRDefault="0094303A" w:rsidP="0094303A">
          <w:pPr>
            <w:pStyle w:val="BodyText"/>
          </w:pPr>
          <w:r w:rsidRPr="009E7223">
            <w:t>The breakdown of the proposed funding allocation by service area and year</w:t>
          </w:r>
          <w:r w:rsidR="00CF41A1" w:rsidRPr="009E7223">
            <w:t xml:space="preserve">, as presented in the </w:t>
          </w:r>
          <w:r w:rsidR="002E446A" w:rsidRPr="009E7223">
            <w:t>c</w:t>
          </w:r>
          <w:r w:rsidR="00CF41A1" w:rsidRPr="009E7223">
            <w:t xml:space="preserve">onsultation </w:t>
          </w:r>
          <w:r w:rsidR="002E446A" w:rsidRPr="009E7223">
            <w:t>d</w:t>
          </w:r>
          <w:r w:rsidR="00CF41A1" w:rsidRPr="009E7223">
            <w:t>ocument,</w:t>
          </w:r>
          <w:r w:rsidRPr="009E7223">
            <w:t xml:space="preserve"> is shown in </w:t>
          </w:r>
          <w:r w:rsidRPr="009E7223">
            <w:fldChar w:fldCharType="begin"/>
          </w:r>
          <w:r w:rsidRPr="009E7223">
            <w:instrText xml:space="preserve"> REF _Ref527705406 \h </w:instrText>
          </w:r>
          <w:r w:rsidRPr="009E7223">
            <w:fldChar w:fldCharType="separate"/>
          </w:r>
          <w:r w:rsidR="00CE4EFF" w:rsidRPr="009E7223">
            <w:t xml:space="preserve">Table </w:t>
          </w:r>
          <w:r w:rsidR="00CE4EFF">
            <w:rPr>
              <w:noProof/>
            </w:rPr>
            <w:t>7</w:t>
          </w:r>
          <w:r w:rsidRPr="009E7223">
            <w:fldChar w:fldCharType="end"/>
          </w:r>
          <w:r w:rsidRPr="009E7223">
            <w:t>.</w:t>
          </w:r>
        </w:p>
        <w:p w14:paraId="147410DA" w14:textId="6E707980" w:rsidR="0094303A" w:rsidRPr="009E7223" w:rsidRDefault="0094303A" w:rsidP="0094303A">
          <w:pPr>
            <w:pStyle w:val="Caption"/>
            <w:keepNext/>
          </w:pPr>
          <w:bookmarkStart w:id="66" w:name="_Ref527705406"/>
          <w:bookmarkStart w:id="67" w:name="_Ref527705381"/>
          <w:bookmarkStart w:id="68" w:name="_Toc529787388"/>
          <w:r w:rsidRPr="009E7223">
            <w:t xml:space="preserve">Table </w:t>
          </w:r>
          <w:r w:rsidR="000939D4" w:rsidRPr="009E7223">
            <w:rPr>
              <w:noProof/>
            </w:rPr>
            <w:fldChar w:fldCharType="begin"/>
          </w:r>
          <w:r w:rsidR="000939D4" w:rsidRPr="009E7223">
            <w:rPr>
              <w:noProof/>
            </w:rPr>
            <w:instrText xml:space="preserve"> SEQ Table \* ARABIC </w:instrText>
          </w:r>
          <w:r w:rsidR="000939D4" w:rsidRPr="009E7223">
            <w:rPr>
              <w:noProof/>
            </w:rPr>
            <w:fldChar w:fldCharType="separate"/>
          </w:r>
          <w:r w:rsidR="00CE4EFF">
            <w:rPr>
              <w:noProof/>
            </w:rPr>
            <w:t>7</w:t>
          </w:r>
          <w:r w:rsidR="000939D4" w:rsidRPr="009E7223">
            <w:rPr>
              <w:noProof/>
            </w:rPr>
            <w:fldChar w:fldCharType="end"/>
          </w:r>
          <w:bookmarkEnd w:id="66"/>
          <w:r w:rsidRPr="009E7223">
            <w:t>: The proposed funding allocation by service area over three years</w:t>
          </w:r>
          <w:bookmarkEnd w:id="67"/>
          <w:bookmarkEnd w:id="68"/>
        </w:p>
        <w:tbl>
          <w:tblPr>
            <w:tblStyle w:val="ACGrey-BasicTable"/>
            <w:tblW w:w="0" w:type="auto"/>
            <w:tblLook w:val="04A0" w:firstRow="1" w:lastRow="0" w:firstColumn="1" w:lastColumn="0" w:noHBand="0" w:noVBand="1"/>
          </w:tblPr>
          <w:tblGrid>
            <w:gridCol w:w="4390"/>
            <w:gridCol w:w="1167"/>
            <w:gridCol w:w="1168"/>
            <w:gridCol w:w="1168"/>
            <w:gridCol w:w="1168"/>
          </w:tblGrid>
          <w:tr w:rsidR="0094303A" w:rsidRPr="009E7223" w14:paraId="5E335F70" w14:textId="77777777" w:rsidTr="0094303A">
            <w:trPr>
              <w:cnfStyle w:val="100000000000" w:firstRow="1" w:lastRow="0" w:firstColumn="0" w:lastColumn="0" w:oddVBand="0" w:evenVBand="0" w:oddHBand="0" w:evenHBand="0" w:firstRowFirstColumn="0" w:firstRowLastColumn="0" w:lastRowFirstColumn="0" w:lastRowLastColumn="0"/>
            </w:trPr>
            <w:tc>
              <w:tcPr>
                <w:tcW w:w="4390" w:type="dxa"/>
              </w:tcPr>
              <w:p w14:paraId="43B74021" w14:textId="15816583" w:rsidR="0094303A" w:rsidRPr="009E7223" w:rsidRDefault="0094303A" w:rsidP="0094303A">
                <w:pPr>
                  <w:pStyle w:val="Table-Heading"/>
                </w:pPr>
                <w:r w:rsidRPr="009E7223">
                  <w:t>Service area</w:t>
                </w:r>
              </w:p>
            </w:tc>
            <w:tc>
              <w:tcPr>
                <w:tcW w:w="1167" w:type="dxa"/>
              </w:tcPr>
              <w:p w14:paraId="68241005" w14:textId="77777777" w:rsidR="0094303A" w:rsidRPr="009E7223" w:rsidRDefault="0094303A" w:rsidP="00FE068C">
                <w:pPr>
                  <w:pStyle w:val="Table-Heading"/>
                  <w:jc w:val="right"/>
                </w:pPr>
                <w:r w:rsidRPr="009E7223">
                  <w:t>2019/20</w:t>
                </w:r>
                <w:r w:rsidRPr="009E7223">
                  <w:br/>
                  <w:t>($m)</w:t>
                </w:r>
              </w:p>
            </w:tc>
            <w:tc>
              <w:tcPr>
                <w:tcW w:w="1168" w:type="dxa"/>
              </w:tcPr>
              <w:p w14:paraId="4A878E72" w14:textId="77777777" w:rsidR="0094303A" w:rsidRPr="009E7223" w:rsidRDefault="0094303A" w:rsidP="00FE068C">
                <w:pPr>
                  <w:pStyle w:val="Table-Heading"/>
                  <w:jc w:val="right"/>
                </w:pPr>
                <w:r w:rsidRPr="009E7223">
                  <w:t>2020/21</w:t>
                </w:r>
                <w:r w:rsidRPr="009E7223">
                  <w:br/>
                  <w:t>($m)</w:t>
                </w:r>
              </w:p>
            </w:tc>
            <w:tc>
              <w:tcPr>
                <w:tcW w:w="1168" w:type="dxa"/>
              </w:tcPr>
              <w:p w14:paraId="4D708434" w14:textId="77777777" w:rsidR="0094303A" w:rsidRPr="009E7223" w:rsidRDefault="0094303A" w:rsidP="00FE068C">
                <w:pPr>
                  <w:pStyle w:val="Table-Heading"/>
                  <w:jc w:val="right"/>
                </w:pPr>
                <w:r w:rsidRPr="009E7223">
                  <w:t>2021/22</w:t>
                </w:r>
                <w:r w:rsidRPr="009E7223">
                  <w:br/>
                  <w:t>($m)</w:t>
                </w:r>
              </w:p>
            </w:tc>
            <w:tc>
              <w:tcPr>
                <w:tcW w:w="1168" w:type="dxa"/>
              </w:tcPr>
              <w:p w14:paraId="708CA218" w14:textId="77777777" w:rsidR="0094303A" w:rsidRPr="009E7223" w:rsidRDefault="0094303A" w:rsidP="00FE068C">
                <w:pPr>
                  <w:pStyle w:val="Table-Heading"/>
                  <w:jc w:val="right"/>
                </w:pPr>
                <w:r w:rsidRPr="009E7223">
                  <w:t>Total</w:t>
                </w:r>
                <w:r w:rsidRPr="009E7223">
                  <w:br/>
                  <w:t>($m)</w:t>
                </w:r>
              </w:p>
            </w:tc>
          </w:tr>
          <w:tr w:rsidR="0094303A" w:rsidRPr="009E7223" w14:paraId="3EC0BC85" w14:textId="77777777" w:rsidTr="0094303A">
            <w:tc>
              <w:tcPr>
                <w:tcW w:w="4390" w:type="dxa"/>
              </w:tcPr>
              <w:p w14:paraId="73E13B1A" w14:textId="77777777" w:rsidR="0094303A" w:rsidRPr="009E7223" w:rsidRDefault="0094303A" w:rsidP="0094303A">
                <w:pPr>
                  <w:pStyle w:val="Table-para"/>
                  <w:rPr>
                    <w:sz w:val="20"/>
                  </w:rPr>
                </w:pPr>
                <w:r w:rsidRPr="009E7223">
                  <w:rPr>
                    <w:sz w:val="20"/>
                  </w:rPr>
                  <w:t>Public health services (harm prevention and minimisation)</w:t>
                </w:r>
              </w:p>
            </w:tc>
            <w:tc>
              <w:tcPr>
                <w:tcW w:w="1167" w:type="dxa"/>
              </w:tcPr>
              <w:p w14:paraId="22A55879" w14:textId="77777777" w:rsidR="0094303A" w:rsidRPr="009E7223" w:rsidRDefault="0094303A" w:rsidP="00FE068C">
                <w:pPr>
                  <w:pStyle w:val="Table-para"/>
                  <w:jc w:val="right"/>
                  <w:rPr>
                    <w:sz w:val="20"/>
                  </w:rPr>
                </w:pPr>
                <w:r w:rsidRPr="009E7223">
                  <w:rPr>
                    <w:sz w:val="20"/>
                  </w:rPr>
                  <w:t>6.870</w:t>
                </w:r>
              </w:p>
            </w:tc>
            <w:tc>
              <w:tcPr>
                <w:tcW w:w="1168" w:type="dxa"/>
              </w:tcPr>
              <w:p w14:paraId="3C3FCF88" w14:textId="77777777" w:rsidR="0094303A" w:rsidRPr="009E7223" w:rsidRDefault="0094303A" w:rsidP="00FE068C">
                <w:pPr>
                  <w:pStyle w:val="Table-para"/>
                  <w:jc w:val="right"/>
                  <w:rPr>
                    <w:sz w:val="20"/>
                  </w:rPr>
                </w:pPr>
                <w:r w:rsidRPr="009E7223">
                  <w:rPr>
                    <w:sz w:val="20"/>
                  </w:rPr>
                  <w:t>6.840</w:t>
                </w:r>
              </w:p>
            </w:tc>
            <w:tc>
              <w:tcPr>
                <w:tcW w:w="1168" w:type="dxa"/>
              </w:tcPr>
              <w:p w14:paraId="7709695F" w14:textId="77777777" w:rsidR="0094303A" w:rsidRPr="009E7223" w:rsidRDefault="0094303A" w:rsidP="00FE068C">
                <w:pPr>
                  <w:pStyle w:val="Table-para"/>
                  <w:jc w:val="right"/>
                  <w:rPr>
                    <w:sz w:val="20"/>
                  </w:rPr>
                </w:pPr>
                <w:r w:rsidRPr="009E7223">
                  <w:rPr>
                    <w:sz w:val="20"/>
                  </w:rPr>
                  <w:t>6.880</w:t>
                </w:r>
              </w:p>
            </w:tc>
            <w:tc>
              <w:tcPr>
                <w:tcW w:w="1168" w:type="dxa"/>
              </w:tcPr>
              <w:p w14:paraId="3F1C60F7" w14:textId="77777777" w:rsidR="0094303A" w:rsidRPr="009E7223" w:rsidRDefault="0094303A" w:rsidP="00FE068C">
                <w:pPr>
                  <w:pStyle w:val="Table-para"/>
                  <w:jc w:val="right"/>
                  <w:rPr>
                    <w:sz w:val="20"/>
                  </w:rPr>
                </w:pPr>
                <w:r w:rsidRPr="009E7223">
                  <w:rPr>
                    <w:sz w:val="20"/>
                  </w:rPr>
                  <w:t>20.590</w:t>
                </w:r>
              </w:p>
            </w:tc>
          </w:tr>
          <w:tr w:rsidR="0094303A" w:rsidRPr="009E7223" w14:paraId="3ED4A5C6" w14:textId="77777777" w:rsidTr="0094303A">
            <w:tc>
              <w:tcPr>
                <w:tcW w:w="4390" w:type="dxa"/>
              </w:tcPr>
              <w:p w14:paraId="030D1D87" w14:textId="77777777" w:rsidR="0094303A" w:rsidRPr="009E7223" w:rsidRDefault="0094303A" w:rsidP="0094303A">
                <w:pPr>
                  <w:pStyle w:val="Table-para"/>
                  <w:rPr>
                    <w:sz w:val="20"/>
                  </w:rPr>
                </w:pPr>
                <w:r w:rsidRPr="009E7223">
                  <w:rPr>
                    <w:sz w:val="20"/>
                  </w:rPr>
                  <w:t>Intervention services (treat and help problem gamblers and their families/wh</w:t>
                </w:r>
                <w:r w:rsidRPr="009E7223">
                  <w:rPr>
                    <w:rFonts w:cs="Arial"/>
                    <w:sz w:val="20"/>
                  </w:rPr>
                  <w:t>ā</w:t>
                </w:r>
                <w:r w:rsidRPr="009E7223">
                  <w:rPr>
                    <w:sz w:val="20"/>
                  </w:rPr>
                  <w:t>nau)</w:t>
                </w:r>
              </w:p>
            </w:tc>
            <w:tc>
              <w:tcPr>
                <w:tcW w:w="1167" w:type="dxa"/>
              </w:tcPr>
              <w:p w14:paraId="2932640A" w14:textId="77777777" w:rsidR="0094303A" w:rsidRPr="009E7223" w:rsidRDefault="0094303A" w:rsidP="00FE068C">
                <w:pPr>
                  <w:pStyle w:val="Table-para"/>
                  <w:jc w:val="right"/>
                  <w:rPr>
                    <w:sz w:val="20"/>
                  </w:rPr>
                </w:pPr>
                <w:r w:rsidRPr="009E7223">
                  <w:rPr>
                    <w:sz w:val="20"/>
                  </w:rPr>
                  <w:t>8.461</w:t>
                </w:r>
              </w:p>
            </w:tc>
            <w:tc>
              <w:tcPr>
                <w:tcW w:w="1168" w:type="dxa"/>
              </w:tcPr>
              <w:p w14:paraId="0D349C9E" w14:textId="77777777" w:rsidR="0094303A" w:rsidRPr="009E7223" w:rsidRDefault="0094303A" w:rsidP="00FE068C">
                <w:pPr>
                  <w:pStyle w:val="Table-para"/>
                  <w:jc w:val="right"/>
                  <w:rPr>
                    <w:sz w:val="20"/>
                  </w:rPr>
                </w:pPr>
                <w:r w:rsidRPr="009E7223">
                  <w:rPr>
                    <w:sz w:val="20"/>
                  </w:rPr>
                  <w:t>8.361</w:t>
                </w:r>
              </w:p>
            </w:tc>
            <w:tc>
              <w:tcPr>
                <w:tcW w:w="1168" w:type="dxa"/>
              </w:tcPr>
              <w:p w14:paraId="366920BB" w14:textId="77777777" w:rsidR="0094303A" w:rsidRPr="009E7223" w:rsidRDefault="0094303A" w:rsidP="00FE068C">
                <w:pPr>
                  <w:pStyle w:val="Table-para"/>
                  <w:jc w:val="right"/>
                  <w:rPr>
                    <w:sz w:val="20"/>
                  </w:rPr>
                </w:pPr>
                <w:r w:rsidRPr="009E7223">
                  <w:rPr>
                    <w:sz w:val="20"/>
                  </w:rPr>
                  <w:t>8.361</w:t>
                </w:r>
              </w:p>
            </w:tc>
            <w:tc>
              <w:tcPr>
                <w:tcW w:w="1168" w:type="dxa"/>
              </w:tcPr>
              <w:p w14:paraId="7A197CC6" w14:textId="77777777" w:rsidR="0094303A" w:rsidRPr="009E7223" w:rsidRDefault="0094303A" w:rsidP="00FE068C">
                <w:pPr>
                  <w:pStyle w:val="Table-para"/>
                  <w:jc w:val="right"/>
                  <w:rPr>
                    <w:sz w:val="20"/>
                  </w:rPr>
                </w:pPr>
                <w:r w:rsidRPr="009E7223">
                  <w:rPr>
                    <w:sz w:val="20"/>
                  </w:rPr>
                  <w:t>25.183</w:t>
                </w:r>
              </w:p>
            </w:tc>
          </w:tr>
          <w:tr w:rsidR="0094303A" w:rsidRPr="009E7223" w14:paraId="3267E405" w14:textId="77777777" w:rsidTr="0094303A">
            <w:tc>
              <w:tcPr>
                <w:tcW w:w="4390" w:type="dxa"/>
              </w:tcPr>
              <w:p w14:paraId="7EE881DB" w14:textId="77777777" w:rsidR="0094303A" w:rsidRPr="009E7223" w:rsidRDefault="0094303A" w:rsidP="0094303A">
                <w:pPr>
                  <w:pStyle w:val="Table-para"/>
                  <w:rPr>
                    <w:sz w:val="20"/>
                  </w:rPr>
                </w:pPr>
                <w:r w:rsidRPr="009E7223">
                  <w:rPr>
                    <w:sz w:val="20"/>
                  </w:rPr>
                  <w:t>Research and evaluation</w:t>
                </w:r>
              </w:p>
            </w:tc>
            <w:tc>
              <w:tcPr>
                <w:tcW w:w="1167" w:type="dxa"/>
              </w:tcPr>
              <w:p w14:paraId="38CAA219" w14:textId="77777777" w:rsidR="0094303A" w:rsidRPr="009E7223" w:rsidRDefault="0094303A" w:rsidP="00FE068C">
                <w:pPr>
                  <w:pStyle w:val="Table-para"/>
                  <w:jc w:val="right"/>
                  <w:rPr>
                    <w:sz w:val="20"/>
                  </w:rPr>
                </w:pPr>
                <w:r w:rsidRPr="009E7223">
                  <w:rPr>
                    <w:sz w:val="20"/>
                  </w:rPr>
                  <w:t>2.209</w:t>
                </w:r>
              </w:p>
            </w:tc>
            <w:tc>
              <w:tcPr>
                <w:tcW w:w="1168" w:type="dxa"/>
              </w:tcPr>
              <w:p w14:paraId="50B97684" w14:textId="77777777" w:rsidR="0094303A" w:rsidRPr="009E7223" w:rsidRDefault="0094303A" w:rsidP="00FE068C">
                <w:pPr>
                  <w:pStyle w:val="Table-para"/>
                  <w:jc w:val="right"/>
                  <w:rPr>
                    <w:sz w:val="20"/>
                  </w:rPr>
                </w:pPr>
                <w:r w:rsidRPr="009E7223">
                  <w:rPr>
                    <w:sz w:val="20"/>
                  </w:rPr>
                  <w:t>2.210</w:t>
                </w:r>
              </w:p>
            </w:tc>
            <w:tc>
              <w:tcPr>
                <w:tcW w:w="1168" w:type="dxa"/>
              </w:tcPr>
              <w:p w14:paraId="76049332" w14:textId="77777777" w:rsidR="0094303A" w:rsidRPr="009E7223" w:rsidRDefault="0094303A" w:rsidP="00FE068C">
                <w:pPr>
                  <w:pStyle w:val="Table-para"/>
                  <w:jc w:val="right"/>
                  <w:rPr>
                    <w:sz w:val="20"/>
                  </w:rPr>
                </w:pPr>
                <w:r w:rsidRPr="009E7223">
                  <w:rPr>
                    <w:sz w:val="20"/>
                  </w:rPr>
                  <w:t>2.210</w:t>
                </w:r>
              </w:p>
            </w:tc>
            <w:tc>
              <w:tcPr>
                <w:tcW w:w="1168" w:type="dxa"/>
              </w:tcPr>
              <w:p w14:paraId="288FDEED" w14:textId="77777777" w:rsidR="0094303A" w:rsidRPr="009E7223" w:rsidRDefault="0094303A" w:rsidP="00FE068C">
                <w:pPr>
                  <w:pStyle w:val="Table-para"/>
                  <w:jc w:val="right"/>
                  <w:rPr>
                    <w:sz w:val="20"/>
                  </w:rPr>
                </w:pPr>
                <w:r w:rsidRPr="009E7223">
                  <w:rPr>
                    <w:sz w:val="20"/>
                  </w:rPr>
                  <w:t>6.629</w:t>
                </w:r>
              </w:p>
            </w:tc>
          </w:tr>
          <w:tr w:rsidR="0094303A" w:rsidRPr="009E7223" w14:paraId="1656A8E3" w14:textId="77777777" w:rsidTr="0094303A">
            <w:tc>
              <w:tcPr>
                <w:tcW w:w="4390" w:type="dxa"/>
              </w:tcPr>
              <w:p w14:paraId="56A356F3" w14:textId="77777777" w:rsidR="0094303A" w:rsidRPr="009E7223" w:rsidRDefault="0094303A" w:rsidP="0094303A">
                <w:pPr>
                  <w:pStyle w:val="Table-para"/>
                  <w:rPr>
                    <w:sz w:val="20"/>
                  </w:rPr>
                </w:pPr>
                <w:r w:rsidRPr="009E7223">
                  <w:rPr>
                    <w:sz w:val="20"/>
                  </w:rPr>
                  <w:t>Ministry operating costs</w:t>
                </w:r>
              </w:p>
            </w:tc>
            <w:tc>
              <w:tcPr>
                <w:tcW w:w="1167" w:type="dxa"/>
              </w:tcPr>
              <w:p w14:paraId="534B9EE3" w14:textId="77777777" w:rsidR="0094303A" w:rsidRPr="009E7223" w:rsidRDefault="0094303A" w:rsidP="00FE068C">
                <w:pPr>
                  <w:pStyle w:val="Table-para"/>
                  <w:jc w:val="right"/>
                  <w:rPr>
                    <w:sz w:val="20"/>
                  </w:rPr>
                </w:pPr>
                <w:r w:rsidRPr="009E7223">
                  <w:rPr>
                    <w:sz w:val="20"/>
                  </w:rPr>
                  <w:t>0.957</w:t>
                </w:r>
              </w:p>
            </w:tc>
            <w:tc>
              <w:tcPr>
                <w:tcW w:w="1168" w:type="dxa"/>
              </w:tcPr>
              <w:p w14:paraId="171B58E9" w14:textId="77777777" w:rsidR="0094303A" w:rsidRPr="009E7223" w:rsidRDefault="0094303A" w:rsidP="00FE068C">
                <w:pPr>
                  <w:pStyle w:val="Table-para"/>
                  <w:jc w:val="right"/>
                  <w:rPr>
                    <w:sz w:val="20"/>
                  </w:rPr>
                </w:pPr>
                <w:r w:rsidRPr="009E7223">
                  <w:rPr>
                    <w:sz w:val="20"/>
                  </w:rPr>
                  <w:t>0.990</w:t>
                </w:r>
              </w:p>
            </w:tc>
            <w:tc>
              <w:tcPr>
                <w:tcW w:w="1168" w:type="dxa"/>
              </w:tcPr>
              <w:p w14:paraId="0F2EB272" w14:textId="77777777" w:rsidR="0094303A" w:rsidRPr="009E7223" w:rsidRDefault="0094303A" w:rsidP="00FE068C">
                <w:pPr>
                  <w:pStyle w:val="Table-para"/>
                  <w:jc w:val="right"/>
                  <w:rPr>
                    <w:sz w:val="20"/>
                  </w:rPr>
                </w:pPr>
                <w:r w:rsidRPr="009E7223">
                  <w:rPr>
                    <w:sz w:val="20"/>
                  </w:rPr>
                  <w:t>0.990</w:t>
                </w:r>
              </w:p>
            </w:tc>
            <w:tc>
              <w:tcPr>
                <w:tcW w:w="1168" w:type="dxa"/>
              </w:tcPr>
              <w:p w14:paraId="0D80840D" w14:textId="77777777" w:rsidR="0094303A" w:rsidRPr="009E7223" w:rsidRDefault="0094303A" w:rsidP="00FE068C">
                <w:pPr>
                  <w:pStyle w:val="Table-para"/>
                  <w:jc w:val="right"/>
                  <w:rPr>
                    <w:sz w:val="20"/>
                  </w:rPr>
                </w:pPr>
                <w:r w:rsidRPr="009E7223">
                  <w:rPr>
                    <w:sz w:val="20"/>
                  </w:rPr>
                  <w:t>2.937</w:t>
                </w:r>
              </w:p>
            </w:tc>
          </w:tr>
          <w:tr w:rsidR="0094303A" w:rsidRPr="009E7223" w14:paraId="33F68572" w14:textId="77777777" w:rsidTr="0094303A">
            <w:tc>
              <w:tcPr>
                <w:tcW w:w="4390" w:type="dxa"/>
              </w:tcPr>
              <w:p w14:paraId="1599CEDB" w14:textId="3BED7E05" w:rsidR="0094303A" w:rsidRPr="009E7223" w:rsidRDefault="0094303A" w:rsidP="0094303A">
                <w:pPr>
                  <w:pStyle w:val="Table-para"/>
                  <w:rPr>
                    <w:sz w:val="20"/>
                  </w:rPr>
                </w:pPr>
                <w:r w:rsidRPr="009E7223">
                  <w:rPr>
                    <w:b/>
                    <w:sz w:val="20"/>
                  </w:rPr>
                  <w:t>Total ($m)</w:t>
                </w:r>
              </w:p>
            </w:tc>
            <w:tc>
              <w:tcPr>
                <w:tcW w:w="1167" w:type="dxa"/>
              </w:tcPr>
              <w:p w14:paraId="48A1587D" w14:textId="77777777" w:rsidR="0094303A" w:rsidRPr="009E7223" w:rsidRDefault="0094303A" w:rsidP="00FE068C">
                <w:pPr>
                  <w:pStyle w:val="Table-para"/>
                  <w:jc w:val="right"/>
                  <w:rPr>
                    <w:sz w:val="20"/>
                  </w:rPr>
                </w:pPr>
                <w:r w:rsidRPr="009E7223">
                  <w:rPr>
                    <w:b/>
                    <w:sz w:val="20"/>
                  </w:rPr>
                  <w:t>18.497</w:t>
                </w:r>
              </w:p>
            </w:tc>
            <w:tc>
              <w:tcPr>
                <w:tcW w:w="1168" w:type="dxa"/>
              </w:tcPr>
              <w:p w14:paraId="70CC7E56" w14:textId="77777777" w:rsidR="0094303A" w:rsidRPr="009E7223" w:rsidRDefault="0094303A" w:rsidP="00FE068C">
                <w:pPr>
                  <w:pStyle w:val="Table-para"/>
                  <w:jc w:val="right"/>
                  <w:rPr>
                    <w:sz w:val="20"/>
                  </w:rPr>
                </w:pPr>
                <w:r w:rsidRPr="009E7223">
                  <w:rPr>
                    <w:b/>
                    <w:sz w:val="20"/>
                  </w:rPr>
                  <w:t>18.401</w:t>
                </w:r>
              </w:p>
            </w:tc>
            <w:tc>
              <w:tcPr>
                <w:tcW w:w="1168" w:type="dxa"/>
              </w:tcPr>
              <w:p w14:paraId="70179BA8" w14:textId="77777777" w:rsidR="0094303A" w:rsidRPr="009E7223" w:rsidRDefault="0094303A" w:rsidP="00FE068C">
                <w:pPr>
                  <w:pStyle w:val="Table-para"/>
                  <w:jc w:val="right"/>
                  <w:rPr>
                    <w:sz w:val="20"/>
                  </w:rPr>
                </w:pPr>
                <w:r w:rsidRPr="009E7223">
                  <w:rPr>
                    <w:b/>
                    <w:sz w:val="20"/>
                  </w:rPr>
                  <w:t>18.441</w:t>
                </w:r>
              </w:p>
            </w:tc>
            <w:tc>
              <w:tcPr>
                <w:tcW w:w="1168" w:type="dxa"/>
              </w:tcPr>
              <w:p w14:paraId="54BB63F5" w14:textId="77777777" w:rsidR="0094303A" w:rsidRPr="009E7223" w:rsidRDefault="0094303A" w:rsidP="00FE068C">
                <w:pPr>
                  <w:pStyle w:val="Table-para"/>
                  <w:jc w:val="right"/>
                  <w:rPr>
                    <w:sz w:val="20"/>
                  </w:rPr>
                </w:pPr>
                <w:r w:rsidRPr="009E7223">
                  <w:rPr>
                    <w:b/>
                    <w:sz w:val="20"/>
                  </w:rPr>
                  <w:t>55.339</w:t>
                </w:r>
              </w:p>
            </w:tc>
          </w:tr>
        </w:tbl>
        <w:p w14:paraId="78AB2F2D" w14:textId="36443344" w:rsidR="00CF41A1" w:rsidRPr="009E7223" w:rsidRDefault="00CF41A1" w:rsidP="00CF41A1">
          <w:pPr>
            <w:pStyle w:val="BodyText"/>
          </w:pPr>
          <w:r w:rsidRPr="009E7223">
            <w:t xml:space="preserve">Subsequent to the consultation period commencing, </w:t>
          </w:r>
          <w:r w:rsidR="00262FF6" w:rsidRPr="009E7223">
            <w:t xml:space="preserve">and in response to questions </w:t>
          </w:r>
          <w:r w:rsidR="00CD6704" w:rsidRPr="009E7223">
            <w:t xml:space="preserve">raised during public meetings </w:t>
          </w:r>
          <w:r w:rsidR="00262FF6" w:rsidRPr="009E7223">
            <w:t xml:space="preserve">about the planned use of the $5 million underspend, </w:t>
          </w:r>
          <w:r w:rsidRPr="009E7223">
            <w:t>the Ministry published additional information on its website</w:t>
          </w:r>
          <w:r w:rsidR="00262FF6" w:rsidRPr="009E7223">
            <w:t xml:space="preserve"> to assist in the development of submissions. With the addition of the underspend to the proposed levy appropriation, the total funding allocation increased to $60.339 million over three years</w:t>
          </w:r>
          <w:r w:rsidR="00A80E96" w:rsidRPr="009E7223">
            <w:t>. Further, the Ministry provided a breakdown for allocating the $5 million underspend, which is reproduced below from the presentation accessed via the website.</w:t>
          </w:r>
        </w:p>
        <w:p w14:paraId="7C767991" w14:textId="15561776" w:rsidR="00A80E96" w:rsidRPr="009E7223" w:rsidRDefault="00A80E96" w:rsidP="00A80E96">
          <w:pPr>
            <w:pStyle w:val="Caption"/>
            <w:keepNext/>
          </w:pPr>
          <w:bookmarkStart w:id="69" w:name="_Toc529787389"/>
          <w:r w:rsidRPr="009E7223">
            <w:t xml:space="preserve">Table </w:t>
          </w:r>
          <w:r w:rsidR="00FE068C">
            <w:rPr>
              <w:noProof/>
            </w:rPr>
            <w:fldChar w:fldCharType="begin"/>
          </w:r>
          <w:r w:rsidR="00FE068C">
            <w:rPr>
              <w:noProof/>
            </w:rPr>
            <w:instrText xml:space="preserve"> SEQ Table \* ARABIC </w:instrText>
          </w:r>
          <w:r w:rsidR="00FE068C">
            <w:rPr>
              <w:noProof/>
            </w:rPr>
            <w:fldChar w:fldCharType="separate"/>
          </w:r>
          <w:r w:rsidR="00CE4EFF">
            <w:rPr>
              <w:noProof/>
            </w:rPr>
            <w:t>8</w:t>
          </w:r>
          <w:r w:rsidR="00FE068C">
            <w:rPr>
              <w:noProof/>
            </w:rPr>
            <w:fldChar w:fldCharType="end"/>
          </w:r>
          <w:r w:rsidRPr="009E7223">
            <w:t>: Indicative detailed costings for the $5 million underspend</w:t>
          </w:r>
          <w:r w:rsidR="00A268D8" w:rsidRPr="009E7223">
            <w:rPr>
              <w:rStyle w:val="FootnoteReference"/>
            </w:rPr>
            <w:footnoteReference w:id="303"/>
          </w:r>
          <w:bookmarkEnd w:id="69"/>
        </w:p>
        <w:tbl>
          <w:tblPr>
            <w:tblStyle w:val="ACGrey-BasicTable"/>
            <w:tblW w:w="0" w:type="auto"/>
            <w:tblLook w:val="04A0" w:firstRow="1" w:lastRow="0" w:firstColumn="1" w:lastColumn="0" w:noHBand="0" w:noVBand="1"/>
          </w:tblPr>
          <w:tblGrid>
            <w:gridCol w:w="4248"/>
            <w:gridCol w:w="1276"/>
            <w:gridCol w:w="1134"/>
            <w:gridCol w:w="1134"/>
            <w:gridCol w:w="1269"/>
          </w:tblGrid>
          <w:tr w:rsidR="00A80E96" w:rsidRPr="009E7223" w14:paraId="78A89856" w14:textId="77777777" w:rsidTr="00A80E96">
            <w:trPr>
              <w:cnfStyle w:val="100000000000" w:firstRow="1" w:lastRow="0" w:firstColumn="0" w:lastColumn="0" w:oddVBand="0" w:evenVBand="0" w:oddHBand="0" w:evenHBand="0" w:firstRowFirstColumn="0" w:firstRowLastColumn="0" w:lastRowFirstColumn="0" w:lastRowLastColumn="0"/>
            </w:trPr>
            <w:tc>
              <w:tcPr>
                <w:tcW w:w="4248" w:type="dxa"/>
              </w:tcPr>
              <w:p w14:paraId="332AE795" w14:textId="2452A509" w:rsidR="00A80E96" w:rsidRPr="009E7223" w:rsidRDefault="00A80E96" w:rsidP="00A80E96">
                <w:pPr>
                  <w:pStyle w:val="Table-Heading"/>
                </w:pPr>
                <w:r w:rsidRPr="009E7223">
                  <w:t>Service Area</w:t>
                </w:r>
              </w:p>
            </w:tc>
            <w:tc>
              <w:tcPr>
                <w:tcW w:w="1276" w:type="dxa"/>
              </w:tcPr>
              <w:p w14:paraId="1002FF6C" w14:textId="7800B3EF" w:rsidR="00A80E96" w:rsidRPr="009E7223" w:rsidRDefault="00A80E96" w:rsidP="00FE068C">
                <w:pPr>
                  <w:pStyle w:val="Table-Heading"/>
                  <w:jc w:val="right"/>
                </w:pPr>
                <w:r w:rsidRPr="009E7223">
                  <w:t>2019/20</w:t>
                </w:r>
                <w:r w:rsidRPr="009E7223">
                  <w:br/>
                  <w:t>($m)</w:t>
                </w:r>
              </w:p>
            </w:tc>
            <w:tc>
              <w:tcPr>
                <w:tcW w:w="1134" w:type="dxa"/>
              </w:tcPr>
              <w:p w14:paraId="5E0D7FDD" w14:textId="1ADE201B" w:rsidR="00A80E96" w:rsidRPr="009E7223" w:rsidRDefault="00A80E96" w:rsidP="00FE068C">
                <w:pPr>
                  <w:pStyle w:val="Table-Heading"/>
                  <w:jc w:val="right"/>
                </w:pPr>
                <w:r w:rsidRPr="009E7223">
                  <w:t>2020/21</w:t>
                </w:r>
                <w:r w:rsidRPr="009E7223">
                  <w:br/>
                  <w:t>($m)</w:t>
                </w:r>
              </w:p>
            </w:tc>
            <w:tc>
              <w:tcPr>
                <w:tcW w:w="1134" w:type="dxa"/>
              </w:tcPr>
              <w:p w14:paraId="46EF32E0" w14:textId="1CE3198F" w:rsidR="00A80E96" w:rsidRPr="009E7223" w:rsidRDefault="00A80E96" w:rsidP="00FE068C">
                <w:pPr>
                  <w:pStyle w:val="Table-Heading"/>
                  <w:jc w:val="right"/>
                </w:pPr>
                <w:r w:rsidRPr="009E7223">
                  <w:t>2021/22</w:t>
                </w:r>
                <w:r w:rsidRPr="009E7223">
                  <w:br/>
                  <w:t>($m)</w:t>
                </w:r>
              </w:p>
            </w:tc>
            <w:tc>
              <w:tcPr>
                <w:tcW w:w="1269" w:type="dxa"/>
              </w:tcPr>
              <w:p w14:paraId="617FA34C" w14:textId="7FEB975F" w:rsidR="00A80E96" w:rsidRPr="009E7223" w:rsidRDefault="00A80E96" w:rsidP="00FE068C">
                <w:pPr>
                  <w:pStyle w:val="Table-Heading"/>
                  <w:jc w:val="right"/>
                </w:pPr>
                <w:r w:rsidRPr="009E7223">
                  <w:t>Total</w:t>
                </w:r>
                <w:r w:rsidRPr="009E7223">
                  <w:br/>
                  <w:t>($m)</w:t>
                </w:r>
              </w:p>
            </w:tc>
          </w:tr>
          <w:tr w:rsidR="00A80E96" w:rsidRPr="009E7223" w14:paraId="4C638908" w14:textId="77777777" w:rsidTr="00A80E96">
            <w:tc>
              <w:tcPr>
                <w:tcW w:w="4248" w:type="dxa"/>
              </w:tcPr>
              <w:p w14:paraId="76E91380" w14:textId="1A6558FF" w:rsidR="00A80E96" w:rsidRPr="009E7223" w:rsidRDefault="00A80E96" w:rsidP="00A80E96">
                <w:pPr>
                  <w:pStyle w:val="Table-para"/>
                </w:pPr>
                <w:r w:rsidRPr="009E7223">
                  <w:t>Pilots (public health and intervention services</w:t>
                </w:r>
              </w:p>
            </w:tc>
            <w:tc>
              <w:tcPr>
                <w:tcW w:w="1276" w:type="dxa"/>
              </w:tcPr>
              <w:p w14:paraId="669E03DE" w14:textId="243CF4D7" w:rsidR="00A80E96" w:rsidRPr="009E7223" w:rsidRDefault="00A80E96" w:rsidP="00FE068C">
                <w:pPr>
                  <w:pStyle w:val="Table-para"/>
                  <w:jc w:val="right"/>
                </w:pPr>
                <w:r w:rsidRPr="009E7223">
                  <w:t>0.500</w:t>
                </w:r>
              </w:p>
            </w:tc>
            <w:tc>
              <w:tcPr>
                <w:tcW w:w="1134" w:type="dxa"/>
              </w:tcPr>
              <w:p w14:paraId="57074AEA" w14:textId="0679DD7E" w:rsidR="00A80E96" w:rsidRPr="009E7223" w:rsidRDefault="00A80E96" w:rsidP="00FE068C">
                <w:pPr>
                  <w:pStyle w:val="Table-para"/>
                  <w:jc w:val="right"/>
                </w:pPr>
                <w:r w:rsidRPr="009E7223">
                  <w:t>1.250</w:t>
                </w:r>
              </w:p>
            </w:tc>
            <w:tc>
              <w:tcPr>
                <w:tcW w:w="1134" w:type="dxa"/>
              </w:tcPr>
              <w:p w14:paraId="4DD1E918" w14:textId="3CDE5FCD" w:rsidR="00A80E96" w:rsidRPr="009E7223" w:rsidRDefault="00A80E96" w:rsidP="00FE068C">
                <w:pPr>
                  <w:pStyle w:val="Table-para"/>
                  <w:jc w:val="right"/>
                </w:pPr>
                <w:r w:rsidRPr="009E7223">
                  <w:t>1.250</w:t>
                </w:r>
              </w:p>
            </w:tc>
            <w:tc>
              <w:tcPr>
                <w:tcW w:w="1269" w:type="dxa"/>
              </w:tcPr>
              <w:p w14:paraId="08E821C0" w14:textId="7EB7A86E" w:rsidR="00A80E96" w:rsidRPr="009E7223" w:rsidRDefault="00A80E96" w:rsidP="00FE068C">
                <w:pPr>
                  <w:pStyle w:val="Table-para"/>
                  <w:jc w:val="right"/>
                </w:pPr>
                <w:r w:rsidRPr="009E7223">
                  <w:t>3.000</w:t>
                </w:r>
              </w:p>
            </w:tc>
          </w:tr>
          <w:tr w:rsidR="00A80E96" w:rsidRPr="009E7223" w14:paraId="4318DA6B" w14:textId="77777777" w:rsidTr="00A80E96">
            <w:tc>
              <w:tcPr>
                <w:tcW w:w="4248" w:type="dxa"/>
              </w:tcPr>
              <w:p w14:paraId="218CE049" w14:textId="13998E94" w:rsidR="00A80E96" w:rsidRPr="009E7223" w:rsidRDefault="00A80E96" w:rsidP="00A80E96">
                <w:pPr>
                  <w:pStyle w:val="Table-para"/>
                </w:pPr>
                <w:r w:rsidRPr="009E7223">
                  <w:t>Pilots (evaluation)</w:t>
                </w:r>
              </w:p>
            </w:tc>
            <w:tc>
              <w:tcPr>
                <w:tcW w:w="1276" w:type="dxa"/>
              </w:tcPr>
              <w:p w14:paraId="348504F8" w14:textId="1CCA3998" w:rsidR="00A80E96" w:rsidRPr="009E7223" w:rsidRDefault="00A80E96" w:rsidP="00FE068C">
                <w:pPr>
                  <w:pStyle w:val="Table-para"/>
                  <w:jc w:val="right"/>
                </w:pPr>
                <w:r w:rsidRPr="009E7223">
                  <w:t>0.200</w:t>
                </w:r>
              </w:p>
            </w:tc>
            <w:tc>
              <w:tcPr>
                <w:tcW w:w="1134" w:type="dxa"/>
              </w:tcPr>
              <w:p w14:paraId="6E1C7DA0" w14:textId="3CF94F02" w:rsidR="00A80E96" w:rsidRPr="009E7223" w:rsidRDefault="00A80E96" w:rsidP="00FE068C">
                <w:pPr>
                  <w:pStyle w:val="Table-para"/>
                  <w:jc w:val="right"/>
                </w:pPr>
                <w:r w:rsidRPr="009E7223">
                  <w:t>0.100</w:t>
                </w:r>
              </w:p>
            </w:tc>
            <w:tc>
              <w:tcPr>
                <w:tcW w:w="1134" w:type="dxa"/>
              </w:tcPr>
              <w:p w14:paraId="560C53AB" w14:textId="3D915D81" w:rsidR="00A80E96" w:rsidRPr="009E7223" w:rsidRDefault="00A80E96" w:rsidP="00FE068C">
                <w:pPr>
                  <w:pStyle w:val="Table-para"/>
                  <w:jc w:val="right"/>
                </w:pPr>
                <w:r w:rsidRPr="009E7223">
                  <w:t>0.200</w:t>
                </w:r>
              </w:p>
            </w:tc>
            <w:tc>
              <w:tcPr>
                <w:tcW w:w="1269" w:type="dxa"/>
              </w:tcPr>
              <w:p w14:paraId="31F29A5E" w14:textId="4EF73E2E" w:rsidR="00A80E96" w:rsidRPr="009E7223" w:rsidRDefault="00A80E96" w:rsidP="00FE068C">
                <w:pPr>
                  <w:pStyle w:val="Table-para"/>
                  <w:jc w:val="right"/>
                </w:pPr>
                <w:r w:rsidRPr="009E7223">
                  <w:t>0.500</w:t>
                </w:r>
              </w:p>
            </w:tc>
          </w:tr>
          <w:tr w:rsidR="00A80E96" w:rsidRPr="009E7223" w14:paraId="5466443E" w14:textId="77777777" w:rsidTr="00A80E96">
            <w:tc>
              <w:tcPr>
                <w:tcW w:w="4248" w:type="dxa"/>
              </w:tcPr>
              <w:p w14:paraId="2B8025A5" w14:textId="6CB6D0F5" w:rsidR="00A80E96" w:rsidRPr="009E7223" w:rsidRDefault="00A80E96" w:rsidP="00A80E96">
                <w:pPr>
                  <w:pStyle w:val="Table-para"/>
                </w:pPr>
                <w:r w:rsidRPr="009E7223">
                  <w:t>Peer Support Services</w:t>
                </w:r>
              </w:p>
            </w:tc>
            <w:tc>
              <w:tcPr>
                <w:tcW w:w="1276" w:type="dxa"/>
              </w:tcPr>
              <w:p w14:paraId="6E30FE8F" w14:textId="06B4D5A0" w:rsidR="00A80E96" w:rsidRPr="009E7223" w:rsidRDefault="00A80E96" w:rsidP="00FE068C">
                <w:pPr>
                  <w:pStyle w:val="Table-para"/>
                  <w:jc w:val="right"/>
                </w:pPr>
                <w:r w:rsidRPr="009E7223">
                  <w:t>0.035</w:t>
                </w:r>
              </w:p>
            </w:tc>
            <w:tc>
              <w:tcPr>
                <w:tcW w:w="1134" w:type="dxa"/>
              </w:tcPr>
              <w:p w14:paraId="68A2A90F" w14:textId="1EAD9563" w:rsidR="00A80E96" w:rsidRPr="009E7223" w:rsidRDefault="00A80E96" w:rsidP="00FE068C">
                <w:pPr>
                  <w:pStyle w:val="Table-para"/>
                  <w:jc w:val="right"/>
                </w:pPr>
                <w:r w:rsidRPr="009E7223">
                  <w:t>0.235</w:t>
                </w:r>
              </w:p>
            </w:tc>
            <w:tc>
              <w:tcPr>
                <w:tcW w:w="1134" w:type="dxa"/>
              </w:tcPr>
              <w:p w14:paraId="433CA10E" w14:textId="1E3319CF" w:rsidR="00A80E96" w:rsidRPr="009E7223" w:rsidRDefault="00A80E96" w:rsidP="00FE068C">
                <w:pPr>
                  <w:pStyle w:val="Table-para"/>
                  <w:jc w:val="right"/>
                </w:pPr>
                <w:r w:rsidRPr="009E7223">
                  <w:t>0.530</w:t>
                </w:r>
              </w:p>
            </w:tc>
            <w:tc>
              <w:tcPr>
                <w:tcW w:w="1269" w:type="dxa"/>
              </w:tcPr>
              <w:p w14:paraId="07FB728D" w14:textId="0DB04640" w:rsidR="00A80E96" w:rsidRPr="009E7223" w:rsidRDefault="00A80E96" w:rsidP="00FE068C">
                <w:pPr>
                  <w:pStyle w:val="Table-para"/>
                  <w:jc w:val="right"/>
                </w:pPr>
                <w:r w:rsidRPr="009E7223">
                  <w:t>0.800</w:t>
                </w:r>
              </w:p>
            </w:tc>
          </w:tr>
          <w:tr w:rsidR="00A80E96" w:rsidRPr="009E7223" w14:paraId="4B0B735C" w14:textId="77777777" w:rsidTr="00A80E96">
            <w:tc>
              <w:tcPr>
                <w:tcW w:w="4248" w:type="dxa"/>
              </w:tcPr>
              <w:p w14:paraId="7254E120" w14:textId="6AE37801" w:rsidR="00A80E96" w:rsidRPr="009E7223" w:rsidRDefault="00A80E96" w:rsidP="00A80E96">
                <w:pPr>
                  <w:pStyle w:val="Table-para"/>
                </w:pPr>
                <w:r w:rsidRPr="009E7223">
                  <w:t>Residential care services</w:t>
                </w:r>
              </w:p>
            </w:tc>
            <w:tc>
              <w:tcPr>
                <w:tcW w:w="1276" w:type="dxa"/>
              </w:tcPr>
              <w:p w14:paraId="3D4D8A54" w14:textId="5FF7BA26" w:rsidR="00A80E96" w:rsidRPr="009E7223" w:rsidRDefault="00A80E96" w:rsidP="00FE068C">
                <w:pPr>
                  <w:pStyle w:val="Table-para"/>
                  <w:jc w:val="right"/>
                </w:pPr>
                <w:r w:rsidRPr="009E7223">
                  <w:t>0.100</w:t>
                </w:r>
              </w:p>
            </w:tc>
            <w:tc>
              <w:tcPr>
                <w:tcW w:w="1134" w:type="dxa"/>
              </w:tcPr>
              <w:p w14:paraId="62C07C2D" w14:textId="347669D0" w:rsidR="00A80E96" w:rsidRPr="009E7223" w:rsidRDefault="00A80E96" w:rsidP="00FE068C">
                <w:pPr>
                  <w:pStyle w:val="Table-para"/>
                  <w:jc w:val="right"/>
                </w:pPr>
                <w:r w:rsidRPr="009E7223">
                  <w:t>0.100</w:t>
                </w:r>
              </w:p>
            </w:tc>
            <w:tc>
              <w:tcPr>
                <w:tcW w:w="1134" w:type="dxa"/>
              </w:tcPr>
              <w:p w14:paraId="0D68A504" w14:textId="29325154" w:rsidR="00A80E96" w:rsidRPr="009E7223" w:rsidRDefault="00A80E96" w:rsidP="00FE068C">
                <w:pPr>
                  <w:pStyle w:val="Table-para"/>
                  <w:jc w:val="right"/>
                </w:pPr>
                <w:r w:rsidRPr="009E7223">
                  <w:t>0.500</w:t>
                </w:r>
              </w:p>
            </w:tc>
            <w:tc>
              <w:tcPr>
                <w:tcW w:w="1269" w:type="dxa"/>
              </w:tcPr>
              <w:p w14:paraId="028F35B1" w14:textId="657D142A" w:rsidR="00A80E96" w:rsidRPr="009E7223" w:rsidRDefault="00A80E96" w:rsidP="00FE068C">
                <w:pPr>
                  <w:pStyle w:val="Table-para"/>
                  <w:jc w:val="right"/>
                </w:pPr>
                <w:r w:rsidRPr="009E7223">
                  <w:t>0.700</w:t>
                </w:r>
              </w:p>
            </w:tc>
          </w:tr>
          <w:tr w:rsidR="00A80E96" w:rsidRPr="009E7223" w14:paraId="0AF2ACAC" w14:textId="77777777" w:rsidTr="00A80E96">
            <w:tc>
              <w:tcPr>
                <w:tcW w:w="4248" w:type="dxa"/>
              </w:tcPr>
              <w:p w14:paraId="115562C6" w14:textId="6EACB6E5" w:rsidR="00A80E96" w:rsidRPr="009E7223" w:rsidRDefault="00A80E96" w:rsidP="00A80E96">
                <w:pPr>
                  <w:pStyle w:val="Table-para"/>
                  <w:rPr>
                    <w:b/>
                  </w:rPr>
                </w:pPr>
                <w:r w:rsidRPr="009E7223">
                  <w:rPr>
                    <w:b/>
                  </w:rPr>
                  <w:t>Total</w:t>
                </w:r>
              </w:p>
            </w:tc>
            <w:tc>
              <w:tcPr>
                <w:tcW w:w="1276" w:type="dxa"/>
              </w:tcPr>
              <w:p w14:paraId="13BB01F3" w14:textId="77777777" w:rsidR="00A80E96" w:rsidRPr="009E7223" w:rsidRDefault="00A80E96" w:rsidP="00FE068C">
                <w:pPr>
                  <w:pStyle w:val="Table-para"/>
                  <w:jc w:val="right"/>
                  <w:rPr>
                    <w:b/>
                  </w:rPr>
                </w:pPr>
              </w:p>
            </w:tc>
            <w:tc>
              <w:tcPr>
                <w:tcW w:w="1134" w:type="dxa"/>
              </w:tcPr>
              <w:p w14:paraId="08468DB7" w14:textId="77777777" w:rsidR="00A80E96" w:rsidRPr="009E7223" w:rsidRDefault="00A80E96" w:rsidP="00FE068C">
                <w:pPr>
                  <w:pStyle w:val="Table-para"/>
                  <w:jc w:val="right"/>
                  <w:rPr>
                    <w:b/>
                  </w:rPr>
                </w:pPr>
              </w:p>
            </w:tc>
            <w:tc>
              <w:tcPr>
                <w:tcW w:w="1134" w:type="dxa"/>
              </w:tcPr>
              <w:p w14:paraId="15B74F12" w14:textId="77777777" w:rsidR="00A80E96" w:rsidRPr="009E7223" w:rsidRDefault="00A80E96" w:rsidP="00FE068C">
                <w:pPr>
                  <w:pStyle w:val="Table-para"/>
                  <w:jc w:val="right"/>
                  <w:rPr>
                    <w:b/>
                  </w:rPr>
                </w:pPr>
              </w:p>
            </w:tc>
            <w:tc>
              <w:tcPr>
                <w:tcW w:w="1269" w:type="dxa"/>
              </w:tcPr>
              <w:p w14:paraId="346111BF" w14:textId="1CBF0576" w:rsidR="00A80E96" w:rsidRPr="009E7223" w:rsidRDefault="00A80E96" w:rsidP="00FE068C">
                <w:pPr>
                  <w:pStyle w:val="Table-para"/>
                  <w:jc w:val="right"/>
                  <w:rPr>
                    <w:b/>
                  </w:rPr>
                </w:pPr>
                <w:r w:rsidRPr="009E7223">
                  <w:rPr>
                    <w:b/>
                  </w:rPr>
                  <w:t>5.000</w:t>
                </w:r>
              </w:p>
            </w:tc>
          </w:tr>
        </w:tbl>
        <w:p w14:paraId="136A3F48" w14:textId="5A3F703B" w:rsidR="0094303A" w:rsidRPr="009E7223" w:rsidRDefault="0029387B" w:rsidP="0094303A">
          <w:pPr>
            <w:pStyle w:val="NumberedHeading3"/>
          </w:pPr>
          <w:bookmarkStart w:id="70" w:name="_Toc531098168"/>
          <w:r w:rsidRPr="009E7223">
            <w:lastRenderedPageBreak/>
            <w:t xml:space="preserve">Submitters </w:t>
          </w:r>
          <w:r w:rsidR="0094303A" w:rsidRPr="009E7223">
            <w:t>argu</w:t>
          </w:r>
          <w:r w:rsidR="00ED38FD" w:rsidRPr="009E7223">
            <w:t>ed</w:t>
          </w:r>
          <w:r w:rsidR="0094303A" w:rsidRPr="009E7223">
            <w:t xml:space="preserve"> for and against the proposed funding appropriation</w:t>
          </w:r>
          <w:bookmarkEnd w:id="70"/>
        </w:p>
        <w:p w14:paraId="6E0A70F7" w14:textId="05646AA8" w:rsidR="0094303A" w:rsidRPr="009E7223" w:rsidRDefault="0094303A" w:rsidP="0094303A">
          <w:pPr>
            <w:pStyle w:val="BodyText"/>
          </w:pPr>
          <w:r w:rsidRPr="009E7223">
            <w:t xml:space="preserve">There was low support for the proposed size of the funding appropriation </w:t>
          </w:r>
          <w:r w:rsidR="00C462D1" w:rsidRPr="009E7223">
            <w:t>(</w:t>
          </w:r>
          <w:r w:rsidRPr="009E7223">
            <w:t xml:space="preserve">as shown </w:t>
          </w:r>
          <w:r w:rsidR="00D812D2" w:rsidRPr="009E7223">
            <w:t xml:space="preserve">in </w:t>
          </w:r>
          <w:r w:rsidR="00D812D2" w:rsidRPr="009E7223">
            <w:fldChar w:fldCharType="begin"/>
          </w:r>
          <w:r w:rsidR="00D812D2" w:rsidRPr="009E7223">
            <w:instrText xml:space="preserve"> REF _Ref527705406 \h </w:instrText>
          </w:r>
          <w:r w:rsidR="00D812D2" w:rsidRPr="009E7223">
            <w:fldChar w:fldCharType="separate"/>
          </w:r>
          <w:r w:rsidR="00CE4EFF" w:rsidRPr="009E7223">
            <w:t xml:space="preserve">Table </w:t>
          </w:r>
          <w:r w:rsidR="00CE4EFF">
            <w:rPr>
              <w:noProof/>
            </w:rPr>
            <w:t>7</w:t>
          </w:r>
          <w:r w:rsidR="00D812D2" w:rsidRPr="009E7223">
            <w:fldChar w:fldCharType="end"/>
          </w:r>
          <w:r w:rsidR="00C462D1" w:rsidRPr="009E7223">
            <w:t>)</w:t>
          </w:r>
          <w:r w:rsidRPr="009E7223">
            <w:t>. Of the 82 submissions, 28 did not address the question; and of the 54 that did address it, 38 did not support the funding appropriation. Many submitters explained their reasoning for withholding their support, but comments in support were general: “Yes, the amount is appropriate.”</w:t>
          </w:r>
          <w:r w:rsidRPr="009E7223">
            <w:rPr>
              <w:rStyle w:val="FootnoteReference"/>
            </w:rPr>
            <w:footnoteReference w:id="304"/>
          </w:r>
          <w:r w:rsidRPr="009E7223">
            <w:t xml:space="preserve"> Responses from submitters that withheld support follow.</w:t>
          </w:r>
        </w:p>
        <w:p w14:paraId="34AD8C9F" w14:textId="594DCFEB" w:rsidR="00C462D1" w:rsidRPr="009E7223" w:rsidRDefault="00C462D1" w:rsidP="00094010">
          <w:pPr>
            <w:pStyle w:val="NumberedHeading3"/>
          </w:pPr>
          <w:bookmarkStart w:id="71" w:name="_Toc531098169"/>
          <w:r w:rsidRPr="009E7223">
            <w:t>For NCGM sector s</w:t>
          </w:r>
          <w:r w:rsidR="0029387B" w:rsidRPr="009E7223">
            <w:t>ubmitters</w:t>
          </w:r>
          <w:r w:rsidRPr="009E7223">
            <w:t>, reduced presentations and uninspiring spending proposals made the proposed funding appropriation inappropriate</w:t>
          </w:r>
          <w:bookmarkEnd w:id="71"/>
          <w:r w:rsidRPr="009E7223">
            <w:t xml:space="preserve"> </w:t>
          </w:r>
        </w:p>
        <w:p w14:paraId="2461FAF8" w14:textId="5CCF15AC" w:rsidR="0094303A" w:rsidRPr="009E7223" w:rsidRDefault="0094303A" w:rsidP="0094303A">
          <w:pPr>
            <w:pStyle w:val="BodyText"/>
          </w:pPr>
          <w:r w:rsidRPr="009E7223">
            <w:t xml:space="preserve">NCGM sector submitters put forward several reasons why they did not consider the proposed funding appropriation to be appropriate. </w:t>
          </w:r>
          <w:r w:rsidR="00C86A25" w:rsidRPr="009E7223">
            <w:t>Eleven</w:t>
          </w:r>
          <w:r w:rsidRPr="009E7223">
            <w:t xml:space="preserve"> </w:t>
          </w:r>
          <w:r w:rsidR="00C86A25" w:rsidRPr="009E7223">
            <w:t xml:space="preserve">NCGM sector submitters </w:t>
          </w:r>
          <w:r w:rsidRPr="009E7223">
            <w:t>considered that the reduction in the number of treatment presentations should be reflected in a reduced funding appropriation.</w:t>
          </w:r>
          <w:r w:rsidRPr="009E7223">
            <w:rPr>
              <w:rStyle w:val="FootnoteReference"/>
            </w:rPr>
            <w:footnoteReference w:id="305"/>
          </w:r>
          <w:r w:rsidRPr="009E7223">
            <w:t xml:space="preserve"> S</w:t>
          </w:r>
          <w:r w:rsidR="00C86A25" w:rsidRPr="009E7223">
            <w:t>ix</w:t>
          </w:r>
          <w:r w:rsidRPr="009E7223">
            <w:t xml:space="preserve"> </w:t>
          </w:r>
          <w:r w:rsidR="00C86A25" w:rsidRPr="009E7223">
            <w:t xml:space="preserve">NCGM sector submitters </w:t>
          </w:r>
          <w:r w:rsidRPr="009E7223">
            <w:t>expressed frustration at the appropriation, commenting that the proposal offered nothing new or innovative</w:t>
          </w:r>
          <w:r w:rsidRPr="009E7223">
            <w:rPr>
              <w:rStyle w:val="FootnoteReference"/>
            </w:rPr>
            <w:t xml:space="preserve"> </w:t>
          </w:r>
          <w:r w:rsidRPr="009E7223">
            <w:t>.</w:t>
          </w:r>
          <w:r w:rsidRPr="009E7223">
            <w:rPr>
              <w:rStyle w:val="FootnoteReference"/>
            </w:rPr>
            <w:footnoteReference w:id="306"/>
          </w:r>
          <w:r w:rsidRPr="009E7223">
            <w:t xml:space="preserve"> For example:</w:t>
          </w:r>
        </w:p>
        <w:p w14:paraId="5DE5C765" w14:textId="0214B1C2" w:rsidR="0094303A" w:rsidRPr="009E7223" w:rsidRDefault="0094303A" w:rsidP="0094303A">
          <w:pPr>
            <w:pStyle w:val="Quote"/>
          </w:pPr>
          <w:r w:rsidRPr="009E7223">
            <w:t>You haven’t fixed anything… with all the money year after year to me it’s a shameful result</w:t>
          </w:r>
          <w:r w:rsidR="00C462D1" w:rsidRPr="009E7223">
            <w:t>.</w:t>
          </w:r>
          <w:r w:rsidR="00C462D1" w:rsidRPr="009E7223">
            <w:rPr>
              <w:rStyle w:val="FootnoteReference"/>
            </w:rPr>
            <w:footnoteReference w:id="307"/>
          </w:r>
        </w:p>
        <w:p w14:paraId="531F5C96" w14:textId="545A27C2" w:rsidR="0094303A" w:rsidRPr="009E7223" w:rsidRDefault="00C86A25" w:rsidP="0094303A">
          <w:pPr>
            <w:pStyle w:val="BodyText"/>
          </w:pPr>
          <w:r w:rsidRPr="009E7223">
            <w:t xml:space="preserve">Two </w:t>
          </w:r>
          <w:r w:rsidR="0094303A" w:rsidRPr="009E7223">
            <w:t>NCGM sector submitters</w:t>
          </w:r>
          <w:r w:rsidR="0094303A" w:rsidRPr="009E7223">
            <w:rPr>
              <w:rStyle w:val="FootnoteReference"/>
            </w:rPr>
            <w:footnoteReference w:id="308"/>
          </w:r>
          <w:r w:rsidR="0094303A" w:rsidRPr="009E7223">
            <w:rPr>
              <w:rStyle w:val="FootnoteReference"/>
            </w:rPr>
            <w:t xml:space="preserve"> </w:t>
          </w:r>
          <w:r w:rsidR="0094303A" w:rsidRPr="009E7223">
            <w:t>also considered that the consultation document was not sufficiently explicit about why an increase was sought, and that the proposed increased spending needed to be justified in the final document. One NCGM submitter</w:t>
          </w:r>
          <w:r w:rsidR="0094303A" w:rsidRPr="009E7223">
            <w:rPr>
              <w:rStyle w:val="FootnoteReference"/>
            </w:rPr>
            <w:footnoteReference w:id="309"/>
          </w:r>
          <w:r w:rsidR="0094303A" w:rsidRPr="009E7223">
            <w:t xml:space="preserve"> commented that the budget was inappropriate for the proposed activities “</w:t>
          </w:r>
          <w:r w:rsidR="0094303A" w:rsidRPr="00FE068C">
            <w:rPr>
              <w:i/>
            </w:rPr>
            <w:t>doing all the same things that have not had a material impact in the past</w:t>
          </w:r>
          <w:r w:rsidR="0094303A" w:rsidRPr="009E7223">
            <w:t>”, but that the appropriation was appropriate for exploring new technologies. This submitter also commented that a reduced appropriation would mean more money available for community funding.</w:t>
          </w:r>
        </w:p>
        <w:p w14:paraId="752FB9BC" w14:textId="29561919" w:rsidR="0094303A" w:rsidRPr="009E7223" w:rsidRDefault="0029387B" w:rsidP="00117E3C">
          <w:pPr>
            <w:pStyle w:val="Heading4"/>
          </w:pPr>
          <w:r w:rsidRPr="009E7223">
            <w:t>Service Providers considered that i</w:t>
          </w:r>
          <w:r w:rsidR="0094303A" w:rsidRPr="009E7223">
            <w:t xml:space="preserve">nsufficient funding made </w:t>
          </w:r>
          <w:r w:rsidRPr="009E7223">
            <w:t>the proposed appropriation</w:t>
          </w:r>
          <w:r w:rsidR="0094303A" w:rsidRPr="009E7223">
            <w:t xml:space="preserve"> inadequate</w:t>
          </w:r>
        </w:p>
        <w:p w14:paraId="42F559EE" w14:textId="2792CEB6" w:rsidR="0094303A" w:rsidRPr="009E7223" w:rsidRDefault="0066715F" w:rsidP="0094303A">
          <w:pPr>
            <w:pStyle w:val="BodyText"/>
          </w:pPr>
          <w:r w:rsidRPr="009E7223">
            <w:t xml:space="preserve">Three </w:t>
          </w:r>
          <w:r w:rsidR="0094303A" w:rsidRPr="009E7223">
            <w:t>Service Providers</w:t>
          </w:r>
          <w:r w:rsidR="00C86A25" w:rsidRPr="009E7223">
            <w:rPr>
              <w:rStyle w:val="FootnoteReference"/>
            </w:rPr>
            <w:footnoteReference w:id="310"/>
          </w:r>
          <w:r w:rsidR="0094303A" w:rsidRPr="009E7223">
            <w:t xml:space="preserve"> and </w:t>
          </w:r>
          <w:r w:rsidR="00C86A25" w:rsidRPr="009E7223">
            <w:t>an I</w:t>
          </w:r>
          <w:r w:rsidR="0094303A" w:rsidRPr="009E7223">
            <w:t>ndividual submitter</w:t>
          </w:r>
          <w:r w:rsidR="0094303A" w:rsidRPr="009E7223">
            <w:rPr>
              <w:rStyle w:val="FootnoteReference"/>
            </w:rPr>
            <w:footnoteReference w:id="311"/>
          </w:r>
          <w:r w:rsidR="0094303A" w:rsidRPr="009E7223">
            <w:t xml:space="preserve"> considered the appropriation did not adequately account for anticipated changes in wages, which one submitter suggested should be aligned with the Alcohol or Drug Addiction workforce.</w:t>
          </w:r>
        </w:p>
        <w:p w14:paraId="5987EA62" w14:textId="77777777" w:rsidR="0094303A" w:rsidRPr="009E7223" w:rsidRDefault="0094303A" w:rsidP="0094303A">
          <w:pPr>
            <w:pStyle w:val="BodyText"/>
          </w:pPr>
          <w:r w:rsidRPr="009E7223">
            <w:t>Another Service Provider</w:t>
          </w:r>
          <w:r w:rsidRPr="009E7223">
            <w:rPr>
              <w:rStyle w:val="FootnoteReference"/>
            </w:rPr>
            <w:footnoteReference w:id="312"/>
          </w:r>
          <w:r w:rsidRPr="009E7223">
            <w:t xml:space="preserve"> asserted that more investment was needed across public health, intervention services, and research and evaluation, especially investing in more staff, if a reduction in gambling harm is to be achieved.</w:t>
          </w:r>
        </w:p>
        <w:p w14:paraId="4E379328" w14:textId="4F2A5524" w:rsidR="0094303A" w:rsidRPr="009E7223" w:rsidRDefault="0094303A" w:rsidP="00B241B6">
          <w:pPr>
            <w:pStyle w:val="Heading4"/>
          </w:pPr>
          <w:r w:rsidRPr="009E7223">
            <w:t>The</w:t>
          </w:r>
          <w:r w:rsidR="006F1C17" w:rsidRPr="009E7223">
            <w:t xml:space="preserve">re is contention over the </w:t>
          </w:r>
          <w:r w:rsidRPr="009E7223">
            <w:t>$5</w:t>
          </w:r>
          <w:r w:rsidR="003C4551" w:rsidRPr="009E7223">
            <w:t xml:space="preserve"> </w:t>
          </w:r>
          <w:r w:rsidRPr="009E7223">
            <w:t>m</w:t>
          </w:r>
          <w:r w:rsidR="003C4551" w:rsidRPr="009E7223">
            <w:t>illion</w:t>
          </w:r>
          <w:r w:rsidRPr="009E7223">
            <w:t xml:space="preserve"> underspend</w:t>
          </w:r>
        </w:p>
        <w:p w14:paraId="45155267" w14:textId="38A3B8B9" w:rsidR="0094303A" w:rsidRPr="009E7223" w:rsidRDefault="0094303A" w:rsidP="0094303A">
          <w:pPr>
            <w:pStyle w:val="BodyText"/>
          </w:pPr>
          <w:r w:rsidRPr="009E7223">
            <w:t>A major point of contention about the size of the proposed appropriation centred on how the $5</w:t>
          </w:r>
          <w:r w:rsidR="003C4551" w:rsidRPr="009E7223">
            <w:t xml:space="preserve"> </w:t>
          </w:r>
          <w:r w:rsidRPr="009E7223">
            <w:t>m</w:t>
          </w:r>
          <w:r w:rsidR="003C4551" w:rsidRPr="009E7223">
            <w:t>illion</w:t>
          </w:r>
          <w:r w:rsidRPr="009E7223">
            <w:t xml:space="preserve"> underspend should be treated in the levy formula. Comments about this were included in 24 submissions, mainly from NCGM submitters</w:t>
          </w:r>
          <w:r w:rsidR="006C7B56" w:rsidRPr="009E7223">
            <w:t>.</w:t>
          </w:r>
        </w:p>
        <w:p w14:paraId="75DE829B" w14:textId="5C205779" w:rsidR="006C7B56" w:rsidRPr="009E7223" w:rsidRDefault="006C7B56" w:rsidP="006C7B56">
          <w:pPr>
            <w:pStyle w:val="BodyText"/>
          </w:pPr>
          <w:r w:rsidRPr="009E7223">
            <w:lastRenderedPageBreak/>
            <w:t xml:space="preserve">Submitters from a Local </w:t>
          </w:r>
          <w:r w:rsidR="00C27EED" w:rsidRPr="009E7223">
            <w:t>Government</w:t>
          </w:r>
          <w:r w:rsidRPr="009E7223">
            <w:t>,</w:t>
          </w:r>
          <w:r w:rsidR="00C86A25" w:rsidRPr="009E7223">
            <w:rPr>
              <w:rStyle w:val="FootnoteReference"/>
            </w:rPr>
            <w:footnoteReference w:id="313"/>
          </w:r>
          <w:r w:rsidRPr="009E7223">
            <w:t xml:space="preserve"> Health</w:t>
          </w:r>
          <w:r w:rsidR="00CF41A1" w:rsidRPr="009E7223">
            <w:t>,</w:t>
          </w:r>
          <w:r w:rsidR="00C86A25" w:rsidRPr="009E7223">
            <w:rPr>
              <w:rStyle w:val="FootnoteReference"/>
            </w:rPr>
            <w:footnoteReference w:id="314"/>
          </w:r>
          <w:r w:rsidRPr="009E7223">
            <w:t xml:space="preserve"> and </w:t>
          </w:r>
          <w:r w:rsidR="0066715F" w:rsidRPr="009E7223">
            <w:t xml:space="preserve">two from the </w:t>
          </w:r>
          <w:r w:rsidRPr="009E7223">
            <w:t>Service Provider sectors</w:t>
          </w:r>
          <w:r w:rsidRPr="009E7223">
            <w:rPr>
              <w:rStyle w:val="FootnoteReference"/>
            </w:rPr>
            <w:footnoteReference w:id="315"/>
          </w:r>
          <w:r w:rsidRPr="009E7223">
            <w:t xml:space="preserve"> supported the proposed retention of the $5 million under-spend by the Ministry.</w:t>
          </w:r>
        </w:p>
        <w:p w14:paraId="088D21ED" w14:textId="4EC1A68D" w:rsidR="006C7B56" w:rsidRPr="009E7223" w:rsidRDefault="006C7B56" w:rsidP="006C7B56">
          <w:pPr>
            <w:pStyle w:val="BodyText"/>
          </w:pPr>
          <w:r w:rsidRPr="009E7223">
            <w:t>A Gambling Industry (other) submitter</w:t>
          </w:r>
          <w:r w:rsidRPr="009E7223">
            <w:rPr>
              <w:rStyle w:val="FootnoteReference"/>
            </w:rPr>
            <w:footnoteReference w:id="316"/>
          </w:r>
          <w:r w:rsidRPr="009E7223">
            <w:t xml:space="preserve"> supported the retention of the underspend, on the understanding that $3.5 million be set aside for a technology fund, to support investment in facial recognition software. A Service Provider</w:t>
          </w:r>
          <w:r w:rsidRPr="009E7223">
            <w:rPr>
              <w:rStyle w:val="FootnoteReference"/>
            </w:rPr>
            <w:footnoteReference w:id="317"/>
          </w:r>
          <w:r w:rsidRPr="009E7223">
            <w:t xml:space="preserve"> tacitly supported the retention of the underspend but asked who would represent Pasifika in the decision-making process about how the money is to be spent, and</w:t>
          </w:r>
          <w:r w:rsidR="00FE068C">
            <w:t xml:space="preserve"> a Service Provider</w:t>
          </w:r>
          <w:r w:rsidRPr="009E7223">
            <w:rPr>
              <w:rStyle w:val="FootnoteReference"/>
            </w:rPr>
            <w:footnoteReference w:id="318"/>
          </w:r>
          <w:r w:rsidRPr="009E7223">
            <w:t xml:space="preserve"> questioned why the research budget has been excluded from the likely beneficiaries of the allocation from the underspend.</w:t>
          </w:r>
        </w:p>
        <w:p w14:paraId="5E071055" w14:textId="51F807CD" w:rsidR="0094303A" w:rsidRPr="009E7223" w:rsidRDefault="00AD4B79" w:rsidP="0094303A">
          <w:pPr>
            <w:pStyle w:val="BodyText"/>
          </w:pPr>
          <w:r w:rsidRPr="009E7223">
            <w:t xml:space="preserve">Thirteen </w:t>
          </w:r>
          <w:r w:rsidR="0094303A" w:rsidRPr="009E7223">
            <w:t>NCGM</w:t>
          </w:r>
          <w:r w:rsidRPr="009E7223">
            <w:t xml:space="preserve"> sector submitters</w:t>
          </w:r>
          <w:r w:rsidRPr="009E7223">
            <w:rPr>
              <w:rStyle w:val="FootnoteReference"/>
            </w:rPr>
            <w:footnoteReference w:id="319"/>
          </w:r>
          <w:r w:rsidR="0094303A" w:rsidRPr="009E7223">
            <w:t xml:space="preserve"> and </w:t>
          </w:r>
          <w:r w:rsidRPr="009E7223">
            <w:t xml:space="preserve">one </w:t>
          </w:r>
          <w:r w:rsidR="0094303A" w:rsidRPr="009E7223">
            <w:t>Gambling Industry (other) submitter</w:t>
          </w:r>
          <w:r w:rsidR="0094303A" w:rsidRPr="009E7223">
            <w:rPr>
              <w:rStyle w:val="FootnoteReference"/>
            </w:rPr>
            <w:footnoteReference w:id="320"/>
          </w:r>
          <w:r w:rsidR="0094303A" w:rsidRPr="009E7223">
            <w:t xml:space="preserve"> expressed concern about the retention of the $5</w:t>
          </w:r>
          <w:r w:rsidR="003C4551" w:rsidRPr="009E7223">
            <w:t xml:space="preserve"> </w:t>
          </w:r>
          <w:r w:rsidR="0094303A" w:rsidRPr="009E7223">
            <w:t>m</w:t>
          </w:r>
          <w:r w:rsidR="003C4551" w:rsidRPr="009E7223">
            <w:t>illion</w:t>
          </w:r>
          <w:r w:rsidR="0094303A" w:rsidRPr="009E7223">
            <w:t xml:space="preserve"> underspend and it being used at the discretion of the Ministry in addition to the budget proposed in the draft Service Plan. There was a general preference from these submitters for the underspend to partially fund the proposed Service Plan, reducing the funding appropriation. One of these submitters</w:t>
          </w:r>
          <w:r w:rsidRPr="009E7223">
            <w:rPr>
              <w:rStyle w:val="FootnoteReference"/>
            </w:rPr>
            <w:footnoteReference w:id="321"/>
          </w:r>
          <w:r w:rsidR="0094303A" w:rsidRPr="009E7223">
            <w:t xml:space="preserve"> suggested that if the Ministry is to retain the surplus, then it should use it to encourage the uptake of MVE technology in all high turnover venues – which was considered consistent with the aim of harm minimisation.</w:t>
          </w:r>
        </w:p>
        <w:p w14:paraId="500A81B1" w14:textId="2306409C" w:rsidR="0094303A" w:rsidRPr="009E7223" w:rsidRDefault="00937AED" w:rsidP="0094303A">
          <w:pPr>
            <w:pStyle w:val="BodyText"/>
          </w:pPr>
          <w:r w:rsidRPr="009E7223">
            <w:t xml:space="preserve">Three </w:t>
          </w:r>
          <w:r w:rsidR="0094303A" w:rsidRPr="009E7223">
            <w:t xml:space="preserve">NCGM </w:t>
          </w:r>
          <w:r w:rsidRPr="009E7223">
            <w:t xml:space="preserve">sector </w:t>
          </w:r>
          <w:r w:rsidR="0094303A" w:rsidRPr="009E7223">
            <w:t>submi</w:t>
          </w:r>
          <w:r w:rsidRPr="009E7223">
            <w:t>tters</w:t>
          </w:r>
          <w:r w:rsidR="0094303A" w:rsidRPr="009E7223">
            <w:rPr>
              <w:rStyle w:val="FootnoteReference"/>
            </w:rPr>
            <w:footnoteReference w:id="322"/>
          </w:r>
          <w:r w:rsidR="0094303A" w:rsidRPr="009E7223">
            <w:t xml:space="preserve"> expressed frustration at the consultation process regarding the $5</w:t>
          </w:r>
          <w:r w:rsidR="003C4551" w:rsidRPr="009E7223">
            <w:t xml:space="preserve"> </w:t>
          </w:r>
          <w:r w:rsidR="0094303A" w:rsidRPr="009E7223">
            <w:t>m</w:t>
          </w:r>
          <w:r w:rsidR="003C4551" w:rsidRPr="009E7223">
            <w:t>illion</w:t>
          </w:r>
          <w:r w:rsidR="0094303A" w:rsidRPr="009E7223">
            <w:t xml:space="preserve"> surplus, and urged the Ministry to reconsider how the underspend is treated in respect of variable C and variable R. They suggested that the $5</w:t>
          </w:r>
          <w:r w:rsidR="003C4551" w:rsidRPr="009E7223">
            <w:t xml:space="preserve"> million</w:t>
          </w:r>
          <w:r w:rsidR="0094303A" w:rsidRPr="009E7223">
            <w:t xml:space="preserve"> underspend either be used to offset the budget, or it be included in variable R. Some submissions suggested that the current situation warrants judicial review and that accordingly, the Gambling Commission and the Minister of Health should be advised. T</w:t>
          </w:r>
          <w:r w:rsidRPr="009E7223">
            <w:t xml:space="preserve">wo NCGM sector submitters </w:t>
          </w:r>
          <w:r w:rsidR="0094303A" w:rsidRPr="009E7223">
            <w:t>comment</w:t>
          </w:r>
          <w:r w:rsidRPr="009E7223">
            <w:t>ed</w:t>
          </w:r>
          <w:r w:rsidR="0094303A" w:rsidRPr="009E7223">
            <w:t xml:space="preserve"> that that the proposed budget should be reduced to consider both the underspend and the overpayment.</w:t>
          </w:r>
          <w:r w:rsidR="0094303A" w:rsidRPr="009E7223">
            <w:rPr>
              <w:rStyle w:val="FootnoteReference"/>
            </w:rPr>
            <w:footnoteReference w:id="323"/>
          </w:r>
          <w:r w:rsidR="0094303A" w:rsidRPr="009E7223">
            <w:t xml:space="preserve"> It was noted </w:t>
          </w:r>
          <w:r w:rsidRPr="009E7223">
            <w:t xml:space="preserve">by three NCGM sector submitters </w:t>
          </w:r>
          <w:r w:rsidR="0094303A" w:rsidRPr="009E7223">
            <w:t>that excess levy payments reduced the amount of money available for community funding.</w:t>
          </w:r>
          <w:r w:rsidR="0094303A" w:rsidRPr="009E7223">
            <w:rPr>
              <w:rStyle w:val="FootnoteReference"/>
            </w:rPr>
            <w:footnoteReference w:id="324"/>
          </w:r>
        </w:p>
        <w:p w14:paraId="3E1E43F5" w14:textId="2C399A58" w:rsidR="0094303A" w:rsidRPr="009E7223" w:rsidRDefault="00937AED" w:rsidP="0094303A">
          <w:pPr>
            <w:pStyle w:val="BodyText"/>
          </w:pPr>
          <w:r w:rsidRPr="009E7223">
            <w:t xml:space="preserve">Two </w:t>
          </w:r>
          <w:r w:rsidR="0094303A" w:rsidRPr="009E7223">
            <w:t>NCGM</w:t>
          </w:r>
          <w:r w:rsidRPr="009E7223">
            <w:t xml:space="preserve"> sector</w:t>
          </w:r>
          <w:r w:rsidR="0094303A" w:rsidRPr="009E7223">
            <w:t xml:space="preserve"> submitters</w:t>
          </w:r>
          <w:r w:rsidR="0094303A" w:rsidRPr="009E7223">
            <w:rPr>
              <w:rStyle w:val="FootnoteReference"/>
            </w:rPr>
            <w:footnoteReference w:id="325"/>
          </w:r>
          <w:r w:rsidR="0094303A" w:rsidRPr="009E7223">
            <w:t xml:space="preserve"> </w:t>
          </w:r>
          <w:r w:rsidRPr="009E7223">
            <w:t>and a Health sector submitter</w:t>
          </w:r>
          <w:r w:rsidRPr="009E7223">
            <w:rPr>
              <w:rStyle w:val="FootnoteReference"/>
            </w:rPr>
            <w:footnoteReference w:id="326"/>
          </w:r>
          <w:r w:rsidRPr="009E7223">
            <w:t xml:space="preserve"> </w:t>
          </w:r>
          <w:r w:rsidR="0094303A" w:rsidRPr="009E7223">
            <w:t>were concerned that the $5</w:t>
          </w:r>
          <w:r w:rsidR="003C4551" w:rsidRPr="009E7223">
            <w:t xml:space="preserve"> </w:t>
          </w:r>
          <w:r w:rsidR="0094303A" w:rsidRPr="009E7223">
            <w:t>m</w:t>
          </w:r>
          <w:r w:rsidR="003C4551" w:rsidRPr="009E7223">
            <w:t>illion</w:t>
          </w:r>
          <w:r w:rsidR="0094303A" w:rsidRPr="009E7223">
            <w:t xml:space="preserve"> underspend was to be added to the new appropriation resulting in a larger budget than was fully described in the consultation document</w:t>
          </w:r>
          <w:r w:rsidR="00070866" w:rsidRPr="009E7223">
            <w:t>.</w:t>
          </w:r>
          <w:r w:rsidR="0094303A" w:rsidRPr="009E7223">
            <w:t xml:space="preserve"> </w:t>
          </w:r>
          <w:r w:rsidR="00130B64" w:rsidRPr="009E7223">
            <w:t>Two submitters expressed</w:t>
          </w:r>
          <w:r w:rsidR="0094303A" w:rsidRPr="009E7223">
            <w:t xml:space="preserve"> concern about the lack of transparency around the proposed use of the underspend</w:t>
          </w:r>
          <w:r w:rsidR="00070866" w:rsidRPr="009E7223">
            <w:t>,</w:t>
          </w:r>
          <w:r w:rsidR="0094303A" w:rsidRPr="009E7223">
            <w:rPr>
              <w:rStyle w:val="FootnoteReference"/>
            </w:rPr>
            <w:footnoteReference w:id="327"/>
          </w:r>
          <w:r w:rsidR="0094303A" w:rsidRPr="009E7223">
            <w:t xml:space="preserve"> noting the lack of detail in the budget regarding the proposed residential facility a</w:t>
          </w:r>
          <w:r w:rsidR="00070866" w:rsidRPr="009E7223">
            <w:t>n</w:t>
          </w:r>
          <w:r w:rsidR="0094303A" w:rsidRPr="009E7223">
            <w:t>d face-to-face counselling services, which was considered “</w:t>
          </w:r>
          <w:r w:rsidR="0094303A" w:rsidRPr="00FE068C">
            <w:rPr>
              <w:i/>
            </w:rPr>
            <w:t>a serious bre</w:t>
          </w:r>
          <w:r w:rsidR="003C4551" w:rsidRPr="00FE068C">
            <w:rPr>
              <w:i/>
            </w:rPr>
            <w:t>a</w:t>
          </w:r>
          <w:r w:rsidR="0094303A" w:rsidRPr="00FE068C">
            <w:rPr>
              <w:i/>
            </w:rPr>
            <w:t>ch</w:t>
          </w:r>
          <w:r w:rsidR="00070866" w:rsidRPr="009E7223">
            <w:t>.</w:t>
          </w:r>
          <w:r w:rsidR="0094303A" w:rsidRPr="009E7223">
            <w:t>”</w:t>
          </w:r>
          <w:r w:rsidR="0094303A" w:rsidRPr="009E7223">
            <w:rPr>
              <w:rStyle w:val="FootnoteReference"/>
            </w:rPr>
            <w:footnoteReference w:id="328"/>
          </w:r>
        </w:p>
        <w:p w14:paraId="2A21F3FC" w14:textId="3B50FB4B" w:rsidR="0094303A" w:rsidRPr="009E7223" w:rsidRDefault="00070866" w:rsidP="0094303A">
          <w:pPr>
            <w:pStyle w:val="BodyText"/>
          </w:pPr>
          <w:r w:rsidRPr="009E7223">
            <w:t xml:space="preserve">Two </w:t>
          </w:r>
          <w:r w:rsidR="0094303A" w:rsidRPr="009E7223">
            <w:t>NCGM submitters</w:t>
          </w:r>
          <w:r w:rsidR="0094303A" w:rsidRPr="009E7223">
            <w:rPr>
              <w:rStyle w:val="FootnoteReference"/>
            </w:rPr>
            <w:footnoteReference w:id="329"/>
          </w:r>
          <w:r w:rsidR="0094303A" w:rsidRPr="009E7223">
            <w:t xml:space="preserve"> expressed dissatisfaction that the proposed residential facility and additional treatment offices </w:t>
          </w:r>
          <w:r w:rsidRPr="009E7223">
            <w:t>were</w:t>
          </w:r>
          <w:r w:rsidR="0094303A" w:rsidRPr="009E7223">
            <w:t xml:space="preserve"> not included in the budget, which </w:t>
          </w:r>
          <w:r w:rsidRPr="009E7223">
            <w:t>wa</w:t>
          </w:r>
          <w:r w:rsidR="0094303A" w:rsidRPr="009E7223">
            <w:t>s viewed as “</w:t>
          </w:r>
          <w:r w:rsidR="0094303A" w:rsidRPr="009E7223">
            <w:rPr>
              <w:i/>
            </w:rPr>
            <w:t xml:space="preserve">grounds for </w:t>
          </w:r>
          <w:r w:rsidR="0094303A" w:rsidRPr="009E7223">
            <w:rPr>
              <w:i/>
            </w:rPr>
            <w:lastRenderedPageBreak/>
            <w:t>judicial review</w:t>
          </w:r>
          <w:r w:rsidR="0094303A" w:rsidRPr="009E7223">
            <w:t>”. The absence of costings for proposed face-to-face counselling services was also noted</w:t>
          </w:r>
          <w:r w:rsidRPr="009E7223">
            <w:t xml:space="preserve"> by one of these submitters</w:t>
          </w:r>
          <w:r w:rsidR="0094303A" w:rsidRPr="009E7223">
            <w:t>.</w:t>
          </w:r>
          <w:r w:rsidR="0094303A" w:rsidRPr="009E7223">
            <w:rPr>
              <w:rStyle w:val="FootnoteReference"/>
            </w:rPr>
            <w:footnoteReference w:id="330"/>
          </w:r>
        </w:p>
        <w:p w14:paraId="7399C630" w14:textId="50194A74" w:rsidR="0094303A" w:rsidRPr="009E7223" w:rsidRDefault="0094303A" w:rsidP="0094303A">
          <w:pPr>
            <w:pStyle w:val="BodyText"/>
          </w:pPr>
          <w:r w:rsidRPr="009E7223">
            <w:t>NCGM sector submitters suggested various ways to use the $5</w:t>
          </w:r>
          <w:r w:rsidR="003C4551" w:rsidRPr="009E7223">
            <w:t xml:space="preserve"> </w:t>
          </w:r>
          <w:r w:rsidRPr="009E7223">
            <w:t>m</w:t>
          </w:r>
          <w:r w:rsidR="003C4551" w:rsidRPr="009E7223">
            <w:t>illion</w:t>
          </w:r>
          <w:r w:rsidRPr="009E7223">
            <w:t xml:space="preserve"> underspend:</w:t>
          </w:r>
        </w:p>
        <w:p w14:paraId="6D550FC1" w14:textId="77777777" w:rsidR="0094303A" w:rsidRPr="009E7223" w:rsidRDefault="0094303A" w:rsidP="0094303A">
          <w:pPr>
            <w:pStyle w:val="List-BulletLvl1"/>
          </w:pPr>
          <w:r w:rsidRPr="009E7223">
            <w:t>Return it to levy payers</w:t>
          </w:r>
          <w:r w:rsidRPr="009E7223">
            <w:rPr>
              <w:rStyle w:val="FootnoteReference"/>
            </w:rPr>
            <w:footnoteReference w:id="331"/>
          </w:r>
        </w:p>
        <w:p w14:paraId="734A43BD" w14:textId="38AEAB42" w:rsidR="0094303A" w:rsidRPr="009E7223" w:rsidRDefault="003C4551" w:rsidP="0094303A">
          <w:pPr>
            <w:pStyle w:val="List-BulletLvl1"/>
          </w:pPr>
          <w:r w:rsidRPr="009E7223">
            <w:t>E</w:t>
          </w:r>
          <w:r w:rsidR="0094303A" w:rsidRPr="009E7223">
            <w:t>stablish a Gambling Awareness programme</w:t>
          </w:r>
          <w:r w:rsidR="0094303A" w:rsidRPr="009E7223">
            <w:rPr>
              <w:rStyle w:val="FootnoteReference"/>
            </w:rPr>
            <w:footnoteReference w:id="332"/>
          </w:r>
          <w:r w:rsidR="0094303A" w:rsidRPr="009E7223">
            <w:t xml:space="preserve"> to further educate gamblers, reducing harm</w:t>
          </w:r>
          <w:r w:rsidR="00130B64" w:rsidRPr="009E7223">
            <w:t>, and</w:t>
          </w:r>
        </w:p>
        <w:p w14:paraId="0315A7C5" w14:textId="28AB39D2" w:rsidR="0094303A" w:rsidRPr="009E7223" w:rsidRDefault="003C4551" w:rsidP="0094303A">
          <w:pPr>
            <w:pStyle w:val="List-BulletLvl1"/>
          </w:pPr>
          <w:r w:rsidRPr="009E7223">
            <w:t>F</w:t>
          </w:r>
          <w:r w:rsidR="0094303A" w:rsidRPr="009E7223">
            <w:t xml:space="preserve">und a small-group programme that is being piloted, which is based on tikanga and Māori values, using </w:t>
          </w:r>
          <w:r w:rsidR="003052F1" w:rsidRPr="009E7223">
            <w:t>Whānau</w:t>
          </w:r>
          <w:r w:rsidR="0094303A" w:rsidRPr="009E7223">
            <w:t xml:space="preserve"> Ora Navigators.</w:t>
          </w:r>
          <w:r w:rsidR="00070866" w:rsidRPr="009E7223">
            <w:rPr>
              <w:rStyle w:val="FootnoteReference"/>
            </w:rPr>
            <w:footnoteReference w:id="333"/>
          </w:r>
        </w:p>
        <w:p w14:paraId="521BC337" w14:textId="694B5A3C" w:rsidR="006F1C17" w:rsidRPr="009E7223" w:rsidRDefault="00B90947" w:rsidP="006F1C17">
          <w:pPr>
            <w:pStyle w:val="NumberedHeading3"/>
          </w:pPr>
          <w:bookmarkStart w:id="72" w:name="_Toc531098170"/>
          <w:r>
            <w:t>O</w:t>
          </w:r>
          <w:r w:rsidR="006F1C17" w:rsidRPr="009E7223">
            <w:t>pinion</w:t>
          </w:r>
          <w:r w:rsidR="000A1458" w:rsidRPr="009E7223">
            <w:t>s</w:t>
          </w:r>
          <w:r w:rsidR="006F1C17" w:rsidRPr="009E7223">
            <w:t xml:space="preserve"> about the size of the appropriation </w:t>
          </w:r>
          <w:r w:rsidR="0029387B" w:rsidRPr="009E7223">
            <w:t>we</w:t>
          </w:r>
          <w:r w:rsidR="000A1458" w:rsidRPr="009E7223">
            <w:t xml:space="preserve">re </w:t>
          </w:r>
          <w:r w:rsidR="006F1C17" w:rsidRPr="009E7223">
            <w:t>split by sector</w:t>
          </w:r>
          <w:bookmarkEnd w:id="72"/>
        </w:p>
        <w:p w14:paraId="0E1CF3EB" w14:textId="1A7DDD5C" w:rsidR="006F1C17" w:rsidRPr="009E7223" w:rsidRDefault="006F1C17" w:rsidP="006F1C17">
          <w:pPr>
            <w:pStyle w:val="Heading4"/>
          </w:pPr>
          <w:r w:rsidRPr="009E7223">
            <w:t>NCGM</w:t>
          </w:r>
          <w:r w:rsidR="00B90947">
            <w:t xml:space="preserve"> sector</w:t>
          </w:r>
          <w:r w:rsidRPr="009E7223">
            <w:t xml:space="preserve"> submitters want</w:t>
          </w:r>
          <w:r w:rsidR="0029387B" w:rsidRPr="009E7223">
            <w:t>ed</w:t>
          </w:r>
          <w:r w:rsidRPr="009E7223">
            <w:t xml:space="preserve"> the</w:t>
          </w:r>
          <w:r w:rsidR="00D6631E" w:rsidRPr="009E7223">
            <w:t xml:space="preserve"> </w:t>
          </w:r>
          <w:r w:rsidRPr="009E7223">
            <w:t xml:space="preserve">appropriation reduced, but Service Providers, </w:t>
          </w:r>
          <w:r w:rsidR="003052F1" w:rsidRPr="009E7223">
            <w:t>Health sector</w:t>
          </w:r>
          <w:r w:rsidRPr="009E7223">
            <w:t xml:space="preserve"> and Local Government </w:t>
          </w:r>
          <w:r w:rsidR="00B90947">
            <w:t xml:space="preserve">submitters </w:t>
          </w:r>
          <w:r w:rsidRPr="009E7223">
            <w:t>want</w:t>
          </w:r>
          <w:r w:rsidR="0029387B" w:rsidRPr="009E7223">
            <w:t>ed</w:t>
          </w:r>
          <w:r w:rsidRPr="009E7223">
            <w:t xml:space="preserve"> it increased</w:t>
          </w:r>
        </w:p>
        <w:p w14:paraId="07C6372C" w14:textId="316659B5" w:rsidR="006F1C17" w:rsidRPr="009E7223" w:rsidRDefault="00070866" w:rsidP="006F1C17">
          <w:pPr>
            <w:pStyle w:val="BodyText"/>
          </w:pPr>
          <w:r w:rsidRPr="009E7223">
            <w:rPr>
              <w:noProof/>
              <w:lang w:eastAsia="en-NZ"/>
            </w:rPr>
            <mc:AlternateContent>
              <mc:Choice Requires="wpg">
                <w:drawing>
                  <wp:anchor distT="0" distB="0" distL="228600" distR="228600" simplePos="0" relativeHeight="251676672" behindDoc="0" locked="0" layoutInCell="1" allowOverlap="1" wp14:anchorId="3D619822" wp14:editId="3FE59775">
                    <wp:simplePos x="0" y="0"/>
                    <wp:positionH relativeFrom="margin">
                      <wp:align>right</wp:align>
                    </wp:positionH>
                    <wp:positionV relativeFrom="page">
                      <wp:posOffset>2101190</wp:posOffset>
                    </wp:positionV>
                    <wp:extent cx="3232150" cy="1338580"/>
                    <wp:effectExtent l="0" t="0" r="6350" b="0"/>
                    <wp:wrapSquare wrapText="bothSides"/>
                    <wp:docPr id="19" name="Group 19"/>
                    <wp:cNvGraphicFramePr/>
                    <a:graphic xmlns:a="http://schemas.openxmlformats.org/drawingml/2006/main">
                      <a:graphicData uri="http://schemas.microsoft.com/office/word/2010/wordprocessingGroup">
                        <wpg:wgp>
                          <wpg:cNvGrpSpPr/>
                          <wpg:grpSpPr>
                            <a:xfrm>
                              <a:off x="0" y="0"/>
                              <a:ext cx="3232150" cy="1339200"/>
                              <a:chOff x="0" y="0"/>
                              <a:chExt cx="3232572" cy="2028766"/>
                            </a:xfrm>
                          </wpg:grpSpPr>
                          <wps:wsp>
                            <wps:cNvPr id="20" name="Rectangle 20"/>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oup 21"/>
                            <wpg:cNvGrpSpPr/>
                            <wpg:grpSpPr>
                              <a:xfrm>
                                <a:off x="0" y="19050"/>
                                <a:ext cx="2249424" cy="832104"/>
                                <a:chOff x="228600" y="0"/>
                                <a:chExt cx="1472184" cy="1024128"/>
                              </a:xfrm>
                            </wpg:grpSpPr>
                            <wps:wsp>
                              <wps:cNvPr id="22"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28600" y="0"/>
                                  <a:ext cx="1472184" cy="1024128"/>
                                </a:xfrm>
                                <a:prstGeom prst="rect">
                                  <a:avLst/>
                                </a:prstGeom>
                                <a:blipFill>
                                  <a:blip r:embed="rId1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Text Box 24"/>
                            <wps:cNvSpPr txBox="1"/>
                            <wps:spPr>
                              <a:xfrm>
                                <a:off x="252399" y="363734"/>
                                <a:ext cx="2980173" cy="1593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E5A90" w14:textId="77777777" w:rsidR="00723291" w:rsidRDefault="00723291" w:rsidP="00070866">
                                  <w:pPr>
                                    <w:ind w:left="504"/>
                                    <w:jc w:val="right"/>
                                  </w:pPr>
                                  <w:r>
                                    <w:t>The funding appropriation equates to about $18.4 million per year; this is exceeded by the amount Lotto NZ has budgeted in 2019 just for its media advertising, media production and draw.</w:t>
                                  </w:r>
                                </w:p>
                                <w:p w14:paraId="251545C2" w14:textId="020EA895" w:rsidR="00723291" w:rsidRDefault="00723291" w:rsidP="00070866">
                                  <w:pPr>
                                    <w:ind w:left="504"/>
                                    <w:jc w:val="right"/>
                                    <w:rPr>
                                      <w:color w:val="36424A"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619822" id="Group 19" o:spid="_x0000_s1046" style="position:absolute;left:0;text-align:left;margin-left:203.3pt;margin-top:165.45pt;width:254.5pt;height:105.4pt;z-index:251676672;mso-wrap-distance-left:18pt;mso-wrap-distance-right:18pt;mso-position-horizontal:right;mso-position-horizontal-relative:margin;mso-position-vertical-relative:page;mso-width-relative:margin;mso-height-relative:margin" coordsize="32325,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">
                    <v:rect id="Rectangle 20" o:spid="_x0000_s1047" style="position:absolute;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1uecIA&#10;AADbAAAADwAAAGRycy9kb3ducmV2LnhtbERPy4rCMBTdD/gP4QpuBk0tjkg1ijgIijLgC7eX5toW&#10;m5tOE7X69WYxMMvDeU9mjSnFnWpXWFbQ70UgiFOrC84UHA/L7giE88gaS8uk4EkOZtPWxwQTbR+8&#10;o/veZyKEsEtQQe59lUjp0pwMup6tiAN3sbVBH2CdSV3jI4SbUsZRNJQGCw4NOVa0yCm97m9Gwe9g&#10;xOvjJh5u/eX8ep1Pn4ev7x+lOu1mPgbhqfH/4j/3SiuIw/rwJfwAO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W55wgAAANsAAAAPAAAAAAAAAAAAAAAAAJgCAABkcnMvZG93&#10;bnJldi54bWxQSwUGAAAAAAQABAD1AAAAhwMAAAAA&#10;" fillcolor="white [3212]" stroked="f" strokeweight="1pt">
                      <v:fill opacity="0"/>
                    </v:rect>
                    <v:group id="Group 21" o:spid="_x0000_s1048"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Rectangle 10" o:spid="_x0000_s1049"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1rOMUA&#10;AADbAAAADwAAAGRycy9kb3ducmV2LnhtbESP3WrCQBSE7wt9h+UUelN0YwSV6CpSFFpQ8I9en2aP&#10;2WD2bJrdmvj2rlDo5TAz3zCzRWcrcaXGl44VDPoJCOLc6ZILBafjujcB4QOyxsoxKbiRh8X8+WmG&#10;mXYt7+l6CIWIEPYZKjAh1JmUPjdk0fddTRy9s2sshiibQuoG2wi3lUyTZCQtlhwXDNb0bii/HH6t&#10;gtX39vNn8LZp96Pd8LLcje3Ymi+lXl+65RREoC78h//aH1pBmsLjS/w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nWs4xQAAANsAAAAPAAAAAAAAAAAAAAAAAJgCAABkcnMv&#10;ZG93bnJldi54bWxQSwUGAAAAAAQABAD1AAAAigMAAAAA&#10;" path="m,l2240281,,1659256,222885,,822960,,xe" fillcolor="#36424a [3204]" stroked="f" strokeweight="1pt">
                        <v:stroke joinstyle="miter"/>
                        <v:path arrowok="t" o:connecttype="custom" o:connectlocs="0,0;1466258,0;1085979,274158;0,1012274;0,0" o:connectangles="0,0,0,0,0"/>
                      </v:shape>
                      <v:rect id="Rectangle 23" o:spid="_x0000_s105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nUyMMA&#10;AADbAAAADwAAAGRycy9kb3ducmV2LnhtbESPQWsCMRSE74L/ITzBi2hWS1VWo0ih0FNLV/H82Dw3&#10;i5uXZRM3679vCoUeh5n5htkfB9uInjpfO1awXGQgiEuna64UXM7v8y0IH5A1No5JwZM8HA/j0R5z&#10;7SJ/U1+ESiQI+xwVmBDaXEpfGrLoF64lTt7NdRZDkl0ldYcxwW0jV1m2lhZrTgsGW3ozVN6Lh1Uw&#10;a2mzPX9eS3Pv+/iqv2J1e0SlppPhtAMRaAj/4b/2h1aweoHfL+kH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nUyMMAAADbAAAADwAAAAAAAAAAAAAAAACYAgAAZHJzL2Rv&#10;d25yZXYueG1sUEsFBgAAAAAEAAQA9QAAAIgDAAAAAA==&#10;" stroked="f" strokeweight="1pt">
                        <v:fill r:id="rId16" o:title="" recolor="t" rotate="t" type="frame"/>
                      </v:rect>
                    </v:group>
                    <v:shape id="Text Box 24" o:spid="_x0000_s1051" type="#_x0000_t202" style="position:absolute;left:2523;top:3637;width:29802;height:15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d0P8MA&#10;AADbAAAADwAAAGRycy9kb3ducmV2LnhtbESPT4vCMBTE74LfITzBm6ZWEekaZZVVvAj+g70+mmdb&#10;tnnpNtHWb28EweMwM79h5svWlOJOtSssKxgNIxDEqdUFZwou581gBsJ5ZI2lZVLwIAfLRbczx0Tb&#10;ho90P/lMBAi7BBXk3leJlC7NyaAb2oo4eFdbG/RB1pnUNTYBbkoZR9FUGiw4LORY0Tqn9O90Mwqm&#10;q8Nt+9809Ftc1+l+PNuOf9pYqX6v/f4C4an1n/C7vdMK4gm8vo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d0P8MAAADbAAAADwAAAAAAAAAAAAAAAACYAgAAZHJzL2Rv&#10;d25yZXYueG1sUEsFBgAAAAAEAAQA9QAAAIgDAAAAAA==&#10;" filled="f" stroked="f" strokeweight=".5pt">
                      <v:textbox inset="3.6pt,7.2pt,0,0">
                        <w:txbxContent>
                          <w:p w14:paraId="6E2E5A90" w14:textId="77777777" w:rsidR="00723291" w:rsidRDefault="00723291" w:rsidP="00070866">
                            <w:pPr>
                              <w:ind w:left="504"/>
                              <w:jc w:val="right"/>
                            </w:pPr>
                            <w:r>
                              <w:t>The funding appropriation equates to about $18.4 million per year; this is exceeded by the amount Lotto NZ has budgeted in 2019 just for its media advertising, media production and draw.</w:t>
                            </w:r>
                          </w:p>
                          <w:p w14:paraId="251545C2" w14:textId="020EA895" w:rsidR="00723291" w:rsidRDefault="00723291" w:rsidP="00070866">
                            <w:pPr>
                              <w:ind w:left="504"/>
                              <w:jc w:val="right"/>
                              <w:rPr>
                                <w:color w:val="36424A" w:themeColor="accent1"/>
                                <w:sz w:val="20"/>
                                <w:szCs w:val="20"/>
                              </w:rPr>
                            </w:pPr>
                          </w:p>
                        </w:txbxContent>
                      </v:textbox>
                    </v:shape>
                    <w10:wrap type="square" anchorx="margin" anchory="page"/>
                  </v:group>
                </w:pict>
              </mc:Fallback>
            </mc:AlternateContent>
          </w:r>
          <w:r w:rsidR="006F1C17" w:rsidRPr="009E7223">
            <w:t>A smaller funding appropriation was sought exclusively by submitters from the NCGM sector,</w:t>
          </w:r>
          <w:r w:rsidR="006F1C17" w:rsidRPr="009E7223">
            <w:rPr>
              <w:rStyle w:val="FootnoteReference"/>
            </w:rPr>
            <w:footnoteReference w:id="334"/>
          </w:r>
          <w:r w:rsidR="006F1C17" w:rsidRPr="009E7223">
            <w:t xml:space="preserve"> principally due to their preference for the $5</w:t>
          </w:r>
          <w:r w:rsidR="009528CB" w:rsidRPr="009E7223">
            <w:t xml:space="preserve"> </w:t>
          </w:r>
          <w:r w:rsidR="006F1C17" w:rsidRPr="009E7223">
            <w:t>m</w:t>
          </w:r>
          <w:r w:rsidR="009528CB" w:rsidRPr="009E7223">
            <w:t>illion</w:t>
          </w:r>
          <w:r w:rsidR="006F1C17" w:rsidRPr="009E7223">
            <w:t xml:space="preserve"> surplus to be used to offset the budget, reducing the appropriation; and/or because presentations are lower than anticipated, and therefore fewer treatment services are required. Suggestions for an appropriate appropriation ranged from $40</w:t>
          </w:r>
          <w:r w:rsidR="009528CB" w:rsidRPr="009E7223">
            <w:t xml:space="preserve"> </w:t>
          </w:r>
          <w:r w:rsidR="006F1C17" w:rsidRPr="009E7223">
            <w:t>m</w:t>
          </w:r>
          <w:r w:rsidR="009528CB" w:rsidRPr="009E7223">
            <w:t>illion</w:t>
          </w:r>
          <w:r w:rsidR="006F1C17" w:rsidRPr="009E7223">
            <w:t xml:space="preserve"> to </w:t>
          </w:r>
          <w:r w:rsidR="009528CB" w:rsidRPr="009E7223">
            <w:t>$</w:t>
          </w:r>
          <w:r w:rsidR="006F1C17" w:rsidRPr="009E7223">
            <w:t>52</w:t>
          </w:r>
          <w:r w:rsidR="009528CB" w:rsidRPr="009E7223">
            <w:t xml:space="preserve"> </w:t>
          </w:r>
          <w:r w:rsidR="006F1C17" w:rsidRPr="009E7223">
            <w:t>m</w:t>
          </w:r>
          <w:r w:rsidR="009528CB" w:rsidRPr="009E7223">
            <w:t>illion</w:t>
          </w:r>
          <w:r w:rsidR="006F1C17" w:rsidRPr="009E7223">
            <w:t>.</w:t>
          </w:r>
        </w:p>
        <w:p w14:paraId="5A3F3A52" w14:textId="54080597" w:rsidR="006F1C17" w:rsidRPr="009E7223" w:rsidRDefault="006F1C17" w:rsidP="006F1C17">
          <w:pPr>
            <w:pStyle w:val="BodyText"/>
          </w:pPr>
          <w:r w:rsidRPr="009E7223">
            <w:t>A larger funding appropriation was suggested by submitters from</w:t>
          </w:r>
          <w:r w:rsidR="00FE068C">
            <w:t xml:space="preserve"> nine</w:t>
          </w:r>
          <w:r w:rsidRPr="009E7223">
            <w:t xml:space="preserve"> Service Provider</w:t>
          </w:r>
          <w:r w:rsidR="00FE068C">
            <w:t>s</w:t>
          </w:r>
          <w:r w:rsidRPr="009E7223">
            <w:t>,</w:t>
          </w:r>
          <w:r w:rsidR="00070866" w:rsidRPr="009E7223">
            <w:rPr>
              <w:rStyle w:val="FootnoteReference"/>
            </w:rPr>
            <w:footnoteReference w:id="335"/>
          </w:r>
          <w:r w:rsidRPr="009E7223">
            <w:t xml:space="preserve"> </w:t>
          </w:r>
          <w:r w:rsidR="00FE068C">
            <w:t xml:space="preserve">one </w:t>
          </w:r>
          <w:r w:rsidRPr="009E7223">
            <w:t>Health</w:t>
          </w:r>
          <w:r w:rsidR="00FE068C">
            <w:t xml:space="preserve"> sector submitter,</w:t>
          </w:r>
          <w:r w:rsidR="00070866" w:rsidRPr="009E7223">
            <w:rPr>
              <w:rStyle w:val="FootnoteReference"/>
            </w:rPr>
            <w:footnoteReference w:id="336"/>
          </w:r>
          <w:r w:rsidRPr="009E7223">
            <w:t xml:space="preserve"> </w:t>
          </w:r>
          <w:r w:rsidR="00FE068C">
            <w:t xml:space="preserve">one </w:t>
          </w:r>
          <w:r w:rsidRPr="009E7223">
            <w:t>Local Government</w:t>
          </w:r>
          <w:r w:rsidR="00070866" w:rsidRPr="009E7223">
            <w:rPr>
              <w:rStyle w:val="FootnoteReference"/>
            </w:rPr>
            <w:footnoteReference w:id="337"/>
          </w:r>
          <w:r w:rsidRPr="009E7223">
            <w:t xml:space="preserve"> </w:t>
          </w:r>
          <w:r w:rsidR="00FE068C">
            <w:t>submitter</w:t>
          </w:r>
          <w:r w:rsidRPr="009E7223">
            <w:t xml:space="preserve">, and </w:t>
          </w:r>
          <w:r w:rsidR="00FE068C">
            <w:t>two</w:t>
          </w:r>
          <w:r w:rsidRPr="009E7223">
            <w:t xml:space="preserve"> individuals,</w:t>
          </w:r>
          <w:r w:rsidRPr="009E7223">
            <w:rPr>
              <w:rStyle w:val="FootnoteReference"/>
            </w:rPr>
            <w:footnoteReference w:id="338"/>
          </w:r>
          <w:r w:rsidRPr="009E7223">
            <w:t xml:space="preserve"> principally due to the</w:t>
          </w:r>
          <w:r w:rsidR="00FE068C">
            <w:t>ir</w:t>
          </w:r>
          <w:r w:rsidRPr="009E7223">
            <w:t xml:space="preserve"> perception that needs were greater than the draft Service Plan anticipated, but also noting that there had been no real increase for some time if the CPI or inflation were taken into consideration. No </w:t>
          </w:r>
          <w:r w:rsidR="00130B64" w:rsidRPr="009E7223">
            <w:t xml:space="preserve">specific </w:t>
          </w:r>
          <w:r w:rsidRPr="009E7223">
            <w:t>appropriation amounts were suggested.</w:t>
          </w:r>
        </w:p>
        <w:p w14:paraId="46AD437D" w14:textId="53009193" w:rsidR="006F1C17" w:rsidRPr="009E7223" w:rsidRDefault="006F1C17" w:rsidP="006F1C17">
          <w:pPr>
            <w:pStyle w:val="BodyText"/>
          </w:pPr>
          <w:r w:rsidRPr="009E7223">
            <w:t xml:space="preserve">A </w:t>
          </w:r>
          <w:r w:rsidR="003052F1" w:rsidRPr="009E7223">
            <w:t>Health sector</w:t>
          </w:r>
          <w:r w:rsidRPr="009E7223">
            <w:t xml:space="preserve"> submitter</w:t>
          </w:r>
          <w:r w:rsidR="00070866" w:rsidRPr="009E7223">
            <w:rPr>
              <w:rStyle w:val="FootnoteReference"/>
            </w:rPr>
            <w:footnoteReference w:id="339"/>
          </w:r>
          <w:r w:rsidRPr="009E7223">
            <w:t xml:space="preserve"> pointed out that the total appropriation is small compared to Lotto’s annual advertising budget:</w:t>
          </w:r>
        </w:p>
        <w:p w14:paraId="0002FB3D" w14:textId="1911BC4E" w:rsidR="006F1C17" w:rsidRPr="009E7223" w:rsidRDefault="006F1C17" w:rsidP="006F1C17">
          <w:pPr>
            <w:pStyle w:val="Quote"/>
          </w:pPr>
          <w:r w:rsidRPr="009E7223">
            <w:t>… the funding appropriation equates to about $18.4 million per year; this is exceeded by the amount Lotto</w:t>
          </w:r>
          <w:r w:rsidR="009528CB" w:rsidRPr="009E7223">
            <w:t xml:space="preserve"> </w:t>
          </w:r>
          <w:r w:rsidRPr="009E7223">
            <w:t xml:space="preserve">NZ has budgeted in 2019 just for its media advertising, media production and draw… </w:t>
          </w:r>
        </w:p>
        <w:p w14:paraId="0D6D0B0F" w14:textId="77777777" w:rsidR="006F1C17" w:rsidRPr="009E7223" w:rsidRDefault="006F1C17" w:rsidP="006F1C17">
          <w:pPr>
            <w:pStyle w:val="BodyText"/>
          </w:pPr>
          <w:r w:rsidRPr="009E7223">
            <w:t>Similarly, another Service Provider</w:t>
          </w:r>
          <w:r w:rsidRPr="009E7223">
            <w:rPr>
              <w:rStyle w:val="FootnoteReference"/>
            </w:rPr>
            <w:footnoteReference w:id="340"/>
          </w:r>
          <w:r w:rsidRPr="009E7223">
            <w:t xml:space="preserve"> observed that the overall fund appears to be insufficient to meet the challenges and issues brought about by increased online gambling.</w:t>
          </w:r>
        </w:p>
        <w:p w14:paraId="38B6EBDD" w14:textId="0218A5FD" w:rsidR="0094303A" w:rsidRPr="009E7223" w:rsidRDefault="00B90947" w:rsidP="00117E3C">
          <w:pPr>
            <w:pStyle w:val="NumberedHeading3"/>
          </w:pPr>
          <w:bookmarkStart w:id="73" w:name="_Toc531098171"/>
          <w:r>
            <w:lastRenderedPageBreak/>
            <w:t>H</w:t>
          </w:r>
          <w:r w:rsidR="00117E3C" w:rsidRPr="009E7223">
            <w:t>igh-level change</w:t>
          </w:r>
          <w:r w:rsidR="006F1C17" w:rsidRPr="009E7223">
            <w:t xml:space="preserve"> </w:t>
          </w:r>
          <w:r w:rsidR="00117E3C" w:rsidRPr="009E7223">
            <w:t xml:space="preserve">for </w:t>
          </w:r>
          <w:r w:rsidR="000A1458" w:rsidRPr="009E7223">
            <w:t xml:space="preserve">the </w:t>
          </w:r>
          <w:r w:rsidR="00117E3C" w:rsidRPr="009E7223">
            <w:t>funding of gambling harm minimisation</w:t>
          </w:r>
          <w:r>
            <w:t xml:space="preserve"> was sought by some submitters</w:t>
          </w:r>
          <w:bookmarkEnd w:id="73"/>
        </w:p>
        <w:p w14:paraId="5C8343A4" w14:textId="1CFF0066" w:rsidR="0094303A" w:rsidRPr="009E7223" w:rsidRDefault="0094303A" w:rsidP="0094303A">
          <w:pPr>
            <w:pStyle w:val="BodyText"/>
          </w:pPr>
          <w:r w:rsidRPr="009E7223">
            <w:t xml:space="preserve">A </w:t>
          </w:r>
          <w:r w:rsidR="003052F1" w:rsidRPr="009E7223">
            <w:t>Health sector</w:t>
          </w:r>
          <w:r w:rsidRPr="009E7223">
            <w:t xml:space="preserve"> submitter</w:t>
          </w:r>
          <w:r w:rsidRPr="009E7223">
            <w:rPr>
              <w:rStyle w:val="FootnoteReference"/>
            </w:rPr>
            <w:footnoteReference w:id="341"/>
          </w:r>
          <w:r w:rsidRPr="009E7223">
            <w:t xml:space="preserve"> suggested a change in the funding model, noting that the Strateg</w:t>
          </w:r>
          <w:r w:rsidR="00FE068C">
            <w:t>ic Framework</w:t>
          </w:r>
          <w:r w:rsidRPr="009E7223">
            <w:t xml:space="preserve"> and Service Plan had an over-reliance on industry profits. A Service Provider</w:t>
          </w:r>
          <w:r w:rsidRPr="009E7223">
            <w:rPr>
              <w:rStyle w:val="FootnoteReference"/>
            </w:rPr>
            <w:footnoteReference w:id="342"/>
          </w:r>
          <w:r w:rsidRPr="009E7223">
            <w:t xml:space="preserve"> warned that the focus of the draft Service Plan on innovation and technology was inadequately supported within the Plan for development and implementation, potentially “</w:t>
          </w:r>
          <w:r w:rsidRPr="00FE068C">
            <w:rPr>
              <w:i/>
            </w:rPr>
            <w:t>setting us up for failure</w:t>
          </w:r>
          <w:r w:rsidRPr="009E7223">
            <w:t>”.</w:t>
          </w:r>
        </w:p>
        <w:p w14:paraId="59EE2C1D" w14:textId="4B1E10B8" w:rsidR="0094303A" w:rsidRPr="009E7223" w:rsidRDefault="0029387B" w:rsidP="0094303A">
          <w:pPr>
            <w:pStyle w:val="NumberedHeading2"/>
          </w:pPr>
          <w:bookmarkStart w:id="74" w:name="_Toc531098172"/>
          <w:r w:rsidRPr="009E7223">
            <w:t xml:space="preserve">The degree of support for </w:t>
          </w:r>
          <w:r w:rsidR="000A1458" w:rsidRPr="009E7223">
            <w:t>the proposed Service Plan</w:t>
          </w:r>
          <w:bookmarkEnd w:id="74"/>
        </w:p>
        <w:p w14:paraId="211F33C5" w14:textId="75196B04" w:rsidR="0094303A" w:rsidRPr="009E7223" w:rsidRDefault="00B90947" w:rsidP="0094303A">
          <w:pPr>
            <w:pStyle w:val="NumberedHeading3"/>
          </w:pPr>
          <w:bookmarkStart w:id="75" w:name="_Toc531098173"/>
          <w:r>
            <w:t>C</w:t>
          </w:r>
          <w:r w:rsidR="006F1C17" w:rsidRPr="009E7223">
            <w:t>ollaborative, i</w:t>
          </w:r>
          <w:r w:rsidR="00B241B6" w:rsidRPr="009E7223">
            <w:t>nnovative treatment</w:t>
          </w:r>
          <w:r w:rsidR="006F1C17" w:rsidRPr="009E7223">
            <w:t xml:space="preserve">s, </w:t>
          </w:r>
          <w:r w:rsidR="000A1458" w:rsidRPr="009E7223">
            <w:t xml:space="preserve">that </w:t>
          </w:r>
          <w:r w:rsidR="0029387B" w:rsidRPr="009E7223">
            <w:t>we</w:t>
          </w:r>
          <w:r w:rsidR="000A1458" w:rsidRPr="009E7223">
            <w:t xml:space="preserve">re </w:t>
          </w:r>
          <w:r w:rsidR="006F1C17" w:rsidRPr="009E7223">
            <w:t>culturally</w:t>
          </w:r>
          <w:r w:rsidR="00B241B6" w:rsidRPr="009E7223">
            <w:t xml:space="preserve"> tailored to priority populations</w:t>
          </w:r>
          <w:r>
            <w:t>, were requested</w:t>
          </w:r>
          <w:bookmarkEnd w:id="75"/>
        </w:p>
        <w:p w14:paraId="4511E13C" w14:textId="23FC3B27" w:rsidR="0094303A" w:rsidRPr="009E7223" w:rsidRDefault="0094303A" w:rsidP="0094303A">
          <w:pPr>
            <w:pStyle w:val="BodyText"/>
          </w:pPr>
          <w:r w:rsidRPr="009E7223">
            <w:t>Submissions were received from the Gambling Industry (other),</w:t>
          </w:r>
          <w:r w:rsidR="00130407" w:rsidRPr="009E7223">
            <w:rPr>
              <w:rStyle w:val="FootnoteReference"/>
            </w:rPr>
            <w:footnoteReference w:id="343"/>
          </w:r>
          <w:r w:rsidRPr="009E7223">
            <w:t xml:space="preserve"> Service Providers,</w:t>
          </w:r>
          <w:r w:rsidR="00130407" w:rsidRPr="009E7223">
            <w:rPr>
              <w:rStyle w:val="FootnoteReference"/>
            </w:rPr>
            <w:footnoteReference w:id="344"/>
          </w:r>
          <w:r w:rsidRPr="009E7223">
            <w:t xml:space="preserve"> </w:t>
          </w:r>
          <w:r w:rsidR="003052F1" w:rsidRPr="009E7223">
            <w:t>Health sector</w:t>
          </w:r>
          <w:r w:rsidRPr="009E7223">
            <w:t>,</w:t>
          </w:r>
          <w:r w:rsidR="00130407" w:rsidRPr="009E7223">
            <w:rPr>
              <w:rStyle w:val="FootnoteReference"/>
            </w:rPr>
            <w:footnoteReference w:id="345"/>
          </w:r>
          <w:r w:rsidRPr="009E7223">
            <w:t xml:space="preserve"> and Local Government</w:t>
          </w:r>
          <w:r w:rsidRPr="009E7223">
            <w:rPr>
              <w:rStyle w:val="FootnoteReference"/>
            </w:rPr>
            <w:footnoteReference w:id="346"/>
          </w:r>
          <w:r w:rsidRPr="009E7223">
            <w:t xml:space="preserve"> that broadly supported the draft Service Plan.</w:t>
          </w:r>
        </w:p>
        <w:p w14:paraId="59FA9E60" w14:textId="01C2DA92" w:rsidR="0094303A" w:rsidRPr="009E7223" w:rsidRDefault="0094303A" w:rsidP="0094303A">
          <w:pPr>
            <w:pStyle w:val="BodyText"/>
          </w:pPr>
          <w:r w:rsidRPr="009E7223">
            <w:t>The proposed peer support initiative was supported by submitters from the Gambling Industry (other),</w:t>
          </w:r>
          <w:r w:rsidR="00130407" w:rsidRPr="009E7223">
            <w:rPr>
              <w:rStyle w:val="FootnoteReference"/>
            </w:rPr>
            <w:footnoteReference w:id="347"/>
          </w:r>
          <w:r w:rsidRPr="009E7223">
            <w:t xml:space="preserve"> Service Providers,</w:t>
          </w:r>
          <w:r w:rsidR="00130407" w:rsidRPr="009E7223">
            <w:rPr>
              <w:rStyle w:val="FootnoteReference"/>
            </w:rPr>
            <w:footnoteReference w:id="348"/>
          </w:r>
          <w:r w:rsidRPr="009E7223">
            <w:t xml:space="preserve"> </w:t>
          </w:r>
          <w:r w:rsidR="003052F1" w:rsidRPr="009E7223">
            <w:t>Health sector</w:t>
          </w:r>
          <w:r w:rsidRPr="009E7223">
            <w:t>,</w:t>
          </w:r>
          <w:r w:rsidR="00130407" w:rsidRPr="009E7223">
            <w:rPr>
              <w:rStyle w:val="FootnoteReference"/>
            </w:rPr>
            <w:footnoteReference w:id="349"/>
          </w:r>
          <w:r w:rsidRPr="009E7223">
            <w:t xml:space="preserve"> and an individual submitter.</w:t>
          </w:r>
          <w:r w:rsidRPr="009E7223">
            <w:rPr>
              <w:rStyle w:val="FootnoteReference"/>
            </w:rPr>
            <w:footnoteReference w:id="350"/>
          </w:r>
          <w:r w:rsidRPr="009E7223">
            <w:t xml:space="preserve"> The proposed residential facility was supported by Gambling Industry (other)</w:t>
          </w:r>
          <w:r w:rsidR="00130407" w:rsidRPr="009E7223">
            <w:rPr>
              <w:rStyle w:val="FootnoteReference"/>
            </w:rPr>
            <w:footnoteReference w:id="351"/>
          </w:r>
          <w:r w:rsidRPr="009E7223">
            <w:t xml:space="preserve"> and </w:t>
          </w:r>
          <w:r w:rsidR="003052F1" w:rsidRPr="009E7223">
            <w:t>Health sector</w:t>
          </w:r>
          <w:r w:rsidRPr="009E7223">
            <w:t xml:space="preserve"> submitters,</w:t>
          </w:r>
          <w:r w:rsidRPr="009E7223">
            <w:rPr>
              <w:rStyle w:val="FootnoteReference"/>
            </w:rPr>
            <w:footnoteReference w:id="352"/>
          </w:r>
          <w:r w:rsidRPr="009E7223">
            <w:t xml:space="preserve"> and was suggested by an individual submitter</w:t>
          </w:r>
          <w:r w:rsidRPr="009E7223">
            <w:rPr>
              <w:rStyle w:val="FootnoteReference"/>
            </w:rPr>
            <w:footnoteReference w:id="353"/>
          </w:r>
          <w:r w:rsidRPr="009E7223">
            <w:t xml:space="preserve"> to be suited to a marae-based programme. The proposed consumer network was supported by an individual submitter</w:t>
          </w:r>
          <w:r w:rsidRPr="009E7223">
            <w:rPr>
              <w:rStyle w:val="FootnoteReference"/>
            </w:rPr>
            <w:footnoteReference w:id="354"/>
          </w:r>
          <w:r w:rsidRPr="009E7223">
            <w:t xml:space="preserve"> who suggested this could be based on a Salvation Army model.</w:t>
          </w:r>
        </w:p>
        <w:p w14:paraId="7E9AB212" w14:textId="1CB05E04" w:rsidR="0094303A" w:rsidRPr="009E7223" w:rsidRDefault="00130407" w:rsidP="0094303A">
          <w:pPr>
            <w:pStyle w:val="BodyText"/>
          </w:pPr>
          <w:r w:rsidRPr="009E7223">
            <w:t xml:space="preserve">A </w:t>
          </w:r>
          <w:r w:rsidR="003052F1" w:rsidRPr="009E7223">
            <w:t>Health sector</w:t>
          </w:r>
          <w:r w:rsidRPr="009E7223">
            <w:rPr>
              <w:rStyle w:val="FootnoteReference"/>
            </w:rPr>
            <w:footnoteReference w:id="355"/>
          </w:r>
          <w:r w:rsidR="0094303A" w:rsidRPr="009E7223">
            <w:t xml:space="preserve"> and </w:t>
          </w:r>
          <w:r w:rsidRPr="009E7223">
            <w:t xml:space="preserve">a </w:t>
          </w:r>
          <w:r w:rsidR="0094303A" w:rsidRPr="009E7223">
            <w:t>Local Government submitter</w:t>
          </w:r>
          <w:r w:rsidR="0094303A" w:rsidRPr="009E7223">
            <w:rPr>
              <w:rStyle w:val="FootnoteReference"/>
            </w:rPr>
            <w:footnoteReference w:id="356"/>
          </w:r>
          <w:r w:rsidR="0094303A" w:rsidRPr="009E7223">
            <w:t xml:space="preserve"> supported piloting new service models, with one suggesting that the focus should be on regions experiencing high risk of problem gambling; and that the Ministry work closely with local government, which has insights to community needs and relationships with community leaders.</w:t>
          </w:r>
        </w:p>
        <w:p w14:paraId="0FAE5DA5" w14:textId="26B7259D" w:rsidR="0094303A" w:rsidRPr="009E7223" w:rsidRDefault="0094303A" w:rsidP="0094303A">
          <w:pPr>
            <w:pStyle w:val="BodyText"/>
          </w:pPr>
          <w:r w:rsidRPr="009E7223">
            <w:t>Other services and activities that submitters supported were</w:t>
          </w:r>
          <w:r w:rsidR="00033093" w:rsidRPr="009E7223">
            <w:t xml:space="preserve"> </w:t>
          </w:r>
          <w:r w:rsidRPr="009E7223">
            <w:t>a</w:t>
          </w:r>
          <w:r w:rsidR="00033093" w:rsidRPr="009E7223">
            <w:t xml:space="preserve"> request from a Health sector submitter for an</w:t>
          </w:r>
          <w:r w:rsidRPr="009E7223">
            <w:t xml:space="preserve"> increased focus on health literacy, service responsiveness and gambling host responsibilities;</w:t>
          </w:r>
          <w:r w:rsidRPr="009E7223">
            <w:rPr>
              <w:rStyle w:val="FootnoteReference"/>
            </w:rPr>
            <w:footnoteReference w:id="357"/>
          </w:r>
          <w:r w:rsidRPr="009E7223">
            <w:t xml:space="preserve"> a</w:t>
          </w:r>
          <w:r w:rsidR="00033093" w:rsidRPr="009E7223">
            <w:t xml:space="preserve"> Service Provider</w:t>
          </w:r>
          <w:r w:rsidR="00033093" w:rsidRPr="009E7223">
            <w:rPr>
              <w:rStyle w:val="FootnoteReference"/>
            </w:rPr>
            <w:footnoteReference w:id="358"/>
          </w:r>
          <w:r w:rsidR="00033093" w:rsidRPr="009E7223">
            <w:t xml:space="preserve"> called for a</w:t>
          </w:r>
          <w:r w:rsidRPr="009E7223">
            <w:t xml:space="preserve"> 24</w:t>
          </w:r>
          <w:r w:rsidR="009528CB" w:rsidRPr="009E7223">
            <w:t>/</w:t>
          </w:r>
          <w:r w:rsidRPr="009E7223">
            <w:t xml:space="preserve">7 helpline and web-support services specifically for the Asian population; and </w:t>
          </w:r>
          <w:r w:rsidR="00033093" w:rsidRPr="009E7223">
            <w:t>a Local Government submitter</w:t>
          </w:r>
          <w:r w:rsidR="00033093" w:rsidRPr="009E7223">
            <w:rPr>
              <w:rStyle w:val="FootnoteReference"/>
            </w:rPr>
            <w:footnoteReference w:id="359"/>
          </w:r>
          <w:r w:rsidR="00033093" w:rsidRPr="009E7223">
            <w:t xml:space="preserve"> requested </w:t>
          </w:r>
          <w:r w:rsidRPr="009E7223">
            <w:t xml:space="preserve">a review of territorial </w:t>
          </w:r>
          <w:r w:rsidR="00FE068C">
            <w:t xml:space="preserve">[local government] </w:t>
          </w:r>
          <w:r w:rsidRPr="009E7223">
            <w:t>policies and venue licence conditions.</w:t>
          </w:r>
        </w:p>
        <w:p w14:paraId="2F4B3538" w14:textId="7F37E7CD" w:rsidR="0094303A" w:rsidRPr="009E7223" w:rsidRDefault="0094303A" w:rsidP="0094303A">
          <w:pPr>
            <w:pStyle w:val="BodyText"/>
          </w:pPr>
          <w:r w:rsidRPr="009E7223">
            <w:t xml:space="preserve">More generally, one </w:t>
          </w:r>
          <w:r w:rsidR="003052F1" w:rsidRPr="009E7223">
            <w:t>Health sector</w:t>
          </w:r>
          <w:r w:rsidRPr="009E7223">
            <w:t xml:space="preserve"> submitter called for activities to move beyond ‘awareness’ and focus instead on activities that enable positive change;</w:t>
          </w:r>
          <w:r w:rsidRPr="009E7223">
            <w:rPr>
              <w:rStyle w:val="FootnoteReference"/>
            </w:rPr>
            <w:footnoteReference w:id="360"/>
          </w:r>
          <w:r w:rsidRPr="009E7223">
            <w:t xml:space="preserve"> and another </w:t>
          </w:r>
          <w:r w:rsidR="00033093" w:rsidRPr="009E7223">
            <w:t xml:space="preserve">health sector submitter </w:t>
          </w:r>
          <w:r w:rsidRPr="009E7223">
            <w:lastRenderedPageBreak/>
            <w:t>commended the Ministry on the inclusion of recommendations from the Sap</w:t>
          </w:r>
          <w:r w:rsidR="009528CB" w:rsidRPr="009E7223">
            <w:t>e</w:t>
          </w:r>
          <w:r w:rsidRPr="009E7223">
            <w:t>re Gambling Harm Reduction Needs Assessment report.</w:t>
          </w:r>
          <w:r w:rsidRPr="009E7223">
            <w:rPr>
              <w:rStyle w:val="FootnoteReference"/>
            </w:rPr>
            <w:footnoteReference w:id="361"/>
          </w:r>
        </w:p>
        <w:p w14:paraId="73457A9C" w14:textId="378B1C67" w:rsidR="0094303A" w:rsidRPr="009E7223" w:rsidRDefault="00AD2D3A" w:rsidP="0094303A">
          <w:pPr>
            <w:pStyle w:val="NumberedHeading3"/>
          </w:pPr>
          <w:bookmarkStart w:id="76" w:name="_Toc531098174"/>
          <w:r>
            <w:t>A</w:t>
          </w:r>
          <w:r w:rsidR="00B241B6" w:rsidRPr="009E7223">
            <w:t>c</w:t>
          </w:r>
          <w:r w:rsidR="000A1458" w:rsidRPr="009E7223">
            <w:t>c</w:t>
          </w:r>
          <w:r w:rsidR="00B241B6" w:rsidRPr="009E7223">
            <w:t xml:space="preserve">ountability, prevention, and collaboration </w:t>
          </w:r>
          <w:r w:rsidR="00E62D03" w:rsidRPr="009E7223">
            <w:t>w</w:t>
          </w:r>
          <w:r>
            <w:t>ere important to submitters</w:t>
          </w:r>
          <w:bookmarkEnd w:id="76"/>
        </w:p>
        <w:p w14:paraId="4B7DA7A2" w14:textId="7B498B94" w:rsidR="0094303A" w:rsidRPr="009E7223" w:rsidRDefault="0094303A" w:rsidP="0094303A">
          <w:pPr>
            <w:pStyle w:val="BodyText"/>
          </w:pPr>
          <w:r w:rsidRPr="009E7223">
            <w:t xml:space="preserve">Submissions from </w:t>
          </w:r>
          <w:r w:rsidR="00A37DDF" w:rsidRPr="009E7223">
            <w:t xml:space="preserve">the </w:t>
          </w:r>
          <w:r w:rsidR="00A71FD2" w:rsidRPr="009E7223">
            <w:t>NCGM sector,</w:t>
          </w:r>
          <w:r w:rsidR="00A71FD2" w:rsidRPr="009E7223">
            <w:rPr>
              <w:rStyle w:val="FootnoteReference"/>
            </w:rPr>
            <w:footnoteReference w:id="362"/>
          </w:r>
          <w:r w:rsidR="00A71FD2" w:rsidRPr="009E7223">
            <w:t xml:space="preserve"> Health sector</w:t>
          </w:r>
          <w:r w:rsidRPr="009E7223">
            <w:t>,</w:t>
          </w:r>
          <w:r w:rsidR="00A71FD2" w:rsidRPr="009E7223">
            <w:rPr>
              <w:rStyle w:val="FootnoteReference"/>
            </w:rPr>
            <w:footnoteReference w:id="363"/>
          </w:r>
          <w:r w:rsidRPr="009E7223">
            <w:t xml:space="preserve"> Service Providers,</w:t>
          </w:r>
          <w:r w:rsidR="00A71FD2" w:rsidRPr="009E7223">
            <w:rPr>
              <w:rStyle w:val="FootnoteReference"/>
            </w:rPr>
            <w:footnoteReference w:id="364"/>
          </w:r>
          <w:r w:rsidRPr="009E7223">
            <w:t xml:space="preserve"> and an individual</w:t>
          </w:r>
          <w:r w:rsidR="00A71FD2" w:rsidRPr="009E7223">
            <w:rPr>
              <w:rStyle w:val="FootnoteReference"/>
            </w:rPr>
            <w:footnoteReference w:id="365"/>
          </w:r>
          <w:r w:rsidRPr="009E7223">
            <w:t xml:space="preserve"> called for greater accountability regarding levy spending.</w:t>
          </w:r>
          <w:r w:rsidR="00A37DDF" w:rsidRPr="009E7223">
            <w:t xml:space="preserve"> </w:t>
          </w:r>
          <w:r w:rsidRPr="009E7223">
            <w:t>An NCGM submitter</w:t>
          </w:r>
          <w:r w:rsidRPr="009E7223">
            <w:rPr>
              <w:rStyle w:val="FootnoteReference"/>
            </w:rPr>
            <w:footnoteReference w:id="366"/>
          </w:r>
          <w:r w:rsidRPr="009E7223">
            <w:t xml:space="preserve"> suggested that provider contracts should be reviewed so that funding could be directed to services producing good outcomes; and an individual submitter expressed the hope that money was not wasted as it had been in the past.</w:t>
          </w:r>
          <w:r w:rsidRPr="009E7223">
            <w:rPr>
              <w:rStyle w:val="FootnoteReference"/>
            </w:rPr>
            <w:footnoteReference w:id="367"/>
          </w:r>
        </w:p>
        <w:p w14:paraId="2E94E086" w14:textId="2519EE28" w:rsidR="0094303A" w:rsidRPr="009E7223" w:rsidRDefault="0094303A" w:rsidP="0094303A">
          <w:pPr>
            <w:pStyle w:val="BodyText"/>
          </w:pPr>
          <w:r w:rsidRPr="009E7223">
            <w:t>Two submissions suggested or alluded to alternative approaches</w:t>
          </w:r>
          <w:r w:rsidR="009528CB" w:rsidRPr="009E7223">
            <w:t>.</w:t>
          </w:r>
        </w:p>
        <w:p w14:paraId="20763306" w14:textId="77777777" w:rsidR="0094303A" w:rsidRPr="009E7223" w:rsidRDefault="0094303A" w:rsidP="0094303A">
          <w:pPr>
            <w:pStyle w:val="List-BulletLvl1"/>
          </w:pPr>
          <w:r w:rsidRPr="009E7223">
            <w:t>An NCGM submitter</w:t>
          </w:r>
          <w:r w:rsidRPr="009E7223">
            <w:rPr>
              <w:rStyle w:val="FootnoteReference"/>
            </w:rPr>
            <w:footnoteReference w:id="368"/>
          </w:r>
          <w:r w:rsidRPr="009E7223">
            <w:t xml:space="preserve"> suggested that the already-low problem gambling statistics presented the opportunity to focus more on prevention in at risk communities. Early intervention activities included:</w:t>
          </w:r>
        </w:p>
        <w:p w14:paraId="71902573" w14:textId="6E5148FB" w:rsidR="0094303A" w:rsidRPr="009E7223" w:rsidRDefault="00E01BAB" w:rsidP="0094303A">
          <w:pPr>
            <w:pStyle w:val="List-BulletLvl2"/>
          </w:pPr>
          <w:r w:rsidRPr="009E7223">
            <w:t>A</w:t>
          </w:r>
          <w:r w:rsidR="0094303A" w:rsidRPr="009E7223">
            <w:t>ddressing addiction triggers in gambling venues</w:t>
          </w:r>
        </w:p>
        <w:p w14:paraId="41F9966D" w14:textId="579B1A93" w:rsidR="0094303A" w:rsidRPr="009E7223" w:rsidRDefault="00E01BAB" w:rsidP="0094303A">
          <w:pPr>
            <w:pStyle w:val="List-BulletLvl2"/>
          </w:pPr>
          <w:r w:rsidRPr="009E7223">
            <w:t>U</w:t>
          </w:r>
          <w:r w:rsidR="0094303A" w:rsidRPr="009E7223">
            <w:t>sing a holistic and cross-agency approach</w:t>
          </w:r>
        </w:p>
        <w:p w14:paraId="1F0CB1EF" w14:textId="5B6819E2" w:rsidR="0094303A" w:rsidRPr="009E7223" w:rsidRDefault="00E01BAB" w:rsidP="0094303A">
          <w:pPr>
            <w:pStyle w:val="List-BulletLvl2"/>
          </w:pPr>
          <w:r w:rsidRPr="009E7223">
            <w:t>C</w:t>
          </w:r>
          <w:r w:rsidR="0094303A" w:rsidRPr="009E7223">
            <w:t xml:space="preserve">onsolidating multiple </w:t>
          </w:r>
          <w:r w:rsidRPr="009E7223">
            <w:t xml:space="preserve">treatment </w:t>
          </w:r>
          <w:r w:rsidR="0094303A" w:rsidRPr="009E7223">
            <w:t>services into a single specialist addiction service</w:t>
          </w:r>
          <w:r w:rsidRPr="009E7223">
            <w:t>,</w:t>
          </w:r>
          <w:r w:rsidR="0094303A" w:rsidRPr="009E7223">
            <w:t xml:space="preserve"> and</w:t>
          </w:r>
        </w:p>
        <w:p w14:paraId="4512EB9A" w14:textId="0A5E8F0B" w:rsidR="0094303A" w:rsidRPr="009E7223" w:rsidRDefault="00E01BAB" w:rsidP="0094303A">
          <w:pPr>
            <w:pStyle w:val="List-BulletLvl2"/>
          </w:pPr>
          <w:r w:rsidRPr="009E7223">
            <w:t>W</w:t>
          </w:r>
          <w:r w:rsidR="0094303A" w:rsidRPr="009E7223">
            <w:t>orking with local bodies to develop a shared understanding of healthy gambling; and supporting venues through the use of technology and specialist support.</w:t>
          </w:r>
        </w:p>
        <w:p w14:paraId="01E53B41" w14:textId="77777777" w:rsidR="0094303A" w:rsidRPr="009E7223" w:rsidRDefault="0094303A" w:rsidP="0094303A">
          <w:pPr>
            <w:pStyle w:val="List-BulletLvl1"/>
          </w:pPr>
          <w:r w:rsidRPr="009E7223">
            <w:t>More generally, a Service Provider</w:t>
          </w:r>
          <w:r w:rsidRPr="009E7223">
            <w:rPr>
              <w:rStyle w:val="FootnoteReference"/>
            </w:rPr>
            <w:footnoteReference w:id="369"/>
          </w:r>
          <w:r w:rsidRPr="009E7223">
            <w:t xml:space="preserve"> commented that the current approach to delivering gambling harm minimisation might be becoming obsolete, due to new modes of communication.</w:t>
          </w:r>
        </w:p>
        <w:p w14:paraId="521EEAF4" w14:textId="1F5F34BE" w:rsidR="0094303A" w:rsidRPr="009E7223" w:rsidRDefault="00130B64" w:rsidP="0094303A">
          <w:pPr>
            <w:pStyle w:val="BodyText"/>
          </w:pPr>
          <w:r w:rsidRPr="009E7223">
            <w:t xml:space="preserve">Two </w:t>
          </w:r>
          <w:r w:rsidR="0094303A" w:rsidRPr="009E7223">
            <w:t>Service Providers</w:t>
          </w:r>
          <w:r w:rsidR="0094303A" w:rsidRPr="009E7223">
            <w:rPr>
              <w:rStyle w:val="FootnoteReference"/>
            </w:rPr>
            <w:footnoteReference w:id="370"/>
          </w:r>
          <w:r w:rsidR="0094303A" w:rsidRPr="009E7223">
            <w:t xml:space="preserve"> commented that the competitive approach to funding can be detrimental to forming relationships between services. A different Service Provider</w:t>
          </w:r>
          <w:r w:rsidR="0094303A" w:rsidRPr="009E7223">
            <w:rPr>
              <w:rStyle w:val="FootnoteReference"/>
            </w:rPr>
            <w:footnoteReference w:id="371"/>
          </w:r>
          <w:r w:rsidR="0094303A" w:rsidRPr="009E7223">
            <w:t xml:space="preserve"> commented that innovative population-based health services cannot be properly resourced by the existing budget without reducing access for those already using the services, and a </w:t>
          </w:r>
          <w:r w:rsidR="003052F1" w:rsidRPr="009E7223">
            <w:t>Health sector</w:t>
          </w:r>
          <w:r w:rsidR="0094303A" w:rsidRPr="009E7223">
            <w:t xml:space="preserve"> submitter</w:t>
          </w:r>
          <w:r w:rsidR="00A37DDF" w:rsidRPr="009E7223">
            <w:rPr>
              <w:rStyle w:val="FootnoteReference"/>
            </w:rPr>
            <w:footnoteReference w:id="372"/>
          </w:r>
          <w:r w:rsidR="0094303A" w:rsidRPr="009E7223">
            <w:t xml:space="preserve"> commented that “</w:t>
          </w:r>
          <w:r w:rsidR="0094303A" w:rsidRPr="00FE068C">
            <w:rPr>
              <w:i/>
            </w:rPr>
            <w:t>support to move families out of poverty would be extremely beneficial</w:t>
          </w:r>
          <w:r w:rsidR="0094303A" w:rsidRPr="009E7223">
            <w:t>.”</w:t>
          </w:r>
        </w:p>
        <w:p w14:paraId="07287148" w14:textId="7A26E189" w:rsidR="0094303A" w:rsidRPr="009E7223" w:rsidRDefault="00E62D03" w:rsidP="0094303A">
          <w:pPr>
            <w:pStyle w:val="NumberedHeading2"/>
          </w:pPr>
          <w:bookmarkStart w:id="77" w:name="_Toc531098175"/>
          <w:r w:rsidRPr="009E7223">
            <w:lastRenderedPageBreak/>
            <w:t xml:space="preserve">The degree of support for Public Health Services </w:t>
          </w:r>
          <w:r w:rsidR="000A1458" w:rsidRPr="009E7223">
            <w:t>draft priorities</w:t>
          </w:r>
          <w:bookmarkEnd w:id="77"/>
        </w:p>
        <w:p w14:paraId="358E8B15" w14:textId="700560C0" w:rsidR="0094303A" w:rsidRPr="009E7223" w:rsidRDefault="00AD2D3A" w:rsidP="0094303A">
          <w:pPr>
            <w:pStyle w:val="NumberedHeading3"/>
          </w:pPr>
          <w:bookmarkStart w:id="78" w:name="_Toc531098176"/>
          <w:r>
            <w:t>Additional</w:t>
          </w:r>
          <w:r w:rsidR="00DD3BDD" w:rsidRPr="009E7223">
            <w:t xml:space="preserve"> funding and assurances that priority populations will benefit</w:t>
          </w:r>
          <w:r>
            <w:t xml:space="preserve"> were requested</w:t>
          </w:r>
          <w:bookmarkEnd w:id="78"/>
        </w:p>
        <w:p w14:paraId="387A79C0" w14:textId="09C83929" w:rsidR="0094303A" w:rsidRPr="009E7223" w:rsidRDefault="00130B64" w:rsidP="0094303A">
          <w:pPr>
            <w:pStyle w:val="BodyText"/>
          </w:pPr>
          <w:r w:rsidRPr="009E7223">
            <w:t xml:space="preserve">Six </w:t>
          </w:r>
          <w:r w:rsidR="0094303A" w:rsidRPr="009E7223">
            <w:t>Service Provider</w:t>
          </w:r>
          <w:r w:rsidRPr="009E7223">
            <w:t xml:space="preserve"> submitters</w:t>
          </w:r>
          <w:r w:rsidR="0094303A" w:rsidRPr="009E7223">
            <w:t>,</w:t>
          </w:r>
          <w:r w:rsidR="00A37DDF" w:rsidRPr="009E7223">
            <w:rPr>
              <w:rStyle w:val="FootnoteReference"/>
            </w:rPr>
            <w:footnoteReference w:id="373"/>
          </w:r>
          <w:r w:rsidR="0094303A" w:rsidRPr="009E7223">
            <w:t xml:space="preserve"> </w:t>
          </w:r>
          <w:r w:rsidRPr="009E7223">
            <w:t xml:space="preserve">and one each from the </w:t>
          </w:r>
          <w:r w:rsidR="003052F1" w:rsidRPr="009E7223">
            <w:t>Health sector</w:t>
          </w:r>
          <w:r w:rsidR="0094303A" w:rsidRPr="009E7223">
            <w:t>,</w:t>
          </w:r>
          <w:r w:rsidR="00A37DDF" w:rsidRPr="009E7223">
            <w:rPr>
              <w:rStyle w:val="FootnoteReference"/>
            </w:rPr>
            <w:footnoteReference w:id="374"/>
          </w:r>
          <w:r w:rsidR="0094303A" w:rsidRPr="009E7223">
            <w:t xml:space="preserve"> and Local Government</w:t>
          </w:r>
          <w:r w:rsidR="0094303A" w:rsidRPr="009E7223">
            <w:rPr>
              <w:rStyle w:val="FootnoteReference"/>
            </w:rPr>
            <w:footnoteReference w:id="375"/>
          </w:r>
          <w:r w:rsidR="0094303A" w:rsidRPr="009E7223">
            <w:t xml:space="preserve"> commented that the draft Service Plan did not adequately fund public health services, particularly workforce:</w:t>
          </w:r>
          <w:r w:rsidR="0094303A" w:rsidRPr="009E7223">
            <w:rPr>
              <w:rStyle w:val="FootnoteReference"/>
            </w:rPr>
            <w:t xml:space="preserve"> </w:t>
          </w:r>
          <w:r w:rsidR="0094303A" w:rsidRPr="009E7223">
            <w:rPr>
              <w:rStyle w:val="FootnoteReference"/>
            </w:rPr>
            <w:footnoteReference w:id="376"/>
          </w:r>
        </w:p>
        <w:p w14:paraId="4D9D7B6A" w14:textId="233E2C25" w:rsidR="0094303A" w:rsidRPr="009E7223" w:rsidRDefault="0094303A" w:rsidP="0094303A">
          <w:pPr>
            <w:pStyle w:val="Quote"/>
          </w:pPr>
          <w:r w:rsidRPr="009E7223">
            <w:t xml:space="preserve">The cost of operating a clinical or public health service of standard, is not reflected in the </w:t>
          </w:r>
          <w:r w:rsidR="00E62D03" w:rsidRPr="009E7223">
            <w:t>FTE</w:t>
          </w:r>
          <w:r w:rsidRPr="009E7223">
            <w:t xml:space="preserve"> amount currently paid. Given the increasing push for kaimahi to process a high standard of qualifications, the amount paid per </w:t>
          </w:r>
          <w:r w:rsidR="00E62D03" w:rsidRPr="009E7223">
            <w:t>FTE</w:t>
          </w:r>
          <w:r w:rsidRPr="009E7223">
            <w:t xml:space="preserve"> does not reflect the calibre of worker.</w:t>
          </w:r>
        </w:p>
        <w:p w14:paraId="2D9461FB" w14:textId="2C11E54C" w:rsidR="0094303A" w:rsidRPr="009E7223" w:rsidRDefault="003A6A32" w:rsidP="00F211F2">
          <w:pPr>
            <w:pStyle w:val="BodyText"/>
            <w:rPr>
              <w:rFonts w:ascii="Georgia" w:hAnsi="Georgia" w:cs="Georgia"/>
              <w:sz w:val="20"/>
              <w:szCs w:val="20"/>
            </w:rPr>
          </w:pPr>
          <w:r w:rsidRPr="009E7223">
            <w:t xml:space="preserve">Two </w:t>
          </w:r>
          <w:r w:rsidR="0094303A" w:rsidRPr="009E7223">
            <w:t>Local Government</w:t>
          </w:r>
          <w:r w:rsidR="00A37DDF" w:rsidRPr="009E7223">
            <w:t>,</w:t>
          </w:r>
          <w:r w:rsidR="00A37DDF" w:rsidRPr="009E7223">
            <w:rPr>
              <w:rStyle w:val="FootnoteReference"/>
            </w:rPr>
            <w:footnoteReference w:id="377"/>
          </w:r>
          <w:r w:rsidR="0094303A" w:rsidRPr="009E7223">
            <w:t xml:space="preserve"> </w:t>
          </w:r>
          <w:r w:rsidRPr="009E7223">
            <w:t xml:space="preserve">two </w:t>
          </w:r>
          <w:r w:rsidR="0094303A" w:rsidRPr="009E7223">
            <w:t>Service Providers</w:t>
          </w:r>
          <w:r w:rsidR="00A37DDF" w:rsidRPr="009E7223">
            <w:t>,</w:t>
          </w:r>
          <w:r w:rsidR="0094303A" w:rsidRPr="009E7223">
            <w:rPr>
              <w:rStyle w:val="FootnoteReference"/>
            </w:rPr>
            <w:footnoteReference w:id="378"/>
          </w:r>
          <w:r w:rsidR="00A37DDF" w:rsidRPr="009E7223">
            <w:t xml:space="preserve"> and an Individual submitter</w:t>
          </w:r>
          <w:r w:rsidR="00A37DDF" w:rsidRPr="009E7223">
            <w:rPr>
              <w:rStyle w:val="FootnoteReference"/>
            </w:rPr>
            <w:footnoteReference w:id="379"/>
          </w:r>
          <w:r w:rsidR="0094303A" w:rsidRPr="009E7223">
            <w:t xml:space="preserve"> noted the disconnect between the expected prevalence of moderate to severe harm and the actual number of clients, noting this to be an indication that “services are not adequately reaching those in need.”</w:t>
          </w:r>
          <w:r w:rsidR="0094303A" w:rsidRPr="009E7223">
            <w:rPr>
              <w:rStyle w:val="FootnoteReference"/>
            </w:rPr>
            <w:footnoteReference w:id="380"/>
          </w:r>
          <w:r w:rsidR="0094303A" w:rsidRPr="009E7223">
            <w:t xml:space="preserve"> </w:t>
          </w:r>
          <w:r w:rsidR="00A37DDF" w:rsidRPr="009E7223">
            <w:t>Two Local Government submitters</w:t>
          </w:r>
          <w:r w:rsidR="00A37DDF" w:rsidRPr="009E7223">
            <w:rPr>
              <w:rStyle w:val="FootnoteReference"/>
            </w:rPr>
            <w:footnoteReference w:id="381"/>
          </w:r>
          <w:r w:rsidR="00A37DDF" w:rsidRPr="009E7223">
            <w:t xml:space="preserve"> </w:t>
          </w:r>
          <w:r w:rsidR="0094303A" w:rsidRPr="009E7223">
            <w:t>commented that addressing the problem of persistent gambling harm amongst different population groups requires innovative intervention approaches and more accessible and targeted services that respond to the needs of particular populations.</w:t>
          </w:r>
        </w:p>
        <w:p w14:paraId="307FB72C" w14:textId="4A5243C6" w:rsidR="0094303A" w:rsidRPr="009E7223" w:rsidRDefault="0094303A" w:rsidP="002E31A0">
          <w:pPr>
            <w:pStyle w:val="BodyText"/>
          </w:pPr>
          <w:r w:rsidRPr="009E7223">
            <w:t xml:space="preserve">A </w:t>
          </w:r>
          <w:r w:rsidR="003052F1" w:rsidRPr="009E7223">
            <w:t>Health sector</w:t>
          </w:r>
          <w:r w:rsidRPr="009E7223">
            <w:t xml:space="preserve"> submitter</w:t>
          </w:r>
          <w:r w:rsidRPr="009E7223">
            <w:rPr>
              <w:rStyle w:val="FootnoteReference"/>
            </w:rPr>
            <w:footnoteReference w:id="382"/>
          </w:r>
          <w:r w:rsidRPr="009E7223">
            <w:t xml:space="preserve"> similarly commented on the need for a larger budget for public health to address inequity: people need to receive services in a culturally appropriate way. </w:t>
          </w:r>
          <w:r w:rsidR="00A37DDF" w:rsidRPr="009E7223">
            <w:t xml:space="preserve">Two </w:t>
          </w:r>
          <w:r w:rsidRPr="009E7223">
            <w:t>Service Provider</w:t>
          </w:r>
          <w:r w:rsidR="002E31A0" w:rsidRPr="009E7223">
            <w:t>s</w:t>
          </w:r>
          <w:r w:rsidR="00A37DDF" w:rsidRPr="009E7223">
            <w:rPr>
              <w:rStyle w:val="FootnoteReference"/>
            </w:rPr>
            <w:footnoteReference w:id="383"/>
          </w:r>
          <w:r w:rsidRPr="009E7223">
            <w:t xml:space="preserve"> commented on the lack of in-language or culturally appropriate information available for Asian people.</w:t>
          </w:r>
          <w:r w:rsidRPr="009E7223">
            <w:rPr>
              <w:rStyle w:val="FootnoteReference"/>
            </w:rPr>
            <w:t xml:space="preserve"> </w:t>
          </w:r>
          <w:r w:rsidR="002E31A0" w:rsidRPr="009E7223">
            <w:t xml:space="preserve">One </w:t>
          </w:r>
          <w:r w:rsidR="00A37DDF" w:rsidRPr="009E7223">
            <w:t>of these submitters</w:t>
          </w:r>
          <w:r w:rsidR="00A37DDF" w:rsidRPr="009E7223">
            <w:rPr>
              <w:rStyle w:val="FootnoteReference"/>
            </w:rPr>
            <w:footnoteReference w:id="384"/>
          </w:r>
          <w:r w:rsidR="00A37DDF" w:rsidRPr="009E7223">
            <w:t xml:space="preserve"> </w:t>
          </w:r>
          <w:r w:rsidRPr="009E7223">
            <w:t>called for linguistically and culturally appropriate client-centred tools suited to Asian populations</w:t>
          </w:r>
          <w:r w:rsidR="00F211F2" w:rsidRPr="009E7223">
            <w:t>;</w:t>
          </w:r>
          <w:r w:rsidR="002E31A0" w:rsidRPr="009E7223">
            <w:t xml:space="preserve"> and also noted that public health budget allocations for intervention development and tools should specifically reference the need to address the cultures of p</w:t>
          </w:r>
          <w:r w:rsidR="00F211F2" w:rsidRPr="009E7223">
            <w:t>riority</w:t>
          </w:r>
          <w:r w:rsidR="002E31A0" w:rsidRPr="009E7223">
            <w:t xml:space="preserve"> populations.</w:t>
          </w:r>
        </w:p>
        <w:p w14:paraId="2EA2D66C" w14:textId="77777777" w:rsidR="0094303A" w:rsidRPr="009E7223" w:rsidRDefault="0094303A" w:rsidP="0094303A">
          <w:pPr>
            <w:pStyle w:val="BodyText"/>
          </w:pPr>
          <w:r w:rsidRPr="009E7223">
            <w:t>Service Providers also requested:</w:t>
          </w:r>
        </w:p>
        <w:p w14:paraId="3808B2FE" w14:textId="35A74C44" w:rsidR="0094303A" w:rsidRPr="009E7223" w:rsidRDefault="00E01BAB" w:rsidP="0094303A">
          <w:pPr>
            <w:pStyle w:val="List-BulletLvl1"/>
          </w:pPr>
          <w:r w:rsidRPr="009E7223">
            <w:t>M</w:t>
          </w:r>
          <w:r w:rsidR="0094303A" w:rsidRPr="009E7223">
            <w:t>ore prevention initiatives</w:t>
          </w:r>
          <w:r w:rsidR="0094303A" w:rsidRPr="009E7223">
            <w:rPr>
              <w:rStyle w:val="FootnoteReference"/>
            </w:rPr>
            <w:t xml:space="preserve"> </w:t>
          </w:r>
          <w:r w:rsidR="0094303A" w:rsidRPr="009E7223">
            <w:rPr>
              <w:rStyle w:val="FootnoteReference"/>
            </w:rPr>
            <w:footnoteReference w:id="385"/>
          </w:r>
        </w:p>
        <w:p w14:paraId="40C7983C" w14:textId="3692673C" w:rsidR="0094303A" w:rsidRPr="009E7223" w:rsidRDefault="00E01BAB" w:rsidP="0094303A">
          <w:pPr>
            <w:pStyle w:val="List-BulletLvl1"/>
          </w:pPr>
          <w:r w:rsidRPr="009E7223">
            <w:t>M</w:t>
          </w:r>
          <w:r w:rsidR="0094303A" w:rsidRPr="009E7223">
            <w:t>ore behaviour change activities</w:t>
          </w:r>
          <w:r w:rsidR="0094303A" w:rsidRPr="009E7223">
            <w:rPr>
              <w:rStyle w:val="FootnoteReference"/>
            </w:rPr>
            <w:footnoteReference w:id="386"/>
          </w:r>
        </w:p>
        <w:p w14:paraId="44280718" w14:textId="172AF38E" w:rsidR="0094303A" w:rsidRPr="00DE0E28" w:rsidRDefault="00E01BAB" w:rsidP="00DE0E28">
          <w:pPr>
            <w:pStyle w:val="List-BulletLvl1"/>
          </w:pPr>
          <w:r w:rsidRPr="00DE0E28">
            <w:t>T</w:t>
          </w:r>
          <w:r w:rsidR="0094303A" w:rsidRPr="00DE0E28">
            <w:t xml:space="preserve">hat additional funding budgeted for television advertising </w:t>
          </w:r>
          <w:r w:rsidR="009528CB" w:rsidRPr="00DE0E28">
            <w:t>(</w:t>
          </w:r>
          <w:r w:rsidR="0094303A" w:rsidRPr="00DE0E28">
            <w:t>such as gambling harm counselling services</w:t>
          </w:r>
          <w:r w:rsidR="009528CB" w:rsidRPr="00DE0E28">
            <w:t>)</w:t>
          </w:r>
          <w:r w:rsidR="0094303A" w:rsidRPr="00DE0E28">
            <w:rPr>
              <w:rStyle w:val="FootnoteReference"/>
            </w:rPr>
            <w:footnoteReference w:id="387"/>
          </w:r>
        </w:p>
        <w:p w14:paraId="4EA500A1" w14:textId="4889FAD0" w:rsidR="0094303A" w:rsidRPr="009E7223" w:rsidRDefault="00E01BAB" w:rsidP="0094303A">
          <w:pPr>
            <w:pStyle w:val="List-BulletLvl1"/>
          </w:pPr>
          <w:r w:rsidRPr="009E7223">
            <w:t>Y</w:t>
          </w:r>
          <w:r w:rsidR="0094303A" w:rsidRPr="009E7223">
            <w:t>outh-focused interventions and public health services</w:t>
          </w:r>
          <w:r w:rsidR="0094303A" w:rsidRPr="009E7223">
            <w:rPr>
              <w:rStyle w:val="FootnoteReference"/>
            </w:rPr>
            <w:footnoteReference w:id="388"/>
          </w:r>
        </w:p>
        <w:p w14:paraId="2B160352" w14:textId="5B1E37D2" w:rsidR="0094303A" w:rsidRPr="009E7223" w:rsidRDefault="00E01BAB" w:rsidP="0094303A">
          <w:pPr>
            <w:pStyle w:val="List-BulletLvl1"/>
          </w:pPr>
          <w:r w:rsidRPr="009E7223">
            <w:lastRenderedPageBreak/>
            <w:t>N</w:t>
          </w:r>
          <w:r w:rsidR="0094303A" w:rsidRPr="009E7223">
            <w:t>ational and local multi-media campaigns designed to meet the needs of priority populations, delivering key messages about intervention services and how to access these,</w:t>
          </w:r>
          <w:r w:rsidR="0094303A" w:rsidRPr="009E7223">
            <w:rPr>
              <w:rStyle w:val="FootnoteReference"/>
            </w:rPr>
            <w:footnoteReference w:id="389"/>
          </w:r>
          <w:r w:rsidR="0094303A" w:rsidRPr="009E7223">
            <w:t xml:space="preserve"> and</w:t>
          </w:r>
        </w:p>
        <w:p w14:paraId="068A2AAC" w14:textId="733B1F2C" w:rsidR="0094303A" w:rsidRPr="009E7223" w:rsidRDefault="00E01BAB" w:rsidP="0094303A">
          <w:pPr>
            <w:pStyle w:val="List-BulletLvl1"/>
          </w:pPr>
          <w:r w:rsidRPr="009E7223">
            <w:t>A</w:t>
          </w:r>
          <w:r w:rsidR="0094303A" w:rsidRPr="009E7223">
            <w:t>n incentive fund to motivate General Practitioners to screen for gambling harm.</w:t>
          </w:r>
          <w:r w:rsidR="0094303A" w:rsidRPr="009E7223">
            <w:rPr>
              <w:rStyle w:val="FootnoteReference"/>
            </w:rPr>
            <w:footnoteReference w:id="390"/>
          </w:r>
        </w:p>
        <w:p w14:paraId="7D93BFB4" w14:textId="77777777" w:rsidR="0094303A" w:rsidRPr="009E7223" w:rsidRDefault="0094303A" w:rsidP="0094303A">
          <w:pPr>
            <w:pStyle w:val="BodyText"/>
          </w:pPr>
          <w:r w:rsidRPr="009E7223">
            <w:t>A NCGM submitter</w:t>
          </w:r>
          <w:r w:rsidRPr="009E7223">
            <w:rPr>
              <w:rStyle w:val="FootnoteReference"/>
            </w:rPr>
            <w:footnoteReference w:id="391"/>
          </w:r>
          <w:r w:rsidRPr="009E7223">
            <w:t xml:space="preserve"> called for an additional focus on teaching people how to manage their gambling spend.</w:t>
          </w:r>
        </w:p>
        <w:p w14:paraId="282E5793" w14:textId="4AEC998B" w:rsidR="0094303A" w:rsidRPr="009E7223" w:rsidRDefault="0094303A" w:rsidP="0094303A">
          <w:pPr>
            <w:pStyle w:val="BodyText"/>
          </w:pPr>
          <w:r w:rsidRPr="009E7223">
            <w:t>A Service Provider</w:t>
          </w:r>
          <w:r w:rsidRPr="009E7223">
            <w:rPr>
              <w:rStyle w:val="FootnoteReference"/>
            </w:rPr>
            <w:footnoteReference w:id="392"/>
          </w:r>
          <w:r w:rsidRPr="009E7223">
            <w:t xml:space="preserve"> stated that advertising [it is not stated but this is presumed to refer to advertising of gambling venues and activities] which targets vulnerable ethnic groups must cease; and that advertising should be restricted to times and places that prevent exposure to children.</w:t>
          </w:r>
          <w:r w:rsidRPr="009E7223">
            <w:rPr>
              <w:rStyle w:val="FootnoteReference"/>
            </w:rPr>
            <w:footnoteReference w:id="393"/>
          </w:r>
          <w:r w:rsidRPr="009E7223">
            <w:t xml:space="preserve"> </w:t>
          </w:r>
          <w:r w:rsidR="003A6A32" w:rsidRPr="009E7223">
            <w:t xml:space="preserve">Two </w:t>
          </w:r>
          <w:r w:rsidRPr="009E7223">
            <w:t>Service Providers</w:t>
          </w:r>
          <w:r w:rsidRPr="009E7223">
            <w:rPr>
              <w:rStyle w:val="FootnoteReference"/>
            </w:rPr>
            <w:footnoteReference w:id="394"/>
          </w:r>
          <w:r w:rsidRPr="009E7223">
            <w:t xml:space="preserve"> also noted that the budget for a biennial international conference was half of what was anticipated.</w:t>
          </w:r>
        </w:p>
        <w:p w14:paraId="4D91C18B" w14:textId="77777777" w:rsidR="0094303A" w:rsidRPr="009E7223" w:rsidRDefault="0094303A" w:rsidP="0094303A">
          <w:pPr>
            <w:pStyle w:val="BodyText"/>
          </w:pPr>
          <w:r w:rsidRPr="009E7223">
            <w:t>Service Providers made the following points about public health initiatives that they did not support:</w:t>
          </w:r>
        </w:p>
        <w:p w14:paraId="6BBACCFB" w14:textId="41E101A2" w:rsidR="0094303A" w:rsidRPr="009E7223" w:rsidRDefault="002E31A0" w:rsidP="002E31A0">
          <w:pPr>
            <w:pStyle w:val="List-BulletLvl1"/>
          </w:pPr>
          <w:r w:rsidRPr="009E7223">
            <w:t>L</w:t>
          </w:r>
          <w:r w:rsidR="0094303A" w:rsidRPr="009E7223">
            <w:t>ess funding was needed for education and awareness activities</w:t>
          </w:r>
          <w:r w:rsidR="0094303A" w:rsidRPr="009E7223">
            <w:rPr>
              <w:rStyle w:val="FootnoteReference"/>
            </w:rPr>
            <w:footnoteReference w:id="395"/>
          </w:r>
        </w:p>
        <w:p w14:paraId="7856B111" w14:textId="65CE3DA4" w:rsidR="0094303A" w:rsidRPr="009E7223" w:rsidRDefault="002E31A0" w:rsidP="002E31A0">
          <w:pPr>
            <w:pStyle w:val="List-BulletLvl1"/>
          </w:pPr>
          <w:r w:rsidRPr="009E7223">
            <w:t>F</w:t>
          </w:r>
          <w:r w:rsidR="0094303A" w:rsidRPr="009E7223">
            <w:t>unding allocated to HPA to promote face-to-face services should be reallocated to service providers for their own service promotion. Further, the Service Provider noted their intention to develop online tools for gambling harm intervention and commented that the draft Service Plan appears to direct all funds planned for this activity to the HPA,</w:t>
          </w:r>
          <w:r w:rsidR="0094303A" w:rsidRPr="009E7223">
            <w:rPr>
              <w:rStyle w:val="FootnoteReference"/>
            </w:rPr>
            <w:footnoteReference w:id="396"/>
          </w:r>
          <w:r w:rsidR="0094303A" w:rsidRPr="009E7223">
            <w:t xml:space="preserve"> and</w:t>
          </w:r>
        </w:p>
        <w:p w14:paraId="481F48D1" w14:textId="77777777" w:rsidR="0094303A" w:rsidRPr="009E7223" w:rsidRDefault="0094303A" w:rsidP="002E31A0">
          <w:pPr>
            <w:pStyle w:val="List-BulletLvl1"/>
          </w:pPr>
          <w:r w:rsidRPr="009E7223">
            <w:t>An NCGM submitter</w:t>
          </w:r>
          <w:r w:rsidRPr="009E7223">
            <w:rPr>
              <w:rStyle w:val="FootnoteReference"/>
            </w:rPr>
            <w:footnoteReference w:id="397"/>
          </w:r>
          <w:r w:rsidRPr="009E7223">
            <w:t xml:space="preserve"> expressed concerns at the likely cost of having leaflets produced, arguing that the industry could probably have produced the same material for less.</w:t>
          </w:r>
        </w:p>
        <w:p w14:paraId="73394BE5" w14:textId="20C2D2DC" w:rsidR="0094303A" w:rsidRPr="009E7223" w:rsidRDefault="00E62D03" w:rsidP="0094303A">
          <w:pPr>
            <w:pStyle w:val="NumberedHeading2"/>
          </w:pPr>
          <w:bookmarkStart w:id="79" w:name="_Toc531098177"/>
          <w:r w:rsidRPr="009E7223">
            <w:t xml:space="preserve">The degree of support for Intervention Services </w:t>
          </w:r>
          <w:r w:rsidR="002E31A0" w:rsidRPr="009E7223">
            <w:t>draft priorities</w:t>
          </w:r>
          <w:bookmarkEnd w:id="79"/>
        </w:p>
        <w:p w14:paraId="78218573" w14:textId="4C7C2658" w:rsidR="0094303A" w:rsidRPr="009E7223" w:rsidRDefault="00AD2D3A" w:rsidP="0094303A">
          <w:pPr>
            <w:pStyle w:val="NumberedHeading3"/>
          </w:pPr>
          <w:bookmarkStart w:id="80" w:name="_Toc531098178"/>
          <w:r>
            <w:t>A</w:t>
          </w:r>
          <w:r w:rsidR="0094303A" w:rsidRPr="009E7223">
            <w:t xml:space="preserve"> wide range of additional intervention activities</w:t>
          </w:r>
          <w:r>
            <w:t xml:space="preserve"> were requested</w:t>
          </w:r>
          <w:bookmarkEnd w:id="80"/>
        </w:p>
        <w:p w14:paraId="39099752" w14:textId="274B5ED2" w:rsidR="0094303A" w:rsidRPr="009E7223" w:rsidRDefault="0094303A" w:rsidP="0094303A">
          <w:pPr>
            <w:pStyle w:val="BodyText"/>
          </w:pPr>
          <w:r w:rsidRPr="009E7223">
            <w:t>Service Providers,</w:t>
          </w:r>
          <w:r w:rsidR="002136C4" w:rsidRPr="009E7223">
            <w:rPr>
              <w:rStyle w:val="FootnoteReference"/>
            </w:rPr>
            <w:footnoteReference w:id="398"/>
          </w:r>
          <w:r w:rsidRPr="009E7223">
            <w:t xml:space="preserve"> </w:t>
          </w:r>
          <w:r w:rsidR="003052F1" w:rsidRPr="009E7223">
            <w:t>Health sector</w:t>
          </w:r>
          <w:r w:rsidR="002136C4" w:rsidRPr="009E7223">
            <w:rPr>
              <w:rStyle w:val="FootnoteReference"/>
            </w:rPr>
            <w:footnoteReference w:id="399"/>
          </w:r>
          <w:r w:rsidRPr="009E7223">
            <w:t xml:space="preserve"> and individual submitters</w:t>
          </w:r>
          <w:r w:rsidR="002136C4" w:rsidRPr="009E7223">
            <w:rPr>
              <w:rStyle w:val="FootnoteReference"/>
            </w:rPr>
            <w:footnoteReference w:id="400"/>
          </w:r>
          <w:r w:rsidRPr="009E7223">
            <w:t xml:space="preserve"> commented on the underfunding of intervention workforce. For example, pay was inadequate considering the qualifications required of staff delivering interventions; and more funding was needed to raise awareness of the services available, especially to promote face-to-face services.</w:t>
          </w:r>
          <w:r w:rsidR="002136C4" w:rsidRPr="009E7223">
            <w:t xml:space="preserve"> The</w:t>
          </w:r>
          <w:r w:rsidRPr="009E7223">
            <w:t xml:space="preserve"> individual submitter</w:t>
          </w:r>
          <w:r w:rsidR="002136C4" w:rsidRPr="009E7223">
            <w:rPr>
              <w:rStyle w:val="FootnoteReference"/>
            </w:rPr>
            <w:footnoteReference w:id="401"/>
          </w:r>
          <w:r w:rsidRPr="009E7223">
            <w:t xml:space="preserve"> requested more funding for service providers so that they can do more of the good work that they are doing. Service Providers</w:t>
          </w:r>
          <w:r w:rsidR="002136C4" w:rsidRPr="009E7223">
            <w:rPr>
              <w:rStyle w:val="FootnoteReference"/>
            </w:rPr>
            <w:footnoteReference w:id="402"/>
          </w:r>
          <w:r w:rsidRPr="009E7223">
            <w:t xml:space="preserve"> argued that workforce development funding should be focused on developing </w:t>
          </w:r>
          <w:r w:rsidRPr="009E7223">
            <w:lastRenderedPageBreak/>
            <w:t>competencies to deliver services to prioritised populations – Asian, Māori, and Pasifika; with one Service Provider noting:</w:t>
          </w:r>
          <w:r w:rsidRPr="009E7223">
            <w:rPr>
              <w:rStyle w:val="FootnoteReference"/>
            </w:rPr>
            <w:footnoteReference w:id="403"/>
          </w:r>
        </w:p>
        <w:p w14:paraId="3FFEF915" w14:textId="3BD92E42" w:rsidR="0094303A" w:rsidRPr="009E7223" w:rsidRDefault="0094303A" w:rsidP="0094303A">
          <w:pPr>
            <w:pStyle w:val="Quote"/>
          </w:pPr>
          <w:r w:rsidRPr="009E7223">
            <w:t>Inequality and inequity demand higher levels of expectations from our people [workforce]. We ask that consideration be given to those populations i.e. Māori, Pacific and Asia to have extra support and resources to ensure advances are sustained.</w:t>
          </w:r>
        </w:p>
        <w:p w14:paraId="33A681BB" w14:textId="1ACE4069" w:rsidR="0094303A" w:rsidRPr="009E7223" w:rsidRDefault="003A6A32" w:rsidP="0094303A">
          <w:pPr>
            <w:pStyle w:val="BodyText"/>
          </w:pPr>
          <w:r w:rsidRPr="009E7223">
            <w:t xml:space="preserve">Five </w:t>
          </w:r>
          <w:r w:rsidR="0094303A" w:rsidRPr="009E7223">
            <w:t>NCGM</w:t>
          </w:r>
          <w:r w:rsidR="002136C4" w:rsidRPr="009E7223">
            <w:t xml:space="preserve"> sector submitters</w:t>
          </w:r>
          <w:r w:rsidR="002136C4" w:rsidRPr="009E7223">
            <w:rPr>
              <w:rStyle w:val="FootnoteReference"/>
            </w:rPr>
            <w:footnoteReference w:id="404"/>
          </w:r>
          <w:r w:rsidR="0094303A" w:rsidRPr="009E7223">
            <w:t xml:space="preserve"> and </w:t>
          </w:r>
          <w:r w:rsidRPr="009E7223">
            <w:t xml:space="preserve">a </w:t>
          </w:r>
          <w:r w:rsidR="003052F1" w:rsidRPr="009E7223">
            <w:t>Health sector</w:t>
          </w:r>
          <w:r w:rsidR="0094303A" w:rsidRPr="009E7223">
            <w:t xml:space="preserve"> submitter</w:t>
          </w:r>
          <w:r w:rsidR="0094303A" w:rsidRPr="009E7223">
            <w:rPr>
              <w:rStyle w:val="FootnoteReference"/>
            </w:rPr>
            <w:footnoteReference w:id="405"/>
          </w:r>
          <w:r w:rsidR="0094303A" w:rsidRPr="009E7223">
            <w:t xml:space="preserve"> requested that a separate fund be established for purchasing, developing and testing technological initiatives such as facial recognition and other harm minimisation technologies.</w:t>
          </w:r>
        </w:p>
        <w:p w14:paraId="15CBBA61" w14:textId="4BBACC71" w:rsidR="0094303A" w:rsidRPr="009E7223" w:rsidRDefault="003A6A32" w:rsidP="0094303A">
          <w:pPr>
            <w:pStyle w:val="BodyText"/>
          </w:pPr>
          <w:r w:rsidRPr="009E7223">
            <w:t xml:space="preserve">Three </w:t>
          </w:r>
          <w:r w:rsidR="0094303A" w:rsidRPr="009E7223">
            <w:t>Service Providers</w:t>
          </w:r>
          <w:r w:rsidR="0094303A" w:rsidRPr="009E7223">
            <w:rPr>
              <w:rStyle w:val="FootnoteReference"/>
            </w:rPr>
            <w:footnoteReference w:id="406"/>
          </w:r>
          <w:r w:rsidR="0094303A" w:rsidRPr="009E7223">
            <w:t xml:space="preserve"> called for face-to-face support to be available in all regions, noting that the increase in online gambling might make it problematic for some people to be accessing online support services. Another Service Provider</w:t>
          </w:r>
          <w:r w:rsidR="0094303A" w:rsidRPr="009E7223">
            <w:rPr>
              <w:rStyle w:val="FootnoteReference"/>
            </w:rPr>
            <w:footnoteReference w:id="407"/>
          </w:r>
          <w:r w:rsidR="0094303A" w:rsidRPr="009E7223">
            <w:t xml:space="preserve"> suggested using online help services to reach people in remote communities.</w:t>
          </w:r>
        </w:p>
        <w:p w14:paraId="43B9CDBD" w14:textId="7589AA26" w:rsidR="0094303A" w:rsidRPr="009E7223" w:rsidRDefault="0094303A" w:rsidP="00E01BAB">
          <w:pPr>
            <w:pStyle w:val="BodyText"/>
          </w:pPr>
          <w:r w:rsidRPr="009E7223">
            <w:t>One Service Provider suggested that more intensive treatment is required to gain effective outcomes and prevent relapse, and proposed that:</w:t>
          </w:r>
          <w:r w:rsidRPr="009E7223">
            <w:rPr>
              <w:rStyle w:val="FootnoteReference"/>
            </w:rPr>
            <w:footnoteReference w:id="408"/>
          </w:r>
        </w:p>
        <w:p w14:paraId="4A16B5D5" w14:textId="77777777" w:rsidR="0094303A" w:rsidRPr="009E7223" w:rsidRDefault="0094303A" w:rsidP="0094303A">
          <w:pPr>
            <w:pStyle w:val="Quote"/>
            <w:rPr>
              <w:rFonts w:ascii="Georgia" w:hAnsi="Georgia" w:cs="Georgia"/>
              <w:sz w:val="20"/>
              <w:szCs w:val="20"/>
            </w:rPr>
          </w:pPr>
          <w:r w:rsidRPr="009E7223">
            <w:t>… multiple modes of accessing specialist gambling harm intervention services and online specialist intervention tools … be designed, developed, piloted and evaluated thoroughly during this next service plan period</w:t>
          </w:r>
          <w:r w:rsidRPr="009E7223">
            <w:rPr>
              <w:rFonts w:ascii="Georgia" w:hAnsi="Georgia" w:cs="Georgia"/>
              <w:sz w:val="20"/>
              <w:szCs w:val="20"/>
            </w:rPr>
            <w:t>.</w:t>
          </w:r>
        </w:p>
        <w:p w14:paraId="644A94FA" w14:textId="44455E55" w:rsidR="0094303A" w:rsidRPr="009E7223" w:rsidRDefault="0094303A" w:rsidP="0094303A">
          <w:pPr>
            <w:pStyle w:val="BodyText"/>
          </w:pPr>
          <w:r w:rsidRPr="009E7223">
            <w:t xml:space="preserve">A </w:t>
          </w:r>
          <w:r w:rsidR="003052F1" w:rsidRPr="009E7223">
            <w:t>Health sector</w:t>
          </w:r>
          <w:r w:rsidRPr="009E7223">
            <w:t xml:space="preserve"> submitter</w:t>
          </w:r>
          <w:r w:rsidRPr="009E7223">
            <w:rPr>
              <w:rStyle w:val="FootnoteReference"/>
            </w:rPr>
            <w:footnoteReference w:id="409"/>
          </w:r>
          <w:r w:rsidRPr="009E7223">
            <w:t xml:space="preserve"> called for more investigation into areas identified in the Gambling Harm Needs Assessment, particularly increased screening across the health and socials services sectors; and piloting new service models. The call for increased screening was reiterated in the submission from an individual.</w:t>
          </w:r>
          <w:r w:rsidRPr="009E7223">
            <w:rPr>
              <w:rStyle w:val="FootnoteReference"/>
            </w:rPr>
            <w:footnoteReference w:id="410"/>
          </w:r>
        </w:p>
        <w:p w14:paraId="1C422A8A" w14:textId="77777777" w:rsidR="0094303A" w:rsidRPr="009E7223" w:rsidRDefault="0094303A" w:rsidP="00E01BAB">
          <w:pPr>
            <w:pStyle w:val="BodyText"/>
            <w:rPr>
              <w:rStyle w:val="BodyTextChar"/>
            </w:rPr>
          </w:pPr>
          <w:r w:rsidRPr="009E7223">
            <w:rPr>
              <w:rStyle w:val="BodyTextChar"/>
            </w:rPr>
            <w:t>A Service Provider</w:t>
          </w:r>
          <w:r w:rsidRPr="009E7223">
            <w:rPr>
              <w:rStyle w:val="FootnoteReference"/>
            </w:rPr>
            <w:footnoteReference w:id="411"/>
          </w:r>
          <w:r w:rsidRPr="009E7223">
            <w:t xml:space="preserve"> </w:t>
          </w:r>
          <w:r w:rsidRPr="009E7223">
            <w:rPr>
              <w:rStyle w:val="BodyTextChar"/>
            </w:rPr>
            <w:t>called for a pilot programme to provide a service including both public health promotion and an intervention capacity (such as Gambling Harm Counsellors) located in the same building to provide a “one stop shop” to make it easier for people to get support.</w:t>
          </w:r>
        </w:p>
        <w:p w14:paraId="3166C34E" w14:textId="3D5161E0" w:rsidR="0094303A" w:rsidRPr="009E7223" w:rsidRDefault="0094303A" w:rsidP="0094303A">
          <w:pPr>
            <w:pStyle w:val="BodyText"/>
          </w:pPr>
          <w:r w:rsidRPr="009E7223">
            <w:t xml:space="preserve">A </w:t>
          </w:r>
          <w:r w:rsidR="003052F1" w:rsidRPr="009E7223">
            <w:t>Health sector</w:t>
          </w:r>
          <w:r w:rsidRPr="009E7223">
            <w:t xml:space="preserve"> submitter sought the inclusion of kaiāwhina in the gambling harm minimisation workforce, arguing that:</w:t>
          </w:r>
          <w:r w:rsidRPr="009E7223">
            <w:rPr>
              <w:rStyle w:val="FootnoteReference"/>
            </w:rPr>
            <w:footnoteReference w:id="412"/>
          </w:r>
        </w:p>
        <w:p w14:paraId="4E5F52A3" w14:textId="77777777" w:rsidR="0094303A" w:rsidRPr="009E7223" w:rsidRDefault="0094303A" w:rsidP="0094303A">
          <w:pPr>
            <w:pStyle w:val="Quote"/>
          </w:pPr>
          <w:r w:rsidRPr="009E7223">
            <w:t>As frontline workers, kaiāwhina are essential for helping consumers meet their goals … however, in many instances there is lack of inclusion of kaiāwhina as active participants in the multi-disciplinary team. … Given that kaiāwhina are often the primary touchpoint for consumers, being the first to recognise consumer’s needs, this is an omission that hinders the best outcomes and responses to tangata whaiora.</w:t>
          </w:r>
        </w:p>
        <w:p w14:paraId="39F2261C" w14:textId="77777777" w:rsidR="0094303A" w:rsidRPr="009E7223" w:rsidRDefault="0094303A" w:rsidP="0094303A">
          <w:pPr>
            <w:pStyle w:val="BodyText"/>
          </w:pPr>
          <w:r w:rsidRPr="009E7223">
            <w:t>An NCGM submitter</w:t>
          </w:r>
          <w:r w:rsidRPr="009E7223">
            <w:rPr>
              <w:rStyle w:val="FootnoteReference"/>
            </w:rPr>
            <w:footnoteReference w:id="413"/>
          </w:r>
          <w:r w:rsidRPr="009E7223">
            <w:t xml:space="preserve"> suggested that auditing should be extended to ensuring that Ministry-contracted providers use their funding solely to treat gambling harm and for gambling research.</w:t>
          </w:r>
        </w:p>
        <w:p w14:paraId="16378225" w14:textId="430D10E0" w:rsidR="0094303A" w:rsidRPr="009E7223" w:rsidRDefault="0094303A" w:rsidP="0094303A">
          <w:pPr>
            <w:pStyle w:val="BodyText"/>
          </w:pPr>
          <w:r w:rsidRPr="009E7223">
            <w:lastRenderedPageBreak/>
            <w:t>One Service Provider suggested the following intervention innovations:</w:t>
          </w:r>
          <w:r w:rsidR="00DB2BB7" w:rsidRPr="009E7223">
            <w:rPr>
              <w:rStyle w:val="FootnoteReference"/>
            </w:rPr>
            <w:footnoteReference w:id="414"/>
          </w:r>
        </w:p>
        <w:p w14:paraId="6A8889D9" w14:textId="7D3B0AFC" w:rsidR="0094303A" w:rsidRPr="009E7223" w:rsidRDefault="0094303A" w:rsidP="0094303A">
          <w:pPr>
            <w:pStyle w:val="List-BulletLvl1"/>
          </w:pPr>
          <w:r w:rsidRPr="009E7223">
            <w:t>Court diversion to residential care for gambl</w:t>
          </w:r>
          <w:r w:rsidRPr="009E7223">
            <w:rPr>
              <w:color w:val="262631"/>
            </w:rPr>
            <w:t>i</w:t>
          </w:r>
          <w:r w:rsidRPr="009E7223">
            <w:t>ng</w:t>
          </w:r>
          <w:r w:rsidRPr="009E7223">
            <w:rPr>
              <w:color w:val="262631"/>
            </w:rPr>
            <w:t>-</w:t>
          </w:r>
          <w:r w:rsidRPr="009E7223">
            <w:t>related convictions, focused on Māori and Pasifika women (fraud, debt etc)</w:t>
          </w:r>
        </w:p>
        <w:p w14:paraId="131D43D1" w14:textId="77777777" w:rsidR="0094303A" w:rsidRPr="009E7223" w:rsidRDefault="0094303A" w:rsidP="0094303A">
          <w:pPr>
            <w:pStyle w:val="List-BulletLvl1"/>
          </w:pPr>
          <w:r w:rsidRPr="009E7223">
            <w:t>Whole-of-government approach to criminal behaviour driven by gambling which would include residential rehabilitation programmes</w:t>
          </w:r>
        </w:p>
        <w:p w14:paraId="64BF77AC" w14:textId="1F51C02F" w:rsidR="0094303A" w:rsidRPr="009E7223" w:rsidRDefault="0094303A" w:rsidP="0094303A">
          <w:pPr>
            <w:pStyle w:val="List-BulletLvl1"/>
          </w:pPr>
          <w:r w:rsidRPr="009E7223">
            <w:t xml:space="preserve">Pilot a Pasifika helpline staffed by Pasifika counsellors in </w:t>
          </w:r>
          <w:r w:rsidR="00E01BAB" w:rsidRPr="009E7223">
            <w:t xml:space="preserve">first </w:t>
          </w:r>
          <w:r w:rsidRPr="009E7223">
            <w:t>language</w:t>
          </w:r>
          <w:r w:rsidR="00E01BAB" w:rsidRPr="009E7223">
            <w:t>s</w:t>
          </w:r>
          <w:r w:rsidRPr="009E7223">
            <w:t xml:space="preserve"> and include online support options</w:t>
          </w:r>
        </w:p>
        <w:p w14:paraId="205EFE04" w14:textId="77777777" w:rsidR="0094303A" w:rsidRPr="009E7223" w:rsidRDefault="0094303A" w:rsidP="0094303A">
          <w:pPr>
            <w:pStyle w:val="List-BulletLvl1"/>
          </w:pPr>
          <w:r w:rsidRPr="009E7223">
            <w:t xml:space="preserve">Fund more counselling sessions before screening to better work with whānau </w:t>
          </w:r>
        </w:p>
        <w:p w14:paraId="7743B4F1" w14:textId="77777777" w:rsidR="0094303A" w:rsidRPr="009E7223" w:rsidRDefault="0094303A" w:rsidP="0094303A">
          <w:pPr>
            <w:pStyle w:val="List-BulletLvl1"/>
          </w:pPr>
          <w:r w:rsidRPr="009E7223">
            <w:t>Reinstate minimum number of sessions for Casino exclusions</w:t>
          </w:r>
        </w:p>
        <w:p w14:paraId="7B818B6A" w14:textId="77777777" w:rsidR="0094303A" w:rsidRPr="009E7223" w:rsidRDefault="0094303A" w:rsidP="0094303A">
          <w:pPr>
            <w:pStyle w:val="List-BulletLvl1"/>
          </w:pPr>
          <w:r w:rsidRPr="009E7223">
            <w:t>Development of a help website for Asians, and online e</w:t>
          </w:r>
          <w:r w:rsidRPr="009E7223">
            <w:rPr>
              <w:color w:val="262631"/>
            </w:rPr>
            <w:t>-</w:t>
          </w:r>
          <w:r w:rsidRPr="009E7223">
            <w:t>therapy</w:t>
          </w:r>
        </w:p>
        <w:p w14:paraId="33CE6A1A" w14:textId="34B85826" w:rsidR="0094303A" w:rsidRPr="009E7223" w:rsidRDefault="0094303A" w:rsidP="0094303A">
          <w:pPr>
            <w:pStyle w:val="List-BulletLvl1"/>
          </w:pPr>
          <w:r w:rsidRPr="009E7223">
            <w:t>Develop generic e</w:t>
          </w:r>
          <w:r w:rsidRPr="009E7223">
            <w:rPr>
              <w:color w:val="262631"/>
            </w:rPr>
            <w:t>-</w:t>
          </w:r>
          <w:r w:rsidRPr="009E7223">
            <w:t>therapy</w:t>
          </w:r>
          <w:r w:rsidR="00DC4935" w:rsidRPr="009E7223">
            <w:t>, and</w:t>
          </w:r>
        </w:p>
        <w:p w14:paraId="10C94662" w14:textId="77777777" w:rsidR="0094303A" w:rsidRPr="009E7223" w:rsidRDefault="0094303A" w:rsidP="0094303A">
          <w:pPr>
            <w:pStyle w:val="List-BulletLvl1"/>
          </w:pPr>
          <w:r w:rsidRPr="009E7223">
            <w:t>Address service gaps:</w:t>
          </w:r>
        </w:p>
        <w:p w14:paraId="149DD666" w14:textId="77777777" w:rsidR="0094303A" w:rsidRPr="009E7223" w:rsidRDefault="0094303A" w:rsidP="0094303A">
          <w:pPr>
            <w:pStyle w:val="List-BulletLvl2"/>
          </w:pPr>
          <w:r w:rsidRPr="009E7223">
            <w:t>Asian Helpline to operate 24/7</w:t>
          </w:r>
        </w:p>
        <w:p w14:paraId="0636D4C2" w14:textId="77777777" w:rsidR="0094303A" w:rsidRPr="009E7223" w:rsidRDefault="0094303A" w:rsidP="0094303A">
          <w:pPr>
            <w:pStyle w:val="List-BulletLvl2"/>
          </w:pPr>
          <w:r w:rsidRPr="009E7223">
            <w:t>Peer support pilot</w:t>
          </w:r>
        </w:p>
        <w:p w14:paraId="008CD7D1" w14:textId="77777777" w:rsidR="0094303A" w:rsidRPr="009E7223" w:rsidRDefault="0094303A" w:rsidP="0094303A">
          <w:pPr>
            <w:pStyle w:val="List-BulletLvl2"/>
          </w:pPr>
          <w:r w:rsidRPr="009E7223">
            <w:t>Increased allocation for social media in more languages, and</w:t>
          </w:r>
        </w:p>
        <w:p w14:paraId="36402F63" w14:textId="77777777" w:rsidR="0094303A" w:rsidRPr="009E7223" w:rsidRDefault="0094303A" w:rsidP="0094303A">
          <w:pPr>
            <w:pStyle w:val="List-BulletLvl2"/>
          </w:pPr>
          <w:r w:rsidRPr="009E7223">
            <w:t>Online and technological solutions for reaching the hard to reach populations.</w:t>
          </w:r>
        </w:p>
        <w:p w14:paraId="5766C73A" w14:textId="765EE2C5" w:rsidR="0094303A" w:rsidRPr="009E7223" w:rsidRDefault="0094303A" w:rsidP="0094303A">
          <w:pPr>
            <w:pStyle w:val="BodyText"/>
          </w:pPr>
          <w:r w:rsidRPr="009E7223">
            <w:t>A Service Provider suggested a large, multi-media de-stigmatisation campaign, designed for Asian and migrant communities. Th</w:t>
          </w:r>
          <w:r w:rsidR="00E01BAB" w:rsidRPr="009E7223">
            <w:t>e campaign</w:t>
          </w:r>
          <w:r w:rsidRPr="009E7223">
            <w:t xml:space="preserve"> would need to use first languages so that there is meaningful communication with the intended audiences:</w:t>
          </w:r>
          <w:r w:rsidRPr="009E7223">
            <w:rPr>
              <w:rStyle w:val="FootnoteReference"/>
            </w:rPr>
            <w:footnoteReference w:id="415"/>
          </w:r>
        </w:p>
        <w:p w14:paraId="1CF5CE58" w14:textId="77777777" w:rsidR="0094303A" w:rsidRPr="009E7223" w:rsidRDefault="0094303A" w:rsidP="0094303A">
          <w:pPr>
            <w:pStyle w:val="Quote"/>
          </w:pPr>
          <w:r w:rsidRPr="009E7223">
            <w:t>Not only can shame and stigma affect social and community connectedness, but they can severely impede help-seeking, early detection, and future treatment.</w:t>
          </w:r>
        </w:p>
        <w:p w14:paraId="1CF9CA61" w14:textId="77777777" w:rsidR="0094303A" w:rsidRPr="009E7223" w:rsidRDefault="0094303A" w:rsidP="0094303A">
          <w:pPr>
            <w:pStyle w:val="BodyText"/>
          </w:pPr>
          <w:r w:rsidRPr="009E7223">
            <w:t>A Service Provider</w:t>
          </w:r>
          <w:r w:rsidRPr="009E7223">
            <w:rPr>
              <w:rStyle w:val="FootnoteReference"/>
            </w:rPr>
            <w:footnoteReference w:id="416"/>
          </w:r>
          <w:r w:rsidRPr="009E7223">
            <w:t xml:space="preserve"> sought a larger funding allocation for consumer networks. Another Service Provider</w:t>
          </w:r>
          <w:r w:rsidRPr="009E7223">
            <w:rPr>
              <w:rStyle w:val="FootnoteReference"/>
            </w:rPr>
            <w:footnoteReference w:id="417"/>
          </w:r>
          <w:r w:rsidRPr="009E7223">
            <w:t xml:space="preserve"> suggested intervention funding should also include kaumatua, champions, peer support workers; an afterhours call centre in South Auckland; and incentives for organisation to take on student placements.</w:t>
          </w:r>
        </w:p>
        <w:p w14:paraId="35D5BEDC" w14:textId="1E469FF8" w:rsidR="0094303A" w:rsidRPr="009E7223" w:rsidRDefault="002E31A0" w:rsidP="0094303A">
          <w:pPr>
            <w:pStyle w:val="NumberedHeading3"/>
          </w:pPr>
          <w:bookmarkStart w:id="81" w:name="_Toc531098179"/>
          <w:r w:rsidRPr="009E7223">
            <w:t xml:space="preserve">NCGM sector </w:t>
          </w:r>
          <w:r w:rsidR="00E62D03" w:rsidRPr="009E7223">
            <w:t xml:space="preserve">submitters </w:t>
          </w:r>
          <w:r w:rsidRPr="009E7223">
            <w:t>withh</w:t>
          </w:r>
          <w:r w:rsidR="00E62D03" w:rsidRPr="009E7223">
            <w:t>e</w:t>
          </w:r>
          <w:r w:rsidRPr="009E7223">
            <w:t>ld</w:t>
          </w:r>
          <w:r w:rsidR="00E62D03" w:rsidRPr="009E7223">
            <w:t xml:space="preserve"> </w:t>
          </w:r>
          <w:r w:rsidRPr="009E7223">
            <w:t xml:space="preserve">support </w:t>
          </w:r>
          <w:r w:rsidR="009528CB" w:rsidRPr="009E7223">
            <w:t xml:space="preserve">for </w:t>
          </w:r>
          <w:r w:rsidR="006F2B3D" w:rsidRPr="009E7223">
            <w:t xml:space="preserve">a range of </w:t>
          </w:r>
          <w:r w:rsidR="00E62D03" w:rsidRPr="009E7223">
            <w:t>i</w:t>
          </w:r>
          <w:r w:rsidR="0094303A" w:rsidRPr="009E7223">
            <w:t>ntervention activities</w:t>
          </w:r>
          <w:bookmarkEnd w:id="81"/>
        </w:p>
        <w:p w14:paraId="6407CCAB" w14:textId="77777777" w:rsidR="0094303A" w:rsidRPr="009E7223" w:rsidRDefault="0094303A" w:rsidP="0094303A">
          <w:pPr>
            <w:pStyle w:val="BodyText"/>
          </w:pPr>
          <w:r w:rsidRPr="009E7223">
            <w:t>A range of intervention activities were not supported by submitters from the NCGM sector.</w:t>
          </w:r>
        </w:p>
        <w:p w14:paraId="021CD322" w14:textId="644A4ABC" w:rsidR="003A6A32" w:rsidRPr="009E7223" w:rsidRDefault="002136C4" w:rsidP="0094303A">
          <w:pPr>
            <w:pStyle w:val="BodyText"/>
            <w:rPr>
              <w:rStyle w:val="FootnoteReference"/>
            </w:rPr>
          </w:pPr>
          <w:r w:rsidRPr="009E7223">
            <w:t>Ten NCGM sector submitters</w:t>
          </w:r>
          <w:r w:rsidRPr="009E7223">
            <w:rPr>
              <w:rStyle w:val="FootnoteReference"/>
            </w:rPr>
            <w:footnoteReference w:id="418"/>
          </w:r>
          <w:r w:rsidRPr="009E7223">
            <w:t xml:space="preserve"> requested that t</w:t>
          </w:r>
          <w:r w:rsidR="0094303A" w:rsidRPr="009E7223">
            <w:t xml:space="preserve">he Ministry investigate and stop </w:t>
          </w:r>
          <w:r w:rsidR="007A35AB" w:rsidRPr="009E7223">
            <w:t xml:space="preserve">the </w:t>
          </w:r>
          <w:r w:rsidR="0094303A" w:rsidRPr="009E7223">
            <w:t xml:space="preserve">funding </w:t>
          </w:r>
          <w:r w:rsidR="007A35AB" w:rsidRPr="009E7223">
            <w:t xml:space="preserve">of </w:t>
          </w:r>
          <w:r w:rsidR="0094303A" w:rsidRPr="009E7223">
            <w:t xml:space="preserve">services that participate in </w:t>
          </w:r>
          <w:r w:rsidR="007A35AB" w:rsidRPr="009E7223">
            <w:t xml:space="preserve">advocacy activities that </w:t>
          </w:r>
          <w:r w:rsidR="0094303A" w:rsidRPr="009E7223">
            <w:t>were considered inappropriate</w:t>
          </w:r>
          <w:r w:rsidR="007A35AB" w:rsidRPr="009E7223">
            <w:t>:</w:t>
          </w:r>
          <w:r w:rsidR="0094303A" w:rsidRPr="009E7223">
            <w:t xml:space="preserve"> against the principles of harm minimisation</w:t>
          </w:r>
          <w:r w:rsidRPr="009E7223">
            <w:t xml:space="preserve">. </w:t>
          </w:r>
          <w:r w:rsidR="007A35AB" w:rsidRPr="009E7223">
            <w:t>The s</w:t>
          </w:r>
          <w:r w:rsidRPr="009E7223">
            <w:t xml:space="preserve">ubmitters gave examples </w:t>
          </w:r>
          <w:r w:rsidR="0094303A" w:rsidRPr="009E7223">
            <w:t>such as objecting to liquor licencing applications; advocating against the proposal to incentiv</w:t>
          </w:r>
          <w:r w:rsidR="00DE0E28">
            <w:t>is</w:t>
          </w:r>
          <w:r w:rsidR="0094303A" w:rsidRPr="009E7223">
            <w:t>e NCGM venues to relocate from lower socioeconomic areas to higher socioeconomic areas; and stigmatising gambling.</w:t>
          </w:r>
          <w:r w:rsidR="0094303A" w:rsidRPr="009E7223">
            <w:rPr>
              <w:rStyle w:val="FootnoteReference"/>
            </w:rPr>
            <w:t xml:space="preserve"> </w:t>
          </w:r>
        </w:p>
        <w:p w14:paraId="1A43B8A8" w14:textId="53B1AB31" w:rsidR="0094303A" w:rsidRPr="009E7223" w:rsidRDefault="0094303A" w:rsidP="0094303A">
          <w:pPr>
            <w:pStyle w:val="BodyText"/>
          </w:pPr>
          <w:r w:rsidRPr="009E7223">
            <w:t xml:space="preserve">One Service Provider </w:t>
          </w:r>
          <w:r w:rsidR="00D244EB">
            <w:t>commented</w:t>
          </w:r>
          <w:r w:rsidRPr="009E7223">
            <w:t>:</w:t>
          </w:r>
          <w:r w:rsidRPr="009E7223">
            <w:rPr>
              <w:rStyle w:val="FootnoteReference"/>
            </w:rPr>
            <w:footnoteReference w:id="419"/>
          </w:r>
        </w:p>
        <w:p w14:paraId="330FB42A" w14:textId="77777777" w:rsidR="0094303A" w:rsidRPr="009E7223" w:rsidRDefault="0094303A" w:rsidP="0094303A">
          <w:pPr>
            <w:pStyle w:val="Quote"/>
          </w:pPr>
          <w:r w:rsidRPr="009E7223">
            <w:lastRenderedPageBreak/>
            <w:t>Please investigate the misuse of the Ministry’s funding and confirm that the Ministry has directed its contracted providers to no longer object to liquor licences on the grounds of low alcohol sales.</w:t>
          </w:r>
        </w:p>
        <w:p w14:paraId="7C7F6C65" w14:textId="0E54D97C" w:rsidR="0094303A" w:rsidRPr="009E7223" w:rsidRDefault="0094303A" w:rsidP="0094303A">
          <w:pPr>
            <w:pStyle w:val="BodyText"/>
          </w:pPr>
          <w:r w:rsidRPr="009E7223">
            <w:t xml:space="preserve">It was argued </w:t>
          </w:r>
          <w:r w:rsidR="007A35AB" w:rsidRPr="009E7223">
            <w:t>by NCGM sector submitters</w:t>
          </w:r>
          <w:r w:rsidR="007A35AB" w:rsidRPr="009E7223">
            <w:rPr>
              <w:rStyle w:val="FootnoteReference"/>
            </w:rPr>
            <w:footnoteReference w:id="420"/>
          </w:r>
          <w:r w:rsidR="007A35AB" w:rsidRPr="009E7223">
            <w:t xml:space="preserve"> and Health sector submitter</w:t>
          </w:r>
          <w:r w:rsidR="007A35AB" w:rsidRPr="009E7223">
            <w:rPr>
              <w:rStyle w:val="FootnoteReference"/>
            </w:rPr>
            <w:footnoteReference w:id="421"/>
          </w:r>
          <w:r w:rsidR="007A35AB" w:rsidRPr="009E7223">
            <w:t xml:space="preserve"> </w:t>
          </w:r>
          <w:r w:rsidRPr="009E7223">
            <w:t xml:space="preserve">that the development of additional face-to-face counselling services in small or rural areas was unnecessary, with </w:t>
          </w:r>
          <w:r w:rsidR="003A6A32" w:rsidRPr="009E7223">
            <w:t xml:space="preserve">six submitters calling </w:t>
          </w:r>
          <w:r w:rsidRPr="009E7223">
            <w:t xml:space="preserve"> for the Ministry </w:t>
          </w:r>
          <w:r w:rsidR="009528CB" w:rsidRPr="009E7223">
            <w:t xml:space="preserve">to </w:t>
          </w:r>
          <w:r w:rsidRPr="009E7223">
            <w:t>close facilities that do not treat at least one person per week.</w:t>
          </w:r>
        </w:p>
        <w:p w14:paraId="3F6E6749" w14:textId="112203DD" w:rsidR="0094303A" w:rsidRPr="009E7223" w:rsidRDefault="0094303A" w:rsidP="0094303A">
          <w:pPr>
            <w:pStyle w:val="BodyText"/>
          </w:pPr>
          <w:r w:rsidRPr="009E7223">
            <w:t>The need for a residential facility was not supported</w:t>
          </w:r>
          <w:r w:rsidR="007A35AB" w:rsidRPr="009E7223">
            <w:t xml:space="preserve"> by five NCMG sector submitters</w:t>
          </w:r>
          <w:r w:rsidR="007A35AB" w:rsidRPr="009E7223">
            <w:rPr>
              <w:rStyle w:val="FootnoteReference"/>
            </w:rPr>
            <w:footnoteReference w:id="422"/>
          </w:r>
          <w:r w:rsidRPr="009E7223">
            <w:t xml:space="preserve">, </w:t>
          </w:r>
          <w:r w:rsidR="007A35AB" w:rsidRPr="009E7223">
            <w:t>with</w:t>
          </w:r>
          <w:r w:rsidRPr="009E7223">
            <w:t xml:space="preserve"> concerns were expressed about the cost and potential returns. There was also a wariness</w:t>
          </w:r>
          <w:r w:rsidR="007A35AB" w:rsidRPr="009E7223">
            <w:t xml:space="preserve"> expressed by these submitters</w:t>
          </w:r>
          <w:r w:rsidRPr="009E7223">
            <w:t xml:space="preserve"> that such a facility might also be used by people with serious comorbidities such as alcohol and drug addictions, which was considered inappropriate</w:t>
          </w:r>
          <w:r w:rsidR="007A35AB" w:rsidRPr="009E7223">
            <w:t>.</w:t>
          </w:r>
        </w:p>
        <w:p w14:paraId="2438534D" w14:textId="69402971" w:rsidR="0094303A" w:rsidRPr="009E7223" w:rsidRDefault="0094303A" w:rsidP="0094303A">
          <w:pPr>
            <w:pStyle w:val="BodyText"/>
          </w:pPr>
          <w:r w:rsidRPr="009E7223">
            <w:t xml:space="preserve">The Ministry was requested </w:t>
          </w:r>
          <w:r w:rsidR="007A35AB" w:rsidRPr="009E7223">
            <w:t>by three NCGM sector submitters</w:t>
          </w:r>
          <w:r w:rsidR="007A35AB" w:rsidRPr="009E7223">
            <w:rPr>
              <w:rStyle w:val="FootnoteReference"/>
            </w:rPr>
            <w:footnoteReference w:id="423"/>
          </w:r>
          <w:r w:rsidR="007A35AB" w:rsidRPr="009E7223">
            <w:t xml:space="preserve"> </w:t>
          </w:r>
          <w:r w:rsidRPr="009E7223">
            <w:t>to stop funding of a grants database. It was argued that this is outside the health jurisdiction</w:t>
          </w:r>
          <w:r w:rsidR="009528CB" w:rsidRPr="009E7223">
            <w:t xml:space="preserve">. </w:t>
          </w:r>
          <w:r w:rsidRPr="009E7223">
            <w:t>The</w:t>
          </w:r>
          <w:r w:rsidR="007A35AB" w:rsidRPr="009E7223">
            <w:t xml:space="preserve"> same three submitters also requested the</w:t>
          </w:r>
          <w:r w:rsidRPr="009E7223">
            <w:t xml:space="preserve"> Ministry to reduce funding to treatment providers, due to the decreased demand for their services</w:t>
          </w:r>
          <w:r w:rsidR="009528CB" w:rsidRPr="009E7223">
            <w:t>.</w:t>
          </w:r>
          <w:r w:rsidRPr="009E7223">
            <w:rPr>
              <w:rStyle w:val="FootnoteReference"/>
            </w:rPr>
            <w:footnoteReference w:id="424"/>
          </w:r>
          <w:r w:rsidR="007A35AB" w:rsidRPr="009E7223">
            <w:t xml:space="preserve"> </w:t>
          </w:r>
        </w:p>
        <w:p w14:paraId="02687430" w14:textId="14B7B2E7" w:rsidR="0094303A" w:rsidRPr="009E7223" w:rsidRDefault="007A35AB" w:rsidP="0094303A">
          <w:pPr>
            <w:pStyle w:val="BodyText"/>
          </w:pPr>
          <w:r w:rsidRPr="009E7223">
            <w:t>One NCGM sector submitter</w:t>
          </w:r>
          <w:r w:rsidRPr="009E7223">
            <w:rPr>
              <w:rStyle w:val="FootnoteReference"/>
            </w:rPr>
            <w:footnoteReference w:id="425"/>
          </w:r>
          <w:r w:rsidRPr="009E7223">
            <w:t xml:space="preserve"> did not support t</w:t>
          </w:r>
          <w:r w:rsidR="0094303A" w:rsidRPr="009E7223">
            <w:t>he proposed consumer network</w:t>
          </w:r>
          <w:r w:rsidRPr="009E7223">
            <w:t xml:space="preserve">, expressing </w:t>
          </w:r>
          <w:r w:rsidR="0094303A" w:rsidRPr="009E7223">
            <w:t>concerns that such a network would develop into an anti-gambling advocacy group.</w:t>
          </w:r>
          <w:r w:rsidR="0094303A" w:rsidRPr="009E7223">
            <w:rPr>
              <w:rStyle w:val="FootnoteReference"/>
            </w:rPr>
            <w:t xml:space="preserve"> </w:t>
          </w:r>
          <w:r w:rsidR="0094303A" w:rsidRPr="009E7223">
            <w:t>The proposed consumer network was also not supported by a submitter</w:t>
          </w:r>
          <w:r w:rsidRPr="009E7223">
            <w:t xml:space="preserve"> </w:t>
          </w:r>
          <w:r w:rsidR="0094303A" w:rsidRPr="009E7223">
            <w:t>from Gambling Industry (other)</w:t>
          </w:r>
          <w:r w:rsidR="00E01BAB" w:rsidRPr="009E7223">
            <w:t>.</w:t>
          </w:r>
          <w:r w:rsidRPr="009E7223">
            <w:rPr>
              <w:rStyle w:val="FootnoteReference"/>
            </w:rPr>
            <w:footnoteReference w:id="426"/>
          </w:r>
          <w:r w:rsidRPr="009E7223">
            <w:t xml:space="preserve"> </w:t>
          </w:r>
          <w:r w:rsidR="0094303A" w:rsidRPr="009E7223">
            <w:t xml:space="preserve">The Ministry was requested </w:t>
          </w:r>
          <w:r w:rsidRPr="009E7223">
            <w:t xml:space="preserve">by this same Gambling Industry (other) submitter </w:t>
          </w:r>
          <w:r w:rsidR="0094303A" w:rsidRPr="009E7223">
            <w:t>to insist that service providers deliver evidence-based treatment and advocacy, and that they must be aligned with Ministry advice and key messages.</w:t>
          </w:r>
          <w:r w:rsidR="0094303A" w:rsidRPr="009E7223">
            <w:rPr>
              <w:rStyle w:val="FootnoteReference"/>
            </w:rPr>
            <w:t xml:space="preserve"> </w:t>
          </w:r>
          <w:r w:rsidR="0094303A" w:rsidRPr="009E7223">
            <w:rPr>
              <w:rStyle w:val="FootnoteReference"/>
            </w:rPr>
            <w:footnoteReference w:id="427"/>
          </w:r>
        </w:p>
        <w:p w14:paraId="7C3E17E5" w14:textId="1794C208" w:rsidR="0094303A" w:rsidRPr="009E7223" w:rsidRDefault="0094303A" w:rsidP="0094303A">
          <w:pPr>
            <w:pStyle w:val="BodyText"/>
          </w:pPr>
          <w:r w:rsidRPr="009E7223">
            <w:t>A Service Provider</w:t>
          </w:r>
          <w:r w:rsidRPr="009E7223">
            <w:rPr>
              <w:rStyle w:val="FootnoteReference"/>
            </w:rPr>
            <w:footnoteReference w:id="428"/>
          </w:r>
          <w:r w:rsidRPr="009E7223">
            <w:t xml:space="preserve"> asserted that intervention services need to be based on population needs rather than mainstream organisations providing all the services, </w:t>
          </w:r>
          <w:r w:rsidR="00D244EB">
            <w:t xml:space="preserve">so that </w:t>
          </w:r>
          <w:r w:rsidRPr="009E7223">
            <w:t>people receive culturally</w:t>
          </w:r>
          <w:r w:rsidR="005474C2" w:rsidRPr="009E7223">
            <w:t>-</w:t>
          </w:r>
          <w:r w:rsidRPr="009E7223">
            <w:t>specific services.</w:t>
          </w:r>
        </w:p>
        <w:p w14:paraId="59E4FAB9" w14:textId="5EA7BD21" w:rsidR="000A1458" w:rsidRPr="009E7223" w:rsidRDefault="00E62D03" w:rsidP="000A1458">
          <w:pPr>
            <w:pStyle w:val="NumberedHeading2"/>
          </w:pPr>
          <w:bookmarkStart w:id="82" w:name="_Toc531098180"/>
          <w:r w:rsidRPr="009E7223">
            <w:t xml:space="preserve">The degree of support for Research and Evaluation draft </w:t>
          </w:r>
          <w:r w:rsidR="006F2B3D" w:rsidRPr="009E7223">
            <w:t>priorities</w:t>
          </w:r>
          <w:bookmarkEnd w:id="82"/>
        </w:p>
        <w:p w14:paraId="7527B0D0" w14:textId="282741E8" w:rsidR="0094303A" w:rsidRPr="009E7223" w:rsidRDefault="00AD2D3A" w:rsidP="0094303A">
          <w:pPr>
            <w:pStyle w:val="NumberedHeading3"/>
          </w:pPr>
          <w:bookmarkStart w:id="83" w:name="_Toc531098181"/>
          <w:r>
            <w:t>A</w:t>
          </w:r>
          <w:r w:rsidR="00E62D03" w:rsidRPr="009E7223">
            <w:t xml:space="preserve"> range of r</w:t>
          </w:r>
          <w:r w:rsidR="0094303A" w:rsidRPr="009E7223">
            <w:t>esearch and evaluation activities</w:t>
          </w:r>
          <w:r>
            <w:t xml:space="preserve"> were supported by most sectors</w:t>
          </w:r>
          <w:bookmarkEnd w:id="83"/>
        </w:p>
        <w:p w14:paraId="0EB71FD0" w14:textId="1807CB91" w:rsidR="0094303A" w:rsidRPr="009E7223" w:rsidRDefault="0094303A" w:rsidP="0094303A">
          <w:pPr>
            <w:pStyle w:val="BodyText"/>
          </w:pPr>
          <w:r w:rsidRPr="009E7223">
            <w:t xml:space="preserve">A </w:t>
          </w:r>
          <w:r w:rsidR="003052F1" w:rsidRPr="009E7223">
            <w:t>Health sector</w:t>
          </w:r>
          <w:r w:rsidRPr="009E7223">
            <w:t xml:space="preserve"> submitter</w:t>
          </w:r>
          <w:r w:rsidRPr="009E7223">
            <w:rPr>
              <w:rStyle w:val="FootnoteReference"/>
            </w:rPr>
            <w:footnoteReference w:id="429"/>
          </w:r>
          <w:r w:rsidRPr="009E7223">
            <w:t xml:space="preserve"> called for more investigation into areas identified in the Gambling Harm Needs Assessment. In particular:</w:t>
          </w:r>
        </w:p>
        <w:p w14:paraId="224C38F8" w14:textId="5325B18F" w:rsidR="0094303A" w:rsidRPr="009E7223" w:rsidRDefault="00DC4935" w:rsidP="0094303A">
          <w:pPr>
            <w:pStyle w:val="List-BulletLvl1"/>
          </w:pPr>
          <w:r w:rsidRPr="009E7223">
            <w:t>A</w:t>
          </w:r>
          <w:r w:rsidR="0094303A" w:rsidRPr="009E7223">
            <w:t>n evaluation of existing service provision, to identify measurable outcomes</w:t>
          </w:r>
        </w:p>
        <w:p w14:paraId="613243BB" w14:textId="3853FC38" w:rsidR="0094303A" w:rsidRPr="009E7223" w:rsidRDefault="00DC4935" w:rsidP="0094303A">
          <w:pPr>
            <w:pStyle w:val="List-BulletLvl1"/>
          </w:pPr>
          <w:r w:rsidRPr="009E7223">
            <w:t>A</w:t>
          </w:r>
          <w:r w:rsidR="0094303A" w:rsidRPr="009E7223">
            <w:t>n exploration of ongoing support and relapse within provider client populations, with an emphasis on the treatment of comorbidities, and</w:t>
          </w:r>
        </w:p>
        <w:p w14:paraId="605D3B44" w14:textId="57BA21B8" w:rsidR="0094303A" w:rsidRPr="009E7223" w:rsidRDefault="00DC4935" w:rsidP="0094303A">
          <w:pPr>
            <w:pStyle w:val="List-BulletLvl1"/>
          </w:pPr>
          <w:r w:rsidRPr="009E7223">
            <w:t>A</w:t>
          </w:r>
          <w:r w:rsidR="0094303A" w:rsidRPr="009E7223">
            <w:t xml:space="preserve"> review of learnings from regional models and working in a co-design approach with providers, venues and consumers.</w:t>
          </w:r>
        </w:p>
        <w:p w14:paraId="26ED0A5C" w14:textId="758F4C0D" w:rsidR="0094303A" w:rsidRPr="009E7223" w:rsidRDefault="00DB2BB7" w:rsidP="0094303A">
          <w:pPr>
            <w:pStyle w:val="BodyText"/>
          </w:pPr>
          <w:r w:rsidRPr="009E7223">
            <w:lastRenderedPageBreak/>
            <w:t xml:space="preserve">Three </w:t>
          </w:r>
          <w:r w:rsidR="0094303A" w:rsidRPr="009E7223">
            <w:t>Gambling Industry (other) submitters</w:t>
          </w:r>
          <w:r w:rsidR="0094303A" w:rsidRPr="009E7223">
            <w:rPr>
              <w:rStyle w:val="FootnoteReference"/>
            </w:rPr>
            <w:footnoteReference w:id="430"/>
          </w:r>
          <w:r w:rsidR="0094303A" w:rsidRPr="009E7223">
            <w:t xml:space="preserve"> reinforced the need for timely research and robust data to support decision making; and the need to ensure that intended research outputs provide practical solutions.</w:t>
          </w:r>
          <w:r w:rsidR="00E01BAB" w:rsidRPr="009E7223">
            <w:t xml:space="preserve"> One of these submitters</w:t>
          </w:r>
          <w:r w:rsidR="0094303A" w:rsidRPr="009E7223">
            <w:rPr>
              <w:rStyle w:val="FootnoteReference"/>
            </w:rPr>
            <w:footnoteReference w:id="431"/>
          </w:r>
          <w:r w:rsidR="0094303A" w:rsidRPr="009E7223">
            <w:t xml:space="preserve"> suggested including predictive modelling research, to potentially assist with early identification of people moving toward problem gambling</w:t>
          </w:r>
          <w:r w:rsidR="00E01BAB" w:rsidRPr="009E7223">
            <w:t xml:space="preserve">; and </w:t>
          </w:r>
          <w:r w:rsidR="0094303A" w:rsidRPr="009E7223">
            <w:t>called for more research into relapse prevention, and the convergence of gambling and gaming.</w:t>
          </w:r>
          <w:r w:rsidR="00E01BAB" w:rsidRPr="009E7223">
            <w:t xml:space="preserve"> Another </w:t>
          </w:r>
          <w:r w:rsidR="0094303A" w:rsidRPr="009E7223">
            <w:t>Gambling Industry (other) submitter</w:t>
          </w:r>
          <w:r w:rsidR="0094303A" w:rsidRPr="009E7223">
            <w:rPr>
              <w:rStyle w:val="FootnoteReference"/>
            </w:rPr>
            <w:footnoteReference w:id="432"/>
          </w:r>
          <w:r w:rsidR="0094303A" w:rsidRPr="009E7223">
            <w:t xml:space="preserve"> suggested an emphasis on online gambling.</w:t>
          </w:r>
        </w:p>
        <w:p w14:paraId="6EB32A95" w14:textId="738404D8" w:rsidR="0094303A" w:rsidRPr="009E7223" w:rsidRDefault="0094303A" w:rsidP="0094303A">
          <w:pPr>
            <w:pStyle w:val="BodyText"/>
          </w:pPr>
          <w:r w:rsidRPr="009E7223">
            <w:t>A Local Government submitter</w:t>
          </w:r>
          <w:r w:rsidRPr="009E7223">
            <w:rPr>
              <w:rStyle w:val="FootnoteReference"/>
            </w:rPr>
            <w:footnoteReference w:id="433"/>
          </w:r>
          <w:r w:rsidRPr="009E7223">
            <w:t xml:space="preserve"> suggested that local bodies be directly funded to conduct their own evaluations of the impacts of their policies and to inform policy development.</w:t>
          </w:r>
        </w:p>
        <w:p w14:paraId="59D53D63" w14:textId="77777777" w:rsidR="00E62D03" w:rsidRPr="009E7223" w:rsidRDefault="00E62D03" w:rsidP="00E62D03">
          <w:pPr>
            <w:pStyle w:val="BodyText"/>
          </w:pPr>
          <w:r w:rsidRPr="009E7223">
            <w:t>An individual submitter</w:t>
          </w:r>
          <w:r w:rsidRPr="009E7223">
            <w:rPr>
              <w:rStyle w:val="FootnoteReference"/>
            </w:rPr>
            <w:footnoteReference w:id="434"/>
          </w:r>
          <w:r w:rsidRPr="009E7223">
            <w:t xml:space="preserve"> suggested that the Service Plan include flexibility to enable funding of promising innovations and projects that sit outside of the Plan.</w:t>
          </w:r>
        </w:p>
        <w:p w14:paraId="6A759B0D" w14:textId="24EC5C7F" w:rsidR="0094303A" w:rsidRPr="009E7223" w:rsidRDefault="00E62D03" w:rsidP="00AD2D3A">
          <w:pPr>
            <w:pStyle w:val="Heading4"/>
          </w:pPr>
          <w:r w:rsidRPr="009E7223">
            <w:t>NCGM sector submitters withheld support for r</w:t>
          </w:r>
          <w:r w:rsidR="0094303A" w:rsidRPr="009E7223">
            <w:t>esearch and evaluation activiti</w:t>
          </w:r>
          <w:r w:rsidRPr="009E7223">
            <w:t>es</w:t>
          </w:r>
        </w:p>
        <w:p w14:paraId="3CCA248E" w14:textId="33C02ECD" w:rsidR="0094303A" w:rsidRPr="009E7223" w:rsidRDefault="0094303A" w:rsidP="0094303A">
          <w:pPr>
            <w:pStyle w:val="BodyText"/>
          </w:pPr>
          <w:r w:rsidRPr="009E7223">
            <w:t xml:space="preserve">Concern was expressed by </w:t>
          </w:r>
          <w:r w:rsidR="00DB2BB7" w:rsidRPr="009E7223">
            <w:t xml:space="preserve">nine </w:t>
          </w:r>
          <w:r w:rsidRPr="009E7223">
            <w:t>NCGM submitters</w:t>
          </w:r>
          <w:r w:rsidR="00111E7A" w:rsidRPr="009E7223">
            <w:t>,</w:t>
          </w:r>
          <w:r w:rsidR="007A35AB" w:rsidRPr="009E7223">
            <w:rPr>
              <w:rStyle w:val="FootnoteReference"/>
            </w:rPr>
            <w:footnoteReference w:id="435"/>
          </w:r>
          <w:r w:rsidRPr="009E7223">
            <w:t xml:space="preserve"> a</w:t>
          </w:r>
          <w:r w:rsidR="00111E7A" w:rsidRPr="009E7223">
            <w:t xml:space="preserve"> Gambling Industry (other) submitter,</w:t>
          </w:r>
          <w:r w:rsidR="00111E7A" w:rsidRPr="009E7223">
            <w:rPr>
              <w:rStyle w:val="FootnoteReference"/>
            </w:rPr>
            <w:footnoteReference w:id="436"/>
          </w:r>
          <w:r w:rsidR="00111E7A" w:rsidRPr="009E7223">
            <w:t xml:space="preserve"> a</w:t>
          </w:r>
          <w:r w:rsidRPr="009E7223">
            <w:t>nd one individual submitter</w:t>
          </w:r>
          <w:r w:rsidRPr="009E7223">
            <w:rPr>
              <w:rStyle w:val="FootnoteReference"/>
            </w:rPr>
            <w:footnoteReference w:id="437"/>
          </w:r>
          <w:r w:rsidRPr="009E7223">
            <w:t xml:space="preserve"> that many of the proposed research projects did not appear to offer new or innovative outputs that would advance the work of minimising gambling harm. </w:t>
          </w:r>
          <w:r w:rsidR="00DB2BB7" w:rsidRPr="009E7223">
            <w:t xml:space="preserve">Four </w:t>
          </w:r>
          <w:r w:rsidRPr="009E7223">
            <w:t>of these submitters</w:t>
          </w:r>
          <w:r w:rsidRPr="009E7223">
            <w:rPr>
              <w:rStyle w:val="FootnoteReference"/>
            </w:rPr>
            <w:footnoteReference w:id="438"/>
          </w:r>
          <w:r w:rsidRPr="009E7223">
            <w:t xml:space="preserve"> specifically disagreed with the need for secondary analysis of the National Gambling Study and the proposed meta-analysis of Health and Lifestyles survey data:</w:t>
          </w:r>
          <w:r w:rsidRPr="009E7223">
            <w:rPr>
              <w:rStyle w:val="FootnoteReference"/>
            </w:rPr>
            <w:footnoteReference w:id="439"/>
          </w:r>
        </w:p>
        <w:p w14:paraId="31E92577" w14:textId="2751FB63" w:rsidR="0094303A" w:rsidRPr="009E7223" w:rsidRDefault="0094303A" w:rsidP="0094303A">
          <w:pPr>
            <w:pStyle w:val="Quote"/>
          </w:pPr>
          <w:r w:rsidRPr="009E7223">
            <w:t>The proposed research projects do not inspire confidence and do not validate a need for increased f</w:t>
          </w:r>
          <w:r w:rsidR="003D24C5">
            <w:t>u</w:t>
          </w:r>
          <w:r w:rsidRPr="009E7223">
            <w:t>nding.</w:t>
          </w:r>
        </w:p>
        <w:p w14:paraId="5900E3A4" w14:textId="0505232B" w:rsidR="000A1458" w:rsidRPr="009E7223" w:rsidRDefault="00E62D03" w:rsidP="000A1458">
          <w:pPr>
            <w:pStyle w:val="NumberedHeading3"/>
          </w:pPr>
          <w:bookmarkStart w:id="84" w:name="_Toc531098182"/>
          <w:r w:rsidRPr="009E7223">
            <w:t>There was cross-sector agreement about r</w:t>
          </w:r>
          <w:r w:rsidR="000A1458" w:rsidRPr="009E7223">
            <w:t xml:space="preserve">esearch and </w:t>
          </w:r>
          <w:r w:rsidRPr="009E7223">
            <w:t>e</w:t>
          </w:r>
          <w:r w:rsidR="000A1458" w:rsidRPr="009E7223">
            <w:t>valuation pr</w:t>
          </w:r>
          <w:r w:rsidRPr="009E7223">
            <w:t>iorities</w:t>
          </w:r>
          <w:bookmarkEnd w:id="84"/>
        </w:p>
        <w:p w14:paraId="1229EC5D" w14:textId="243B9D79" w:rsidR="000A1458" w:rsidRPr="009E7223" w:rsidRDefault="003D24C5" w:rsidP="000A1458">
          <w:pPr>
            <w:pStyle w:val="BodyText"/>
          </w:pPr>
          <w:r>
            <w:t>Eight Service Providers,</w:t>
          </w:r>
          <w:r>
            <w:rPr>
              <w:rStyle w:val="FootnoteReference"/>
            </w:rPr>
            <w:footnoteReference w:id="440"/>
          </w:r>
          <w:r>
            <w:t xml:space="preserve"> three </w:t>
          </w:r>
          <w:r w:rsidR="00DE0E28">
            <w:t>NCGM sector submitters,</w:t>
          </w:r>
          <w:r w:rsidR="00DE0E28">
            <w:rPr>
              <w:rStyle w:val="FootnoteReference"/>
            </w:rPr>
            <w:footnoteReference w:id="441"/>
          </w:r>
          <w:r w:rsidR="00DE0E28">
            <w:t xml:space="preserve"> </w:t>
          </w:r>
          <w:r>
            <w:t xml:space="preserve">two </w:t>
          </w:r>
          <w:r w:rsidR="00DE0E28">
            <w:t>Gambling Industry (other) submitters,</w:t>
          </w:r>
          <w:r w:rsidR="00DE0E28">
            <w:rPr>
              <w:rStyle w:val="FootnoteReference"/>
            </w:rPr>
            <w:footnoteReference w:id="442"/>
          </w:r>
          <w:r w:rsidR="00DE0E28">
            <w:t xml:space="preserve"> </w:t>
          </w:r>
          <w:r>
            <w:t xml:space="preserve">two </w:t>
          </w:r>
          <w:r w:rsidR="00DE0E28">
            <w:t>Health sector submitters,</w:t>
          </w:r>
          <w:r w:rsidR="00DE0E28">
            <w:rPr>
              <w:rStyle w:val="FootnoteReference"/>
            </w:rPr>
            <w:footnoteReference w:id="443"/>
          </w:r>
          <w:r>
            <w:t xml:space="preserve"> a Local Government submitter,</w:t>
          </w:r>
          <w:r>
            <w:rPr>
              <w:rStyle w:val="FootnoteReference"/>
            </w:rPr>
            <w:footnoteReference w:id="444"/>
          </w:r>
          <w:r>
            <w:t xml:space="preserve"> and an individual</w:t>
          </w:r>
          <w:r>
            <w:rPr>
              <w:rStyle w:val="FootnoteReference"/>
            </w:rPr>
            <w:footnoteReference w:id="445"/>
          </w:r>
          <w:r w:rsidR="00DE0E28">
            <w:t xml:space="preserve"> </w:t>
          </w:r>
          <w:r>
            <w:t xml:space="preserve">considered </w:t>
          </w:r>
          <w:r w:rsidR="000A1458" w:rsidRPr="009E7223">
            <w:t xml:space="preserve">that the </w:t>
          </w:r>
          <w:r w:rsidR="000A1458" w:rsidRPr="009E7223">
            <w:rPr>
              <w:i/>
            </w:rPr>
            <w:t>Emerging Issues</w:t>
          </w:r>
          <w:r w:rsidR="000A1458" w:rsidRPr="009E7223">
            <w:t xml:space="preserve"> research activities should be prioritised, especially research about online gambling, and particularly the convergence of gaming and gambling, which some submitters noted to be especially impacting teenagers.</w:t>
          </w:r>
        </w:p>
        <w:p w14:paraId="6D5D60D5" w14:textId="77777777" w:rsidR="000A1458" w:rsidRPr="009E7223" w:rsidRDefault="000A1458" w:rsidP="000A1458">
          <w:pPr>
            <w:pStyle w:val="BodyText"/>
          </w:pPr>
          <w:r w:rsidRPr="009E7223">
            <w:t>Some Service Providers</w:t>
          </w:r>
          <w:r w:rsidRPr="009E7223">
            <w:rPr>
              <w:rStyle w:val="FootnoteReference"/>
            </w:rPr>
            <w:footnoteReference w:id="446"/>
          </w:r>
          <w:r w:rsidRPr="009E7223">
            <w:t xml:space="preserve"> prioritised the </w:t>
          </w:r>
          <w:r w:rsidRPr="009E7223">
            <w:rPr>
              <w:i/>
            </w:rPr>
            <w:t xml:space="preserve">Inequality and Inequity </w:t>
          </w:r>
          <w:r w:rsidRPr="009E7223">
            <w:t>research, particularly about gambling and priority population groups, seeking outputs that will alleviate inequity.</w:t>
          </w:r>
        </w:p>
        <w:p w14:paraId="3258BC4C" w14:textId="77777777" w:rsidR="000A1458" w:rsidRPr="009E7223" w:rsidRDefault="000A1458" w:rsidP="000A1458">
          <w:pPr>
            <w:pStyle w:val="BodyText"/>
          </w:pPr>
          <w:r w:rsidRPr="009E7223">
            <w:t xml:space="preserve">The </w:t>
          </w:r>
          <w:r w:rsidRPr="009E7223">
            <w:rPr>
              <w:i/>
            </w:rPr>
            <w:t>Prevalence and Incidence</w:t>
          </w:r>
          <w:r w:rsidRPr="009E7223">
            <w:t xml:space="preserve"> research proposals were given the lowest priority, often noting that findings were predictable:</w:t>
          </w:r>
          <w:r w:rsidRPr="009E7223">
            <w:rPr>
              <w:rStyle w:val="FootnoteReference"/>
            </w:rPr>
            <w:t xml:space="preserve"> </w:t>
          </w:r>
          <w:r w:rsidRPr="009E7223">
            <w:rPr>
              <w:rStyle w:val="FootnoteReference"/>
            </w:rPr>
            <w:footnoteReference w:id="447"/>
          </w:r>
        </w:p>
        <w:p w14:paraId="463B1E09" w14:textId="46EBDCD0" w:rsidR="000A1458" w:rsidRPr="009E7223" w:rsidRDefault="000A1458" w:rsidP="00F211F2">
          <w:pPr>
            <w:pStyle w:val="Quote"/>
          </w:pPr>
          <w:r w:rsidRPr="009E7223">
            <w:t xml:space="preserve">We … do not need any new research to tell us what we already know – i.e. the rates of problem gambling are higher for Māori, Pasifika and Asian </w:t>
          </w:r>
          <w:r w:rsidRPr="009E7223">
            <w:lastRenderedPageBreak/>
            <w:t>ethnicities; problem gamblers are more likely to smoke, drink and use other drugs (comorbidity exists).</w:t>
          </w:r>
        </w:p>
        <w:p w14:paraId="584F23D1" w14:textId="77777777" w:rsidR="0094303A" w:rsidRPr="009E7223" w:rsidRDefault="0094303A" w:rsidP="0094303A">
          <w:pPr>
            <w:pStyle w:val="NumberedHeading2"/>
          </w:pPr>
          <w:bookmarkStart w:id="85" w:name="_Toc531098183"/>
          <w:r w:rsidRPr="009E7223">
            <w:t>Ministry Operating Costs</w:t>
          </w:r>
          <w:bookmarkEnd w:id="85"/>
        </w:p>
        <w:p w14:paraId="6F1DDDBE" w14:textId="77777777" w:rsidR="0094303A" w:rsidRPr="009E7223" w:rsidRDefault="0094303A" w:rsidP="0094303A">
          <w:pPr>
            <w:pStyle w:val="BodyText"/>
          </w:pPr>
          <w:r w:rsidRPr="009E7223">
            <w:t>One Service Provider</w:t>
          </w:r>
          <w:r w:rsidRPr="009E7223">
            <w:rPr>
              <w:rStyle w:val="FootnoteReference"/>
            </w:rPr>
            <w:footnoteReference w:id="448"/>
          </w:r>
          <w:r w:rsidRPr="009E7223">
            <w:t xml:space="preserve"> suggested transferring resource from the Ministry operating costs to local providers, so that they can create their own solutions for their local communities.</w:t>
          </w:r>
        </w:p>
        <w:p w14:paraId="5EBAE7E4" w14:textId="77777777" w:rsidR="00AD2D3A" w:rsidRDefault="00AD2D3A">
          <w:pPr>
            <w:rPr>
              <w:rFonts w:asciiTheme="majorHAnsi" w:hAnsiTheme="majorHAnsi"/>
              <w:b/>
              <w:caps/>
              <w:color w:val="36424A" w:themeColor="text2"/>
              <w:sz w:val="28"/>
            </w:rPr>
          </w:pPr>
          <w:bookmarkStart w:id="86" w:name="_Hlk527222274"/>
          <w:r>
            <w:br w:type="page"/>
          </w:r>
        </w:p>
        <w:p w14:paraId="4CB9253B" w14:textId="5598B740" w:rsidR="00D76ACB" w:rsidRPr="009E7223" w:rsidRDefault="00D76ACB" w:rsidP="00D76ACB">
          <w:pPr>
            <w:pStyle w:val="NumberedHeading1"/>
          </w:pPr>
          <w:bookmarkStart w:id="87" w:name="_Toc531098184"/>
          <w:r w:rsidRPr="009E7223">
            <w:lastRenderedPageBreak/>
            <w:t>The levy formula and alternate levy weightings</w:t>
          </w:r>
          <w:bookmarkEnd w:id="87"/>
        </w:p>
        <w:p w14:paraId="75D638F9" w14:textId="77777777" w:rsidR="00D76ACB" w:rsidRPr="009E7223" w:rsidRDefault="00D76ACB" w:rsidP="00D76ACB">
          <w:pPr>
            <w:pStyle w:val="BodyText"/>
          </w:pPr>
          <w:r w:rsidRPr="009E7223">
            <w:t>This part of the report outlines the commentary received from submitters on the levy formula and the draft levy rates. It covers submitters’ views on:</w:t>
          </w:r>
        </w:p>
        <w:p w14:paraId="3654A1EB" w14:textId="0F25DBBC" w:rsidR="00D76ACB" w:rsidRPr="009E7223" w:rsidRDefault="00DB2BB7" w:rsidP="00D76ACB">
          <w:pPr>
            <w:pStyle w:val="List-BulletLvl1"/>
          </w:pPr>
          <w:r w:rsidRPr="009E7223">
            <w:t>T</w:t>
          </w:r>
          <w:r w:rsidR="00D76ACB" w:rsidRPr="009E7223">
            <w:t>he levy formula and whether it provides a reasonable way to reflect relative harm</w:t>
          </w:r>
        </w:p>
        <w:p w14:paraId="67D478C7" w14:textId="3A6B7BD0" w:rsidR="00D76ACB" w:rsidRPr="009E7223" w:rsidRDefault="00DB2BB7" w:rsidP="00D76ACB">
          <w:pPr>
            <w:pStyle w:val="List-BulletLvl1"/>
          </w:pPr>
          <w:r w:rsidRPr="009E7223">
            <w:t>P</w:t>
          </w:r>
          <w:r w:rsidR="00D76ACB" w:rsidRPr="009E7223">
            <w:t>layer expenditure forecasts for each gambling sector</w:t>
          </w:r>
        </w:p>
        <w:p w14:paraId="5D2A6446" w14:textId="48799D19" w:rsidR="00D76ACB" w:rsidRPr="009E7223" w:rsidRDefault="00DB2BB7" w:rsidP="00D76ACB">
          <w:pPr>
            <w:pStyle w:val="List-BulletLvl1"/>
          </w:pPr>
          <w:r w:rsidRPr="009E7223">
            <w:t>P</w:t>
          </w:r>
          <w:r w:rsidR="00D76ACB" w:rsidRPr="009E7223">
            <w:t>referred weightings for expenditure and presentations, and</w:t>
          </w:r>
        </w:p>
        <w:p w14:paraId="3E55C68B" w14:textId="7C8CAD4F" w:rsidR="00D76ACB" w:rsidRPr="009E7223" w:rsidRDefault="00DB2BB7" w:rsidP="00D76ACB">
          <w:pPr>
            <w:pStyle w:val="List-BulletLvl1"/>
          </w:pPr>
          <w:r w:rsidRPr="009E7223">
            <w:t>T</w:t>
          </w:r>
          <w:r w:rsidR="00D76ACB" w:rsidRPr="009E7223">
            <w:t>he estimated draft levy rates for each sector.</w:t>
          </w:r>
        </w:p>
        <w:p w14:paraId="7BAE98A9" w14:textId="1282C0BC" w:rsidR="00D76ACB" w:rsidRPr="009E7223" w:rsidRDefault="00D76ACB" w:rsidP="00D76ACB">
          <w:pPr>
            <w:pStyle w:val="BodyText"/>
          </w:pPr>
          <w:r w:rsidRPr="009E7223">
            <w:t xml:space="preserve">Five questions were asked about the levy, two of which included ‘Yes/No’ responses. </w:t>
          </w:r>
          <w:r w:rsidRPr="009E7223">
            <w:fldChar w:fldCharType="begin"/>
          </w:r>
          <w:r w:rsidRPr="009E7223">
            <w:instrText xml:space="preserve"> REF _Ref527725904 \h </w:instrText>
          </w:r>
          <w:r w:rsidRPr="009E7223">
            <w:fldChar w:fldCharType="separate"/>
          </w:r>
          <w:r w:rsidR="00CE4EFF" w:rsidRPr="009E7223">
            <w:t xml:space="preserve">Table </w:t>
          </w:r>
          <w:r w:rsidR="00CE4EFF">
            <w:rPr>
              <w:noProof/>
            </w:rPr>
            <w:t>9</w:t>
          </w:r>
          <w:r w:rsidRPr="009E7223">
            <w:fldChar w:fldCharType="end"/>
          </w:r>
          <w:r w:rsidRPr="009E7223">
            <w:t xml:space="preserve"> shows the tally of responses by question.</w:t>
          </w:r>
        </w:p>
        <w:p w14:paraId="74238740" w14:textId="0B16DE7C" w:rsidR="00D76ACB" w:rsidRPr="009E7223" w:rsidRDefault="00D76ACB" w:rsidP="00D76ACB">
          <w:pPr>
            <w:pStyle w:val="Caption"/>
            <w:keepNext/>
          </w:pPr>
          <w:bookmarkStart w:id="88" w:name="_Ref527725904"/>
          <w:bookmarkStart w:id="89" w:name="_Toc527355910"/>
          <w:bookmarkStart w:id="90" w:name="_Toc529787390"/>
          <w:r w:rsidRPr="009E7223">
            <w:t xml:space="preserve">Table </w:t>
          </w:r>
          <w:r w:rsidRPr="009E7223">
            <w:rPr>
              <w:noProof/>
            </w:rPr>
            <w:fldChar w:fldCharType="begin"/>
          </w:r>
          <w:r w:rsidRPr="009E7223">
            <w:rPr>
              <w:noProof/>
            </w:rPr>
            <w:instrText xml:space="preserve"> SEQ Table \* ARABIC </w:instrText>
          </w:r>
          <w:r w:rsidRPr="009E7223">
            <w:rPr>
              <w:noProof/>
            </w:rPr>
            <w:fldChar w:fldCharType="separate"/>
          </w:r>
          <w:r w:rsidR="00CE4EFF">
            <w:rPr>
              <w:noProof/>
            </w:rPr>
            <w:t>9</w:t>
          </w:r>
          <w:r w:rsidRPr="009E7223">
            <w:rPr>
              <w:noProof/>
            </w:rPr>
            <w:fldChar w:fldCharType="end"/>
          </w:r>
          <w:bookmarkEnd w:id="88"/>
          <w:r w:rsidRPr="009E7223">
            <w:t>: Yes/No responses to questions concerning the levy rates and formula</w:t>
          </w:r>
          <w:bookmarkEnd w:id="89"/>
          <w:bookmarkEnd w:id="90"/>
        </w:p>
        <w:tbl>
          <w:tblPr>
            <w:tblStyle w:val="ACGrey-BasicTable"/>
            <w:tblW w:w="9209" w:type="dxa"/>
            <w:tblLook w:val="04A0" w:firstRow="1" w:lastRow="0" w:firstColumn="1" w:lastColumn="0" w:noHBand="0" w:noVBand="1"/>
          </w:tblPr>
          <w:tblGrid>
            <w:gridCol w:w="6799"/>
            <w:gridCol w:w="1134"/>
            <w:gridCol w:w="1276"/>
          </w:tblGrid>
          <w:tr w:rsidR="00D76ACB" w:rsidRPr="009E7223" w14:paraId="4745C44D" w14:textId="77777777" w:rsidTr="003D24C5">
            <w:trPr>
              <w:cnfStyle w:val="100000000000" w:firstRow="1" w:lastRow="0" w:firstColumn="0" w:lastColumn="0" w:oddVBand="0" w:evenVBand="0" w:oddHBand="0" w:evenHBand="0" w:firstRowFirstColumn="0" w:firstRowLastColumn="0" w:lastRowFirstColumn="0" w:lastRowLastColumn="0"/>
            </w:trPr>
            <w:tc>
              <w:tcPr>
                <w:tcW w:w="0"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120885D5" w14:textId="77777777" w:rsidR="00D76ACB" w:rsidRPr="009E7223" w:rsidRDefault="00D76ACB" w:rsidP="00DB2BB7">
                <w:pPr>
                  <w:pStyle w:val="BodyText"/>
                  <w:jc w:val="left"/>
                </w:pPr>
                <w:r w:rsidRPr="009E7223">
                  <w:t>Question</w:t>
                </w:r>
              </w:p>
            </w:tc>
            <w:tc>
              <w:tcPr>
                <w:tcW w:w="1134"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6C02FF4A" w14:textId="77777777" w:rsidR="00D76ACB" w:rsidRPr="009E7223" w:rsidRDefault="00D76ACB" w:rsidP="00DB2BB7">
                <w:pPr>
                  <w:pStyle w:val="BodyText"/>
                  <w:jc w:val="center"/>
                </w:pPr>
                <w:r w:rsidRPr="009E7223">
                  <w:t>Yes</w:t>
                </w:r>
              </w:p>
            </w:tc>
            <w:tc>
              <w:tcPr>
                <w:tcW w:w="1276"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4A089B97" w14:textId="77777777" w:rsidR="00D76ACB" w:rsidRPr="009E7223" w:rsidRDefault="00D76ACB" w:rsidP="0066715F">
                <w:pPr>
                  <w:pStyle w:val="BodyText"/>
                  <w:jc w:val="center"/>
                </w:pPr>
                <w:r w:rsidRPr="009E7223">
                  <w:t>No</w:t>
                </w:r>
              </w:p>
            </w:tc>
          </w:tr>
          <w:tr w:rsidR="00DB2BB7" w:rsidRPr="009E7223" w14:paraId="508A85BD" w14:textId="77777777" w:rsidTr="0066715F">
            <w:tc>
              <w:tcPr>
                <w:tcW w:w="6799" w:type="dxa"/>
                <w:tcBorders>
                  <w:top w:val="single" w:sz="4" w:space="0" w:color="36424A" w:themeColor="text2"/>
                  <w:left w:val="single" w:sz="4" w:space="0" w:color="36424A" w:themeColor="text2"/>
                  <w:bottom w:val="single" w:sz="4" w:space="0" w:color="36424A" w:themeColor="text2"/>
                  <w:right w:val="single" w:sz="4" w:space="0" w:color="36424A" w:themeColor="text2"/>
                </w:tcBorders>
              </w:tcPr>
              <w:p w14:paraId="059C68CE" w14:textId="6D5F52B7" w:rsidR="00DB2BB7" w:rsidRPr="009E7223" w:rsidRDefault="00DB2BB7" w:rsidP="00DB2BB7">
                <w:pPr>
                  <w:jc w:val="both"/>
                  <w:rPr>
                    <w:rFonts w:ascii="Calibri" w:hAnsi="Calibri" w:cs="Calibri"/>
                    <w:color w:val="000000"/>
                  </w:rPr>
                </w:pPr>
                <w:r w:rsidRPr="009E7223">
                  <w:rPr>
                    <w:rFonts w:ascii="Calibri" w:hAnsi="Calibri" w:cs="Calibri"/>
                    <w:color w:val="000000"/>
                  </w:rPr>
                  <w:t>11. Are the player expenditure forecasts for each gambling sector (D) realistic?</w:t>
                </w:r>
              </w:p>
            </w:tc>
            <w:tc>
              <w:tcPr>
                <w:tcW w:w="1134" w:type="dxa"/>
                <w:tcBorders>
                  <w:top w:val="single" w:sz="4" w:space="0" w:color="36424A" w:themeColor="text2"/>
                  <w:left w:val="single" w:sz="4" w:space="0" w:color="36424A" w:themeColor="text2"/>
                  <w:bottom w:val="single" w:sz="4" w:space="0" w:color="36424A" w:themeColor="text2"/>
                  <w:right w:val="single" w:sz="4" w:space="0" w:color="36424A" w:themeColor="text2"/>
                </w:tcBorders>
              </w:tcPr>
              <w:p w14:paraId="5C6D49D3" w14:textId="7CF53149" w:rsidR="00DB2BB7" w:rsidRPr="009E7223" w:rsidRDefault="00DB2BB7" w:rsidP="00DB2BB7">
                <w:pPr>
                  <w:pStyle w:val="BodyText"/>
                  <w:jc w:val="center"/>
                </w:pPr>
                <w:r w:rsidRPr="009E7223">
                  <w:t>10</w:t>
                </w:r>
              </w:p>
            </w:tc>
            <w:tc>
              <w:tcPr>
                <w:tcW w:w="1276" w:type="dxa"/>
                <w:tcBorders>
                  <w:top w:val="single" w:sz="4" w:space="0" w:color="36424A" w:themeColor="text2"/>
                  <w:left w:val="single" w:sz="4" w:space="0" w:color="36424A" w:themeColor="text2"/>
                  <w:bottom w:val="single" w:sz="4" w:space="0" w:color="36424A" w:themeColor="text2"/>
                  <w:right w:val="single" w:sz="4" w:space="0" w:color="36424A" w:themeColor="text2"/>
                </w:tcBorders>
              </w:tcPr>
              <w:p w14:paraId="67B61D2F" w14:textId="6570B2A1" w:rsidR="00DB2BB7" w:rsidRPr="009E7223" w:rsidRDefault="00DB2BB7" w:rsidP="00DB2BB7">
                <w:pPr>
                  <w:pStyle w:val="BodyText"/>
                  <w:jc w:val="center"/>
                </w:pPr>
                <w:r w:rsidRPr="009E7223">
                  <w:t>12</w:t>
                </w:r>
              </w:p>
            </w:tc>
          </w:tr>
          <w:tr w:rsidR="00DB2BB7" w:rsidRPr="009E7223" w14:paraId="75DE2BEC" w14:textId="77777777" w:rsidTr="0066715F">
            <w:tc>
              <w:tcPr>
                <w:tcW w:w="6799"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054F9589" w14:textId="77777777" w:rsidR="00DB2BB7" w:rsidRPr="009E7223" w:rsidRDefault="00DB2BB7" w:rsidP="00DB2BB7">
                <w:pPr>
                  <w:jc w:val="both"/>
                  <w:rPr>
                    <w:rFonts w:ascii="Calibri" w:hAnsi="Calibri" w:cs="Calibri"/>
                    <w:color w:val="000000"/>
                  </w:rPr>
                </w:pPr>
                <w:r w:rsidRPr="009E7223">
                  <w:rPr>
                    <w:rFonts w:ascii="Calibri" w:hAnsi="Calibri" w:cs="Calibri"/>
                    <w:color w:val="000000"/>
                  </w:rPr>
                  <w:t>12. Are there realistic pairs of expenditure/presentation weightings (W1 and W2) other than those discussed in this consultation document?</w:t>
                </w:r>
              </w:p>
            </w:tc>
            <w:tc>
              <w:tcPr>
                <w:tcW w:w="1134"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59284F82" w14:textId="77777777" w:rsidR="00DB2BB7" w:rsidRPr="009E7223" w:rsidRDefault="00DB2BB7" w:rsidP="00DB2BB7">
                <w:pPr>
                  <w:pStyle w:val="BodyText"/>
                  <w:jc w:val="center"/>
                </w:pPr>
                <w:r w:rsidRPr="009E7223">
                  <w:t>7</w:t>
                </w:r>
              </w:p>
            </w:tc>
            <w:tc>
              <w:tcPr>
                <w:tcW w:w="1276"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7A7F048A" w14:textId="77777777" w:rsidR="00DB2BB7" w:rsidRPr="009E7223" w:rsidRDefault="00DB2BB7" w:rsidP="00DB2BB7">
                <w:pPr>
                  <w:pStyle w:val="BodyText"/>
                  <w:jc w:val="center"/>
                </w:pPr>
                <w:r w:rsidRPr="009E7223">
                  <w:t>5</w:t>
                </w:r>
              </w:p>
            </w:tc>
          </w:tr>
        </w:tbl>
        <w:p w14:paraId="6747FE6F" w14:textId="5B723B76" w:rsidR="00D76ACB" w:rsidRPr="009E7223" w:rsidRDefault="00D76ACB" w:rsidP="00D76ACB">
          <w:pPr>
            <w:pStyle w:val="BodyText"/>
          </w:pPr>
          <w:r w:rsidRPr="009E7223">
            <w:t xml:space="preserve">The Levy section of the consultation document was addressed at least in part by 47 submitters from across the six sector groupings, as illustrated in </w:t>
          </w:r>
          <w:r w:rsidRPr="009E7223">
            <w:fldChar w:fldCharType="begin"/>
          </w:r>
          <w:r w:rsidRPr="009E7223">
            <w:instrText xml:space="preserve"> REF _Ref527229905 \h </w:instrText>
          </w:r>
          <w:r w:rsidRPr="009E7223">
            <w:fldChar w:fldCharType="separate"/>
          </w:r>
          <w:r w:rsidR="00CE4EFF" w:rsidRPr="009E7223">
            <w:t xml:space="preserve">Table </w:t>
          </w:r>
          <w:r w:rsidR="00CE4EFF">
            <w:rPr>
              <w:noProof/>
            </w:rPr>
            <w:t>10</w:t>
          </w:r>
          <w:r w:rsidRPr="009E7223">
            <w:fldChar w:fldCharType="end"/>
          </w:r>
          <w:r w:rsidRPr="009E7223">
            <w:t>.</w:t>
          </w:r>
        </w:p>
        <w:p w14:paraId="4FF8D259" w14:textId="6C69DD1F" w:rsidR="00D76ACB" w:rsidRPr="009E7223" w:rsidRDefault="00D76ACB" w:rsidP="00D76ACB">
          <w:pPr>
            <w:pStyle w:val="Caption"/>
            <w:keepNext/>
          </w:pPr>
          <w:bookmarkStart w:id="91" w:name="_Ref527229905"/>
          <w:bookmarkStart w:id="92" w:name="_Toc527355911"/>
          <w:bookmarkStart w:id="93" w:name="_Toc529787391"/>
          <w:r w:rsidRPr="009E7223">
            <w:t xml:space="preserve">Table </w:t>
          </w:r>
          <w:r w:rsidRPr="009E7223">
            <w:rPr>
              <w:noProof/>
            </w:rPr>
            <w:fldChar w:fldCharType="begin"/>
          </w:r>
          <w:r w:rsidRPr="009E7223">
            <w:rPr>
              <w:noProof/>
            </w:rPr>
            <w:instrText xml:space="preserve"> SEQ Table \* ARABIC </w:instrText>
          </w:r>
          <w:r w:rsidRPr="009E7223">
            <w:rPr>
              <w:noProof/>
            </w:rPr>
            <w:fldChar w:fldCharType="separate"/>
          </w:r>
          <w:r w:rsidR="00CE4EFF">
            <w:rPr>
              <w:noProof/>
            </w:rPr>
            <w:t>10</w:t>
          </w:r>
          <w:r w:rsidRPr="009E7223">
            <w:rPr>
              <w:noProof/>
            </w:rPr>
            <w:fldChar w:fldCharType="end"/>
          </w:r>
          <w:bookmarkEnd w:id="91"/>
          <w:r w:rsidRPr="009E7223">
            <w:t>: Number of submissions, by sector, that addressed questions about the levy</w:t>
          </w:r>
          <w:bookmarkEnd w:id="92"/>
          <w:bookmarkEnd w:id="93"/>
        </w:p>
        <w:tbl>
          <w:tblPr>
            <w:tblStyle w:val="ACGrey-BasicTable"/>
            <w:tblW w:w="9191" w:type="dxa"/>
            <w:tblLook w:val="04A0" w:firstRow="1" w:lastRow="0" w:firstColumn="1" w:lastColumn="0" w:noHBand="0" w:noVBand="1"/>
          </w:tblPr>
          <w:tblGrid>
            <w:gridCol w:w="1458"/>
            <w:gridCol w:w="1515"/>
            <w:gridCol w:w="1519"/>
            <w:gridCol w:w="1494"/>
            <w:gridCol w:w="1660"/>
            <w:gridCol w:w="1545"/>
          </w:tblGrid>
          <w:tr w:rsidR="00D76ACB" w:rsidRPr="009E7223" w14:paraId="0224137E" w14:textId="77777777" w:rsidTr="0066715F">
            <w:trPr>
              <w:cnfStyle w:val="100000000000" w:firstRow="1" w:lastRow="0" w:firstColumn="0" w:lastColumn="0" w:oddVBand="0" w:evenVBand="0" w:oddHBand="0" w:evenHBand="0" w:firstRowFirstColumn="0" w:firstRowLastColumn="0" w:lastRowFirstColumn="0" w:lastRowLastColumn="0"/>
              <w:trHeight w:val="724"/>
            </w:trPr>
            <w:tc>
              <w:tcPr>
                <w:tcW w:w="1458"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17AA7B00" w14:textId="364D6C26" w:rsidR="00D76ACB" w:rsidRPr="009E7223" w:rsidRDefault="00D76ACB" w:rsidP="0066715F">
                <w:pPr>
                  <w:pStyle w:val="BodyText"/>
                  <w:jc w:val="center"/>
                  <w:rPr>
                    <w:sz w:val="22"/>
                  </w:rPr>
                </w:pPr>
                <w:r w:rsidRPr="009E7223">
                  <w:rPr>
                    <w:sz w:val="22"/>
                  </w:rPr>
                  <w:t>NCGM</w:t>
                </w:r>
                <w:r w:rsidR="00DB2BB7" w:rsidRPr="009E7223">
                  <w:rPr>
                    <w:sz w:val="22"/>
                  </w:rPr>
                  <w:t xml:space="preserve"> </w:t>
                </w:r>
                <w:r w:rsidRPr="009E7223">
                  <w:rPr>
                    <w:sz w:val="22"/>
                  </w:rPr>
                  <w:t>sector</w:t>
                </w:r>
              </w:p>
            </w:tc>
            <w:tc>
              <w:tcPr>
                <w:tcW w:w="151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023D5A3D" w14:textId="5CA16AAA" w:rsidR="00D76ACB" w:rsidRPr="009E7223" w:rsidRDefault="00D76ACB" w:rsidP="0066715F">
                <w:pPr>
                  <w:pStyle w:val="BodyText"/>
                  <w:jc w:val="center"/>
                  <w:rPr>
                    <w:sz w:val="22"/>
                  </w:rPr>
                </w:pPr>
                <w:r w:rsidRPr="009E7223">
                  <w:rPr>
                    <w:sz w:val="22"/>
                  </w:rPr>
                  <w:t xml:space="preserve">Gambling </w:t>
                </w:r>
                <w:r w:rsidR="00DB2BB7" w:rsidRPr="009E7223">
                  <w:rPr>
                    <w:sz w:val="22"/>
                  </w:rPr>
                  <w:t>i</w:t>
                </w:r>
                <w:r w:rsidRPr="009E7223">
                  <w:rPr>
                    <w:sz w:val="22"/>
                  </w:rPr>
                  <w:t>ndustry (other)</w:t>
                </w:r>
              </w:p>
            </w:tc>
            <w:tc>
              <w:tcPr>
                <w:tcW w:w="1519"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06BB8239" w14:textId="3785E854" w:rsidR="00D76ACB" w:rsidRPr="009E7223" w:rsidRDefault="00D76ACB" w:rsidP="0066715F">
                <w:pPr>
                  <w:pStyle w:val="BodyText"/>
                  <w:jc w:val="center"/>
                  <w:rPr>
                    <w:sz w:val="22"/>
                  </w:rPr>
                </w:pPr>
                <w:r w:rsidRPr="009E7223">
                  <w:rPr>
                    <w:sz w:val="22"/>
                  </w:rPr>
                  <w:t>Service Providers</w:t>
                </w:r>
              </w:p>
            </w:tc>
            <w:tc>
              <w:tcPr>
                <w:tcW w:w="1494"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627F70B1" w14:textId="6C34BAAB" w:rsidR="00D76ACB" w:rsidRPr="009E7223" w:rsidRDefault="00D76ACB" w:rsidP="0066715F">
                <w:pPr>
                  <w:pStyle w:val="BodyText"/>
                  <w:jc w:val="center"/>
                  <w:rPr>
                    <w:sz w:val="22"/>
                  </w:rPr>
                </w:pPr>
                <w:r w:rsidRPr="009E7223">
                  <w:rPr>
                    <w:sz w:val="22"/>
                  </w:rPr>
                  <w:t>Health</w:t>
                </w:r>
                <w:r w:rsidR="00DB2BB7" w:rsidRPr="009E7223">
                  <w:rPr>
                    <w:sz w:val="22"/>
                  </w:rPr>
                  <w:t xml:space="preserve"> </w:t>
                </w:r>
                <w:r w:rsidRPr="009E7223">
                  <w:rPr>
                    <w:sz w:val="22"/>
                  </w:rPr>
                  <w:t>sector</w:t>
                </w:r>
              </w:p>
            </w:tc>
            <w:tc>
              <w:tcPr>
                <w:tcW w:w="1660"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4E1318AC" w14:textId="3DE6DE7A" w:rsidR="00D76ACB" w:rsidRPr="009E7223" w:rsidRDefault="00D76ACB" w:rsidP="0066715F">
                <w:pPr>
                  <w:pStyle w:val="BodyText"/>
                  <w:jc w:val="center"/>
                  <w:rPr>
                    <w:sz w:val="22"/>
                  </w:rPr>
                </w:pPr>
                <w:r w:rsidRPr="009E7223">
                  <w:rPr>
                    <w:sz w:val="22"/>
                  </w:rPr>
                  <w:t>Local Government</w:t>
                </w:r>
              </w:p>
            </w:tc>
            <w:tc>
              <w:tcPr>
                <w:tcW w:w="154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4DA65BFF" w14:textId="77777777" w:rsidR="00D76ACB" w:rsidRPr="009E7223" w:rsidRDefault="00D76ACB" w:rsidP="0066715F">
                <w:pPr>
                  <w:pStyle w:val="BodyText"/>
                  <w:jc w:val="center"/>
                  <w:rPr>
                    <w:sz w:val="22"/>
                  </w:rPr>
                </w:pPr>
                <w:r w:rsidRPr="009E7223">
                  <w:rPr>
                    <w:sz w:val="22"/>
                  </w:rPr>
                  <w:t>Individuals</w:t>
                </w:r>
              </w:p>
            </w:tc>
          </w:tr>
          <w:tr w:rsidR="00D76ACB" w:rsidRPr="009E7223" w14:paraId="7CB39AFF" w14:textId="77777777" w:rsidTr="0066715F">
            <w:trPr>
              <w:trHeight w:val="469"/>
            </w:trPr>
            <w:tc>
              <w:tcPr>
                <w:tcW w:w="1458"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3D0C71AF" w14:textId="77777777" w:rsidR="00D76ACB" w:rsidRPr="009E7223" w:rsidRDefault="00D76ACB" w:rsidP="0066715F">
                <w:pPr>
                  <w:pStyle w:val="BodyText"/>
                  <w:jc w:val="center"/>
                </w:pPr>
                <w:r w:rsidRPr="009E7223">
                  <w:t>20/22</w:t>
                </w:r>
              </w:p>
            </w:tc>
            <w:tc>
              <w:tcPr>
                <w:tcW w:w="151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21722729" w14:textId="77777777" w:rsidR="00D76ACB" w:rsidRPr="009E7223" w:rsidRDefault="00D76ACB" w:rsidP="0066715F">
                <w:pPr>
                  <w:pStyle w:val="BodyText"/>
                  <w:jc w:val="center"/>
                </w:pPr>
                <w:r w:rsidRPr="009E7223">
                  <w:t>4/8</w:t>
                </w:r>
              </w:p>
            </w:tc>
            <w:tc>
              <w:tcPr>
                <w:tcW w:w="1519"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33551F8B" w14:textId="77777777" w:rsidR="00D76ACB" w:rsidRPr="009E7223" w:rsidRDefault="00D76ACB" w:rsidP="0066715F">
                <w:pPr>
                  <w:pStyle w:val="BodyText"/>
                  <w:jc w:val="center"/>
                </w:pPr>
                <w:r w:rsidRPr="009E7223">
                  <w:t>14/21</w:t>
                </w:r>
              </w:p>
            </w:tc>
            <w:tc>
              <w:tcPr>
                <w:tcW w:w="1494"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63A7F48E" w14:textId="77777777" w:rsidR="00D76ACB" w:rsidRPr="009E7223" w:rsidRDefault="00D76ACB" w:rsidP="0066715F">
                <w:pPr>
                  <w:pStyle w:val="BodyText"/>
                  <w:jc w:val="center"/>
                </w:pPr>
                <w:r w:rsidRPr="009E7223">
                  <w:t>2/13</w:t>
                </w:r>
              </w:p>
            </w:tc>
            <w:tc>
              <w:tcPr>
                <w:tcW w:w="1660"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3D5DDC5A" w14:textId="77777777" w:rsidR="00D76ACB" w:rsidRPr="009E7223" w:rsidRDefault="00D76ACB" w:rsidP="0066715F">
                <w:pPr>
                  <w:pStyle w:val="BodyText"/>
                  <w:jc w:val="center"/>
                </w:pPr>
                <w:r w:rsidRPr="009E7223">
                  <w:t>4/6</w:t>
                </w:r>
              </w:p>
            </w:tc>
            <w:tc>
              <w:tcPr>
                <w:tcW w:w="1545"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54DB50B2" w14:textId="77777777" w:rsidR="00D76ACB" w:rsidRPr="009E7223" w:rsidRDefault="00D76ACB" w:rsidP="0066715F">
                <w:pPr>
                  <w:pStyle w:val="BodyText"/>
                  <w:jc w:val="center"/>
                </w:pPr>
                <w:r w:rsidRPr="009E7223">
                  <w:t>3/12</w:t>
                </w:r>
              </w:p>
            </w:tc>
          </w:tr>
        </w:tbl>
        <w:p w14:paraId="114E1CC7" w14:textId="77777777" w:rsidR="00D76ACB" w:rsidRPr="009E7223" w:rsidRDefault="00D76ACB" w:rsidP="00D76ACB">
          <w:pPr>
            <w:pStyle w:val="NumberedHeading2"/>
          </w:pPr>
          <w:bookmarkStart w:id="94" w:name="_Toc531098185"/>
          <w:r w:rsidRPr="009E7223">
            <w:t>The degree of support for player expenditure forecasts</w:t>
          </w:r>
          <w:bookmarkEnd w:id="94"/>
        </w:p>
        <w:p w14:paraId="7CB2C6BF" w14:textId="77777777" w:rsidR="00D76ACB" w:rsidRPr="009E7223" w:rsidRDefault="00D76ACB" w:rsidP="00D76ACB">
          <w:pPr>
            <w:pStyle w:val="BodyText"/>
          </w:pPr>
          <w:bookmarkStart w:id="95" w:name="_Toc430861752"/>
          <w:r w:rsidRPr="009E7223">
            <w:t>Ten submitters</w:t>
          </w:r>
          <w:r w:rsidRPr="009E7223">
            <w:rPr>
              <w:rStyle w:val="FootnoteReference"/>
            </w:rPr>
            <w:footnoteReference w:id="449"/>
          </w:r>
          <w:r w:rsidRPr="009E7223">
            <w:t xml:space="preserve"> (six Service Providers, three individuals, and one Gambling Industry (other) submitter) commented on whether the player expenditure forecasts were realistic.</w:t>
          </w:r>
        </w:p>
        <w:p w14:paraId="717F8006" w14:textId="2D639D85" w:rsidR="00D76ACB" w:rsidRPr="009E7223" w:rsidRDefault="00AD2D3A" w:rsidP="00D76ACB">
          <w:pPr>
            <w:pStyle w:val="NumberedHeading3"/>
          </w:pPr>
          <w:bookmarkStart w:id="96" w:name="_Toc531098186"/>
          <w:r>
            <w:t>F</w:t>
          </w:r>
          <w:r w:rsidR="00D76ACB" w:rsidRPr="009E7223">
            <w:t xml:space="preserve">orecasts </w:t>
          </w:r>
          <w:r>
            <w:t xml:space="preserve">were considered </w:t>
          </w:r>
          <w:r w:rsidR="00D76ACB" w:rsidRPr="009E7223">
            <w:t>unrealistic</w:t>
          </w:r>
          <w:r>
            <w:t>,</w:t>
          </w:r>
          <w:r w:rsidR="00D76ACB" w:rsidRPr="009E7223">
            <w:t xml:space="preserve"> because they do not reflect the full scope of harmful products or the impact of that harm to individual gamblers</w:t>
          </w:r>
          <w:bookmarkEnd w:id="96"/>
        </w:p>
        <w:p w14:paraId="435F6316" w14:textId="77777777" w:rsidR="00D76ACB" w:rsidRPr="009E7223" w:rsidRDefault="00D76ACB" w:rsidP="00D76ACB">
          <w:pPr>
            <w:pStyle w:val="BodyText"/>
          </w:pPr>
          <w:r w:rsidRPr="009E7223">
            <w:t>Almost all submitters (six Service Providers and three individuals</w:t>
          </w:r>
          <w:r w:rsidRPr="009E7223">
            <w:rPr>
              <w:rStyle w:val="FootnoteReference"/>
            </w:rPr>
            <w:footnoteReference w:id="450"/>
          </w:r>
          <w:r w:rsidRPr="009E7223">
            <w:t>) thought that the player expenditure forecasts were unrealistic. These submitters considered that the player expenditure forecasts do not:</w:t>
          </w:r>
        </w:p>
        <w:p w14:paraId="3D69150A" w14:textId="5B8C7BF7" w:rsidR="00D76ACB" w:rsidRPr="009E7223" w:rsidRDefault="00D76ACB" w:rsidP="00D76ACB">
          <w:pPr>
            <w:pStyle w:val="List-BulletLvl1"/>
          </w:pPr>
          <w:r w:rsidRPr="009E7223">
            <w:lastRenderedPageBreak/>
            <w:t>Take into account that individual bet amounts are increasing (rather than the number of people gambling); that is, the overall amount of money being gambled is increasing but the number of players is not (two Service Providers</w:t>
          </w:r>
          <w:r w:rsidRPr="009E7223">
            <w:rPr>
              <w:rStyle w:val="FootnoteReference"/>
            </w:rPr>
            <w:footnoteReference w:id="451"/>
          </w:r>
          <w:r w:rsidRPr="009E7223">
            <w:t xml:space="preserve"> and two individuals</w:t>
          </w:r>
          <w:r w:rsidRPr="009E7223">
            <w:rPr>
              <w:rStyle w:val="FootnoteReference"/>
            </w:rPr>
            <w:footnoteReference w:id="452"/>
          </w:r>
          <w:r w:rsidRPr="009E7223">
            <w:t>)</w:t>
          </w:r>
        </w:p>
        <w:p w14:paraId="0358F681" w14:textId="60AB32B9" w:rsidR="00D76ACB" w:rsidRPr="009E7223" w:rsidRDefault="00D76ACB" w:rsidP="00D76ACB">
          <w:pPr>
            <w:pStyle w:val="List-BulletLvl1"/>
          </w:pPr>
          <w:r w:rsidRPr="009E7223">
            <w:t>Take into consideration (but should) online gambling</w:t>
          </w:r>
          <w:r w:rsidR="00D244EB">
            <w:t xml:space="preserve">, </w:t>
          </w:r>
          <w:r w:rsidRPr="009E7223">
            <w:t>particular</w:t>
          </w:r>
          <w:r w:rsidR="00D244EB">
            <w:t>ly</w:t>
          </w:r>
          <w:r w:rsidRPr="009E7223">
            <w:t xml:space="preserve"> international online operators (two Service Providers</w:t>
          </w:r>
          <w:r w:rsidRPr="009E7223">
            <w:rPr>
              <w:rStyle w:val="FootnoteReference"/>
            </w:rPr>
            <w:footnoteReference w:id="453"/>
          </w:r>
          <w:r w:rsidRPr="009E7223">
            <w:t xml:space="preserve"> and an individual</w:t>
          </w:r>
          <w:r w:rsidRPr="009E7223">
            <w:rPr>
              <w:rStyle w:val="FootnoteReference"/>
            </w:rPr>
            <w:footnoteReference w:id="454"/>
          </w:r>
          <w:r w:rsidRPr="009E7223">
            <w:t>)</w:t>
          </w:r>
          <w:r w:rsidR="003D24C5">
            <w:t>, and</w:t>
          </w:r>
        </w:p>
        <w:p w14:paraId="06F56C7D" w14:textId="6CC39A95" w:rsidR="00D76ACB" w:rsidRPr="009E7223" w:rsidRDefault="00D76ACB" w:rsidP="00D76ACB">
          <w:pPr>
            <w:pStyle w:val="List-BulletLvl1"/>
          </w:pPr>
          <w:r w:rsidRPr="009E7223">
            <w:t>Provide “</w:t>
          </w:r>
          <w:r w:rsidRPr="003D24C5">
            <w:rPr>
              <w:i/>
            </w:rPr>
            <w:t>an accurate picture of the harm associated with each product</w:t>
          </w:r>
          <w:r w:rsidRPr="009E7223">
            <w:t>” as the reporting data collected does not allow for the product to be scaled with respect to how significant the level of harm or priority is for the gambler (e.g. few gambling harm treatment clients identify Lotto as a significant source of harm, but there should be more recognition of Lotto as a widespread and growing influence, even if individual amounts are relatively low (one Service Provider</w:t>
          </w:r>
          <w:r w:rsidRPr="009E7223">
            <w:rPr>
              <w:rStyle w:val="FootnoteReference"/>
            </w:rPr>
            <w:footnoteReference w:id="455"/>
          </w:r>
          <w:r w:rsidRPr="009E7223">
            <w:t>)</w:t>
          </w:r>
          <w:r w:rsidR="009E7223" w:rsidRPr="009E7223">
            <w:t>)</w:t>
          </w:r>
          <w:r w:rsidRPr="009E7223">
            <w:t>.</w:t>
          </w:r>
        </w:p>
        <w:p w14:paraId="104F9EAD" w14:textId="77777777" w:rsidR="00D76ACB" w:rsidRPr="009E7223" w:rsidRDefault="00D76ACB" w:rsidP="00D76ACB">
          <w:pPr>
            <w:pStyle w:val="Heading4"/>
          </w:pPr>
          <w:r w:rsidRPr="009E7223">
            <w:t>The Lotto SOI forecast was considered a better way to determine expenditure</w:t>
          </w:r>
        </w:p>
        <w:p w14:paraId="59870D37" w14:textId="77777777" w:rsidR="00D76ACB" w:rsidRPr="009E7223" w:rsidRDefault="00D76ACB" w:rsidP="00D76ACB">
          <w:pPr>
            <w:pStyle w:val="BodyText"/>
          </w:pPr>
          <w:r w:rsidRPr="009E7223">
            <w:t>The Gambling Industry (other) submitter</w:t>
          </w:r>
          <w:r w:rsidRPr="009E7223">
            <w:rPr>
              <w:rStyle w:val="FootnoteReference"/>
            </w:rPr>
            <w:footnoteReference w:id="456"/>
          </w:r>
          <w:r w:rsidRPr="009E7223">
            <w:t xml:space="preserve"> did not explicitly consider that the player expenditure forecasts were unrealistic. It stated that the consultation document did not describe the method used by the DIA to develop the forecasts and that it was therefore unable to comment on the reasonableness of the approach. Instead, the submitter noted that the forecasts were significantly higher than the corresponding values from Lotto’s 2019-2022 Statement of Intent (SOI). Further, the submitter noted that the SOI forecasts were intended to reflect the best forecasts at the time, based on historical data, analysis of consumption trends and proposed future game changes. The submitter considered that it is important to determine an appropriate expenditure forecast, given that it directly impacts the levy rate. The submitter suggested that the Ministry adopted Lotto’s SOI forecast.</w:t>
          </w:r>
          <w:bookmarkStart w:id="97" w:name="_Toc430861753"/>
        </w:p>
        <w:p w14:paraId="2D12E3ED" w14:textId="77777777" w:rsidR="00D76ACB" w:rsidRPr="009E7223" w:rsidRDefault="00D76ACB" w:rsidP="00D76ACB">
          <w:pPr>
            <w:pStyle w:val="NumberedHeading2"/>
          </w:pPr>
          <w:bookmarkStart w:id="98" w:name="_Toc531098187"/>
          <w:r w:rsidRPr="009E7223">
            <w:t>The degree of support for the various weighting options</w:t>
          </w:r>
          <w:bookmarkEnd w:id="97"/>
          <w:bookmarkEnd w:id="98"/>
        </w:p>
        <w:p w14:paraId="48BED8FC" w14:textId="07618DD1" w:rsidR="00D76ACB" w:rsidRPr="009E7223" w:rsidRDefault="003D24C5" w:rsidP="00D76ACB">
          <w:pPr>
            <w:pStyle w:val="BodyText"/>
          </w:pPr>
          <w:r>
            <w:t>NCGM sector submitters</w:t>
          </w:r>
          <w:r w:rsidR="00E56B27">
            <w:t>,</w:t>
          </w:r>
          <w:r>
            <w:rPr>
              <w:rStyle w:val="FootnoteReference"/>
            </w:rPr>
            <w:footnoteReference w:id="457"/>
          </w:r>
          <w:r w:rsidR="00E56B27">
            <w:t xml:space="preserve"> Service Providers,</w:t>
          </w:r>
          <w:r w:rsidR="00E56B27">
            <w:rPr>
              <w:rStyle w:val="FootnoteReference"/>
            </w:rPr>
            <w:footnoteReference w:id="458"/>
          </w:r>
          <w:r w:rsidR="00E56B27">
            <w:t xml:space="preserve"> Local Government submitters,</w:t>
          </w:r>
          <w:r w:rsidR="00E56B27">
            <w:rPr>
              <w:rStyle w:val="FootnoteReference"/>
            </w:rPr>
            <w:footnoteReference w:id="459"/>
          </w:r>
          <w:r w:rsidR="00E56B27">
            <w:t xml:space="preserve"> Health sector submitters,</w:t>
          </w:r>
          <w:r w:rsidR="00E56B27">
            <w:rPr>
              <w:rStyle w:val="FootnoteReference"/>
            </w:rPr>
            <w:footnoteReference w:id="460"/>
          </w:r>
          <w:r w:rsidR="00E56B27">
            <w:t xml:space="preserve"> Gambling Industry (other) submitters,</w:t>
          </w:r>
          <w:r w:rsidR="00E56B27">
            <w:rPr>
              <w:rStyle w:val="FootnoteReference"/>
            </w:rPr>
            <w:footnoteReference w:id="461"/>
          </w:r>
          <w:r w:rsidR="00E56B27">
            <w:t xml:space="preserve"> - amounting to 36 submitters, </w:t>
          </w:r>
          <w:r w:rsidR="00D76ACB" w:rsidRPr="009E7223">
            <w:t>commented on the weighting of expenditure and presentations in the levy formula, most of whom represent gambling operators.</w:t>
          </w:r>
        </w:p>
        <w:p w14:paraId="5C9705E0" w14:textId="3ACDEACC" w:rsidR="00D76ACB" w:rsidRPr="009E7223" w:rsidRDefault="00E56B27" w:rsidP="00D76ACB">
          <w:pPr>
            <w:pStyle w:val="BodyText"/>
          </w:pPr>
          <w:r>
            <w:t>Twenty-five</w:t>
          </w:r>
          <w:r w:rsidR="00D76ACB" w:rsidRPr="009E7223">
            <w:t xml:space="preserve"> submitters expressed a preference for one of the pairs of weightings outlined in the consultation document.</w:t>
          </w:r>
        </w:p>
        <w:p w14:paraId="28C94369" w14:textId="77777777" w:rsidR="00D76ACB" w:rsidRPr="009E7223" w:rsidRDefault="00D76ACB" w:rsidP="00D76ACB">
          <w:pPr>
            <w:pStyle w:val="List-BulletLvl1"/>
          </w:pPr>
          <w:r w:rsidRPr="009E7223">
            <w:t>Seventeen submitters</w:t>
          </w:r>
          <w:r w:rsidRPr="009E7223">
            <w:rPr>
              <w:rStyle w:val="FootnoteReference"/>
            </w:rPr>
            <w:footnoteReference w:id="462"/>
          </w:r>
          <w:r w:rsidRPr="009E7223">
            <w:t xml:space="preserve"> (15 NCGM sector submitters, one Gambling Industry (other) submitter and one Service Provider) preferred the 30/70 weighting</w:t>
          </w:r>
        </w:p>
        <w:p w14:paraId="4C2BCF3D" w14:textId="77777777" w:rsidR="00D76ACB" w:rsidRPr="009E7223" w:rsidRDefault="00D76ACB" w:rsidP="00D76ACB">
          <w:pPr>
            <w:pStyle w:val="List-BulletLvl1"/>
          </w:pPr>
          <w:r w:rsidRPr="009E7223">
            <w:t>Five submitters</w:t>
          </w:r>
          <w:r w:rsidRPr="009E7223">
            <w:rPr>
              <w:rStyle w:val="FootnoteReference"/>
            </w:rPr>
            <w:footnoteReference w:id="463"/>
          </w:r>
          <w:r w:rsidRPr="009E7223">
            <w:t xml:space="preserve"> (four Gambling Industry (other) and one Local Government) preferred the 10/90 weighting</w:t>
          </w:r>
        </w:p>
        <w:p w14:paraId="47BA2490" w14:textId="77777777" w:rsidR="00D76ACB" w:rsidRPr="009E7223" w:rsidRDefault="00D76ACB" w:rsidP="00D76ACB">
          <w:pPr>
            <w:pStyle w:val="List-BulletLvl1"/>
          </w:pPr>
          <w:r w:rsidRPr="009E7223">
            <w:lastRenderedPageBreak/>
            <w:t>One Local Government submitter</w:t>
          </w:r>
          <w:r w:rsidRPr="009E7223">
            <w:rPr>
              <w:rStyle w:val="FootnoteReference"/>
            </w:rPr>
            <w:footnoteReference w:id="464"/>
          </w:r>
          <w:r w:rsidRPr="009E7223">
            <w:t xml:space="preserve"> and one Service Provider</w:t>
          </w:r>
          <w:r w:rsidRPr="009E7223">
            <w:rPr>
              <w:rStyle w:val="FootnoteReference"/>
            </w:rPr>
            <w:footnoteReference w:id="465"/>
          </w:r>
          <w:r w:rsidRPr="009E7223">
            <w:t xml:space="preserve"> expressed a preference for a weighting on presentation but had no preference between the 20/80 or the 30/70 weighting options, and</w:t>
          </w:r>
        </w:p>
        <w:p w14:paraId="4B197424" w14:textId="66E6E7EB" w:rsidR="00D76ACB" w:rsidRPr="009E7223" w:rsidRDefault="00D76ACB" w:rsidP="00D76ACB">
          <w:pPr>
            <w:pStyle w:val="List-BulletLvl1"/>
          </w:pPr>
          <w:r w:rsidRPr="009E7223">
            <w:t xml:space="preserve">One </w:t>
          </w:r>
          <w:r w:rsidR="009E7223" w:rsidRPr="009E7223">
            <w:t>Health sector submitter</w:t>
          </w:r>
          <w:r w:rsidRPr="009E7223">
            <w:rPr>
              <w:rStyle w:val="FootnoteReference"/>
            </w:rPr>
            <w:footnoteReference w:id="466"/>
          </w:r>
          <w:r w:rsidRPr="009E7223">
            <w:t xml:space="preserve"> preferred the 20/80 weighting (i.e., the weighting that the Ministry indicated may be appropriate).</w:t>
          </w:r>
        </w:p>
        <w:p w14:paraId="2A895C06" w14:textId="77777777" w:rsidR="00D76ACB" w:rsidRPr="009E7223" w:rsidRDefault="00D76ACB" w:rsidP="00D76ACB">
          <w:pPr>
            <w:pStyle w:val="BodyText"/>
          </w:pPr>
          <w:r w:rsidRPr="009E7223">
            <w:t>No submitters expressed a preference for the 5/95 weighting.</w:t>
          </w:r>
        </w:p>
        <w:p w14:paraId="729C2EF0" w14:textId="77777777" w:rsidR="00D76ACB" w:rsidRPr="009E7223" w:rsidRDefault="00D76ACB" w:rsidP="00D76ACB">
          <w:pPr>
            <w:pStyle w:val="BodyText"/>
          </w:pPr>
          <w:r w:rsidRPr="009E7223">
            <w:t>Three submitters suggested alternative weightings: two NCGM submitters</w:t>
          </w:r>
          <w:r w:rsidRPr="009E7223">
            <w:rPr>
              <w:rStyle w:val="FootnoteReference"/>
            </w:rPr>
            <w:footnoteReference w:id="467"/>
          </w:r>
          <w:r w:rsidRPr="009E7223">
            <w:t xml:space="preserve"> suggested a weighting of 100/0 (that is, 100 percent expenditure and no presentations data); one NCGM submitter</w:t>
          </w:r>
          <w:r w:rsidRPr="009E7223">
            <w:rPr>
              <w:rStyle w:val="FootnoteReference"/>
            </w:rPr>
            <w:footnoteReference w:id="468"/>
          </w:r>
          <w:r w:rsidRPr="009E7223">
            <w:t xml:space="preserve"> suggested an alternative weighting of 50/50.</w:t>
          </w:r>
        </w:p>
        <w:p w14:paraId="6CC1A871" w14:textId="77777777" w:rsidR="00D76ACB" w:rsidRPr="009E7223" w:rsidRDefault="00D76ACB" w:rsidP="00D76ACB">
          <w:pPr>
            <w:pStyle w:val="BodyText"/>
          </w:pPr>
          <w:r w:rsidRPr="009E7223">
            <w:t>Two Service Provider submitters</w:t>
          </w:r>
          <w:r w:rsidRPr="009E7223">
            <w:rPr>
              <w:rStyle w:val="FootnoteReference"/>
            </w:rPr>
            <w:footnoteReference w:id="469"/>
          </w:r>
          <w:r w:rsidRPr="009E7223">
            <w:t xml:space="preserve"> made other general comments about the levy weightings needing to reflect harm but did not express a preference for a specific weighting. </w:t>
          </w:r>
        </w:p>
        <w:p w14:paraId="5C67EF9C" w14:textId="77777777" w:rsidR="00D76ACB" w:rsidRPr="009E7223" w:rsidRDefault="00D76ACB" w:rsidP="00D76ACB">
          <w:pPr>
            <w:pStyle w:val="NumberedHeading3"/>
          </w:pPr>
          <w:bookmarkStart w:id="99" w:name="_Toc531098188"/>
          <w:r w:rsidRPr="009E7223">
            <w:t>The NCGM Sector and some Gambling Industry (other) submitters preferred the 30/70 weighting</w:t>
          </w:r>
          <w:bookmarkEnd w:id="99"/>
        </w:p>
        <w:p w14:paraId="1A60178E" w14:textId="77777777" w:rsidR="00D76ACB" w:rsidRPr="009E7223" w:rsidRDefault="00D76ACB" w:rsidP="00D76ACB">
          <w:pPr>
            <w:pStyle w:val="BodyText"/>
          </w:pPr>
          <w:r w:rsidRPr="009E7223">
            <w:t>Most submitters who commented on the weightings (17/25 submitters</w:t>
          </w:r>
          <w:r w:rsidRPr="009E7223">
            <w:rPr>
              <w:rStyle w:val="FootnoteReference"/>
            </w:rPr>
            <w:footnoteReference w:id="470"/>
          </w:r>
          <w:r w:rsidRPr="009E7223">
            <w:t>; 15 NCGM operators, one Service Provider, and one other Gambling Industry (other) submitter) preferred the 30/70 option.</w:t>
          </w:r>
        </w:p>
        <w:p w14:paraId="73745AEE" w14:textId="77777777" w:rsidR="00D76ACB" w:rsidRPr="009E7223" w:rsidRDefault="00D76ACB" w:rsidP="00D76ACB">
          <w:pPr>
            <w:pStyle w:val="BodyText"/>
          </w:pPr>
          <w:r w:rsidRPr="009E7223">
            <w:t>Submitters presented numerous reasons why they preferred a 30/70 weighting. Their reasons can be broadly categorised as either being a good fit with the intentions of the Act, or of 30/70 being a fairer, more equitable weighting.</w:t>
          </w:r>
        </w:p>
        <w:p w14:paraId="51D14D14" w14:textId="77777777" w:rsidR="00D76ACB" w:rsidRPr="009E7223" w:rsidRDefault="00D76ACB" w:rsidP="00D76ACB">
          <w:pPr>
            <w:pStyle w:val="Heading4"/>
          </w:pPr>
          <w:r w:rsidRPr="009E7223">
            <w:t>The 30/70 weighting was considered a good fit to the intentions of the Gambling Act</w:t>
          </w:r>
        </w:p>
        <w:p w14:paraId="6586D267" w14:textId="77777777" w:rsidR="00D76ACB" w:rsidRPr="009E7223" w:rsidRDefault="00D76ACB" w:rsidP="00D76ACB">
          <w:pPr>
            <w:pStyle w:val="BodyText"/>
          </w:pPr>
          <w:r w:rsidRPr="009E7223">
            <w:t>Nine NCGM sector submitters</w:t>
          </w:r>
          <w:r w:rsidRPr="009E7223">
            <w:rPr>
              <w:rStyle w:val="FootnoteReference"/>
            </w:rPr>
            <w:footnoteReference w:id="471"/>
          </w:r>
          <w:r w:rsidRPr="009E7223">
            <w:t xml:space="preserve"> noted that the 30/70 weighting was consistent with the definition of harm in the Gambling Act 2003. They noted that focusing on pathological gamblers was inconsistent with the broader definition of harm and does little to encourage early intervention and/or prevent escalation. This also ignored the fact that many problem gamblers have other pre-existing addictions and disorders.</w:t>
          </w:r>
        </w:p>
        <w:p w14:paraId="0042A6F8" w14:textId="77777777" w:rsidR="00D76ACB" w:rsidRPr="009E7223" w:rsidRDefault="00D76ACB" w:rsidP="00D76ACB">
          <w:pPr>
            <w:pStyle w:val="BodyText"/>
          </w:pPr>
          <w:r w:rsidRPr="009E7223">
            <w:t>Five NCGM sector submitters</w:t>
          </w:r>
          <w:r w:rsidRPr="009E7223">
            <w:rPr>
              <w:rStyle w:val="FootnoteReference"/>
            </w:rPr>
            <w:footnoteReference w:id="472"/>
          </w:r>
          <w:r w:rsidRPr="009E7223">
            <w:t xml:space="preserve"> commented that expenditure data is more accurate than presentation data, and therefore should have more weight accorded to it. Expenditure is an objective measure based on accurate data from all forms of gambling, while presentations are highly subjective and may only represent a small sub-section of gamblers.</w:t>
          </w:r>
          <w:r w:rsidRPr="009E7223">
            <w:rPr>
              <w:rStyle w:val="FootnoteReference"/>
            </w:rPr>
            <w:t xml:space="preserve"> </w:t>
          </w:r>
          <w:r w:rsidRPr="009E7223">
            <w:rPr>
              <w:rStyle w:val="FootnoteReference"/>
            </w:rPr>
            <w:footnoteReference w:id="473"/>
          </w:r>
        </w:p>
        <w:p w14:paraId="180C1AA3" w14:textId="77777777" w:rsidR="00D76ACB" w:rsidRPr="009E7223" w:rsidRDefault="00D76ACB" w:rsidP="00D76ACB">
          <w:pPr>
            <w:pStyle w:val="Heading4"/>
          </w:pPr>
          <w:r w:rsidRPr="009E7223">
            <w:t>The 30/70 weighting was considered fairer than other suggested weightings</w:t>
          </w:r>
        </w:p>
        <w:p w14:paraId="2366AEF1" w14:textId="77777777" w:rsidR="00D76ACB" w:rsidRPr="009E7223" w:rsidRDefault="00D76ACB" w:rsidP="00D76ACB">
          <w:pPr>
            <w:pStyle w:val="BodyText"/>
          </w:pPr>
          <w:r w:rsidRPr="009E7223">
            <w:t>Ten NCGM sector submitters</w:t>
          </w:r>
          <w:r w:rsidRPr="009E7223">
            <w:rPr>
              <w:rStyle w:val="FootnoteReference"/>
            </w:rPr>
            <w:footnoteReference w:id="474"/>
          </w:r>
          <w:r w:rsidRPr="009E7223">
            <w:t xml:space="preserve"> rejected a higher weighting on presentations because this punishes the proactive harm minimisation practice of actively encouraging people to seek help from treatment providers. They submitted that the 30/70 levy is less likely to see operators penalised for making proactive referrals to treatment providers, and it protects against adverse incentives.</w:t>
          </w:r>
        </w:p>
        <w:p w14:paraId="35521F96" w14:textId="2F34E677" w:rsidR="00D76ACB" w:rsidRPr="009E7223" w:rsidRDefault="00D76ACB" w:rsidP="00D76ACB">
          <w:pPr>
            <w:pStyle w:val="BodyText"/>
          </w:pPr>
          <w:r w:rsidRPr="009E7223">
            <w:lastRenderedPageBreak/>
            <w:t>Seven NCGM sector submitters</w:t>
          </w:r>
          <w:r w:rsidRPr="009E7223">
            <w:rPr>
              <w:rStyle w:val="FootnoteReference"/>
            </w:rPr>
            <w:footnoteReference w:id="475"/>
          </w:r>
          <w:r w:rsidRPr="009E7223">
            <w:t xml:space="preserve"> commented that a 30/70 weighting acknowledges that not all levy payments are spent on interventions, but that they also fund research and evaluation and public health measures. One of these submitters</w:t>
          </w:r>
          <w:r w:rsidRPr="009E7223">
            <w:rPr>
              <w:rStyle w:val="FootnoteReference"/>
            </w:rPr>
            <w:footnoteReference w:id="476"/>
          </w:r>
          <w:r w:rsidRPr="009E7223">
            <w:t xml:space="preserve"> also noted that the cost of general research and evaluation should be borne equally by all four of the major gambling operators, not mainly funded by the NCGM sector based on the number of people who report to the various treatment providers. One submitter</w:t>
          </w:r>
          <w:r w:rsidRPr="009E7223">
            <w:rPr>
              <w:rStyle w:val="FootnoteReference"/>
            </w:rPr>
            <w:footnoteReference w:id="477"/>
          </w:r>
          <w:r w:rsidRPr="009E7223">
            <w:t xml:space="preserve"> went onto say that the Lotteries Commission and the New Zealand Racing Board should pay a larger share of the online gambling research given that they have online gambling products and the NCGM sector does not.</w:t>
          </w:r>
        </w:p>
        <w:p w14:paraId="2A9286D9" w14:textId="53C8420F" w:rsidR="00D76ACB" w:rsidRPr="009E7223" w:rsidRDefault="00D76ACB" w:rsidP="00D76ACB">
          <w:pPr>
            <w:pStyle w:val="BodyText"/>
          </w:pPr>
          <w:r w:rsidRPr="009E7223">
            <w:t>Five NCGM sector submitters</w:t>
          </w:r>
          <w:r w:rsidRPr="009E7223">
            <w:rPr>
              <w:rStyle w:val="FootnoteReference"/>
            </w:rPr>
            <w:footnoteReference w:id="478"/>
          </w:r>
          <w:r w:rsidRPr="009E7223">
            <w:t xml:space="preserve"> considered the 30/70 weighting to be more reflective of a user pays model. The funding distribution was considered to provide high-quality services for the small number of acute problem gamblers, and </w:t>
          </w:r>
          <w:r w:rsidR="00D244EB">
            <w:t>to</w:t>
          </w:r>
          <w:r w:rsidRPr="009E7223">
            <w:t xml:space="preserve"> benefit the much larger number of people who have low or moderate gambling risk. This focus was </w:t>
          </w:r>
          <w:r w:rsidR="00D244EB">
            <w:t>considered</w:t>
          </w:r>
          <w:r w:rsidRPr="009E7223">
            <w:t xml:space="preserve"> appropriate due to the greater public benefit. Low and moderate-risk gamblers were considered to be captured by the expenditure data, as they regularly spend money on products, however they tend to not be captured by presentation data. All five submitters commented that adopting a weighting which has a higher expenditure ratio means that the bulk of people who benefit from the </w:t>
          </w:r>
          <w:r w:rsidR="009E7223" w:rsidRPr="009E7223">
            <w:t>S</w:t>
          </w:r>
          <w:r w:rsidRPr="009E7223">
            <w:t xml:space="preserve">trategy are the same people meeting the cost of the </w:t>
          </w:r>
          <w:r w:rsidR="009E7223" w:rsidRPr="009E7223">
            <w:t>S</w:t>
          </w:r>
          <w:r w:rsidRPr="009E7223">
            <w:t>trategy.</w:t>
          </w:r>
        </w:p>
        <w:p w14:paraId="524C0600" w14:textId="77777777" w:rsidR="00D76ACB" w:rsidRPr="009E7223" w:rsidRDefault="00D76ACB" w:rsidP="00D76ACB">
          <w:pPr>
            <w:pStyle w:val="BodyText"/>
          </w:pPr>
          <w:r w:rsidRPr="009E7223">
            <w:t>Four NCGM operators</w:t>
          </w:r>
          <w:r w:rsidRPr="009E7223">
            <w:rPr>
              <w:rStyle w:val="FootnoteReference"/>
            </w:rPr>
            <w:footnoteReference w:id="479"/>
          </w:r>
          <w:r w:rsidRPr="009E7223">
            <w:t xml:space="preserve"> noted that help-seeking behaviours (identified through increases in presentations) do not necessarily indicate that more people in general are suffering harm from that type of gambling. For example, in the NCGM sector, there has been an intense television and radio campaign encouraging NCGM gamblers to seek help, as well as improved training at NCGM venues, including a more proactive approach to referring players to treatment providers and more prominent and helpful problem gambling signage. This has resulted in more NCGM players presenting to treatment providers, although the total amount of players suffering from harm has not changed. One NCGM noted:</w:t>
          </w:r>
          <w:r w:rsidRPr="009E7223">
            <w:rPr>
              <w:rStyle w:val="FootnoteReference"/>
            </w:rPr>
            <w:footnoteReference w:id="480"/>
          </w:r>
        </w:p>
        <w:p w14:paraId="498F1FAA" w14:textId="77777777" w:rsidR="00D76ACB" w:rsidRPr="009E7223" w:rsidRDefault="00D76ACB" w:rsidP="00D76ACB">
          <w:pPr>
            <w:pStyle w:val="Quote"/>
          </w:pPr>
          <w:r w:rsidRPr="009E7223">
            <w:t>[Many] people who are suffering from low or moderate gambling harm from lottery products would never make the formal step of telephoning the gambling helpline and/or making an appointment to see a counsellor. … The presentation data therefore only tends to reflect the people who have a very serious level of gambling harm and are in crisis.</w:t>
          </w:r>
        </w:p>
        <w:p w14:paraId="12BEABA8" w14:textId="77777777" w:rsidR="00D76ACB" w:rsidRPr="009E7223" w:rsidRDefault="00D76ACB" w:rsidP="00D76ACB">
          <w:pPr>
            <w:pStyle w:val="BodyText"/>
          </w:pPr>
          <w:r w:rsidRPr="009E7223">
            <w:t>Three NCGM operators</w:t>
          </w:r>
          <w:r w:rsidRPr="009E7223">
            <w:rPr>
              <w:rStyle w:val="FootnoteReference"/>
            </w:rPr>
            <w:footnoteReference w:id="481"/>
          </w:r>
          <w:r w:rsidRPr="009E7223">
            <w:t xml:space="preserve"> commented that a weighting focused more on expenditure (rather than presentations) is appropriate given a changing gambling environment, for example, although the expenditure for NCGMs is increasing, the number of presentations is decreasing, and NCGM spending as a proportion of the overall expenditure is decreasing. One NCGM sector submitter</w:t>
          </w:r>
          <w:r w:rsidRPr="009E7223">
            <w:rPr>
              <w:rStyle w:val="FootnoteReference"/>
            </w:rPr>
            <w:footnoteReference w:id="482"/>
          </w:r>
          <w:r w:rsidRPr="009E7223">
            <w:t xml:space="preserve"> also noted the rise in harm minimisation trends that exist in the NCGM sector.</w:t>
          </w:r>
        </w:p>
        <w:p w14:paraId="37CBF8EA" w14:textId="6AF11CA7" w:rsidR="00D76ACB" w:rsidRPr="009E7223" w:rsidRDefault="00D76ACB" w:rsidP="00D76ACB">
          <w:pPr>
            <w:pStyle w:val="BodyText"/>
          </w:pPr>
          <w:r w:rsidRPr="009E7223">
            <w:t>Two NCGM sector submitters</w:t>
          </w:r>
          <w:r w:rsidRPr="009E7223">
            <w:rPr>
              <w:rStyle w:val="FootnoteReference"/>
            </w:rPr>
            <w:footnoteReference w:id="483"/>
          </w:r>
          <w:r w:rsidRPr="009E7223">
            <w:t xml:space="preserve"> commented that a 30/70 weighting would result in the NCGM sector paying a slightly reduced share of the total Strategy cost, and the New Zealand Lotteries Commission paying a slightly higher share. This was described as “</w:t>
          </w:r>
          <w:r w:rsidRPr="009E7223">
            <w:rPr>
              <w:i/>
            </w:rPr>
            <w:t>fair and appropriate</w:t>
          </w:r>
          <w:r w:rsidRPr="009E7223">
            <w:t>”,</w:t>
          </w:r>
          <w:r w:rsidRPr="009E7223">
            <w:rPr>
              <w:rStyle w:val="FootnoteReference"/>
            </w:rPr>
            <w:footnoteReference w:id="484"/>
          </w:r>
          <w:r w:rsidRPr="009E7223">
            <w:t xml:space="preserve"> as it </w:t>
          </w:r>
          <w:r w:rsidRPr="009E7223">
            <w:lastRenderedPageBreak/>
            <w:t>would reduce the share borne by the community gambling sector (no further explanation was offered for this view).</w:t>
          </w:r>
        </w:p>
        <w:p w14:paraId="2718FB48" w14:textId="77777777" w:rsidR="00D76ACB" w:rsidRPr="009E7223" w:rsidRDefault="00D76ACB" w:rsidP="00D76ACB">
          <w:pPr>
            <w:pStyle w:val="NumberedHeading3"/>
          </w:pPr>
          <w:bookmarkStart w:id="100" w:name="_Toc531098189"/>
          <w:r w:rsidRPr="009E7223">
            <w:t>Gambling Industry (other) submitters preferred the 10/90 weighting</w:t>
          </w:r>
          <w:bookmarkEnd w:id="100"/>
        </w:p>
        <w:p w14:paraId="046CBD92" w14:textId="77777777" w:rsidR="00D76ACB" w:rsidRPr="009E7223" w:rsidRDefault="00D76ACB" w:rsidP="00D76ACB">
          <w:pPr>
            <w:pStyle w:val="List-BulletLvl1"/>
            <w:numPr>
              <w:ilvl w:val="0"/>
              <w:numId w:val="0"/>
            </w:numPr>
          </w:pPr>
          <w:r w:rsidRPr="009E7223">
            <w:t>Four Gambling Industry (other) submitters (two casino operators</w:t>
          </w:r>
          <w:r w:rsidRPr="009E7223">
            <w:rPr>
              <w:rStyle w:val="FootnoteReference"/>
            </w:rPr>
            <w:footnoteReference w:id="485"/>
          </w:r>
          <w:r w:rsidRPr="009E7223">
            <w:t xml:space="preserve"> Lotto NZ</w:t>
          </w:r>
          <w:r w:rsidRPr="009E7223">
            <w:rPr>
              <w:rStyle w:val="FootnoteReference"/>
            </w:rPr>
            <w:footnoteReference w:id="486"/>
          </w:r>
          <w:r w:rsidRPr="009E7223">
            <w:t xml:space="preserve"> and the New Zealand Racing Board</w:t>
          </w:r>
          <w:r w:rsidRPr="009E7223">
            <w:rPr>
              <w:rStyle w:val="FootnoteReference"/>
            </w:rPr>
            <w:footnoteReference w:id="487"/>
          </w:r>
          <w:r w:rsidRPr="009E7223">
            <w:t>) and one Local Government submitter</w:t>
          </w:r>
          <w:r w:rsidRPr="009E7223">
            <w:rPr>
              <w:rStyle w:val="FootnoteReference"/>
            </w:rPr>
            <w:footnoteReference w:id="488"/>
          </w:r>
          <w:r w:rsidRPr="009E7223">
            <w:t xml:space="preserve"> favoured a 10/90 weighting. Several reasons were given for supporting the 10/90 weighting.</w:t>
          </w:r>
        </w:p>
        <w:p w14:paraId="5AB1374B" w14:textId="77777777" w:rsidR="00D76ACB" w:rsidRPr="009E7223" w:rsidRDefault="00D76ACB" w:rsidP="00D76ACB">
          <w:pPr>
            <w:pStyle w:val="Heading4"/>
          </w:pPr>
          <w:r w:rsidRPr="009E7223">
            <w:t>The 10/90 weighting was considered to accurately reflect contributors to gambling-related harm and more fairly apportion costs based on gambling activities that contribute to harm</w:t>
          </w:r>
        </w:p>
        <w:p w14:paraId="5BA32D5C" w14:textId="132974E9" w:rsidR="00D76ACB" w:rsidRPr="009E7223" w:rsidRDefault="00D76ACB" w:rsidP="00D76ACB">
          <w:pPr>
            <w:pStyle w:val="BodyText"/>
          </w:pPr>
          <w:r w:rsidRPr="009E7223">
            <w:t xml:space="preserve">In contrast to comments made by NCGM sector submitters in relation to the 30/70 weighting, </w:t>
          </w:r>
          <w:r w:rsidR="007939DB">
            <w:t>‘</w:t>
          </w:r>
          <w:r w:rsidR="007939DB" w:rsidRPr="009E7223">
            <w:t>presentations</w:t>
          </w:r>
          <w:r w:rsidR="007939DB">
            <w:t>’</w:t>
          </w:r>
          <w:r w:rsidR="007939DB" w:rsidRPr="009E7223">
            <w:t xml:space="preserve"> </w:t>
          </w:r>
          <w:r w:rsidR="007939DB">
            <w:t>we</w:t>
          </w:r>
          <w:r w:rsidR="007939DB" w:rsidRPr="009E7223">
            <w:t xml:space="preserve">re </w:t>
          </w:r>
          <w:r w:rsidR="007939DB">
            <w:t xml:space="preserve">considered to be </w:t>
          </w:r>
          <w:r w:rsidR="007939DB" w:rsidRPr="009E7223">
            <w:t>a relatively strong indicator of harm</w:t>
          </w:r>
          <w:r w:rsidR="007939DB">
            <w:t xml:space="preserve"> by </w:t>
          </w:r>
          <w:r w:rsidRPr="009E7223">
            <w:t>three Gambling Industry (other) submitters</w:t>
          </w:r>
          <w:r w:rsidRPr="009E7223">
            <w:rPr>
              <w:rStyle w:val="FootnoteReference"/>
            </w:rPr>
            <w:footnoteReference w:id="489"/>
          </w:r>
          <w:r w:rsidRPr="009E7223">
            <w:t xml:space="preserve"> and one Local Government submitter</w:t>
          </w:r>
          <w:r w:rsidR="007939DB">
            <w:t>.</w:t>
          </w:r>
          <w:r w:rsidRPr="009E7223">
            <w:rPr>
              <w:rStyle w:val="FootnoteReference"/>
            </w:rPr>
            <w:footnoteReference w:id="490"/>
          </w:r>
          <w:r w:rsidR="007939DB">
            <w:t xml:space="preserve"> </w:t>
          </w:r>
          <w:r w:rsidRPr="009E7223">
            <w:t>One Gambling Industry (other) submitter stated:</w:t>
          </w:r>
          <w:r w:rsidRPr="009E7223">
            <w:rPr>
              <w:rStyle w:val="FootnoteReference"/>
            </w:rPr>
            <w:footnoteReference w:id="491"/>
          </w:r>
        </w:p>
        <w:p w14:paraId="1E0FF898" w14:textId="77777777" w:rsidR="00D76ACB" w:rsidRPr="009E7223" w:rsidRDefault="00D76ACB" w:rsidP="00D76ACB">
          <w:pPr>
            <w:pStyle w:val="Quote"/>
          </w:pPr>
          <w:r w:rsidRPr="009E7223">
            <w:t>Since presentations are the best available longitudinal quantitative proxy for harm, attributing a 90% weighting to presentations is the only plausible way of ensuring a balanced and appropriate apportioning of the costs.</w:t>
          </w:r>
        </w:p>
        <w:p w14:paraId="65C08E59" w14:textId="3876CF29" w:rsidR="00D76ACB" w:rsidRPr="009E7223" w:rsidRDefault="00D76ACB" w:rsidP="00D76ACB">
          <w:pPr>
            <w:pStyle w:val="BodyText"/>
          </w:pPr>
          <w:r w:rsidRPr="009E7223">
            <w:t>Three Gambling Industry (other) submitters</w:t>
          </w:r>
          <w:r w:rsidRPr="009E7223">
            <w:rPr>
              <w:rStyle w:val="FootnoteReference"/>
            </w:rPr>
            <w:footnoteReference w:id="492"/>
          </w:r>
          <w:r w:rsidRPr="009E7223">
            <w:t xml:space="preserve"> considered that the 10/90 weighting more fairly apportions costs to those gambling activities that cause harm rather than where the money is spent and whether gambling activities result in less harm. The New Zealand Racing Board commented that the 10/90 weighting ensures that NCGMs, the form of gambling with “</w:t>
          </w:r>
          <w:r w:rsidRPr="007939DB">
            <w:rPr>
              <w:i/>
            </w:rPr>
            <w:t>the highest number and percentage of presentations</w:t>
          </w:r>
          <w:r w:rsidRPr="009E7223">
            <w:t>”, contributes the greatest amount.</w:t>
          </w:r>
          <w:r w:rsidRPr="009E7223">
            <w:rPr>
              <w:rStyle w:val="FootnoteReference"/>
            </w:rPr>
            <w:footnoteReference w:id="493"/>
          </w:r>
        </w:p>
        <w:p w14:paraId="2721CFD7" w14:textId="77777777" w:rsidR="00D76ACB" w:rsidRPr="009E7223" w:rsidRDefault="00D76ACB" w:rsidP="00D76ACB">
          <w:pPr>
            <w:pStyle w:val="List-BulletLvl1"/>
            <w:numPr>
              <w:ilvl w:val="0"/>
              <w:numId w:val="0"/>
            </w:numPr>
          </w:pPr>
          <w:r w:rsidRPr="009E7223">
            <w:rPr>
              <w:rStyle w:val="BodyTextChar"/>
            </w:rPr>
            <w:t>One Gambling Industry (other) submitter stated that:</w:t>
          </w:r>
          <w:r w:rsidRPr="009E7223">
            <w:rPr>
              <w:rStyle w:val="FootnoteReference"/>
            </w:rPr>
            <w:footnoteReference w:id="494"/>
          </w:r>
        </w:p>
        <w:p w14:paraId="572F26F9" w14:textId="77777777" w:rsidR="00D76ACB" w:rsidRPr="009E7223" w:rsidRDefault="00D76ACB" w:rsidP="00D76ACB">
          <w:pPr>
            <w:pStyle w:val="Quote"/>
          </w:pPr>
          <w:r w:rsidRPr="009E7223">
            <w:t>Each sector has a responsibility for funding the problem gambling strategy and its broad components and … apportioning the costs of the levy should be linked directly to the harm associated with each sector's gambling products.</w:t>
          </w:r>
        </w:p>
        <w:p w14:paraId="46F6FD51" w14:textId="77777777" w:rsidR="00D76ACB" w:rsidRPr="009E7223" w:rsidRDefault="00D76ACB" w:rsidP="00D76ACB">
          <w:pPr>
            <w:pStyle w:val="List-BulletLvl1"/>
            <w:numPr>
              <w:ilvl w:val="0"/>
              <w:numId w:val="0"/>
            </w:numPr>
          </w:pPr>
          <w:r w:rsidRPr="009E7223">
            <w:t>The New Zealand Racing Board also commented that a higher weighting on expenditure unfairly penalises the New Zealand Racing Board and the Lotteries Commission, both of which are responsible for less than half the share of presentations attributed to NCGMs.</w:t>
          </w:r>
          <w:r w:rsidRPr="009E7223">
            <w:rPr>
              <w:rStyle w:val="FootnoteReference"/>
            </w:rPr>
            <w:footnoteReference w:id="495"/>
          </w:r>
        </w:p>
        <w:p w14:paraId="0C60E49F" w14:textId="21EE5D83" w:rsidR="00D76ACB" w:rsidRPr="009E7223" w:rsidRDefault="00D76ACB" w:rsidP="00D76ACB">
          <w:pPr>
            <w:pStyle w:val="Heading4"/>
          </w:pPr>
          <w:r w:rsidRPr="009E7223">
            <w:t>The 10/90 weighting was considered to reflect and support harm reduction activities</w:t>
          </w:r>
        </w:p>
        <w:p w14:paraId="7C2F5337" w14:textId="77777777" w:rsidR="00D76ACB" w:rsidRPr="009E7223" w:rsidRDefault="00D76ACB" w:rsidP="00D76ACB">
          <w:pPr>
            <w:pStyle w:val="BodyText"/>
          </w:pPr>
          <w:r w:rsidRPr="009E7223">
            <w:t>Two Gambling Industry (other) submitters</w:t>
          </w:r>
          <w:r w:rsidRPr="009E7223">
            <w:rPr>
              <w:rStyle w:val="FootnoteReference"/>
            </w:rPr>
            <w:footnoteReference w:id="496"/>
          </w:r>
          <w:r w:rsidRPr="009E7223">
            <w:t xml:space="preserve"> commented that the 10/90 weighting better reflects the harm reduction activities of responsible operators who try to identify and help problem gamblers and it does not disincentivise this practice (or impact adversely on help-seeking behaviours). They noted that a higher weighting toward presentations reflects the goal of reducing harm from gambling, rather than addressing the amount spent by gamblers.</w:t>
          </w:r>
        </w:p>
        <w:p w14:paraId="3E9872AC" w14:textId="77777777" w:rsidR="00D76ACB" w:rsidRPr="009E7223" w:rsidRDefault="00D76ACB" w:rsidP="00D76ACB">
          <w:pPr>
            <w:pStyle w:val="BodyText"/>
          </w:pPr>
          <w:r w:rsidRPr="009E7223">
            <w:lastRenderedPageBreak/>
            <w:t>While those who supported the 30/70 weighting suggested that a higher weighting on presentations could create incentives against actively encouraging help-seeking behaviour, one Gambling Industry (other) submitter</w:t>
          </w:r>
          <w:r w:rsidRPr="009E7223">
            <w:rPr>
              <w:rStyle w:val="FootnoteReference"/>
            </w:rPr>
            <w:footnoteReference w:id="497"/>
          </w:r>
          <w:r w:rsidRPr="009E7223">
            <w:t xml:space="preserve"> (which preferred a 10/90 weighting) explained that a higher weighting on presentations provides an incentive for operators to ensure that prevention and minimisation programmes are effective.</w:t>
          </w:r>
        </w:p>
        <w:p w14:paraId="7973F68A" w14:textId="77777777" w:rsidR="00D76ACB" w:rsidRPr="009E7223" w:rsidRDefault="00D76ACB" w:rsidP="00D76ACB">
          <w:pPr>
            <w:pStyle w:val="Heading4"/>
          </w:pPr>
          <w:r w:rsidRPr="009E7223">
            <w:t>Lowering the weighting on presentations could exacerbate under-/over-recovery</w:t>
          </w:r>
        </w:p>
        <w:p w14:paraId="70C605F7" w14:textId="77777777" w:rsidR="00D76ACB" w:rsidRPr="009E7223" w:rsidRDefault="00D76ACB" w:rsidP="00D76ACB">
          <w:pPr>
            <w:pStyle w:val="BodyText"/>
          </w:pPr>
          <w:r w:rsidRPr="009E7223">
            <w:t>One Gambling Industry (other) submitter</w:t>
          </w:r>
          <w:r w:rsidRPr="009E7223">
            <w:rPr>
              <w:rStyle w:val="FootnoteReference"/>
            </w:rPr>
            <w:footnoteReference w:id="498"/>
          </w:r>
          <w:r w:rsidRPr="009E7223">
            <w:t xml:space="preserve"> was concerned that lowering the weighting on presentations would exacerbate the disparities in over and under-recovery, which it said showed that it had significantly overpaid in contrast to NCGMs and casinos.</w:t>
          </w:r>
        </w:p>
        <w:p w14:paraId="77DFBC0E" w14:textId="77777777" w:rsidR="00D76ACB" w:rsidRPr="009E7223" w:rsidRDefault="00D76ACB" w:rsidP="00D76ACB">
          <w:pPr>
            <w:pStyle w:val="Heading4"/>
          </w:pPr>
          <w:r w:rsidRPr="009E7223">
            <w:t>The consultation document provided insufficient reason to move away from the established weighting</w:t>
          </w:r>
        </w:p>
        <w:p w14:paraId="5D3E5181" w14:textId="77777777" w:rsidR="00D76ACB" w:rsidRPr="009E7223" w:rsidRDefault="00D76ACB" w:rsidP="00D76ACB">
          <w:pPr>
            <w:pStyle w:val="BodyText"/>
          </w:pPr>
          <w:r w:rsidRPr="009E7223">
            <w:t>Another Gambling Industry (other) submitter</w:t>
          </w:r>
          <w:r w:rsidRPr="009E7223">
            <w:rPr>
              <w:rStyle w:val="FootnoteReference"/>
            </w:rPr>
            <w:footnoteReference w:id="499"/>
          </w:r>
          <w:r w:rsidRPr="009E7223">
            <w:t xml:space="preserve"> said that presentations are a better proxy of the financial costs associated with the Strategic Direction, because many of the activities in the Strategic Direction provide more assistance to those with severe problems. Rather than reducing the weighting of presentations data, this submitter suggested a better solution would be to improve the quality of the data. Overall, this submitter did not consider that the consultation document had provided robust evidence to justify a move away from the existing weightings.</w:t>
          </w:r>
        </w:p>
        <w:p w14:paraId="3AC9BBC6" w14:textId="77777777" w:rsidR="00D76ACB" w:rsidRPr="009E7223" w:rsidRDefault="00D76ACB" w:rsidP="00D76ACB">
          <w:pPr>
            <w:pStyle w:val="NumberedHeading3"/>
          </w:pPr>
          <w:bookmarkStart w:id="101" w:name="_Toc531098190"/>
          <w:r w:rsidRPr="009E7223">
            <w:t>A Health sector submitter preferred the 20/80 weighting</w:t>
          </w:r>
          <w:bookmarkEnd w:id="101"/>
        </w:p>
        <w:p w14:paraId="683562B5" w14:textId="77777777" w:rsidR="00D76ACB" w:rsidRPr="009E7223" w:rsidRDefault="00D76ACB" w:rsidP="00D76ACB">
          <w:pPr>
            <w:pStyle w:val="BodyText"/>
          </w:pPr>
          <w:r w:rsidRPr="009E7223">
            <w:t>Only one Health sector submitter</w:t>
          </w:r>
          <w:r w:rsidRPr="009E7223">
            <w:rPr>
              <w:rStyle w:val="FootnoteReference"/>
            </w:rPr>
            <w:footnoteReference w:id="500"/>
          </w:r>
          <w:r w:rsidRPr="009E7223">
            <w:t xml:space="preserve"> expressed a preference for the 20/80 weighting. The reason for supporting this weighting was that the levy for NCGMs should remain over 80 percent, and due to the increase in Lotto products being purchased, it would be sensible to have a higher percentage there too. It was also noted that this weighting increases the percentage for the New Zealand Racing Board.</w:t>
          </w:r>
        </w:p>
        <w:p w14:paraId="6318BA67" w14:textId="77777777" w:rsidR="00D76ACB" w:rsidRPr="009E7223" w:rsidRDefault="00D76ACB" w:rsidP="00D76ACB">
          <w:pPr>
            <w:pStyle w:val="BodyText"/>
          </w:pPr>
          <w:r w:rsidRPr="009E7223">
            <w:t>While not explicitly preferring this option, one Service Provider</w:t>
          </w:r>
          <w:r w:rsidRPr="009E7223">
            <w:rPr>
              <w:rStyle w:val="FootnoteReference"/>
            </w:rPr>
            <w:footnoteReference w:id="501"/>
          </w:r>
          <w:r w:rsidRPr="009E7223">
            <w:t xml:space="preserve"> noted that the 10/90 weighting is based mostly on help-seeking presentations, and does not adequately cover the broad range of gambling related harm associated across the different sectors. </w:t>
          </w:r>
        </w:p>
        <w:p w14:paraId="46B3FCE6" w14:textId="15109CDB" w:rsidR="00D76ACB" w:rsidRPr="009E7223" w:rsidRDefault="00D76ACB" w:rsidP="00D76ACB">
          <w:pPr>
            <w:pStyle w:val="BodyText"/>
          </w:pPr>
          <w:r w:rsidRPr="009E7223">
            <w:t>One Local Government submitter</w:t>
          </w:r>
          <w:r w:rsidRPr="009E7223">
            <w:rPr>
              <w:rStyle w:val="FootnoteReference"/>
            </w:rPr>
            <w:footnoteReference w:id="502"/>
          </w:r>
          <w:r w:rsidRPr="009E7223">
            <w:t xml:space="preserve"> did not express a </w:t>
          </w:r>
          <w:r w:rsidR="00D244EB" w:rsidRPr="009E7223">
            <w:t>preference</w:t>
          </w:r>
          <w:r w:rsidRPr="009E7223">
            <w:t xml:space="preserve"> between the 30/70 and 20/80 weightings. </w:t>
          </w:r>
        </w:p>
        <w:p w14:paraId="01F9EA96" w14:textId="77777777" w:rsidR="00D76ACB" w:rsidRPr="009E7223" w:rsidRDefault="00D76ACB" w:rsidP="00D76ACB">
          <w:pPr>
            <w:pStyle w:val="NumberedHeading3"/>
          </w:pPr>
          <w:bookmarkStart w:id="102" w:name="_Toc531098191"/>
          <w:r w:rsidRPr="009E7223">
            <w:t>Alternative weighting options were suggested</w:t>
          </w:r>
          <w:bookmarkEnd w:id="102"/>
        </w:p>
        <w:p w14:paraId="6BA92699" w14:textId="77777777" w:rsidR="00D76ACB" w:rsidRPr="009E7223" w:rsidRDefault="00D76ACB" w:rsidP="00D76ACB">
          <w:pPr>
            <w:pStyle w:val="BodyText"/>
          </w:pPr>
          <w:r w:rsidRPr="009E7223">
            <w:t>Submitters were asked whether there were any other realistic pairs of expenditure/presentation weightings (W1 and W2) other than those discussed in the consultation document (Question 12).</w:t>
          </w:r>
        </w:p>
        <w:p w14:paraId="533ABEEF" w14:textId="77777777" w:rsidR="00D76ACB" w:rsidRPr="009E7223" w:rsidRDefault="00D76ACB" w:rsidP="00D76ACB">
          <w:pPr>
            <w:pStyle w:val="BodyText"/>
          </w:pPr>
          <w:r w:rsidRPr="009E7223">
            <w:t>Three submitters (two NCGM sector submitters and one Service Provider)</w:t>
          </w:r>
          <w:r w:rsidRPr="009E7223">
            <w:rPr>
              <w:rStyle w:val="FootnoteReference"/>
            </w:rPr>
            <w:footnoteReference w:id="503"/>
          </w:r>
          <w:r w:rsidRPr="009E7223">
            <w:t xml:space="preserve"> provided suggestions for alternative weightings:</w:t>
          </w:r>
        </w:p>
        <w:p w14:paraId="0FBBB144" w14:textId="77777777" w:rsidR="00D76ACB" w:rsidRPr="009E7223" w:rsidRDefault="00D76ACB" w:rsidP="00D76ACB">
          <w:pPr>
            <w:pStyle w:val="List-BulletLvl1"/>
          </w:pPr>
          <w:r w:rsidRPr="009E7223">
            <w:t>A 100/0 weighting: two NCGM sector submitters</w:t>
          </w:r>
          <w:r w:rsidRPr="009E7223">
            <w:rPr>
              <w:rStyle w:val="FootnoteReference"/>
            </w:rPr>
            <w:footnoteReference w:id="504"/>
          </w:r>
          <w:r w:rsidRPr="009E7223">
            <w:t xml:space="preserve"> thought that higher presentation numbers are positive, rather than negative, and that each gambling sector should be challenged to increase their presentation numbers, with the Ministry then advising </w:t>
          </w:r>
          <w:r w:rsidRPr="009E7223">
            <w:lastRenderedPageBreak/>
            <w:t xml:space="preserve">operators who show improvement that they will be rewarded with future regulatory concessions. Therefore, presentation numbers should not be included in the formula. </w:t>
          </w:r>
        </w:p>
        <w:p w14:paraId="2E8C3A65" w14:textId="77777777" w:rsidR="00D76ACB" w:rsidRPr="009E7223" w:rsidRDefault="00D76ACB" w:rsidP="00D76ACB">
          <w:pPr>
            <w:pStyle w:val="List-BulletLvl1"/>
            <w:rPr>
              <w:rStyle w:val="List-BulletLvl1Char"/>
            </w:rPr>
          </w:pPr>
          <w:r w:rsidRPr="009E7223">
            <w:t>A 50/50 weighting: o</w:t>
          </w:r>
          <w:r w:rsidRPr="009E7223">
            <w:rPr>
              <w:rStyle w:val="List-BulletLvl1Char"/>
            </w:rPr>
            <w:t>ne Service Provider</w:t>
          </w:r>
          <w:r w:rsidRPr="009E7223">
            <w:rPr>
              <w:rStyle w:val="List-BulletLvl1Char"/>
              <w:vertAlign w:val="superscript"/>
            </w:rPr>
            <w:footnoteReference w:id="505"/>
          </w:r>
          <w:r w:rsidRPr="009E7223">
            <w:rPr>
              <w:rStyle w:val="List-BulletLvl1Char"/>
            </w:rPr>
            <w:t xml:space="preserve"> thought that an expenditure weighting of closer to 50/50 would see all four gambling providers paying “</w:t>
          </w:r>
          <w:r w:rsidRPr="009E7223">
            <w:rPr>
              <w:rStyle w:val="List-BulletLvl1Char"/>
              <w:i/>
            </w:rPr>
            <w:t>a more equal share for the research into online gambling and the convergence between video games and gambling.</w:t>
          </w:r>
          <w:r w:rsidRPr="009E7223">
            <w:rPr>
              <w:rStyle w:val="List-BulletLvl1Char"/>
            </w:rPr>
            <w:t>” They explained that a low expenditure weighting results in the community gaming sector paying for over half the cost of the research, while a higher weighting on expenditure results in credit being given when venue staff ban high-spending problem gamblers and refer the gamblers to the treatment providers. The submitter considered that increasing the weighting on expenditure is appropriate, as the numbers are conclusive, while presentation numbers are more subjective. Presentation numbers rely on problem gamblers being honest about all their forms of gambling, including online gambling. Presentation numbers also rely on treatment providers being able to interpret and allocate the presentation information consistently, despite geographical spread and limited data input training.</w:t>
          </w:r>
        </w:p>
        <w:p w14:paraId="54A9137A" w14:textId="77777777" w:rsidR="00D76ACB" w:rsidRPr="009E7223" w:rsidRDefault="00D76ACB" w:rsidP="00D76ACB">
          <w:pPr>
            <w:pStyle w:val="NumberedHeading3"/>
          </w:pPr>
          <w:bookmarkStart w:id="103" w:name="_Ref527102876"/>
          <w:bookmarkStart w:id="104" w:name="_Toc531098192"/>
          <w:r w:rsidRPr="009E7223">
            <w:t>Other comments about weightings</w:t>
          </w:r>
          <w:bookmarkEnd w:id="103"/>
          <w:r w:rsidRPr="009E7223">
            <w:t xml:space="preserve"> were made</w:t>
          </w:r>
          <w:bookmarkEnd w:id="104"/>
        </w:p>
        <w:p w14:paraId="755D008A" w14:textId="77777777" w:rsidR="00D76ACB" w:rsidRPr="009E7223" w:rsidRDefault="00D76ACB" w:rsidP="00D76ACB">
          <w:pPr>
            <w:pStyle w:val="BodyText"/>
          </w:pPr>
          <w:r w:rsidRPr="009E7223">
            <w:t>Two submitters made more general comments about the pairs of weightings:</w:t>
          </w:r>
        </w:p>
        <w:p w14:paraId="0BEAAA71" w14:textId="77777777" w:rsidR="00D76ACB" w:rsidRPr="009E7223" w:rsidRDefault="00D76ACB" w:rsidP="00D76ACB">
          <w:pPr>
            <w:pStyle w:val="List-BulletLvl1"/>
          </w:pPr>
          <w:r w:rsidRPr="009E7223">
            <w:t>One Service Provider</w:t>
          </w:r>
          <w:r w:rsidRPr="009E7223">
            <w:rPr>
              <w:rStyle w:val="FootnoteReference"/>
            </w:rPr>
            <w:footnoteReference w:id="506"/>
          </w:r>
          <w:r w:rsidRPr="009E7223">
            <w:t xml:space="preserve"> stated that it preferred the weighting which produces the most amount of funding for frontline services. It noted that the presentations calculation is merely a calculation, and does nothing to quantify the level of gambling harm seen in communities. </w:t>
          </w:r>
        </w:p>
        <w:p w14:paraId="449971B7" w14:textId="77777777" w:rsidR="00D76ACB" w:rsidRPr="009E7223" w:rsidRDefault="00D76ACB" w:rsidP="00D76ACB">
          <w:pPr>
            <w:pStyle w:val="List-BulletLvl1"/>
          </w:pPr>
          <w:r w:rsidRPr="009E7223">
            <w:t>A Gambling Industry (other) submitter</w:t>
          </w:r>
          <w:r w:rsidRPr="009E7223">
            <w:rPr>
              <w:rStyle w:val="FootnoteReference"/>
            </w:rPr>
            <w:footnoteReference w:id="507"/>
          </w:r>
          <w:r w:rsidRPr="009E7223">
            <w:t xml:space="preserve"> stated that the weightings were difficult to analyse without further research.</w:t>
          </w:r>
        </w:p>
        <w:p w14:paraId="4DAC49F4" w14:textId="6DA2F6E8" w:rsidR="00D76ACB" w:rsidRPr="009E7223" w:rsidRDefault="00D76ACB" w:rsidP="00D76ACB">
          <w:pPr>
            <w:pStyle w:val="BodyText"/>
          </w:pPr>
          <w:r w:rsidRPr="009E7223">
            <w:t>One Service Provider</w:t>
          </w:r>
          <w:r w:rsidRPr="009E7223">
            <w:rPr>
              <w:rStyle w:val="FootnoteReference"/>
            </w:rPr>
            <w:footnoteReference w:id="508"/>
          </w:r>
          <w:r w:rsidRPr="009E7223">
            <w:t xml:space="preserve"> commented that the formula equated presentations to problem gambling services with harm from gambling, which was not considered a true public health approach. </w:t>
          </w:r>
          <w:r w:rsidR="00D244EB" w:rsidRPr="009E7223">
            <w:t>Most</w:t>
          </w:r>
          <w:r w:rsidRPr="009E7223">
            <w:t xml:space="preserve"> people harmed by gambling do not present for treatment. This includes problem gamblers, gamblers who are moderate- or low-risk but still experiencing some type of harm, and others affected by the gambling of someone close to them, such as friends or whānau.</w:t>
          </w:r>
        </w:p>
        <w:p w14:paraId="659DF2A0" w14:textId="77777777" w:rsidR="00D76ACB" w:rsidRPr="009E7223" w:rsidRDefault="00D76ACB" w:rsidP="00D76ACB">
          <w:pPr>
            <w:pStyle w:val="NumberedHeading2"/>
          </w:pPr>
          <w:bookmarkStart w:id="105" w:name="_Toc531098193"/>
          <w:bookmarkEnd w:id="95"/>
          <w:r w:rsidRPr="009E7223">
            <w:t>The degree of support for the levy rates</w:t>
          </w:r>
          <w:bookmarkEnd w:id="105"/>
        </w:p>
        <w:p w14:paraId="7771CDEC" w14:textId="77777777" w:rsidR="00D76ACB" w:rsidRPr="009E7223" w:rsidRDefault="00D76ACB" w:rsidP="00D76ACB">
          <w:pPr>
            <w:pStyle w:val="BodyText"/>
          </w:pPr>
          <w:r w:rsidRPr="009E7223">
            <w:t>Fifteen submitters (seven NCGM sector submitters, four Service Providers, two Gambling Industry (other) submitters, one Local Government submitter and one Health sector submitter)</w:t>
          </w:r>
          <w:r w:rsidRPr="009E7223">
            <w:rPr>
              <w:rStyle w:val="FootnoteReference"/>
            </w:rPr>
            <w:footnoteReference w:id="509"/>
          </w:r>
          <w:r w:rsidRPr="009E7223">
            <w:t xml:space="preserve"> commented on the various estimated levy rates for each of the levy-paying gambling sectors. </w:t>
          </w:r>
        </w:p>
        <w:p w14:paraId="63F5C2DB" w14:textId="77777777" w:rsidR="00D76ACB" w:rsidRPr="009E7223" w:rsidRDefault="00D76ACB" w:rsidP="00D76ACB">
          <w:pPr>
            <w:pStyle w:val="BodyText"/>
          </w:pPr>
          <w:r w:rsidRPr="009E7223">
            <w:t>Thirteen of these submitters (six NCGM sector submitters, four Service Providers, one Gambling Industry (other) submitters, one Local, Government submitter and one Health sector submitter)</w:t>
          </w:r>
          <w:r w:rsidRPr="009E7223">
            <w:rPr>
              <w:rStyle w:val="FootnoteReference"/>
            </w:rPr>
            <w:footnoteReference w:id="510"/>
          </w:r>
          <w:r w:rsidRPr="009E7223">
            <w:t xml:space="preserve"> commented on the gambling levy in relation to specific gambling sectors. Some of these submitters made more than one comment in relation to differential levy rates.</w:t>
          </w:r>
        </w:p>
        <w:p w14:paraId="66412997" w14:textId="77777777" w:rsidR="00D76ACB" w:rsidRPr="009E7223" w:rsidRDefault="00D76ACB" w:rsidP="00D76ACB">
          <w:pPr>
            <w:pStyle w:val="BodyText"/>
          </w:pPr>
          <w:r w:rsidRPr="009E7223">
            <w:lastRenderedPageBreak/>
            <w:t>Two submitters</w:t>
          </w:r>
          <w:r w:rsidRPr="009E7223">
            <w:rPr>
              <w:rStyle w:val="FootnoteReference"/>
            </w:rPr>
            <w:footnoteReference w:id="511"/>
          </w:r>
          <w:r w:rsidRPr="009E7223">
            <w:t xml:space="preserve"> (one Health sector, one Service Provider) merely stated that levy rates should reflect the level of harm associated with each type of gambling activity, without offering further comment.</w:t>
          </w:r>
        </w:p>
        <w:p w14:paraId="6CE5847B" w14:textId="5D54DCB2" w:rsidR="00D76ACB" w:rsidRPr="009E7223" w:rsidRDefault="00AD2D3A" w:rsidP="00D76ACB">
          <w:pPr>
            <w:pStyle w:val="NumberedHeading3"/>
          </w:pPr>
          <w:bookmarkStart w:id="106" w:name="_Toc531098194"/>
          <w:r>
            <w:t xml:space="preserve">The </w:t>
          </w:r>
          <w:r w:rsidR="00D76ACB" w:rsidRPr="009E7223">
            <w:t>use of presentation data in the levy formula</w:t>
          </w:r>
          <w:r>
            <w:t xml:space="preserve"> is contested by </w:t>
          </w:r>
          <w:r w:rsidRPr="009E7223">
            <w:t>NCGM sector and Service Provider submitters</w:t>
          </w:r>
          <w:bookmarkEnd w:id="106"/>
        </w:p>
        <w:p w14:paraId="3C1861D6" w14:textId="77777777" w:rsidR="00D76ACB" w:rsidRPr="009E7223" w:rsidRDefault="00D76ACB" w:rsidP="00D76ACB">
          <w:pPr>
            <w:pStyle w:val="Heading4"/>
          </w:pPr>
          <w:r w:rsidRPr="009E7223">
            <w:t>Presentation data was inaccurate and too unreliable for inclusion in the levy rate calculation</w:t>
          </w:r>
        </w:p>
        <w:p w14:paraId="0E6E3207" w14:textId="77777777" w:rsidR="00D76ACB" w:rsidRPr="009E7223" w:rsidRDefault="00D76ACB" w:rsidP="00D76ACB">
          <w:pPr>
            <w:pStyle w:val="BodyText"/>
          </w:pPr>
          <w:r w:rsidRPr="009E7223">
            <w:t>Four NCGM sector submitters</w:t>
          </w:r>
          <w:r w:rsidRPr="009E7223">
            <w:rPr>
              <w:rStyle w:val="FootnoteReference"/>
            </w:rPr>
            <w:footnoteReference w:id="512"/>
          </w:r>
          <w:r w:rsidRPr="009E7223">
            <w:t xml:space="preserve"> commented that the NCGM sector’s levy share should not be based predominantly on the presentation numbers, as presentation numbers can be inconsistent, and vary based on factors such as:</w:t>
          </w:r>
        </w:p>
        <w:p w14:paraId="3481DD82" w14:textId="50863405" w:rsidR="00D76ACB" w:rsidRPr="009E7223" w:rsidRDefault="009E7223" w:rsidP="00D76ACB">
          <w:pPr>
            <w:pStyle w:val="List-BulletLvl2"/>
          </w:pPr>
          <w:r w:rsidRPr="009E7223">
            <w:t>H</w:t>
          </w:r>
          <w:r w:rsidR="00D76ACB" w:rsidRPr="009E7223">
            <w:t>ow the treatment provider asks questions</w:t>
          </w:r>
        </w:p>
        <w:p w14:paraId="751B8915" w14:textId="47867DF4" w:rsidR="00D76ACB" w:rsidRPr="009E7223" w:rsidRDefault="009E7223" w:rsidP="00D76ACB">
          <w:pPr>
            <w:pStyle w:val="List-BulletLvl2"/>
          </w:pPr>
          <w:r w:rsidRPr="009E7223">
            <w:t>T</w:t>
          </w:r>
          <w:r w:rsidR="00D76ACB" w:rsidRPr="009E7223">
            <w:t>he honesty of the gambler</w:t>
          </w:r>
        </w:p>
        <w:p w14:paraId="3C66E80F" w14:textId="0D9AE730" w:rsidR="00D76ACB" w:rsidRPr="009E7223" w:rsidRDefault="009E7223" w:rsidP="00D76ACB">
          <w:pPr>
            <w:pStyle w:val="List-BulletLvl2"/>
          </w:pPr>
          <w:r w:rsidRPr="009E7223">
            <w:t>B</w:t>
          </w:r>
          <w:r w:rsidR="00D76ACB" w:rsidRPr="009E7223">
            <w:t>ias against NCGM by the treatment providers</w:t>
          </w:r>
        </w:p>
        <w:p w14:paraId="52E163FC" w14:textId="0AA3E559" w:rsidR="00D76ACB" w:rsidRPr="009E7223" w:rsidRDefault="009E7223" w:rsidP="00D76ACB">
          <w:pPr>
            <w:pStyle w:val="List-BulletLvl2"/>
          </w:pPr>
          <w:r w:rsidRPr="009E7223">
            <w:t>H</w:t>
          </w:r>
          <w:r w:rsidR="00D76ACB" w:rsidRPr="009E7223">
            <w:t xml:space="preserve">elp-seeking advertising, and </w:t>
          </w:r>
        </w:p>
        <w:p w14:paraId="2BC5A0E7" w14:textId="4CA230B1" w:rsidR="00D76ACB" w:rsidRPr="009E7223" w:rsidRDefault="009E7223" w:rsidP="00D76ACB">
          <w:pPr>
            <w:pStyle w:val="List-BulletLvl2"/>
          </w:pPr>
          <w:r w:rsidRPr="009E7223">
            <w:t>D</w:t>
          </w:r>
          <w:r w:rsidR="00D76ACB" w:rsidRPr="009E7223">
            <w:t>iligence of staff.</w:t>
          </w:r>
        </w:p>
        <w:p w14:paraId="228586ED" w14:textId="77C8FA48" w:rsidR="00D76ACB" w:rsidRPr="009E7223" w:rsidRDefault="00D76ACB" w:rsidP="00D76ACB">
          <w:pPr>
            <w:pStyle w:val="BodyText"/>
          </w:pPr>
          <w:r w:rsidRPr="009E7223">
            <w:t>A Service Provider</w:t>
          </w:r>
          <w:r w:rsidRPr="009E7223">
            <w:rPr>
              <w:rStyle w:val="FootnoteReference"/>
            </w:rPr>
            <w:footnoteReference w:id="513"/>
          </w:r>
          <w:r w:rsidRPr="009E7223">
            <w:t xml:space="preserve"> also commented that presentations are not an accurate representation of gambling harm, as they often underestimate the number of people that are seeking or need clinical services. This submitter considered that dropping the levy is not a good response to a reduction in presentations. The submitter suggested redirecting funding to Māori specific clinical and public health services, given that Māori are over-represented in gambling harm statistics, and having broader conversations around collaboration between public health and clinical services to help fill gaps in meeting client needs.</w:t>
          </w:r>
        </w:p>
        <w:p w14:paraId="7795F48E" w14:textId="77777777" w:rsidR="00D76ACB" w:rsidRPr="009E7223" w:rsidRDefault="00D76ACB" w:rsidP="00D76ACB">
          <w:pPr>
            <w:pStyle w:val="NumberedHeading3"/>
          </w:pPr>
          <w:bookmarkStart w:id="107" w:name="_Toc531098195"/>
          <w:r w:rsidRPr="009E7223">
            <w:t>There is some support for increased complexity in levy setting for the NCGM sector</w:t>
          </w:r>
          <w:bookmarkEnd w:id="107"/>
        </w:p>
        <w:p w14:paraId="4ED3F035" w14:textId="77777777" w:rsidR="00D76ACB" w:rsidRPr="009E7223" w:rsidRDefault="00D76ACB" w:rsidP="00D76ACB">
          <w:pPr>
            <w:pStyle w:val="BodyText"/>
          </w:pPr>
          <w:r w:rsidRPr="009E7223">
            <w:t>Submitters from the NCGM sector, Local Government, Service Provider sectors considered that NCGM levy rates should be specific in some way.</w:t>
          </w:r>
        </w:p>
        <w:p w14:paraId="33B30E93" w14:textId="77777777" w:rsidR="00D76ACB" w:rsidRPr="009E7223" w:rsidRDefault="00D76ACB" w:rsidP="00D76ACB">
          <w:pPr>
            <w:pStyle w:val="Heading4"/>
          </w:pPr>
          <w:r w:rsidRPr="009E7223">
            <w:t>NCGM clubs are responsible for less harm than the commercial NCGM sector</w:t>
          </w:r>
        </w:p>
        <w:p w14:paraId="7742F7C3" w14:textId="77777777" w:rsidR="00D76ACB" w:rsidRPr="009E7223" w:rsidRDefault="00D76ACB" w:rsidP="00D76ACB">
          <w:pPr>
            <w:pStyle w:val="BodyText"/>
          </w:pPr>
          <w:r w:rsidRPr="009E7223">
            <w:t>One NCGM sector submitter</w:t>
          </w:r>
          <w:r w:rsidRPr="009E7223">
            <w:rPr>
              <w:rStyle w:val="FootnoteReference"/>
            </w:rPr>
            <w:footnoteReference w:id="514"/>
          </w:r>
          <w:r w:rsidRPr="009E7223">
            <w:t xml:space="preserve"> commented that the club NCGM sector is responsible for less harm than the commercial NCGM sector. Therefore, this submitter considers that the club sector should have its own separate category, and only be responsible for meeting the costs of the presentations that come from the club sector.</w:t>
          </w:r>
        </w:p>
        <w:p w14:paraId="5F27F64A" w14:textId="77777777" w:rsidR="00D76ACB" w:rsidRPr="009E7223" w:rsidRDefault="00D76ACB" w:rsidP="00D76ACB">
          <w:pPr>
            <w:pStyle w:val="Heading4"/>
          </w:pPr>
          <w:r w:rsidRPr="009E7223">
            <w:t>Improved harm minimisation practices should be reflected in a reduced levy</w:t>
          </w:r>
        </w:p>
        <w:p w14:paraId="1B2057DE" w14:textId="7C20BA78" w:rsidR="00D76ACB" w:rsidRPr="009E7223" w:rsidRDefault="00D76ACB" w:rsidP="00D76ACB">
          <w:pPr>
            <w:pStyle w:val="BodyText"/>
          </w:pPr>
          <w:r w:rsidRPr="009E7223">
            <w:t>Another NCGM sector submitter</w:t>
          </w:r>
          <w:r w:rsidRPr="009E7223">
            <w:rPr>
              <w:rStyle w:val="FootnoteReference"/>
            </w:rPr>
            <w:footnoteReference w:id="515"/>
          </w:r>
          <w:r w:rsidRPr="009E7223">
            <w:t xml:space="preserve"> submitted that there have been </w:t>
          </w:r>
          <w:r w:rsidR="00D244EB" w:rsidRPr="009E7223">
            <w:t>several</w:t>
          </w:r>
          <w:r w:rsidRPr="009E7223">
            <w:t xml:space="preserve"> positive changes from a harm minimisation perspective in the sector over the last three years, and that this should be reflected in a reduced levy.</w:t>
          </w:r>
        </w:p>
        <w:p w14:paraId="42D7911A" w14:textId="77777777" w:rsidR="00D76ACB" w:rsidRPr="009E7223" w:rsidRDefault="00D76ACB" w:rsidP="00D76ACB">
          <w:pPr>
            <w:pStyle w:val="Heading4"/>
          </w:pPr>
          <w:r w:rsidRPr="009E7223">
            <w:lastRenderedPageBreak/>
            <w:t>Public benefit from community grants should be recognised</w:t>
          </w:r>
        </w:p>
        <w:p w14:paraId="62E667C9" w14:textId="246C327A" w:rsidR="00D76ACB" w:rsidRPr="009E7223" w:rsidRDefault="00D76ACB" w:rsidP="00D76ACB">
          <w:pPr>
            <w:pStyle w:val="BodyText"/>
          </w:pPr>
          <w:r w:rsidRPr="009E7223">
            <w:t>A third NCGM sector submitter</w:t>
          </w:r>
          <w:r w:rsidRPr="009E7223">
            <w:rPr>
              <w:rStyle w:val="FootnoteReference"/>
            </w:rPr>
            <w:footnoteReference w:id="516"/>
          </w:r>
          <w:r w:rsidRPr="009E7223">
            <w:t xml:space="preserve"> </w:t>
          </w:r>
          <w:r w:rsidR="009E7223" w:rsidRPr="009E7223">
            <w:t xml:space="preserve">suggested </w:t>
          </w:r>
          <w:r w:rsidRPr="009E7223">
            <w:t xml:space="preserve">that </w:t>
          </w:r>
          <w:r w:rsidR="007262EA">
            <w:t xml:space="preserve">some </w:t>
          </w:r>
          <w:r w:rsidRPr="009E7223">
            <w:t xml:space="preserve">gambling </w:t>
          </w:r>
          <w:r w:rsidR="007939DB">
            <w:t>modes</w:t>
          </w:r>
          <w:r w:rsidRPr="009E7223">
            <w:t xml:space="preserve"> </w:t>
          </w:r>
          <w:r w:rsidR="007262EA">
            <w:t xml:space="preserve">should pay a lower levy because of the public good [form community grant] that </w:t>
          </w:r>
          <w:r w:rsidR="009E7223" w:rsidRPr="009E7223">
            <w:t xml:space="preserve">they consider </w:t>
          </w:r>
          <w:r w:rsidRPr="009E7223">
            <w:t>offset</w:t>
          </w:r>
          <w:r w:rsidR="0092539A">
            <w:t>s</w:t>
          </w:r>
          <w:r w:rsidRPr="009E7223">
            <w:t xml:space="preserve"> the harm associated with gambling</w:t>
          </w:r>
          <w:r w:rsidR="007262EA">
            <w:t>.</w:t>
          </w:r>
        </w:p>
        <w:p w14:paraId="3C2885F4" w14:textId="77777777" w:rsidR="00D76ACB" w:rsidRPr="009E7223" w:rsidRDefault="00D76ACB" w:rsidP="00D76ACB">
          <w:pPr>
            <w:pStyle w:val="Heading4"/>
          </w:pPr>
          <w:r w:rsidRPr="009E7223">
            <w:t>Problem gambling from NCGM is relatively quick and easy to treat (compared with other gambling types), which should be reflected in a reduced levy</w:t>
          </w:r>
        </w:p>
        <w:p w14:paraId="79A7A5BF" w14:textId="746A390B" w:rsidR="00D76ACB" w:rsidRPr="009E7223" w:rsidRDefault="00D76ACB" w:rsidP="00D76ACB">
          <w:pPr>
            <w:pStyle w:val="BodyText"/>
          </w:pPr>
          <w:r w:rsidRPr="009E7223">
            <w:t>A fourth NCGM sector submitter</w:t>
          </w:r>
          <w:r w:rsidRPr="009E7223">
            <w:rPr>
              <w:rStyle w:val="FootnoteReference"/>
            </w:rPr>
            <w:footnoteReference w:id="517"/>
          </w:r>
          <w:r w:rsidRPr="009E7223">
            <w:t xml:space="preserve"> commented that evidence suggests that although NCGM problem gambling is a serious issue, once it is identified and help is sought, it can be effectively treated, whereas problem gambling from other forms may be more complex and expensive to treat. </w:t>
          </w:r>
          <w:r w:rsidR="00D244EB" w:rsidRPr="009E7223">
            <w:t>Therefore,</w:t>
          </w:r>
          <w:r w:rsidRPr="009E7223">
            <w:t xml:space="preserve"> the levy for NCGM operators should be lower, as treatment costs are comparatively less.</w:t>
          </w:r>
        </w:p>
        <w:p w14:paraId="2F8E94DC" w14:textId="77777777" w:rsidR="00D76ACB" w:rsidRPr="009E7223" w:rsidRDefault="00D76ACB" w:rsidP="00D76ACB">
          <w:pPr>
            <w:pStyle w:val="Heading4"/>
          </w:pPr>
          <w:r w:rsidRPr="009E7223">
            <w:t>A differential rate should be applied to NCGMs in high and low socioeconomic areas</w:t>
          </w:r>
        </w:p>
        <w:p w14:paraId="0BF19B29" w14:textId="77777777" w:rsidR="00D76ACB" w:rsidRPr="009E7223" w:rsidRDefault="00D76ACB" w:rsidP="00D76ACB">
          <w:pPr>
            <w:pStyle w:val="BodyText"/>
          </w:pPr>
          <w:r w:rsidRPr="009E7223">
            <w:t>A Local Government submitter</w:t>
          </w:r>
          <w:r w:rsidRPr="009E7223">
            <w:rPr>
              <w:rStyle w:val="FootnoteReference"/>
            </w:rPr>
            <w:footnoteReference w:id="518"/>
          </w:r>
          <w:r w:rsidRPr="009E7223">
            <w:t xml:space="preserve"> recommended that a differential between NCGMs within higher and lower socioeconomic areas be included within the problem gambling levy. This submitter did not comment further.</w:t>
          </w:r>
        </w:p>
        <w:p w14:paraId="4EDA2233" w14:textId="77777777" w:rsidR="00D76ACB" w:rsidRPr="009E7223" w:rsidRDefault="00D76ACB" w:rsidP="00D76ACB">
          <w:pPr>
            <w:pStyle w:val="Heading4"/>
          </w:pPr>
          <w:r w:rsidRPr="009E7223">
            <w:t>NCGM gambling causes more harm than other sectors, which should be taken into account</w:t>
          </w:r>
        </w:p>
        <w:p w14:paraId="215EE21C" w14:textId="77777777" w:rsidR="00D76ACB" w:rsidRPr="009E7223" w:rsidRDefault="00D76ACB" w:rsidP="00D76ACB">
          <w:pPr>
            <w:pStyle w:val="BodyText"/>
          </w:pPr>
          <w:r w:rsidRPr="009E7223">
            <w:t>Finally, in contrast to the comments from NCGM providers, a Service Provider</w:t>
          </w:r>
          <w:r w:rsidRPr="009E7223">
            <w:rPr>
              <w:rStyle w:val="FootnoteReference"/>
            </w:rPr>
            <w:footnoteReference w:id="519"/>
          </w:r>
          <w:r w:rsidRPr="009E7223">
            <w:t xml:space="preserve"> submitted that NCGMs create more harm that other forms of gambling, and this should be taken into consideration, as opposed to the expenditure/player presentation to problem gambling services. This submitter did not see the point in research and evaluation focused on prevalence and incidence of problem gambling if it cannot be used as a rationale for increasing the levy.</w:t>
          </w:r>
        </w:p>
        <w:p w14:paraId="50150F02" w14:textId="77777777" w:rsidR="00D76ACB" w:rsidRPr="009E7223" w:rsidRDefault="00D76ACB" w:rsidP="00D76ACB">
          <w:pPr>
            <w:pStyle w:val="NumberedHeading3"/>
          </w:pPr>
          <w:bookmarkStart w:id="108" w:name="_Toc531098196"/>
          <w:r w:rsidRPr="009E7223">
            <w:t>A Gambling Industry (other) submitter commented that the levy does not reflect casino host responsibility initiatives</w:t>
          </w:r>
          <w:bookmarkEnd w:id="108"/>
        </w:p>
        <w:p w14:paraId="52ED9A77" w14:textId="2970ECF3" w:rsidR="00D76ACB" w:rsidRPr="009E7223" w:rsidRDefault="00D76ACB" w:rsidP="00D76ACB">
          <w:pPr>
            <w:pStyle w:val="BodyText"/>
          </w:pPr>
          <w:r w:rsidRPr="009E7223">
            <w:t>One Gambling Industry (other) submitter</w:t>
          </w:r>
          <w:r w:rsidRPr="009E7223">
            <w:rPr>
              <w:rStyle w:val="FootnoteReference"/>
            </w:rPr>
            <w:footnoteReference w:id="520"/>
          </w:r>
          <w:r w:rsidRPr="009E7223">
            <w:t xml:space="preserve"> explained that the levy does not reflect the casino’s host responsibility initiatives.</w:t>
          </w:r>
          <w:r w:rsidR="00281BDE">
            <w:t xml:space="preserve"> The submitter</w:t>
          </w:r>
          <w:r w:rsidR="00766A85">
            <w:t xml:space="preserve"> </w:t>
          </w:r>
          <w:r w:rsidR="00281BDE">
            <w:t>suggested</w:t>
          </w:r>
          <w:r w:rsidR="00766A85">
            <w:t xml:space="preserve"> it h</w:t>
          </w:r>
          <w:r w:rsidRPr="009E7223">
            <w:t>as the most sophisticated host responsibility programme within the sector in New Zealand (and arguably in the world), including dedicated Host Responsibility staff on site 24/7, Customer Service Ambassadors to interact with customers on the casino floor, introduction of a predictive modelling technology which analyses player data to help identify customers most at risk from gambling harm, and introduction of a Voluntary Pre-commitment Programme to allow customers to set both the time and amount they wish to spend over a certain period. This submitter considered that the levy should be linked directly to the harm associated with each sector’s gambling products.</w:t>
          </w:r>
        </w:p>
        <w:p w14:paraId="004B9FCD" w14:textId="31F66BF7" w:rsidR="00D76ACB" w:rsidRPr="009E7223" w:rsidRDefault="00AD2D3A" w:rsidP="00D76ACB">
          <w:pPr>
            <w:pStyle w:val="NumberedHeading3"/>
          </w:pPr>
          <w:bookmarkStart w:id="109" w:name="_Toc531098197"/>
          <w:r>
            <w:t>A</w:t>
          </w:r>
          <w:r w:rsidR="00D76ACB" w:rsidRPr="009E7223">
            <w:t xml:space="preserve">dditional considerations </w:t>
          </w:r>
          <w:r>
            <w:t xml:space="preserve">were proposed for setting </w:t>
          </w:r>
          <w:r w:rsidR="00D76ACB" w:rsidRPr="009E7223">
            <w:t>levy rates</w:t>
          </w:r>
          <w:bookmarkEnd w:id="109"/>
        </w:p>
        <w:p w14:paraId="703E2368" w14:textId="3725DAA9" w:rsidR="00D76ACB" w:rsidRPr="009E7223" w:rsidRDefault="00D76ACB" w:rsidP="00D76ACB">
          <w:pPr>
            <w:pStyle w:val="BodyText"/>
          </w:pPr>
          <w:r w:rsidRPr="009E7223">
            <w:t>One Service Provider</w:t>
          </w:r>
          <w:r w:rsidRPr="009E7223">
            <w:rPr>
              <w:rStyle w:val="FootnoteReference"/>
            </w:rPr>
            <w:footnoteReference w:id="521"/>
          </w:r>
          <w:r w:rsidRPr="009E7223">
            <w:t xml:space="preserve"> and one Gambling Industry (other) submitter</w:t>
          </w:r>
          <w:r w:rsidRPr="009E7223">
            <w:rPr>
              <w:rStyle w:val="FootnoteReference"/>
            </w:rPr>
            <w:footnoteReference w:id="522"/>
          </w:r>
          <w:r w:rsidRPr="009E7223">
            <w:t xml:space="preserve"> suggest</w:t>
          </w:r>
          <w:r w:rsidR="00AD2D3A">
            <w:t>ed</w:t>
          </w:r>
          <w:r w:rsidRPr="009E7223">
            <w:t xml:space="preserve"> changes that could made to the levy rates. These changes included:</w:t>
          </w:r>
        </w:p>
        <w:p w14:paraId="1AE145DF" w14:textId="6C3EEE81" w:rsidR="00D76ACB" w:rsidRPr="009E7223" w:rsidRDefault="00D76ACB" w:rsidP="00D76ACB">
          <w:pPr>
            <w:pStyle w:val="List-BulletLvl1"/>
          </w:pPr>
          <w:r w:rsidRPr="009E7223">
            <w:lastRenderedPageBreak/>
            <w:t>Making allowances in the levy rates calculation for further services (Service Provider),</w:t>
          </w:r>
          <w:r w:rsidRPr="009E7223">
            <w:rPr>
              <w:rStyle w:val="FootnoteReference"/>
            </w:rPr>
            <w:footnoteReference w:id="523"/>
          </w:r>
          <w:r w:rsidRPr="009E7223">
            <w:t xml:space="preserve"> and</w:t>
          </w:r>
        </w:p>
        <w:p w14:paraId="4F422BE4" w14:textId="48209633" w:rsidR="00D76ACB" w:rsidRPr="009E7223" w:rsidRDefault="00D76ACB" w:rsidP="00D76ACB">
          <w:pPr>
            <w:pStyle w:val="List-BulletLvl1"/>
          </w:pPr>
          <w:r w:rsidRPr="009E7223">
            <w:t>Changing the weighting to reflect the relative impact of products on the demand for problem gambling services (Gambling Industry (other).</w:t>
          </w:r>
          <w:r w:rsidRPr="009E7223">
            <w:rPr>
              <w:rStyle w:val="FootnoteReference"/>
            </w:rPr>
            <w:footnoteReference w:id="524"/>
          </w:r>
        </w:p>
        <w:p w14:paraId="389AA64A" w14:textId="77777777" w:rsidR="00D76ACB" w:rsidRPr="009E7223" w:rsidRDefault="00D76ACB" w:rsidP="00D76ACB">
          <w:pPr>
            <w:pStyle w:val="BodyText"/>
          </w:pPr>
          <w:r w:rsidRPr="009E7223">
            <w:t>The Service Provider</w:t>
          </w:r>
          <w:r w:rsidRPr="009E7223">
            <w:rPr>
              <w:rStyle w:val="FootnoteReference"/>
            </w:rPr>
            <w:footnoteReference w:id="525"/>
          </w:r>
          <w:r w:rsidRPr="009E7223">
            <w:t xml:space="preserve"> suggested that the levy rates calculation allow more for:</w:t>
          </w:r>
        </w:p>
        <w:p w14:paraId="1FEA4445" w14:textId="77777777" w:rsidR="00D76ACB" w:rsidRPr="009E7223" w:rsidRDefault="00D76ACB" w:rsidP="00D76ACB">
          <w:pPr>
            <w:pStyle w:val="List-BulletLvl1"/>
          </w:pPr>
          <w:r w:rsidRPr="009E7223">
            <w:t>Wage increases (to pay in a competitive market, and particularly for Māori, Pacific and Asian)</w:t>
          </w:r>
        </w:p>
        <w:p w14:paraId="7949C74E" w14:textId="77777777" w:rsidR="00D76ACB" w:rsidRPr="009E7223" w:rsidRDefault="00D76ACB" w:rsidP="00D76ACB">
          <w:pPr>
            <w:pStyle w:val="List-BulletLvl1"/>
          </w:pPr>
          <w:r w:rsidRPr="009E7223">
            <w:t>Introduction of facial recognition investment</w:t>
          </w:r>
        </w:p>
        <w:p w14:paraId="1E6FFD0A" w14:textId="77777777" w:rsidR="00D76ACB" w:rsidRPr="009E7223" w:rsidRDefault="00D76ACB" w:rsidP="00D76ACB">
          <w:pPr>
            <w:pStyle w:val="List-BulletLvl1"/>
          </w:pPr>
          <w:r w:rsidRPr="009E7223">
            <w:t>Increased health promotion expenditure, and</w:t>
          </w:r>
        </w:p>
        <w:p w14:paraId="494B2C4B" w14:textId="77777777" w:rsidR="00D76ACB" w:rsidRPr="009E7223" w:rsidRDefault="00D76ACB" w:rsidP="00D76ACB">
          <w:pPr>
            <w:pStyle w:val="List-BulletLvl1"/>
          </w:pPr>
          <w:r w:rsidRPr="009E7223">
            <w:t>Provision of a pool to pilot new solutions such as technologically based solutions in reaching more people geographically and through preferred communication methods.</w:t>
          </w:r>
        </w:p>
        <w:p w14:paraId="63EF13E8" w14:textId="1795FDF8" w:rsidR="00D76ACB" w:rsidRPr="009E7223" w:rsidRDefault="00D76ACB" w:rsidP="00D76ACB">
          <w:pPr>
            <w:pStyle w:val="BodyText"/>
          </w:pPr>
          <w:r w:rsidRPr="009E7223">
            <w:t>A Gambling Industry (other) submitter</w:t>
          </w:r>
          <w:r w:rsidRPr="009E7223">
            <w:rPr>
              <w:rStyle w:val="FootnoteReference"/>
            </w:rPr>
            <w:footnoteReference w:id="526"/>
          </w:r>
          <w:r w:rsidRPr="009E7223">
            <w:t xml:space="preserve"> commented that the even weighting across products is problematic and does not reflect the relative impact of this submitter’s products on the demand for problem gambling services. For example, in most cases the impact of Lotto’s products is relatively minor, but use is included in the questionnaire and given the same weighting as other products. This submitter recommended that the questionnaire could be amended such that individuals are required to state the primary product they consume, in addition to other products. </w:t>
          </w:r>
          <w:r w:rsidR="009E7223" w:rsidRPr="009E7223">
            <w:t>T</w:t>
          </w:r>
          <w:r w:rsidRPr="009E7223">
            <w:t>his would allow a greater weighting to be applied to the primary product, which this submitter considers would lead to a more equitable outcome.</w:t>
          </w:r>
        </w:p>
        <w:p w14:paraId="65DBA33D" w14:textId="77777777" w:rsidR="00D76ACB" w:rsidRPr="009E7223" w:rsidRDefault="00D76ACB" w:rsidP="00D76ACB">
          <w:pPr>
            <w:pStyle w:val="NumberedHeading3"/>
          </w:pPr>
          <w:bookmarkStart w:id="110" w:name="_Toc531098198"/>
          <w:r w:rsidRPr="009E7223">
            <w:t>Research and evaluation costs should be borne equally by all four gambling sectors</w:t>
          </w:r>
          <w:bookmarkEnd w:id="110"/>
        </w:p>
        <w:p w14:paraId="53232915" w14:textId="357947EA" w:rsidR="00D47DAF" w:rsidRPr="009E7223" w:rsidRDefault="00D76ACB" w:rsidP="009E7223">
          <w:pPr>
            <w:pStyle w:val="BodyText"/>
            <w:rPr>
              <w:highlight w:val="yellow"/>
            </w:rPr>
          </w:pPr>
          <w:r w:rsidRPr="009E7223">
            <w:t>Two NCGM sector submitters</w:t>
          </w:r>
          <w:r w:rsidRPr="009E7223">
            <w:rPr>
              <w:rStyle w:val="FootnoteReference"/>
            </w:rPr>
            <w:footnoteReference w:id="527"/>
          </w:r>
          <w:r w:rsidRPr="009E7223">
            <w:t xml:space="preserve"> suggested that the cost of general research and evaluation should be borne equally by all four major gambling operators, not mainly funded by the NCGM Sector based on the number of people who report to treatment providers.</w:t>
          </w:r>
          <w:bookmarkEnd w:id="86"/>
          <w:r w:rsidR="00D47DAF" w:rsidRPr="009E7223">
            <w:rPr>
              <w:highlight w:val="yellow"/>
            </w:rPr>
            <w:br w:type="page"/>
          </w:r>
        </w:p>
        <w:p w14:paraId="0F967691" w14:textId="6151BCD1" w:rsidR="00903FE3" w:rsidRPr="009E7223" w:rsidRDefault="006B2B49" w:rsidP="00903FE3">
          <w:pPr>
            <w:pStyle w:val="NumberedHeading1"/>
          </w:pPr>
          <w:bookmarkStart w:id="111" w:name="_Hlk527358473"/>
          <w:bookmarkStart w:id="112" w:name="_Toc531098199"/>
          <w:r w:rsidRPr="009E7223">
            <w:lastRenderedPageBreak/>
            <w:t>Policy in relation to NCGM</w:t>
          </w:r>
          <w:bookmarkEnd w:id="111"/>
          <w:r w:rsidR="00AD2A9B" w:rsidRPr="009E7223">
            <w:t xml:space="preserve"> venues and the levy formula</w:t>
          </w:r>
          <w:bookmarkEnd w:id="112"/>
        </w:p>
        <w:p w14:paraId="0477AAD2" w14:textId="514221D3" w:rsidR="00903FE3" w:rsidRPr="009E7223" w:rsidRDefault="00903FE3" w:rsidP="00903FE3">
          <w:pPr>
            <w:pStyle w:val="BodyText"/>
          </w:pPr>
          <w:r w:rsidRPr="009E7223">
            <w:t xml:space="preserve">Three questions were asked about the proposal to relocate NCGM venues from lower socioeconomic areas to higher socioeconomic areas, </w:t>
          </w:r>
          <w:r w:rsidR="00AA3B0A" w:rsidRPr="009E7223">
            <w:t>two</w:t>
          </w:r>
          <w:r w:rsidRPr="009E7223">
            <w:t xml:space="preserve"> of which included a </w:t>
          </w:r>
          <w:r w:rsidR="00AA3B0A" w:rsidRPr="009E7223">
            <w:t>‘</w:t>
          </w:r>
          <w:r w:rsidRPr="009E7223">
            <w:t>Yes/No</w:t>
          </w:r>
          <w:r w:rsidR="00AA3B0A" w:rsidRPr="009E7223">
            <w:t>’</w:t>
          </w:r>
          <w:r w:rsidRPr="009E7223">
            <w:t xml:space="preserve"> response. </w:t>
          </w:r>
          <w:r w:rsidR="00D812D2" w:rsidRPr="009E7223">
            <w:fldChar w:fldCharType="begin"/>
          </w:r>
          <w:r w:rsidR="00D812D2" w:rsidRPr="009E7223">
            <w:instrText xml:space="preserve"> REF _Ref527733092 \h </w:instrText>
          </w:r>
          <w:r w:rsidR="00D812D2" w:rsidRPr="009E7223">
            <w:fldChar w:fldCharType="separate"/>
          </w:r>
          <w:r w:rsidR="00CE4EFF" w:rsidRPr="009E7223">
            <w:t xml:space="preserve">Table </w:t>
          </w:r>
          <w:r w:rsidR="00CE4EFF">
            <w:rPr>
              <w:noProof/>
            </w:rPr>
            <w:t>11</w:t>
          </w:r>
          <w:r w:rsidR="00D812D2" w:rsidRPr="009E7223">
            <w:fldChar w:fldCharType="end"/>
          </w:r>
          <w:r w:rsidR="00D812D2" w:rsidRPr="009E7223">
            <w:t xml:space="preserve"> </w:t>
          </w:r>
          <w:r w:rsidRPr="009E7223">
            <w:t>shows the wording of th</w:t>
          </w:r>
          <w:r w:rsidR="00C705FC" w:rsidRPr="009E7223">
            <w:t>is</w:t>
          </w:r>
          <w:r w:rsidRPr="009E7223">
            <w:t xml:space="preserve"> question and the number of submitters who responded, by response. Sometimes the narrative response suggested that support was qualified or conditional, in which case the ‘Yes’ response was altered to ‘Qualified Support’, at the request of the Ministry.</w:t>
          </w:r>
        </w:p>
        <w:p w14:paraId="7DE0E6CB" w14:textId="17075D04" w:rsidR="00903FE3" w:rsidRPr="009E7223" w:rsidRDefault="00903FE3" w:rsidP="00903FE3">
          <w:pPr>
            <w:pStyle w:val="Caption"/>
          </w:pPr>
          <w:bookmarkStart w:id="113" w:name="_Ref527733092"/>
          <w:bookmarkStart w:id="114" w:name="_Toc529787392"/>
          <w:r w:rsidRPr="009E7223">
            <w:t xml:space="preserve">Table </w:t>
          </w:r>
          <w:r w:rsidR="000939D4" w:rsidRPr="009E7223">
            <w:rPr>
              <w:noProof/>
            </w:rPr>
            <w:fldChar w:fldCharType="begin"/>
          </w:r>
          <w:r w:rsidR="000939D4" w:rsidRPr="009E7223">
            <w:rPr>
              <w:noProof/>
            </w:rPr>
            <w:instrText xml:space="preserve"> SEQ Table \* ARABIC </w:instrText>
          </w:r>
          <w:r w:rsidR="000939D4" w:rsidRPr="009E7223">
            <w:rPr>
              <w:noProof/>
            </w:rPr>
            <w:fldChar w:fldCharType="separate"/>
          </w:r>
          <w:r w:rsidR="00CE4EFF">
            <w:rPr>
              <w:noProof/>
            </w:rPr>
            <w:t>11</w:t>
          </w:r>
          <w:r w:rsidR="000939D4" w:rsidRPr="009E7223">
            <w:rPr>
              <w:noProof/>
            </w:rPr>
            <w:fldChar w:fldCharType="end"/>
          </w:r>
          <w:bookmarkEnd w:id="113"/>
          <w:r w:rsidRPr="009E7223">
            <w:t>: Yes/No responses to questions concerning incentivising NCGM venues to relocate</w:t>
          </w:r>
          <w:bookmarkEnd w:id="114"/>
        </w:p>
        <w:tbl>
          <w:tblPr>
            <w:tblStyle w:val="ACGrey-BasicTable"/>
            <w:tblW w:w="9067" w:type="dxa"/>
            <w:tblLook w:val="04A0" w:firstRow="1" w:lastRow="0" w:firstColumn="1" w:lastColumn="0" w:noHBand="0" w:noVBand="1"/>
          </w:tblPr>
          <w:tblGrid>
            <w:gridCol w:w="4777"/>
            <w:gridCol w:w="1072"/>
            <w:gridCol w:w="1073"/>
            <w:gridCol w:w="1072"/>
            <w:gridCol w:w="1073"/>
          </w:tblGrid>
          <w:tr w:rsidR="00033093" w:rsidRPr="009E7223" w14:paraId="2A920570" w14:textId="73EA20AC" w:rsidTr="00033093">
            <w:trPr>
              <w:cnfStyle w:val="100000000000" w:firstRow="1" w:lastRow="0" w:firstColumn="0" w:lastColumn="0" w:oddVBand="0" w:evenVBand="0" w:oddHBand="0" w:evenHBand="0" w:firstRowFirstColumn="0" w:firstRowLastColumn="0" w:lastRowFirstColumn="0" w:lastRowLastColumn="0"/>
            </w:trPr>
            <w:tc>
              <w:tcPr>
                <w:tcW w:w="4777"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3802F5E7" w14:textId="77777777" w:rsidR="00033093" w:rsidRPr="009E7223" w:rsidRDefault="00033093" w:rsidP="007748F8">
                <w:pPr>
                  <w:pStyle w:val="BodyText"/>
                  <w:jc w:val="center"/>
                </w:pPr>
                <w:r w:rsidRPr="009E7223">
                  <w:t>Question</w:t>
                </w:r>
              </w:p>
            </w:tc>
            <w:tc>
              <w:tcPr>
                <w:tcW w:w="1072"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64A07801" w14:textId="3BB6683C" w:rsidR="00033093" w:rsidRPr="009E7223" w:rsidRDefault="00033093" w:rsidP="009E7223">
                <w:pPr>
                  <w:pStyle w:val="BodyText"/>
                  <w:jc w:val="center"/>
                </w:pPr>
                <w:r w:rsidRPr="009E7223">
                  <w:t>Yes</w:t>
                </w:r>
              </w:p>
            </w:tc>
            <w:tc>
              <w:tcPr>
                <w:tcW w:w="1073"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7B28BD70" w14:textId="77777777" w:rsidR="00033093" w:rsidRPr="009E7223" w:rsidRDefault="00033093" w:rsidP="009E7223">
                <w:pPr>
                  <w:pStyle w:val="BodyText"/>
                  <w:jc w:val="center"/>
                </w:pPr>
                <w:r w:rsidRPr="009E7223">
                  <w:t>No</w:t>
                </w:r>
              </w:p>
            </w:tc>
            <w:tc>
              <w:tcPr>
                <w:tcW w:w="1072"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64F87449" w14:textId="77777777" w:rsidR="00033093" w:rsidRPr="009E7223" w:rsidRDefault="00033093" w:rsidP="007748F8">
                <w:pPr>
                  <w:pStyle w:val="BodyText"/>
                  <w:jc w:val="center"/>
                </w:pPr>
                <w:r w:rsidRPr="009E7223">
                  <w:t>Qualified Support</w:t>
                </w:r>
              </w:p>
            </w:tc>
            <w:tc>
              <w:tcPr>
                <w:tcW w:w="1073" w:type="dxa"/>
                <w:tcBorders>
                  <w:top w:val="single" w:sz="4" w:space="0" w:color="36424A" w:themeColor="text2"/>
                  <w:left w:val="single" w:sz="4" w:space="0" w:color="36424A" w:themeColor="text2"/>
                  <w:bottom w:val="single" w:sz="4" w:space="0" w:color="36424A" w:themeColor="text2"/>
                  <w:right w:val="single" w:sz="4" w:space="0" w:color="36424A" w:themeColor="text2"/>
                </w:tcBorders>
              </w:tcPr>
              <w:p w14:paraId="77F4688F" w14:textId="41985D94" w:rsidR="00033093" w:rsidRPr="009E7223" w:rsidRDefault="00033093" w:rsidP="007748F8">
                <w:pPr>
                  <w:pStyle w:val="BodyText"/>
                  <w:jc w:val="center"/>
                </w:pPr>
                <w:r w:rsidRPr="009E7223">
                  <w:t>Total</w:t>
                </w:r>
              </w:p>
            </w:tc>
          </w:tr>
          <w:tr w:rsidR="00033093" w:rsidRPr="009E7223" w14:paraId="6B11AF6F" w14:textId="765C1C60" w:rsidTr="00033093">
            <w:tc>
              <w:tcPr>
                <w:tcW w:w="4777"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3EE76943" w14:textId="77777777" w:rsidR="00033093" w:rsidRPr="009E7223" w:rsidRDefault="00033093" w:rsidP="00903FE3">
                <w:pPr>
                  <w:jc w:val="both"/>
                  <w:rPr>
                    <w:rFonts w:ascii="Calibri" w:hAnsi="Calibri" w:cs="Calibri"/>
                    <w:color w:val="000000"/>
                  </w:rPr>
                </w:pPr>
                <w:r w:rsidRPr="009E7223">
                  <w:rPr>
                    <w:rFonts w:ascii="Calibri" w:hAnsi="Calibri" w:cs="Calibri"/>
                    <w:color w:val="000000"/>
                  </w:rPr>
                  <w:t>A. Do you think operators of class 4 NCGM venues should be incentivised to move from lower socioeconomic areas to higher socioeconomic areas?</w:t>
                </w:r>
              </w:p>
            </w:tc>
            <w:tc>
              <w:tcPr>
                <w:tcW w:w="1072"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4EBE056F" w14:textId="77777777" w:rsidR="00033093" w:rsidRPr="009E7223" w:rsidRDefault="00033093" w:rsidP="009E7223">
                <w:pPr>
                  <w:pStyle w:val="BodyText"/>
                  <w:ind w:firstLine="7"/>
                  <w:jc w:val="center"/>
                </w:pPr>
                <w:r w:rsidRPr="009E7223">
                  <w:t>18</w:t>
                </w:r>
              </w:p>
            </w:tc>
            <w:tc>
              <w:tcPr>
                <w:tcW w:w="1073"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6AE341D9" w14:textId="77777777" w:rsidR="00033093" w:rsidRPr="009E7223" w:rsidRDefault="00033093" w:rsidP="009E7223">
                <w:pPr>
                  <w:pStyle w:val="BodyText"/>
                  <w:ind w:firstLine="7"/>
                  <w:jc w:val="center"/>
                </w:pPr>
                <w:r w:rsidRPr="009E7223">
                  <w:t>8</w:t>
                </w:r>
              </w:p>
            </w:tc>
            <w:tc>
              <w:tcPr>
                <w:tcW w:w="1072"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2B620976" w14:textId="77777777" w:rsidR="00033093" w:rsidRPr="009E7223" w:rsidRDefault="00033093" w:rsidP="009E7223">
                <w:pPr>
                  <w:pStyle w:val="BodyText"/>
                  <w:jc w:val="center"/>
                </w:pPr>
                <w:r w:rsidRPr="009E7223">
                  <w:t>25</w:t>
                </w:r>
              </w:p>
            </w:tc>
            <w:tc>
              <w:tcPr>
                <w:tcW w:w="1073" w:type="dxa"/>
                <w:tcBorders>
                  <w:top w:val="single" w:sz="4" w:space="0" w:color="36424A" w:themeColor="text2"/>
                  <w:left w:val="single" w:sz="4" w:space="0" w:color="36424A" w:themeColor="text2"/>
                  <w:bottom w:val="single" w:sz="4" w:space="0" w:color="36424A" w:themeColor="text2"/>
                  <w:right w:val="single" w:sz="4" w:space="0" w:color="36424A" w:themeColor="text2"/>
                </w:tcBorders>
              </w:tcPr>
              <w:p w14:paraId="46B97467" w14:textId="074C9AFD" w:rsidR="00033093" w:rsidRPr="009E7223" w:rsidRDefault="00033093" w:rsidP="009E7223">
                <w:pPr>
                  <w:pStyle w:val="BodyText"/>
                  <w:jc w:val="center"/>
                  <w:rPr>
                    <w:b/>
                  </w:rPr>
                </w:pPr>
                <w:r w:rsidRPr="009E7223">
                  <w:rPr>
                    <w:b/>
                  </w:rPr>
                  <w:t>51</w:t>
                </w:r>
              </w:p>
            </w:tc>
          </w:tr>
          <w:tr w:rsidR="00033093" w:rsidRPr="009E7223" w14:paraId="1F11D843" w14:textId="53B3720D" w:rsidTr="00033093">
            <w:tc>
              <w:tcPr>
                <w:tcW w:w="4777"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021FDFBD" w14:textId="77777777" w:rsidR="00033093" w:rsidRPr="009E7223" w:rsidRDefault="00033093" w:rsidP="00DC4935">
                <w:pPr>
                  <w:jc w:val="both"/>
                  <w:rPr>
                    <w:rFonts w:ascii="Calibri" w:hAnsi="Calibri" w:cs="Calibri"/>
                    <w:color w:val="000000"/>
                  </w:rPr>
                </w:pPr>
                <w:r w:rsidRPr="009E7223">
                  <w:rPr>
                    <w:rFonts w:ascii="Calibri" w:hAnsi="Calibri" w:cs="Calibri"/>
                    <w:color w:val="000000"/>
                  </w:rPr>
                  <w:t>D. Does the current formula provide a reasonable way to reflect the relative harm caused by each gambling sector?</w:t>
                </w:r>
              </w:p>
            </w:tc>
            <w:tc>
              <w:tcPr>
                <w:tcW w:w="1072"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1BD7004C" w14:textId="77777777" w:rsidR="00033093" w:rsidRPr="009E7223" w:rsidRDefault="00033093" w:rsidP="009E7223">
                <w:pPr>
                  <w:pStyle w:val="BodyText"/>
                  <w:ind w:firstLine="7"/>
                  <w:jc w:val="center"/>
                </w:pPr>
                <w:r w:rsidRPr="009E7223">
                  <w:t>9</w:t>
                </w:r>
              </w:p>
            </w:tc>
            <w:tc>
              <w:tcPr>
                <w:tcW w:w="1073" w:type="dxa"/>
                <w:tcBorders>
                  <w:top w:val="single" w:sz="4" w:space="0" w:color="36424A" w:themeColor="text2"/>
                  <w:left w:val="single" w:sz="4" w:space="0" w:color="36424A" w:themeColor="text2"/>
                  <w:bottom w:val="single" w:sz="4" w:space="0" w:color="36424A" w:themeColor="text2"/>
                  <w:right w:val="single" w:sz="4" w:space="0" w:color="auto"/>
                </w:tcBorders>
                <w:hideMark/>
              </w:tcPr>
              <w:p w14:paraId="223324A7" w14:textId="0D362741" w:rsidR="00033093" w:rsidRPr="009E7223" w:rsidRDefault="00033093" w:rsidP="009E7223">
                <w:pPr>
                  <w:pStyle w:val="BodyText"/>
                  <w:ind w:firstLine="7"/>
                  <w:jc w:val="center"/>
                </w:pPr>
                <w:r w:rsidRPr="009E7223">
                  <w:t>17</w:t>
                </w:r>
              </w:p>
            </w:tc>
            <w:tc>
              <w:tcPr>
                <w:tcW w:w="1072" w:type="dxa"/>
                <w:tcBorders>
                  <w:top w:val="single" w:sz="4" w:space="0" w:color="36424A" w:themeColor="text2"/>
                  <w:left w:val="single" w:sz="4" w:space="0" w:color="auto"/>
                  <w:bottom w:val="single" w:sz="4" w:space="0" w:color="36424A" w:themeColor="text2"/>
                  <w:right w:val="single" w:sz="4" w:space="0" w:color="36424A" w:themeColor="text2"/>
                </w:tcBorders>
              </w:tcPr>
              <w:p w14:paraId="68220147" w14:textId="79DEC484" w:rsidR="00033093" w:rsidRPr="009E7223" w:rsidRDefault="00033093" w:rsidP="009E7223">
                <w:pPr>
                  <w:pStyle w:val="BodyText"/>
                  <w:jc w:val="center"/>
                </w:pPr>
                <w:r w:rsidRPr="009E7223">
                  <w:t>0</w:t>
                </w:r>
              </w:p>
            </w:tc>
            <w:tc>
              <w:tcPr>
                <w:tcW w:w="1073" w:type="dxa"/>
                <w:tcBorders>
                  <w:top w:val="single" w:sz="4" w:space="0" w:color="36424A" w:themeColor="text2"/>
                  <w:left w:val="single" w:sz="4" w:space="0" w:color="auto"/>
                  <w:bottom w:val="single" w:sz="4" w:space="0" w:color="36424A" w:themeColor="text2"/>
                  <w:right w:val="single" w:sz="4" w:space="0" w:color="36424A" w:themeColor="text2"/>
                </w:tcBorders>
              </w:tcPr>
              <w:p w14:paraId="262B4660" w14:textId="2EAF1A1F" w:rsidR="00033093" w:rsidRPr="009E7223" w:rsidRDefault="00033093" w:rsidP="009E7223">
                <w:pPr>
                  <w:pStyle w:val="BodyText"/>
                  <w:jc w:val="center"/>
                  <w:rPr>
                    <w:b/>
                  </w:rPr>
                </w:pPr>
                <w:r w:rsidRPr="009E7223">
                  <w:rPr>
                    <w:b/>
                  </w:rPr>
                  <w:t>26</w:t>
                </w:r>
              </w:p>
            </w:tc>
          </w:tr>
        </w:tbl>
        <w:p w14:paraId="20841EAD" w14:textId="1A747486" w:rsidR="00903FE3" w:rsidRPr="009E7223" w:rsidRDefault="00903FE3" w:rsidP="00903FE3">
          <w:pPr>
            <w:pStyle w:val="BodyText"/>
          </w:pPr>
          <w:r w:rsidRPr="009E7223">
            <w:t>Sixty-five submitters addressed, at least in part, the questions about incentivised moves for NCGMs in lower socioeconomic areas.</w:t>
          </w:r>
          <w:r w:rsidR="009E7223">
            <w:t xml:space="preserve"> The breakdown by submitter type is shown below in </w:t>
          </w:r>
          <w:r w:rsidR="009E7223">
            <w:fldChar w:fldCharType="begin"/>
          </w:r>
          <w:r w:rsidR="009E7223">
            <w:instrText xml:space="preserve"> REF _Ref528738171 \h </w:instrText>
          </w:r>
          <w:r w:rsidR="009E7223">
            <w:fldChar w:fldCharType="separate"/>
          </w:r>
          <w:r w:rsidR="00CE4EFF" w:rsidRPr="009E7223">
            <w:t xml:space="preserve">Table </w:t>
          </w:r>
          <w:r w:rsidR="00CE4EFF">
            <w:rPr>
              <w:noProof/>
            </w:rPr>
            <w:t>12</w:t>
          </w:r>
          <w:r w:rsidR="009E7223">
            <w:fldChar w:fldCharType="end"/>
          </w:r>
          <w:r w:rsidR="009E7223">
            <w:t>.</w:t>
          </w:r>
        </w:p>
        <w:p w14:paraId="07999550" w14:textId="3AA073DB" w:rsidR="00903FE3" w:rsidRPr="009E7223" w:rsidRDefault="00903FE3" w:rsidP="00903FE3">
          <w:pPr>
            <w:pStyle w:val="Caption"/>
            <w:keepNext/>
          </w:pPr>
          <w:bookmarkStart w:id="115" w:name="_Ref528738171"/>
          <w:bookmarkStart w:id="116" w:name="_Toc527355913"/>
          <w:bookmarkStart w:id="117" w:name="_Toc529787393"/>
          <w:r w:rsidRPr="009E7223">
            <w:t xml:space="preserve">Table </w:t>
          </w:r>
          <w:r w:rsidR="000939D4" w:rsidRPr="009E7223">
            <w:rPr>
              <w:noProof/>
            </w:rPr>
            <w:fldChar w:fldCharType="begin"/>
          </w:r>
          <w:r w:rsidR="000939D4" w:rsidRPr="009E7223">
            <w:rPr>
              <w:noProof/>
            </w:rPr>
            <w:instrText xml:space="preserve"> SEQ Table \* ARABIC </w:instrText>
          </w:r>
          <w:r w:rsidR="000939D4" w:rsidRPr="009E7223">
            <w:rPr>
              <w:noProof/>
            </w:rPr>
            <w:fldChar w:fldCharType="separate"/>
          </w:r>
          <w:r w:rsidR="00CE4EFF">
            <w:rPr>
              <w:noProof/>
            </w:rPr>
            <w:t>12</w:t>
          </w:r>
          <w:r w:rsidR="000939D4" w:rsidRPr="009E7223">
            <w:rPr>
              <w:noProof/>
            </w:rPr>
            <w:fldChar w:fldCharType="end"/>
          </w:r>
          <w:bookmarkEnd w:id="115"/>
          <w:r w:rsidRPr="009E7223">
            <w:t>: Number of submissions, by Sector, that commented on the proposed NCGM incentivised moves</w:t>
          </w:r>
          <w:bookmarkEnd w:id="116"/>
          <w:bookmarkEnd w:id="117"/>
        </w:p>
        <w:tbl>
          <w:tblPr>
            <w:tblStyle w:val="ACGrey-BasicTable"/>
            <w:tblW w:w="9067" w:type="dxa"/>
            <w:tblLook w:val="04A0" w:firstRow="1" w:lastRow="0" w:firstColumn="1" w:lastColumn="0" w:noHBand="0" w:noVBand="1"/>
          </w:tblPr>
          <w:tblGrid>
            <w:gridCol w:w="1511"/>
            <w:gridCol w:w="1511"/>
            <w:gridCol w:w="1511"/>
            <w:gridCol w:w="1511"/>
            <w:gridCol w:w="1511"/>
            <w:gridCol w:w="1512"/>
          </w:tblGrid>
          <w:tr w:rsidR="00903FE3" w:rsidRPr="009E7223" w14:paraId="72BAFED6" w14:textId="77777777" w:rsidTr="00033093">
            <w:trPr>
              <w:cnfStyle w:val="100000000000" w:firstRow="1" w:lastRow="0" w:firstColumn="0" w:lastColumn="0" w:oddVBand="0" w:evenVBand="0" w:oddHBand="0" w:evenHBand="0" w:firstRowFirstColumn="0" w:firstRowLastColumn="0" w:lastRowFirstColumn="0" w:lastRowLastColumn="0"/>
              <w:trHeight w:val="693"/>
            </w:trPr>
            <w:tc>
              <w:tcPr>
                <w:tcW w:w="151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2A01D5F6" w14:textId="4506A13A" w:rsidR="00903FE3" w:rsidRPr="009E7223" w:rsidRDefault="00903FE3" w:rsidP="00903FE3">
                <w:pPr>
                  <w:pStyle w:val="BodyText"/>
                  <w:jc w:val="center"/>
                </w:pPr>
                <w:r w:rsidRPr="009E7223">
                  <w:t>NCGM</w:t>
                </w:r>
                <w:r w:rsidR="00422741" w:rsidRPr="009E7223">
                  <w:br/>
                  <w:t>sector</w:t>
                </w:r>
              </w:p>
            </w:tc>
            <w:tc>
              <w:tcPr>
                <w:tcW w:w="151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237A052D" w14:textId="3A181107" w:rsidR="00903FE3" w:rsidRPr="009E7223" w:rsidRDefault="00903FE3" w:rsidP="00903FE3">
                <w:pPr>
                  <w:pStyle w:val="BodyText"/>
                  <w:jc w:val="center"/>
                </w:pPr>
                <w:r w:rsidRPr="009E7223">
                  <w:t>Gambling Industry</w:t>
                </w:r>
                <w:r w:rsidR="00094010" w:rsidRPr="009E7223">
                  <w:t xml:space="preserve"> (other)</w:t>
                </w:r>
              </w:p>
            </w:tc>
            <w:tc>
              <w:tcPr>
                <w:tcW w:w="151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1B255BC7" w14:textId="7101DB22" w:rsidR="00903FE3" w:rsidRPr="009E7223" w:rsidRDefault="00903FE3" w:rsidP="00903FE3">
                <w:pPr>
                  <w:pStyle w:val="BodyText"/>
                  <w:jc w:val="center"/>
                </w:pPr>
                <w:r w:rsidRPr="009E7223">
                  <w:t>Service</w:t>
                </w:r>
                <w:r w:rsidR="00094010" w:rsidRPr="009E7223">
                  <w:br/>
                </w:r>
                <w:r w:rsidRPr="009E7223">
                  <w:t>Providers</w:t>
                </w:r>
              </w:p>
            </w:tc>
            <w:tc>
              <w:tcPr>
                <w:tcW w:w="151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033E9F43" w14:textId="621BFFA4" w:rsidR="00903FE3" w:rsidRPr="009E7223" w:rsidRDefault="00903FE3" w:rsidP="00903FE3">
                <w:pPr>
                  <w:pStyle w:val="BodyText"/>
                  <w:jc w:val="center"/>
                </w:pPr>
                <w:r w:rsidRPr="009E7223">
                  <w:t>Health</w:t>
                </w:r>
                <w:r w:rsidR="00094010" w:rsidRPr="009E7223">
                  <w:br/>
                </w:r>
                <w:r w:rsidR="00422741" w:rsidRPr="009E7223">
                  <w:t>sector</w:t>
                </w:r>
              </w:p>
            </w:tc>
            <w:tc>
              <w:tcPr>
                <w:tcW w:w="151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14708923" w14:textId="0A2CA5F4" w:rsidR="00903FE3" w:rsidRPr="009E7223" w:rsidRDefault="00903FE3" w:rsidP="00903FE3">
                <w:pPr>
                  <w:pStyle w:val="BodyText"/>
                  <w:jc w:val="center"/>
                </w:pPr>
                <w:r w:rsidRPr="009E7223">
                  <w:t>Local</w:t>
                </w:r>
                <w:r w:rsidR="00094010" w:rsidRPr="009E7223">
                  <w:br/>
                </w:r>
                <w:r w:rsidRPr="009E7223">
                  <w:t>Government</w:t>
                </w:r>
              </w:p>
            </w:tc>
            <w:tc>
              <w:tcPr>
                <w:tcW w:w="1512"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3C49B53F" w14:textId="77777777" w:rsidR="00903FE3" w:rsidRPr="009E7223" w:rsidRDefault="00903FE3" w:rsidP="00903FE3">
                <w:pPr>
                  <w:pStyle w:val="BodyText"/>
                  <w:jc w:val="center"/>
                </w:pPr>
                <w:r w:rsidRPr="009E7223">
                  <w:t>Individuals</w:t>
                </w:r>
              </w:p>
            </w:tc>
          </w:tr>
          <w:tr w:rsidR="00903FE3" w:rsidRPr="009E7223" w14:paraId="452AE0B4" w14:textId="77777777" w:rsidTr="00033093">
            <w:trPr>
              <w:trHeight w:val="449"/>
            </w:trPr>
            <w:tc>
              <w:tcPr>
                <w:tcW w:w="151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0ACF467D" w14:textId="77777777" w:rsidR="00903FE3" w:rsidRPr="009E7223" w:rsidRDefault="00903FE3" w:rsidP="00903FE3">
                <w:pPr>
                  <w:pStyle w:val="BodyText"/>
                  <w:jc w:val="center"/>
                </w:pPr>
                <w:r w:rsidRPr="009E7223">
                  <w:t>21/22</w:t>
                </w:r>
              </w:p>
            </w:tc>
            <w:tc>
              <w:tcPr>
                <w:tcW w:w="151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4CCFEEDE" w14:textId="77777777" w:rsidR="00903FE3" w:rsidRPr="009E7223" w:rsidRDefault="00903FE3" w:rsidP="00903FE3">
                <w:pPr>
                  <w:pStyle w:val="BodyText"/>
                  <w:jc w:val="center"/>
                </w:pPr>
                <w:r w:rsidRPr="009E7223">
                  <w:t>5/8</w:t>
                </w:r>
              </w:p>
            </w:tc>
            <w:tc>
              <w:tcPr>
                <w:tcW w:w="151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600BA319" w14:textId="77777777" w:rsidR="00903FE3" w:rsidRPr="009E7223" w:rsidRDefault="00903FE3" w:rsidP="00903FE3">
                <w:pPr>
                  <w:pStyle w:val="BodyText"/>
                  <w:jc w:val="center"/>
                </w:pPr>
                <w:r w:rsidRPr="009E7223">
                  <w:t>16/21</w:t>
                </w:r>
              </w:p>
            </w:tc>
            <w:tc>
              <w:tcPr>
                <w:tcW w:w="151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397CD7DD" w14:textId="77777777" w:rsidR="00903FE3" w:rsidRPr="009E7223" w:rsidRDefault="00903FE3" w:rsidP="00903FE3">
                <w:pPr>
                  <w:pStyle w:val="BodyText"/>
                  <w:jc w:val="center"/>
                </w:pPr>
                <w:r w:rsidRPr="009E7223">
                  <w:t>11/13</w:t>
                </w:r>
              </w:p>
            </w:tc>
            <w:tc>
              <w:tcPr>
                <w:tcW w:w="1511"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057214B4" w14:textId="4B384D6F" w:rsidR="00903FE3" w:rsidRPr="009E7223" w:rsidRDefault="00903FE3" w:rsidP="00903FE3">
                <w:pPr>
                  <w:pStyle w:val="BodyText"/>
                  <w:jc w:val="center"/>
                </w:pPr>
                <w:r w:rsidRPr="009E7223">
                  <w:t>6/6</w:t>
                </w:r>
              </w:p>
            </w:tc>
            <w:tc>
              <w:tcPr>
                <w:tcW w:w="1512" w:type="dxa"/>
                <w:tcBorders>
                  <w:top w:val="single" w:sz="4" w:space="0" w:color="36424A" w:themeColor="text2"/>
                  <w:left w:val="single" w:sz="4" w:space="0" w:color="36424A" w:themeColor="text2"/>
                  <w:bottom w:val="single" w:sz="4" w:space="0" w:color="36424A" w:themeColor="text2"/>
                  <w:right w:val="single" w:sz="4" w:space="0" w:color="36424A" w:themeColor="text2"/>
                </w:tcBorders>
                <w:hideMark/>
              </w:tcPr>
              <w:p w14:paraId="0490E196" w14:textId="7EF7E769" w:rsidR="00903FE3" w:rsidRPr="009E7223" w:rsidRDefault="00903FE3" w:rsidP="00903FE3">
                <w:pPr>
                  <w:pStyle w:val="BodyText"/>
                  <w:jc w:val="center"/>
                </w:pPr>
                <w:r w:rsidRPr="009E7223">
                  <w:t>8/12</w:t>
                </w:r>
              </w:p>
            </w:tc>
          </w:tr>
        </w:tbl>
        <w:p w14:paraId="77597692" w14:textId="08A60B2D" w:rsidR="00903FE3" w:rsidRPr="009E7223" w:rsidRDefault="007179B4" w:rsidP="00903FE3">
          <w:pPr>
            <w:pStyle w:val="NumberedHeading2"/>
          </w:pPr>
          <w:bookmarkStart w:id="118" w:name="_Toc531098200"/>
          <w:r w:rsidRPr="009E7223">
            <w:t>The degree of support for i</w:t>
          </w:r>
          <w:r w:rsidR="00903FE3" w:rsidRPr="009E7223">
            <w:t>ncentivis</w:t>
          </w:r>
          <w:r w:rsidRPr="009E7223">
            <w:t xml:space="preserve">ed relocation of </w:t>
          </w:r>
          <w:r w:rsidR="00903FE3" w:rsidRPr="009E7223">
            <w:t>NCGM venues</w:t>
          </w:r>
          <w:bookmarkEnd w:id="118"/>
        </w:p>
        <w:p w14:paraId="3E26A6AA" w14:textId="53CC47F3" w:rsidR="00903FE3" w:rsidRPr="009E7223" w:rsidRDefault="00AD2D3A" w:rsidP="007179B4">
          <w:pPr>
            <w:pStyle w:val="NumberedHeading3"/>
          </w:pPr>
          <w:bookmarkStart w:id="119" w:name="_Toc531098201"/>
          <w:r>
            <w:t xml:space="preserve">There was broad </w:t>
          </w:r>
          <w:r w:rsidR="00903FE3" w:rsidRPr="009E7223">
            <w:t>support</w:t>
          </w:r>
          <w:r>
            <w:t xml:space="preserve"> for </w:t>
          </w:r>
          <w:r w:rsidR="00903FE3" w:rsidRPr="009E7223">
            <w:t>allow</w:t>
          </w:r>
          <w:r>
            <w:t>ing</w:t>
          </w:r>
          <w:r w:rsidR="00903FE3" w:rsidRPr="009E7223">
            <w:t xml:space="preserve"> NCGM venues to relocate, however, incentivisation was not </w:t>
          </w:r>
          <w:r>
            <w:t>generally supported</w:t>
          </w:r>
          <w:bookmarkEnd w:id="119"/>
        </w:p>
        <w:p w14:paraId="383D4D63" w14:textId="0219C6FB" w:rsidR="003B6573" w:rsidRPr="003B6573" w:rsidRDefault="003B6573" w:rsidP="00903FE3">
          <w:pPr>
            <w:pStyle w:val="BodyText"/>
          </w:pPr>
          <w:r w:rsidRPr="003B6573">
            <w:rPr>
              <w:noProof/>
              <w:highlight w:val="yellow"/>
              <w:lang w:eastAsia="en-NZ"/>
            </w:rPr>
            <mc:AlternateContent>
              <mc:Choice Requires="wpg">
                <w:drawing>
                  <wp:anchor distT="0" distB="0" distL="228600" distR="228600" simplePos="0" relativeHeight="251679744" behindDoc="0" locked="0" layoutInCell="1" allowOverlap="1" wp14:anchorId="6AE98542" wp14:editId="40B172B7">
                    <wp:simplePos x="0" y="0"/>
                    <wp:positionH relativeFrom="page">
                      <wp:posOffset>3305175</wp:posOffset>
                    </wp:positionH>
                    <wp:positionV relativeFrom="page">
                      <wp:posOffset>7722775</wp:posOffset>
                    </wp:positionV>
                    <wp:extent cx="3218561" cy="1247775"/>
                    <wp:effectExtent l="0" t="0" r="1270" b="0"/>
                    <wp:wrapSquare wrapText="bothSides"/>
                    <wp:docPr id="5" name="Group 5"/>
                    <wp:cNvGraphicFramePr/>
                    <a:graphic xmlns:a="http://schemas.openxmlformats.org/drawingml/2006/main">
                      <a:graphicData uri="http://schemas.microsoft.com/office/word/2010/wordprocessingGroup">
                        <wpg:wgp>
                          <wpg:cNvGrpSpPr/>
                          <wpg:grpSpPr>
                            <a:xfrm>
                              <a:off x="0" y="0"/>
                              <a:ext cx="3218561" cy="1247775"/>
                              <a:chOff x="0" y="0"/>
                              <a:chExt cx="3218688" cy="2028766"/>
                            </a:xfrm>
                          </wpg:grpSpPr>
                          <wps:wsp>
                            <wps:cNvPr id="26" name="Rectangle 26"/>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wpg:grpSpPr>
                              <a:xfrm>
                                <a:off x="0" y="19050"/>
                                <a:ext cx="2249424" cy="832104"/>
                                <a:chOff x="228600" y="0"/>
                                <a:chExt cx="1472184" cy="1024128"/>
                              </a:xfrm>
                            </wpg:grpSpPr>
                            <wps:wsp>
                              <wps:cNvPr id="28"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28600" y="0"/>
                                  <a:ext cx="1472184" cy="1024128"/>
                                </a:xfrm>
                                <a:prstGeom prst="rect">
                                  <a:avLst/>
                                </a:prstGeom>
                                <a:blipFill>
                                  <a:blip r:embed="rId1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 name="Text Box 31"/>
                            <wps:cNvSpPr txBox="1"/>
                            <wps:spPr>
                              <a:xfrm>
                                <a:off x="237911" y="399404"/>
                                <a:ext cx="2980173" cy="1380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6BC31" w14:textId="728AB856" w:rsidR="00723291" w:rsidRDefault="00723291">
                                  <w:pPr>
                                    <w:ind w:left="504"/>
                                    <w:jc w:val="right"/>
                                    <w:rPr>
                                      <w:smallCaps/>
                                      <w:color w:val="77B800" w:themeColor="accent2"/>
                                      <w:sz w:val="28"/>
                                      <w:szCs w:val="24"/>
                                    </w:rPr>
                                  </w:pPr>
                                  <w:r>
                                    <w:t xml:space="preserve">The proposal to incentivise the relocation of NCGM  venues was seen as contrary to the public health aims of reducing harm overall </w:t>
                                  </w:r>
                                </w:p>
                                <w:p w14:paraId="232E79BF" w14:textId="2BA01F00" w:rsidR="00723291" w:rsidRDefault="00723291">
                                  <w:pPr>
                                    <w:pStyle w:val="NoSpacing"/>
                                    <w:ind w:left="360"/>
                                    <w:jc w:val="right"/>
                                    <w:rPr>
                                      <w:color w:val="36424A"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E98542" id="Group 5" o:spid="_x0000_s1052" style="position:absolute;left:0;text-align:left;margin-left:260.25pt;margin-top:608.1pt;width:253.45pt;height:98.25pt;z-index:251679744;mso-wrap-distance-left:18pt;mso-wrap-distance-right:18pt;mso-position-horizontal-relative:page;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">
                    <v:rect id="Rectangle 26" o:spid="_x0000_s1053" style="position:absolute;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TlsYA&#10;AADbAAAADwAAAGRycy9kb3ducmV2LnhtbESP3WrCQBSE7wu+w3KE3pS6MdggqauIIigWwZ/i7SF7&#10;TEKzZ2N2q9GndwsFL4eZ+YYZTVpTiQs1rrSsoN+LQBBnVpecKzjsF+9DEM4ja6wsk4IbOZiMOy8j&#10;TLW98pYuO5+LAGGXooLC+zqV0mUFGXQ9WxMH72Qbgz7IJpe6wWuAm0rGUZRIgyWHhQJrmhWU/ex+&#10;jYLzYMirwzpOvvzpeL8fv9/2H/ONUq/ddvoJwlPrn+H/9lIriBP4+xJ+gB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hTlsYAAADbAAAADwAAAAAAAAAAAAAAAACYAgAAZHJz&#10;L2Rvd25yZXYueG1sUEsFBgAAAAAEAAQA9QAAAIsDAAAAAA==&#10;" fillcolor="white [3212]" stroked="f" strokeweight="1pt">
                      <v:fill opacity="0"/>
                    </v:rect>
                    <v:group id="Group 27" o:spid="_x0000_s1054"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Rectangle 10" o:spid="_x0000_s1055"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c0sIA&#10;AADbAAAADwAAAGRycy9kb3ducmV2LnhtbERPW2vCMBR+H/gfwhH2MjTVgUpnFBEHDhS8jD2fNcem&#10;2JzUJtr6782D4OPHd5/OW1uKG9W+cKxg0E9AEGdOF5wr+D1+9yYgfEDWWDomBXfyMJ913qaYatfw&#10;nm6HkIsYwj5FBSaEKpXSZ4Ys+r6riCN3crXFEGGdS11jE8NtKYdJMpIWC44NBitaGsrOh6tVsPrf&#10;/lwGH5tmP9p9nhe7sR1b86fUe7ddfIEI1IaX+OleawXDODZ+iT9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dVzSwgAAANsAAAAPAAAAAAAAAAAAAAAAAJgCAABkcnMvZG93&#10;bnJldi54bWxQSwUGAAAAAAQABAD1AAAAhwMAAAAA&#10;" path="m,l2240281,,1659256,222885,,822960,,xe" fillcolor="#36424a [3204]" stroked="f" strokeweight="1pt">
                        <v:stroke joinstyle="miter"/>
                        <v:path arrowok="t" o:connecttype="custom" o:connectlocs="0,0;1466258,0;1085979,274158;0,1012274;0,0" o:connectangles="0,0,0,0,0"/>
                      </v:shape>
                      <v:rect id="Rectangle 30" o:spid="_x0000_s1056"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cYr8A&#10;AADbAAAADwAAAGRycy9kb3ducmV2LnhtbERPy4rCMBTdC/MP4Q7MRjSdER2pRhkEwZXig1lfmmtT&#10;bG5KE5v692YhuDyc93Ld21p01PrKsYLvcQaCuHC64lLB5bwdzUH4gKyxdkwKHuRhvfoYLDHXLvKR&#10;ulMoRQphn6MCE0KTS+kLQxb92DXEibu61mJIsC2lbjGmcFvLnyybSYsVpwaDDW0MFbfT3SoYNvQ7&#10;P+//C3PrujjVh1he71Gpr8/+bwEiUB/e4pd7pxVM0vr0Jf0A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UtxivwAAANsAAAAPAAAAAAAAAAAAAAAAAJgCAABkcnMvZG93bnJl&#10;di54bWxQSwUGAAAAAAQABAD1AAAAhAMAAAAA&#10;" stroked="f" strokeweight="1pt">
                        <v:fill r:id="rId16" o:title="" recolor="t" rotate="t" type="frame"/>
                      </v:rect>
                    </v:group>
                    <v:shape id="Text Box 31" o:spid="_x0000_s1057" type="#_x0000_t202" style="position:absolute;left:2379;top:3994;width:29801;height:1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lBesMA&#10;AADbAAAADwAAAGRycy9kb3ducmV2LnhtbESPQYvCMBSE74L/ITzBm6ZaEOmallVUvAiru7DXR/Ns&#10;yzYvtYm2/nsjLHgcZuYbZpX1phZ3al1lWcFsGoEgzq2uuFDw872bLEE4j6yxtkwKHuQgS4eDFSba&#10;dnyi+9kXIkDYJaig9L5JpHR5SQbd1DbEwbvY1qAPsi2kbrELcFPLeRQtpMGKw0KJDW1Kyv/ON6Ng&#10;sf667a9dR7/VZZMf4+U+3vZzpcaj/vMDhKfev8P/7YNWEM/g9SX8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lBesMAAADbAAAADwAAAAAAAAAAAAAAAACYAgAAZHJzL2Rv&#10;d25yZXYueG1sUEsFBgAAAAAEAAQA9QAAAIgDAAAAAA==&#10;" filled="f" stroked="f" strokeweight=".5pt">
                      <v:textbox inset="3.6pt,7.2pt,0,0">
                        <w:txbxContent>
                          <w:p w14:paraId="40C6BC31" w14:textId="728AB856" w:rsidR="00723291" w:rsidRDefault="00723291">
                            <w:pPr>
                              <w:ind w:left="504"/>
                              <w:jc w:val="right"/>
                              <w:rPr>
                                <w:smallCaps/>
                                <w:color w:val="77B800" w:themeColor="accent2"/>
                                <w:sz w:val="28"/>
                                <w:szCs w:val="24"/>
                              </w:rPr>
                            </w:pPr>
                            <w:r>
                              <w:t xml:space="preserve">The proposal to incentivise the relocation of NCGM  venues was seen as contrary to the public health aims of reducing harm overall </w:t>
                            </w:r>
                          </w:p>
                          <w:p w14:paraId="232E79BF" w14:textId="2BA01F00" w:rsidR="00723291" w:rsidRDefault="00723291">
                            <w:pPr>
                              <w:pStyle w:val="NoSpacing"/>
                              <w:ind w:left="360"/>
                              <w:jc w:val="right"/>
                              <w:rPr>
                                <w:color w:val="36424A" w:themeColor="accent1"/>
                                <w:sz w:val="20"/>
                                <w:szCs w:val="20"/>
                              </w:rPr>
                            </w:pPr>
                          </w:p>
                        </w:txbxContent>
                      </v:textbox>
                    </v:shape>
                    <w10:wrap type="square" anchorx="page" anchory="page"/>
                  </v:group>
                </w:pict>
              </mc:Fallback>
            </mc:AlternateContent>
          </w:r>
          <w:r w:rsidR="00903FE3" w:rsidRPr="009E7223">
            <w:t>The Ministry asked stakeholders their views on the location of NCGMs including questions about whether NCGM operators should be incentivised to move from lower socioeconomic areas to higher socioeconomic areas, what barriers exist to doing this, and how operators should be incentivised to move.</w:t>
          </w:r>
        </w:p>
        <w:p w14:paraId="587EAE49" w14:textId="0FF9EBFB" w:rsidR="00903FE3" w:rsidRPr="009E7223" w:rsidRDefault="00903FE3" w:rsidP="00903FE3">
          <w:pPr>
            <w:pStyle w:val="BodyText"/>
          </w:pPr>
          <w:r w:rsidRPr="009E7223">
            <w:t xml:space="preserve">Service Providers, Local Government, </w:t>
          </w:r>
          <w:r w:rsidR="003052F1" w:rsidRPr="009E7223">
            <w:t>Health sector</w:t>
          </w:r>
          <w:r w:rsidRPr="009E7223">
            <w:t xml:space="preserve"> submitters, NCGMs, and individuals did not support the idea to incentivise NCGM venues to leave, because of various concerns about the proposed policy.</w:t>
          </w:r>
        </w:p>
        <w:p w14:paraId="0EF10F59" w14:textId="33D1D6D3" w:rsidR="00903FE3" w:rsidRPr="009E7223" w:rsidRDefault="00903FE3" w:rsidP="00903FE3">
          <w:pPr>
            <w:pStyle w:val="BodyText"/>
          </w:pPr>
          <w:r w:rsidRPr="009E7223">
            <w:lastRenderedPageBreak/>
            <w:t>Three Service Providers,</w:t>
          </w:r>
          <w:r w:rsidRPr="009E7223">
            <w:rPr>
              <w:rStyle w:val="FootnoteReference"/>
            </w:rPr>
            <w:footnoteReference w:id="528"/>
          </w:r>
          <w:r w:rsidRPr="009E7223">
            <w:t xml:space="preserve"> three </w:t>
          </w:r>
          <w:r w:rsidR="003052F1" w:rsidRPr="009E7223">
            <w:t>Health sector</w:t>
          </w:r>
          <w:r w:rsidRPr="009E7223">
            <w:t xml:space="preserve"> submitters,</w:t>
          </w:r>
          <w:r w:rsidRPr="009E7223">
            <w:rPr>
              <w:rStyle w:val="FootnoteReference"/>
            </w:rPr>
            <w:footnoteReference w:id="529"/>
          </w:r>
          <w:r w:rsidRPr="009E7223">
            <w:t xml:space="preserve"> one Local Government submitter</w:t>
          </w:r>
          <w:r w:rsidRPr="009E7223">
            <w:rPr>
              <w:rStyle w:val="FootnoteReference"/>
            </w:rPr>
            <w:footnoteReference w:id="530"/>
          </w:r>
          <w:r w:rsidRPr="009E7223">
            <w:t xml:space="preserve"> and one NCGM</w:t>
          </w:r>
          <w:r w:rsidRPr="009E7223">
            <w:rPr>
              <w:rStyle w:val="FootnoteReference"/>
            </w:rPr>
            <w:footnoteReference w:id="531"/>
          </w:r>
          <w:r w:rsidRPr="009E7223">
            <w:t xml:space="preserve"> commented that this approach does not reflect the reality of gambling behaviours and the fact that individuals are highly mobile and can (and will) travel easily from one area without NCGMs to another area in order to gamble. They may also spend more time in the other area to compensate for the time taken to travel. The approach may increase their risk of gambling harm, because venue operators in other areas do not know them and may not identify them as ‘at-risk’. This approach also does nothing to stop harm occurring in existing venues. </w:t>
          </w:r>
        </w:p>
        <w:p w14:paraId="50E6813A" w14:textId="62CF9480" w:rsidR="00903FE3" w:rsidRPr="009E7223" w:rsidRDefault="00903FE3" w:rsidP="00903FE3">
          <w:pPr>
            <w:pStyle w:val="BodyText"/>
          </w:pPr>
          <w:r w:rsidRPr="009E7223">
            <w:t>Four Service Providers,</w:t>
          </w:r>
          <w:r w:rsidRPr="009E7223">
            <w:rPr>
              <w:rStyle w:val="FootnoteReference"/>
            </w:rPr>
            <w:footnoteReference w:id="532"/>
          </w:r>
          <w:r w:rsidRPr="009E7223">
            <w:t xml:space="preserve"> four </w:t>
          </w:r>
          <w:r w:rsidR="003052F1" w:rsidRPr="009E7223">
            <w:t>Health sector</w:t>
          </w:r>
          <w:r w:rsidRPr="009E7223">
            <w:t xml:space="preserve"> submitters,</w:t>
          </w:r>
          <w:r w:rsidRPr="009E7223">
            <w:rPr>
              <w:rStyle w:val="FootnoteReference"/>
            </w:rPr>
            <w:footnoteReference w:id="533"/>
          </w:r>
          <w:r w:rsidRPr="009E7223">
            <w:t xml:space="preserve"> one individual</w:t>
          </w:r>
          <w:r w:rsidRPr="009E7223">
            <w:rPr>
              <w:rStyle w:val="FootnoteReference"/>
            </w:rPr>
            <w:footnoteReference w:id="534"/>
          </w:r>
          <w:r w:rsidRPr="009E7223">
            <w:t xml:space="preserve"> and one NCGM</w:t>
          </w:r>
          <w:r w:rsidRPr="009E7223">
            <w:rPr>
              <w:rStyle w:val="FootnoteReference"/>
            </w:rPr>
            <w:footnoteReference w:id="535"/>
          </w:r>
          <w:r w:rsidRPr="009E7223">
            <w:t xml:space="preserve"> submitted that this approach is contrary to the public health aims of the Gambling Act</w:t>
          </w:r>
          <w:r w:rsidR="009E7223">
            <w:t xml:space="preserve"> 2003</w:t>
          </w:r>
          <w:r w:rsidR="00766A85">
            <w:t>.</w:t>
          </w:r>
          <w:r w:rsidRPr="009E7223">
            <w:t xml:space="preserve"> </w:t>
          </w:r>
          <w:r w:rsidR="00766A85">
            <w:t xml:space="preserve">They considered this to be </w:t>
          </w:r>
          <w:r w:rsidRPr="009E7223">
            <w:t xml:space="preserve">particularly in relation to preventing and reducing gambling-related harm, and will potentially increase harms by introducing opportunities to use NCGMs to a new population which is currently </w:t>
          </w:r>
          <w:r w:rsidR="00766A85">
            <w:t xml:space="preserve">less </w:t>
          </w:r>
          <w:r w:rsidRPr="009E7223">
            <w:t xml:space="preserve">exposed to </w:t>
          </w:r>
          <w:r w:rsidR="00766A85">
            <w:t>harm from gambling.</w:t>
          </w:r>
          <w:r w:rsidRPr="009E7223">
            <w:t xml:space="preserve"> That is, it merely moves the problem somewhere else while creating more harm in another area, when the goal should be to reduce harm overall. Also, the proposed approach was </w:t>
          </w:r>
          <w:r w:rsidR="00D244EB">
            <w:t>considered</w:t>
          </w:r>
          <w:r w:rsidRPr="009E7223">
            <w:t xml:space="preserve"> contrary to the Strategy’s objectives. </w:t>
          </w:r>
        </w:p>
        <w:p w14:paraId="35F87B3E" w14:textId="18A36A47" w:rsidR="00903FE3" w:rsidRPr="009E7223" w:rsidRDefault="00903FE3" w:rsidP="00903FE3">
          <w:pPr>
            <w:pStyle w:val="BodyText"/>
          </w:pPr>
          <w:r w:rsidRPr="009E7223">
            <w:t>Another concern was the economic implications and business practices. A Service Provider,</w:t>
          </w:r>
          <w:r w:rsidRPr="009E7223">
            <w:rPr>
              <w:rStyle w:val="FootnoteReference"/>
            </w:rPr>
            <w:footnoteReference w:id="536"/>
          </w:r>
          <w:r w:rsidRPr="009E7223">
            <w:t xml:space="preserve"> Local Government submitter,</w:t>
          </w:r>
          <w:r w:rsidRPr="009E7223">
            <w:rPr>
              <w:rStyle w:val="FootnoteReference"/>
            </w:rPr>
            <w:footnoteReference w:id="537"/>
          </w:r>
          <w:r w:rsidRPr="009E7223">
            <w:t xml:space="preserve"> individual</w:t>
          </w:r>
          <w:r w:rsidRPr="009E7223">
            <w:rPr>
              <w:rStyle w:val="FootnoteReference"/>
            </w:rPr>
            <w:footnoteReference w:id="538"/>
          </w:r>
          <w:r w:rsidRPr="009E7223">
            <w:t xml:space="preserve"> and </w:t>
          </w:r>
          <w:r w:rsidR="003052F1" w:rsidRPr="009E7223">
            <w:t>Health sector</w:t>
          </w:r>
          <w:r w:rsidRPr="009E7223">
            <w:t xml:space="preserve"> submitter</w:t>
          </w:r>
          <w:r w:rsidRPr="009E7223">
            <w:rPr>
              <w:rStyle w:val="FootnoteReference"/>
            </w:rPr>
            <w:footnoteReference w:id="539"/>
          </w:r>
          <w:r w:rsidRPr="009E7223">
            <w:t xml:space="preserve"> considered that operators are unlikely to be supportive of the approach if relocating to another venue means a reduction in gambling activity and a flow-on in terms of reduction in profit. If it were profitable to operate in higher socioeconomic areas they would be already, and therefore would be unlikely to move without incentives. Two Service Providers</w:t>
          </w:r>
          <w:r w:rsidRPr="009E7223">
            <w:rPr>
              <w:rStyle w:val="FootnoteReference"/>
            </w:rPr>
            <w:footnoteReference w:id="540"/>
          </w:r>
          <w:r w:rsidRPr="009E7223">
            <w:t xml:space="preserve"> submitted that businesses may face considerable push-back from wealthier communities concerned about the introduction of NCGMS. Incentivisation </w:t>
          </w:r>
          <w:r w:rsidR="00766A85">
            <w:t xml:space="preserve">was </w:t>
          </w:r>
          <w:r w:rsidRPr="009E7223">
            <w:t xml:space="preserve">also </w:t>
          </w:r>
          <w:r w:rsidR="00766A85">
            <w:t xml:space="preserve">suggested by two submitters (one Service Provider and one from the Health sector) to </w:t>
          </w:r>
          <w:r w:rsidRPr="009E7223">
            <w:t>provide an opportunity for failing businesses to stay open or for businesses to minimise costs already associated with moving premises.</w:t>
          </w:r>
          <w:r w:rsidRPr="009E7223">
            <w:rPr>
              <w:rStyle w:val="FootnoteReference"/>
            </w:rPr>
            <w:footnoteReference w:id="541"/>
          </w:r>
          <w:r w:rsidRPr="009E7223">
            <w:t xml:space="preserve"> </w:t>
          </w:r>
        </w:p>
        <w:p w14:paraId="189CC5F4" w14:textId="500AE918" w:rsidR="00903FE3" w:rsidRPr="009E7223" w:rsidRDefault="00903FE3" w:rsidP="00903FE3">
          <w:pPr>
            <w:pStyle w:val="BodyText"/>
          </w:pPr>
          <w:r w:rsidRPr="009E7223">
            <w:t xml:space="preserve">Along the same lines, two </w:t>
          </w:r>
          <w:r w:rsidR="003052F1" w:rsidRPr="009E7223">
            <w:t>Health sector</w:t>
          </w:r>
          <w:r w:rsidRPr="009E7223">
            <w:t xml:space="preserve"> submitters</w:t>
          </w:r>
          <w:r w:rsidRPr="009E7223">
            <w:rPr>
              <w:rStyle w:val="FootnoteReference"/>
            </w:rPr>
            <w:footnoteReference w:id="542"/>
          </w:r>
          <w:r w:rsidRPr="009E7223">
            <w:t xml:space="preserve"> and a Service Provider</w:t>
          </w:r>
          <w:r w:rsidRPr="009E7223">
            <w:rPr>
              <w:rStyle w:val="FootnoteReference"/>
            </w:rPr>
            <w:footnoteReference w:id="543"/>
          </w:r>
          <w:r w:rsidRPr="009E7223">
            <w:t xml:space="preserve"> commented that the approach would not reduce overall access to NCGMs and therefore would not reduce harm or alleviate inequality. </w:t>
          </w:r>
        </w:p>
        <w:p w14:paraId="5162DF9B" w14:textId="1F2D5428" w:rsidR="00903FE3" w:rsidRPr="009E7223" w:rsidRDefault="00903FE3" w:rsidP="00903FE3">
          <w:pPr>
            <w:pStyle w:val="BodyText"/>
          </w:pPr>
          <w:r w:rsidRPr="009E7223">
            <w:t xml:space="preserve">One </w:t>
          </w:r>
          <w:r w:rsidR="003052F1" w:rsidRPr="009E7223">
            <w:t>Health sector</w:t>
          </w:r>
          <w:r w:rsidRPr="009E7223">
            <w:t xml:space="preserve"> submitter</w:t>
          </w:r>
          <w:r w:rsidRPr="009E7223">
            <w:rPr>
              <w:rStyle w:val="FootnoteReference"/>
            </w:rPr>
            <w:footnoteReference w:id="544"/>
          </w:r>
          <w:r w:rsidRPr="009E7223">
            <w:t xml:space="preserve"> commented that incentivisation is likely to be costly. This raised concerns about where the funding to support incentivisation would come from, especially if there was to be no increase in the overall appropriation. This submitter was particularly concerned that budget for incentives would take away funding for other important harm reduction activities, which was not supported.</w:t>
          </w:r>
        </w:p>
        <w:p w14:paraId="59291F77" w14:textId="202CFACA" w:rsidR="00903FE3" w:rsidRPr="009E7223" w:rsidRDefault="002B5E6E" w:rsidP="00903FE3">
          <w:pPr>
            <w:pStyle w:val="BodyText"/>
          </w:pPr>
          <w:r>
            <w:lastRenderedPageBreak/>
            <w:t xml:space="preserve">Submitters from the </w:t>
          </w:r>
          <w:r w:rsidR="003052F1" w:rsidRPr="009E7223">
            <w:t>Health sector</w:t>
          </w:r>
          <w:r>
            <w:t>,</w:t>
          </w:r>
          <w:r>
            <w:rPr>
              <w:rStyle w:val="FootnoteReference"/>
            </w:rPr>
            <w:footnoteReference w:id="545"/>
          </w:r>
          <w:r>
            <w:t xml:space="preserve"> </w:t>
          </w:r>
          <w:r w:rsidR="00903FE3" w:rsidRPr="009E7223">
            <w:t>Local Government</w:t>
          </w:r>
          <w:r>
            <w:t>,</w:t>
          </w:r>
          <w:r>
            <w:rPr>
              <w:rStyle w:val="FootnoteReference"/>
            </w:rPr>
            <w:footnoteReference w:id="546"/>
          </w:r>
          <w:r w:rsidR="00903FE3" w:rsidRPr="009E7223">
            <w:t xml:space="preserve"> </w:t>
          </w:r>
          <w:r>
            <w:t>and an individual submitter</w:t>
          </w:r>
          <w:r>
            <w:rPr>
              <w:rStyle w:val="FootnoteReference"/>
            </w:rPr>
            <w:footnoteReference w:id="547"/>
          </w:r>
          <w:r w:rsidR="00903FE3" w:rsidRPr="009E7223">
            <w:t xml:space="preserve"> were concerned about the adverse impact that an incentivised approach would have on local government responsibilities and gambling policies. </w:t>
          </w:r>
          <w:r>
            <w:t>These submitters considered that a</w:t>
          </w:r>
          <w:r w:rsidR="00903FE3" w:rsidRPr="009E7223">
            <w:t xml:space="preserve"> sinking lid approach was ethical and effective in reducing access to and the number and location of NCGM venues, and therefore the best approach to harm minimisation overall.</w:t>
          </w:r>
          <w:r w:rsidR="00903FE3" w:rsidRPr="009E7223">
            <w:rPr>
              <w:rStyle w:val="FootnoteReference"/>
            </w:rPr>
            <w:footnoteReference w:id="548"/>
          </w:r>
          <w:r w:rsidR="00903FE3" w:rsidRPr="009E7223">
            <w:t xml:space="preserve"> Incentivising relocation would make it harder for Local Governments to implement a sinking lid in their NCGM policies, and it ignores their responsibilities under the Act and the community’s participation in decision-making about NCGMs.</w:t>
          </w:r>
          <w:r w:rsidR="00903FE3" w:rsidRPr="009E7223">
            <w:rPr>
              <w:rStyle w:val="FootnoteReference"/>
            </w:rPr>
            <w:footnoteReference w:id="549"/>
          </w:r>
        </w:p>
        <w:p w14:paraId="19A8F020" w14:textId="366BB214" w:rsidR="00903FE3" w:rsidRPr="009E7223" w:rsidRDefault="00D76ACB" w:rsidP="00903FE3">
          <w:pPr>
            <w:pStyle w:val="BodyText"/>
          </w:pPr>
          <w:r w:rsidRPr="009E7223">
            <w:t>One NCGM sector submitter</w:t>
          </w:r>
          <w:r w:rsidRPr="009E7223">
            <w:rPr>
              <w:rStyle w:val="FootnoteReference"/>
            </w:rPr>
            <w:footnoteReference w:id="550"/>
          </w:r>
          <w:r w:rsidRPr="009E7223">
            <w:t xml:space="preserve"> and one Service Provider</w:t>
          </w:r>
          <w:r w:rsidRPr="009E7223">
            <w:rPr>
              <w:rStyle w:val="FootnoteReference"/>
            </w:rPr>
            <w:footnoteReference w:id="551"/>
          </w:r>
          <w:r w:rsidRPr="009E7223">
            <w:t xml:space="preserve"> expressed </w:t>
          </w:r>
          <w:r w:rsidR="00903FE3" w:rsidRPr="009E7223">
            <w:t>concern that removing NCGMs from lower socioeconomic areas communities would result in lost re-investment opportunities (in the form of grants, etc.) for those communities and redistribution of funds into wealthier areas.</w:t>
          </w:r>
        </w:p>
        <w:p w14:paraId="0110B194" w14:textId="57A3847C" w:rsidR="00903FE3" w:rsidRPr="009E7223" w:rsidRDefault="00903FE3" w:rsidP="00903FE3">
          <w:pPr>
            <w:pStyle w:val="BodyText"/>
          </w:pPr>
          <w:r w:rsidRPr="009E7223">
            <w:t>An individual</w:t>
          </w:r>
          <w:r w:rsidRPr="009E7223">
            <w:rPr>
              <w:rStyle w:val="FootnoteReference"/>
            </w:rPr>
            <w:footnoteReference w:id="552"/>
          </w:r>
          <w:r w:rsidRPr="009E7223">
            <w:t xml:space="preserve"> and </w:t>
          </w:r>
          <w:r w:rsidR="00D76ACB" w:rsidRPr="009E7223">
            <w:t>one NCGM sector submitter</w:t>
          </w:r>
          <w:r w:rsidRPr="009E7223">
            <w:rPr>
              <w:rStyle w:val="FootnoteReference"/>
            </w:rPr>
            <w:footnoteReference w:id="553"/>
          </w:r>
          <w:r w:rsidRPr="009E7223">
            <w:t xml:space="preserve"> preferred that efforts be focused on making the gambling environment safer through improved in situ interventions to reduce harm at the point of play. </w:t>
          </w:r>
        </w:p>
        <w:p w14:paraId="787925D9" w14:textId="77777777" w:rsidR="00903FE3" w:rsidRPr="009E7223" w:rsidRDefault="00903FE3" w:rsidP="00903FE3">
          <w:pPr>
            <w:pStyle w:val="BodyText"/>
          </w:pPr>
          <w:r w:rsidRPr="009E7223">
            <w:t>One Local Government submitter</w:t>
          </w:r>
          <w:r w:rsidRPr="009E7223">
            <w:rPr>
              <w:rStyle w:val="FootnoteReference"/>
            </w:rPr>
            <w:footnoteReference w:id="554"/>
          </w:r>
          <w:r w:rsidRPr="009E7223">
            <w:t xml:space="preserve"> suggested that further research be completed to determine what incentives might be attractive. </w:t>
          </w:r>
        </w:p>
        <w:p w14:paraId="5AADE0AE" w14:textId="77777777" w:rsidR="00903FE3" w:rsidRPr="009E7223" w:rsidRDefault="00903FE3" w:rsidP="00903FE3">
          <w:pPr>
            <w:pStyle w:val="BodyText"/>
          </w:pPr>
          <w:r w:rsidRPr="009E7223">
            <w:t xml:space="preserve">A small number of alternatives to incentivising relocation were proposed, including: </w:t>
          </w:r>
        </w:p>
        <w:p w14:paraId="5B915956" w14:textId="0B91D126" w:rsidR="00903FE3" w:rsidRPr="009E7223" w:rsidRDefault="00AA3B0A" w:rsidP="00903FE3">
          <w:pPr>
            <w:pStyle w:val="List-BulletLvl1"/>
          </w:pPr>
          <w:r w:rsidRPr="009E7223">
            <w:t>A</w:t>
          </w:r>
          <w:r w:rsidR="00903FE3" w:rsidRPr="009E7223">
            <w:t>n in-principle approach to reducing NCGM numbers overall, as well as density reduction</w:t>
          </w:r>
          <w:r w:rsidR="00903FE3" w:rsidRPr="009E7223">
            <w:rPr>
              <w:rStyle w:val="FootnoteReference"/>
            </w:rPr>
            <w:footnoteReference w:id="555"/>
          </w:r>
        </w:p>
        <w:p w14:paraId="721D282F" w14:textId="5A4046CA" w:rsidR="00903FE3" w:rsidRPr="009E7223" w:rsidRDefault="00AA3B0A" w:rsidP="00903FE3">
          <w:pPr>
            <w:pStyle w:val="List-BulletLvl1"/>
          </w:pPr>
          <w:r w:rsidRPr="009E7223">
            <w:t>F</w:t>
          </w:r>
          <w:r w:rsidR="00903FE3" w:rsidRPr="009E7223">
            <w:t>orcing NCGM operators to leave lower socioeconomic areas,</w:t>
          </w:r>
          <w:r w:rsidR="00903FE3" w:rsidRPr="009E7223">
            <w:rPr>
              <w:rStyle w:val="FootnoteReference"/>
            </w:rPr>
            <w:footnoteReference w:id="556"/>
          </w:r>
          <w:r w:rsidR="00903FE3" w:rsidRPr="009E7223">
            <w:t xml:space="preserve"> and</w:t>
          </w:r>
        </w:p>
        <w:p w14:paraId="639B7B26" w14:textId="6BB50769" w:rsidR="00903FE3" w:rsidRPr="009E7223" w:rsidRDefault="00AA3B0A" w:rsidP="00903FE3">
          <w:pPr>
            <w:pStyle w:val="List-BulletLvl1"/>
          </w:pPr>
          <w:r w:rsidRPr="009E7223">
            <w:t>P</w:t>
          </w:r>
          <w:r w:rsidR="00903FE3" w:rsidRPr="009E7223">
            <w:t>aying operators to leave or giving them a deadline for exit.</w:t>
          </w:r>
          <w:r w:rsidR="00903FE3" w:rsidRPr="009E7223">
            <w:rPr>
              <w:rStyle w:val="FootnoteReference"/>
            </w:rPr>
            <w:footnoteReference w:id="557"/>
          </w:r>
        </w:p>
        <w:p w14:paraId="5ED0462E" w14:textId="57189E5D" w:rsidR="00903FE3" w:rsidRPr="009E7223" w:rsidRDefault="00AD2D3A" w:rsidP="00903FE3">
          <w:pPr>
            <w:pStyle w:val="NumberedHeading2"/>
          </w:pPr>
          <w:bookmarkStart w:id="120" w:name="_Toc531098202"/>
          <w:r>
            <w:t>S</w:t>
          </w:r>
          <w:r w:rsidR="008715C8">
            <w:t xml:space="preserve">tructural </w:t>
          </w:r>
          <w:r w:rsidR="007179B4" w:rsidRPr="009E7223">
            <w:t>b</w:t>
          </w:r>
          <w:r w:rsidR="00903FE3" w:rsidRPr="009E7223">
            <w:t xml:space="preserve">arriers to </w:t>
          </w:r>
          <w:r w:rsidR="007179B4" w:rsidRPr="009E7223">
            <w:t xml:space="preserve">relocating </w:t>
          </w:r>
          <w:r w:rsidR="00903FE3" w:rsidRPr="009E7223">
            <w:t>NCGM</w:t>
          </w:r>
          <w:r w:rsidR="007179B4" w:rsidRPr="009E7223">
            <w:t xml:space="preserve"> venues</w:t>
          </w:r>
          <w:r w:rsidR="001D2B4B">
            <w:t xml:space="preserve"> were identified</w:t>
          </w:r>
          <w:bookmarkEnd w:id="120"/>
        </w:p>
        <w:p w14:paraId="772149B2" w14:textId="5FD9D800" w:rsidR="00903FE3" w:rsidRPr="009E7223" w:rsidRDefault="00903FE3" w:rsidP="00903FE3">
          <w:pPr>
            <w:pStyle w:val="BodyText"/>
          </w:pPr>
          <w:r w:rsidRPr="009E7223">
            <w:t>Thirty submitters discussed barriers that exist to moving NCGMs from lower socioeconomic areas (14 NCGM submitters,</w:t>
          </w:r>
          <w:r w:rsidRPr="009E7223">
            <w:rPr>
              <w:rStyle w:val="FootnoteReference"/>
            </w:rPr>
            <w:footnoteReference w:id="558"/>
          </w:r>
          <w:r w:rsidRPr="009E7223">
            <w:t xml:space="preserve"> five Local Government,</w:t>
          </w:r>
          <w:r w:rsidRPr="009E7223">
            <w:rPr>
              <w:rStyle w:val="FootnoteReference"/>
            </w:rPr>
            <w:footnoteReference w:id="559"/>
          </w:r>
          <w:r w:rsidRPr="009E7223">
            <w:t xml:space="preserve"> four Service Providers,</w:t>
          </w:r>
          <w:r w:rsidRPr="009E7223">
            <w:rPr>
              <w:rStyle w:val="FootnoteReference"/>
            </w:rPr>
            <w:footnoteReference w:id="560"/>
          </w:r>
          <w:r w:rsidRPr="009E7223">
            <w:t xml:space="preserve"> three </w:t>
          </w:r>
          <w:r w:rsidR="003052F1" w:rsidRPr="009E7223">
            <w:t>Health sector</w:t>
          </w:r>
          <w:r w:rsidRPr="009E7223">
            <w:t>,</w:t>
          </w:r>
          <w:r w:rsidRPr="009E7223">
            <w:rPr>
              <w:rStyle w:val="FootnoteReference"/>
            </w:rPr>
            <w:footnoteReference w:id="561"/>
          </w:r>
          <w:r w:rsidRPr="009E7223">
            <w:t xml:space="preserve"> two Gambling Industry (other)</w:t>
          </w:r>
          <w:r w:rsidRPr="009E7223">
            <w:rPr>
              <w:rStyle w:val="FootnoteReference"/>
            </w:rPr>
            <w:footnoteReference w:id="562"/>
          </w:r>
          <w:r w:rsidRPr="009E7223">
            <w:t xml:space="preserve"> and two individuals</w:t>
          </w:r>
          <w:r w:rsidRPr="009E7223">
            <w:rPr>
              <w:rStyle w:val="FootnoteReference"/>
            </w:rPr>
            <w:footnoteReference w:id="563"/>
          </w:r>
          <w:r w:rsidRPr="009E7223">
            <w:t>).</w:t>
          </w:r>
        </w:p>
        <w:p w14:paraId="53151C96" w14:textId="5237B594" w:rsidR="00903FE3" w:rsidRPr="009E7223" w:rsidRDefault="00903FE3" w:rsidP="00903FE3">
          <w:pPr>
            <w:pStyle w:val="BodyText"/>
          </w:pPr>
          <w:r w:rsidRPr="009E7223">
            <w:t xml:space="preserve">The main barriers identified by submitters related to Council policy and the need for NCGM operators to obtain consent in order to legally relocate. </w:t>
          </w:r>
          <w:r w:rsidR="002B5E6E">
            <w:t xml:space="preserve">Thirteen </w:t>
          </w:r>
          <w:r w:rsidRPr="009E7223">
            <w:t>NCGM sector</w:t>
          </w:r>
          <w:r w:rsidR="002B5E6E">
            <w:rPr>
              <w:rStyle w:val="FootnoteReference"/>
            </w:rPr>
            <w:footnoteReference w:id="564"/>
          </w:r>
          <w:r w:rsidRPr="009E7223">
            <w:t xml:space="preserve"> and </w:t>
          </w:r>
          <w:r w:rsidR="002B5E6E">
            <w:t>two</w:t>
          </w:r>
          <w:r w:rsidRPr="009E7223">
            <w:t xml:space="preserve"> Gambling </w:t>
          </w:r>
          <w:r w:rsidRPr="009E7223">
            <w:lastRenderedPageBreak/>
            <w:t>Industry (other) submitters</w:t>
          </w:r>
          <w:r w:rsidRPr="009E7223">
            <w:rPr>
              <w:rStyle w:val="FootnoteReference"/>
            </w:rPr>
            <w:footnoteReference w:id="565"/>
          </w:r>
          <w:r w:rsidRPr="009E7223">
            <w:t xml:space="preserve"> noted the difficulties created by Council policies which undermine consideration of relocation (that is, most Councils either do not allow relocation in any circumstances or have very restricted circumstances under which relocation can be considered, most of which are outside of operators’ control). </w:t>
          </w:r>
          <w:r w:rsidR="00197182">
            <w:t xml:space="preserve">Two </w:t>
          </w:r>
          <w:r w:rsidRPr="009E7223">
            <w:t>Local Government submitters</w:t>
          </w:r>
          <w:r w:rsidR="00197182">
            <w:t>,</w:t>
          </w:r>
          <w:r w:rsidR="002B5E6E">
            <w:rPr>
              <w:rStyle w:val="FootnoteReference"/>
            </w:rPr>
            <w:footnoteReference w:id="566"/>
          </w:r>
          <w:r w:rsidRPr="009E7223">
            <w:t xml:space="preserve"> a</w:t>
          </w:r>
          <w:r w:rsidR="00197182">
            <w:t>nd one submitter from the Health sector,</w:t>
          </w:r>
          <w:r w:rsidR="00197182">
            <w:rPr>
              <w:rStyle w:val="FootnoteReference"/>
            </w:rPr>
            <w:footnoteReference w:id="567"/>
          </w:r>
          <w:r w:rsidR="00197182">
            <w:t xml:space="preserve"> one NCGM sector,</w:t>
          </w:r>
          <w:r w:rsidR="00197182">
            <w:rPr>
              <w:rStyle w:val="FootnoteReference"/>
            </w:rPr>
            <w:footnoteReference w:id="568"/>
          </w:r>
          <w:r w:rsidR="00197182">
            <w:t xml:space="preserve"> one Service Provider,</w:t>
          </w:r>
          <w:r w:rsidR="00197182">
            <w:rPr>
              <w:rStyle w:val="FootnoteReference"/>
            </w:rPr>
            <w:footnoteReference w:id="569"/>
          </w:r>
          <w:r w:rsidR="00197182">
            <w:t xml:space="preserve"> and one</w:t>
          </w:r>
          <w:r w:rsidRPr="009E7223">
            <w:t xml:space="preserve"> individual</w:t>
          </w:r>
          <w:r w:rsidRPr="009E7223">
            <w:rPr>
              <w:rStyle w:val="FootnoteReference"/>
            </w:rPr>
            <w:footnoteReference w:id="570"/>
          </w:r>
          <w:r w:rsidRPr="009E7223">
            <w:t xml:space="preserve"> also identified Council policy restrictions on relocations as a barrier.</w:t>
          </w:r>
        </w:p>
        <w:p w14:paraId="6BF6881F" w14:textId="52DD4B52" w:rsidR="00903FE3" w:rsidRPr="009E7223" w:rsidRDefault="00903FE3" w:rsidP="00903FE3">
          <w:pPr>
            <w:pStyle w:val="BodyText"/>
          </w:pPr>
          <w:r w:rsidRPr="009E7223">
            <w:t xml:space="preserve">The practical impacts of the time and effort required to complete the consent process, and the fact that there is no guarantee of a decision that will allow a venue to relocate of a club to merge and relocate (with an on-licence under the Sale and Supply of Liquor Act) makes it difficult to commit to venue changes. This was </w:t>
          </w:r>
          <w:r w:rsidR="00D244EB">
            <w:t>considered</w:t>
          </w:r>
          <w:r w:rsidRPr="009E7223">
            <w:t xml:space="preserve"> a barrier by</w:t>
          </w:r>
          <w:r w:rsidR="00197182">
            <w:t xml:space="preserve"> five</w:t>
          </w:r>
          <w:r w:rsidRPr="009E7223">
            <w:t xml:space="preserve"> NCGM sector</w:t>
          </w:r>
          <w:r w:rsidR="00197182">
            <w:rPr>
              <w:rStyle w:val="FootnoteReference"/>
            </w:rPr>
            <w:footnoteReference w:id="571"/>
          </w:r>
          <w:r w:rsidRPr="009E7223">
            <w:t xml:space="preserve"> and</w:t>
          </w:r>
          <w:r w:rsidR="00197182">
            <w:t xml:space="preserve"> two</w:t>
          </w:r>
          <w:r w:rsidRPr="009E7223">
            <w:t xml:space="preserve"> Gambling Industry (other)</w:t>
          </w:r>
          <w:r w:rsidR="00197182" w:rsidRPr="00197182">
            <w:rPr>
              <w:rStyle w:val="FootnoteReference"/>
            </w:rPr>
            <w:t xml:space="preserve"> </w:t>
          </w:r>
          <w:r w:rsidR="00197182" w:rsidRPr="009E7223">
            <w:rPr>
              <w:rStyle w:val="FootnoteReference"/>
            </w:rPr>
            <w:footnoteReference w:id="572"/>
          </w:r>
          <w:r w:rsidRPr="009E7223">
            <w:t xml:space="preserve"> submitters. Consent-related business risks (that is, preparing to move venues but not getting consent or a liquor licence) were also identified by one Local Government submitter.</w:t>
          </w:r>
          <w:r w:rsidRPr="009E7223">
            <w:rPr>
              <w:rStyle w:val="FootnoteReference"/>
            </w:rPr>
            <w:footnoteReference w:id="573"/>
          </w:r>
          <w:r w:rsidRPr="009E7223">
            <w:t xml:space="preserve"> Another Local Government submitter</w:t>
          </w:r>
          <w:r w:rsidRPr="009E7223">
            <w:rPr>
              <w:rStyle w:val="FootnoteReference"/>
            </w:rPr>
            <w:footnoteReference w:id="574"/>
          </w:r>
          <w:r w:rsidRPr="009E7223">
            <w:t xml:space="preserve"> identified the further uncertainty with the process of the possibility of applying for a new licence but permission being subject to having fewer machines.</w:t>
          </w:r>
        </w:p>
        <w:p w14:paraId="6BD10119" w14:textId="77777777" w:rsidR="00903FE3" w:rsidRPr="009E7223" w:rsidRDefault="00903FE3" w:rsidP="00903FE3">
          <w:pPr>
            <w:pStyle w:val="BodyText"/>
          </w:pPr>
          <w:r w:rsidRPr="009E7223">
            <w:t>The role of the Waikiwi Tavern judgment raised concerns for an NCGM submitter and a Local Government submitter,</w:t>
          </w:r>
          <w:r w:rsidRPr="009E7223">
            <w:rPr>
              <w:rStyle w:val="FootnoteReference"/>
            </w:rPr>
            <w:footnoteReference w:id="575"/>
          </w:r>
          <w:r w:rsidRPr="009E7223">
            <w:t xml:space="preserve">  who noted that this judgment means that no one is relocating, or that there is now confusion about which authority has decision-making powers in relation to relocation.</w:t>
          </w:r>
          <w:r w:rsidRPr="009E7223">
            <w:rPr>
              <w:rStyle w:val="FootnoteReference"/>
            </w:rPr>
            <w:footnoteReference w:id="576"/>
          </w:r>
        </w:p>
        <w:p w14:paraId="4C241564" w14:textId="146682DA" w:rsidR="00903FE3" w:rsidRPr="009E7223" w:rsidRDefault="00903FE3" w:rsidP="00903FE3">
          <w:pPr>
            <w:pStyle w:val="BodyText"/>
          </w:pPr>
          <w:r w:rsidRPr="009E7223">
            <w:t xml:space="preserve">Another barrier related to the Gambling Act </w:t>
          </w:r>
          <w:r w:rsidR="007B34D9">
            <w:t xml:space="preserve">2003 </w:t>
          </w:r>
          <w:r w:rsidRPr="009E7223">
            <w:t xml:space="preserve">requirement that NCGMs be located in certain types of venues. </w:t>
          </w:r>
          <w:r w:rsidR="007B34D9">
            <w:t xml:space="preserve">Eight </w:t>
          </w:r>
          <w:r w:rsidRPr="009E7223">
            <w:t>NCGM submitters</w:t>
          </w:r>
          <w:r w:rsidRPr="009E7223">
            <w:rPr>
              <w:rStyle w:val="FootnoteReference"/>
            </w:rPr>
            <w:footnoteReference w:id="577"/>
          </w:r>
          <w:r w:rsidRPr="009E7223">
            <w:t xml:space="preserve"> considered that this restriction provides insufficient venue choice options, should relocation be favoured by an operator. If NCGMs could </w:t>
          </w:r>
          <w:r w:rsidR="00D244EB" w:rsidRPr="009E7223">
            <w:t>be in</w:t>
          </w:r>
          <w:r w:rsidRPr="009E7223">
            <w:t xml:space="preserve"> other venue types, this barrier would be reduced.</w:t>
          </w:r>
        </w:p>
        <w:p w14:paraId="1F557A2B" w14:textId="6E472838" w:rsidR="00903FE3" w:rsidRPr="009E7223" w:rsidRDefault="00903FE3" w:rsidP="00903FE3">
          <w:pPr>
            <w:pStyle w:val="BodyText"/>
          </w:pPr>
          <w:r w:rsidRPr="009E7223">
            <w:t>Individual and Local Government submitters focussed on the commercial realities which could act as a barrier. Submitters noted that NCGM venues tend to operate where there is demand for services.</w:t>
          </w:r>
          <w:r w:rsidRPr="009E7223">
            <w:rPr>
              <w:rStyle w:val="FootnoteReference"/>
            </w:rPr>
            <w:footnoteReference w:id="578"/>
          </w:r>
          <w:r w:rsidRPr="009E7223">
            <w:t xml:space="preserve"> Some of these commercial realities included the willingness of businesses to take on NCGMs in higher socioeconomic areas where there might be a lower demand or turnover, resulting in lower commission for the operator and lower returns to the community.</w:t>
          </w:r>
          <w:r w:rsidRPr="009E7223">
            <w:rPr>
              <w:rStyle w:val="FootnoteReference"/>
            </w:rPr>
            <w:footnoteReference w:id="579"/>
          </w:r>
          <w:r w:rsidRPr="009E7223">
            <w:t xml:space="preserve"> Another money-related barrier </w:t>
          </w:r>
          <w:r w:rsidR="00197182">
            <w:t>identified by two Service Providers,</w:t>
          </w:r>
          <w:r w:rsidR="00197182">
            <w:rPr>
              <w:rStyle w:val="FootnoteReference"/>
            </w:rPr>
            <w:footnoteReference w:id="580"/>
          </w:r>
          <w:r w:rsidR="00197182">
            <w:t xml:space="preserve"> two Health sector</w:t>
          </w:r>
          <w:r w:rsidR="00C55EA7">
            <w:t xml:space="preserve"> submitters,</w:t>
          </w:r>
          <w:r w:rsidR="00197182">
            <w:rPr>
              <w:rStyle w:val="FootnoteReference"/>
            </w:rPr>
            <w:footnoteReference w:id="581"/>
          </w:r>
          <w:r w:rsidR="00197182">
            <w:t xml:space="preserve"> and one individual submitter</w:t>
          </w:r>
          <w:r w:rsidR="00C55EA7" w:rsidRPr="009E7223">
            <w:rPr>
              <w:rStyle w:val="FootnoteReference"/>
            </w:rPr>
            <w:footnoteReference w:id="582"/>
          </w:r>
          <w:r w:rsidR="00197182">
            <w:t xml:space="preserve"> </w:t>
          </w:r>
          <w:r w:rsidRPr="009E7223">
            <w:t>was the concern about the impact on community funding if venues relocate away from high deprivation communities and revenue drops.</w:t>
          </w:r>
        </w:p>
        <w:p w14:paraId="2D3C791F" w14:textId="77777777" w:rsidR="00903FE3" w:rsidRPr="009E7223" w:rsidRDefault="00903FE3" w:rsidP="00903FE3">
          <w:pPr>
            <w:pStyle w:val="BodyText"/>
          </w:pPr>
          <w:r w:rsidRPr="009E7223">
            <w:lastRenderedPageBreak/>
            <w:t>There was also concern that communities that participate in decision-making about the location of NCGM venues might not be willing to have these venues in their areas, and that they would work against an NCGM operator trying to establish a venue.</w:t>
          </w:r>
          <w:r w:rsidRPr="009E7223">
            <w:rPr>
              <w:rStyle w:val="FootnoteReference"/>
            </w:rPr>
            <w:footnoteReference w:id="583"/>
          </w:r>
        </w:p>
        <w:p w14:paraId="03FF6844" w14:textId="77777777" w:rsidR="00903FE3" w:rsidRPr="009E7223" w:rsidRDefault="00903FE3" w:rsidP="00903FE3">
          <w:pPr>
            <w:pStyle w:val="BodyText"/>
          </w:pPr>
          <w:r w:rsidRPr="009E7223">
            <w:t>Other barriers included:</w:t>
          </w:r>
        </w:p>
        <w:p w14:paraId="784FAF8C" w14:textId="253F1B6E" w:rsidR="00903FE3" w:rsidRPr="009E7223" w:rsidRDefault="00AA3B0A" w:rsidP="00903FE3">
          <w:pPr>
            <w:pStyle w:val="List-BulletLvl1"/>
          </w:pPr>
          <w:r w:rsidRPr="009E7223">
            <w:t>S</w:t>
          </w:r>
          <w:r w:rsidR="00903FE3" w:rsidRPr="009E7223">
            <w:t>trong advocacy from some groups that do not support relocation of NCGMs</w:t>
          </w:r>
          <w:r w:rsidR="00903FE3" w:rsidRPr="009E7223">
            <w:rPr>
              <w:rStyle w:val="FootnoteReference"/>
            </w:rPr>
            <w:footnoteReference w:id="584"/>
          </w:r>
        </w:p>
        <w:p w14:paraId="240E8C91" w14:textId="79030EA4" w:rsidR="00903FE3" w:rsidRPr="009E7223" w:rsidRDefault="00AA3B0A" w:rsidP="00903FE3">
          <w:pPr>
            <w:pStyle w:val="List-BulletLvl1"/>
          </w:pPr>
          <w:r w:rsidRPr="009E7223">
            <w:t>C</w:t>
          </w:r>
          <w:r w:rsidR="00903FE3" w:rsidRPr="009E7223">
            <w:t xml:space="preserve">ouncils lack the power to enforce relocation and the Gambling Act </w:t>
          </w:r>
          <w:r w:rsidR="007B34D9">
            <w:t xml:space="preserve">2003 </w:t>
          </w:r>
          <w:r w:rsidR="00903FE3" w:rsidRPr="009E7223">
            <w:t>makes no provision to reduce the number of NCGMs in lower socioeconomic areas through relocation</w:t>
          </w:r>
          <w:r w:rsidR="00903FE3" w:rsidRPr="009E7223">
            <w:rPr>
              <w:rStyle w:val="FootnoteReference"/>
            </w:rPr>
            <w:footnoteReference w:id="585"/>
          </w:r>
        </w:p>
        <w:p w14:paraId="5D335025" w14:textId="3622B66C" w:rsidR="00903FE3" w:rsidRPr="009E7223" w:rsidRDefault="00AA3B0A" w:rsidP="00903FE3">
          <w:pPr>
            <w:pStyle w:val="List-BulletLvl1"/>
          </w:pPr>
          <w:r w:rsidRPr="009E7223">
            <w:t>C</w:t>
          </w:r>
          <w:r w:rsidR="00903FE3" w:rsidRPr="009E7223">
            <w:t>ommunity concern about the loss of community facilities in some areas</w:t>
          </w:r>
          <w:r w:rsidR="00903FE3" w:rsidRPr="009E7223">
            <w:rPr>
              <w:rStyle w:val="FootnoteReference"/>
            </w:rPr>
            <w:footnoteReference w:id="586"/>
          </w:r>
        </w:p>
        <w:p w14:paraId="1496817F" w14:textId="30BBC820" w:rsidR="00903FE3" w:rsidRPr="009E7223" w:rsidRDefault="00AA3B0A" w:rsidP="00903FE3">
          <w:pPr>
            <w:pStyle w:val="List-BulletLvl1"/>
          </w:pPr>
          <w:r w:rsidRPr="009E7223">
            <w:t>C</w:t>
          </w:r>
          <w:r w:rsidR="00903FE3" w:rsidRPr="009E7223">
            <w:t>ompliance with the authorised purpose return,</w:t>
          </w:r>
          <w:r w:rsidR="00903FE3" w:rsidRPr="009E7223">
            <w:rPr>
              <w:rStyle w:val="FootnoteReference"/>
            </w:rPr>
            <w:footnoteReference w:id="587"/>
          </w:r>
          <w:r w:rsidR="00903FE3" w:rsidRPr="009E7223">
            <w:t xml:space="preserve"> and</w:t>
          </w:r>
        </w:p>
        <w:p w14:paraId="6CF2A7BF" w14:textId="2C152BCD" w:rsidR="00903FE3" w:rsidRPr="009E7223" w:rsidRDefault="00AA3B0A" w:rsidP="00903FE3">
          <w:pPr>
            <w:pStyle w:val="List-BulletLvl1"/>
          </w:pPr>
          <w:r w:rsidRPr="009E7223">
            <w:t>E</w:t>
          </w:r>
          <w:r w:rsidR="00903FE3" w:rsidRPr="009E7223">
            <w:t>ven where council policies support relocation to reduce NCGMs in lower socioeconomic areas, no NCGM operators have applied to relocate.</w:t>
          </w:r>
          <w:r w:rsidR="00903FE3" w:rsidRPr="009E7223">
            <w:rPr>
              <w:rStyle w:val="FootnoteReference"/>
            </w:rPr>
            <w:footnoteReference w:id="588"/>
          </w:r>
        </w:p>
        <w:p w14:paraId="341A3696" w14:textId="60030588" w:rsidR="00903FE3" w:rsidRPr="009E7223" w:rsidRDefault="001D2B4B" w:rsidP="00903FE3">
          <w:pPr>
            <w:pStyle w:val="NumberedHeading2"/>
          </w:pPr>
          <w:bookmarkStart w:id="121" w:name="_Toc531098203"/>
          <w:r>
            <w:t>I</w:t>
          </w:r>
          <w:r w:rsidR="00903FE3" w:rsidRPr="009E7223">
            <w:t>ncentives to support relocation</w:t>
          </w:r>
          <w:r>
            <w:t xml:space="preserve"> were suggested</w:t>
          </w:r>
          <w:bookmarkEnd w:id="121"/>
        </w:p>
        <w:p w14:paraId="6CACD70E" w14:textId="09A8034C" w:rsidR="00903FE3" w:rsidRPr="009E7223" w:rsidRDefault="00903FE3" w:rsidP="00903FE3">
          <w:pPr>
            <w:jc w:val="both"/>
          </w:pPr>
          <w:r w:rsidRPr="009E7223">
            <w:t>Thirty-eight submitters suggested incentives to encourage NCGM operators to move (20 NCGM submitters</w:t>
          </w:r>
          <w:r w:rsidRPr="009E7223">
            <w:rPr>
              <w:rStyle w:val="FootnoteReference"/>
            </w:rPr>
            <w:footnoteReference w:id="589"/>
          </w:r>
          <w:r w:rsidRPr="009E7223">
            <w:t xml:space="preserve"> six Service Providers,</w:t>
          </w:r>
          <w:r w:rsidRPr="009E7223">
            <w:rPr>
              <w:rStyle w:val="FootnoteReference"/>
            </w:rPr>
            <w:footnoteReference w:id="590"/>
          </w:r>
          <w:r w:rsidRPr="009E7223">
            <w:t xml:space="preserve"> four Local Government,</w:t>
          </w:r>
          <w:r w:rsidRPr="009E7223">
            <w:rPr>
              <w:rStyle w:val="FootnoteReference"/>
            </w:rPr>
            <w:footnoteReference w:id="591"/>
          </w:r>
          <w:r w:rsidRPr="009E7223">
            <w:t xml:space="preserve"> three </w:t>
          </w:r>
          <w:r w:rsidR="003052F1" w:rsidRPr="009E7223">
            <w:t>Health sector</w:t>
          </w:r>
          <w:r w:rsidRPr="009E7223">
            <w:t>,</w:t>
          </w:r>
          <w:r w:rsidRPr="009E7223">
            <w:rPr>
              <w:rStyle w:val="FootnoteReference"/>
            </w:rPr>
            <w:footnoteReference w:id="592"/>
          </w:r>
          <w:r w:rsidRPr="009E7223">
            <w:t xml:space="preserve"> three individuals</w:t>
          </w:r>
          <w:r w:rsidRPr="009E7223">
            <w:rPr>
              <w:rStyle w:val="FootnoteReference"/>
            </w:rPr>
            <w:footnoteReference w:id="593"/>
          </w:r>
          <w:r w:rsidRPr="009E7223">
            <w:t xml:space="preserve"> and two Gambling Industry (other)</w:t>
          </w:r>
          <w:r w:rsidRPr="009E7223">
            <w:rPr>
              <w:rStyle w:val="FootnoteReference"/>
            </w:rPr>
            <w:footnoteReference w:id="594"/>
          </w:r>
          <w:r w:rsidRPr="009E7223">
            <w:t xml:space="preserve">). These focused on increasing financial gain for operators, amending council policies to make it easier for NCGM operators to relocate, and reducing treatment provider advocacy against relocation. </w:t>
          </w:r>
        </w:p>
        <w:p w14:paraId="3DC327A0" w14:textId="77777777" w:rsidR="00903FE3" w:rsidRPr="009E7223" w:rsidRDefault="00903FE3" w:rsidP="00903FE3">
          <w:r w:rsidRPr="009E7223">
            <w:t>Financial incentives proposed by NCGM, Gambling Industry (other) and Local Government submitters included allowing:</w:t>
          </w:r>
        </w:p>
        <w:p w14:paraId="02D40291" w14:textId="156D5146" w:rsidR="00903FE3" w:rsidRPr="009E7223" w:rsidRDefault="007B34D9" w:rsidP="00903FE3">
          <w:pPr>
            <w:pStyle w:val="List-BulletLvl1"/>
          </w:pPr>
          <w:r>
            <w:t xml:space="preserve">Seven </w:t>
          </w:r>
          <w:r w:rsidR="00903FE3" w:rsidRPr="009E7223">
            <w:t>NCGM operators to increase the number of machines at a new venue and/or allowing them to offer larger bet sizes and/or prize money (including proposing alignment with Queensland’s gaming machine standards for venues operating in higher socioeconomic areas)</w:t>
          </w:r>
          <w:r w:rsidR="00903FE3" w:rsidRPr="009E7223">
            <w:rPr>
              <w:rStyle w:val="FootnoteReference"/>
            </w:rPr>
            <w:footnoteReference w:id="595"/>
          </w:r>
        </w:p>
        <w:p w14:paraId="1A731533" w14:textId="130EE0AA" w:rsidR="00903FE3" w:rsidRPr="009E7223" w:rsidRDefault="007B34D9" w:rsidP="00903FE3">
          <w:pPr>
            <w:pStyle w:val="List-BulletLvl1"/>
          </w:pPr>
          <w:r>
            <w:t>Three submitters suggested g</w:t>
          </w:r>
          <w:r w:rsidR="00903FE3" w:rsidRPr="009E7223">
            <w:t>eneral or non-specified financial support (such as supporting relocation with no financial loss or rental subsidies)</w:t>
          </w:r>
          <w:r w:rsidR="00903FE3" w:rsidRPr="009E7223">
            <w:rPr>
              <w:rStyle w:val="FootnoteReference"/>
            </w:rPr>
            <w:footnoteReference w:id="596"/>
          </w:r>
        </w:p>
        <w:p w14:paraId="4C00F290" w14:textId="482E04C8" w:rsidR="00903FE3" w:rsidRPr="009E7223" w:rsidRDefault="00AA3B0A" w:rsidP="00903FE3">
          <w:pPr>
            <w:pStyle w:val="List-BulletLvl1"/>
          </w:pPr>
          <w:r w:rsidRPr="009E7223">
            <w:t>T</w:t>
          </w:r>
          <w:r w:rsidR="00903FE3" w:rsidRPr="009E7223">
            <w:t>he development of more competitive NCGM products which will increase the resale value of machines and businesses</w:t>
          </w:r>
          <w:r w:rsidR="00903FE3" w:rsidRPr="009E7223">
            <w:rPr>
              <w:rStyle w:val="FootnoteReference"/>
            </w:rPr>
            <w:footnoteReference w:id="597"/>
          </w:r>
        </w:p>
        <w:p w14:paraId="5B664F29" w14:textId="742EDBFB" w:rsidR="00903FE3" w:rsidRPr="009E7223" w:rsidRDefault="00AA3B0A" w:rsidP="00903FE3">
          <w:pPr>
            <w:pStyle w:val="List-BulletLvl1"/>
          </w:pPr>
          <w:r w:rsidRPr="009E7223">
            <w:lastRenderedPageBreak/>
            <w:t>L</w:t>
          </w:r>
          <w:r w:rsidR="00903FE3" w:rsidRPr="009E7223">
            <w:t>icences to be sold at market rates or to be on-sold if the rest of the business is not or cannot be sold</w:t>
          </w:r>
          <w:r w:rsidR="00903FE3" w:rsidRPr="009E7223">
            <w:rPr>
              <w:rStyle w:val="FootnoteReference"/>
            </w:rPr>
            <w:footnoteReference w:id="598"/>
          </w:r>
        </w:p>
        <w:p w14:paraId="7EF7B15B" w14:textId="33CFF486" w:rsidR="00903FE3" w:rsidRPr="009E7223" w:rsidRDefault="00AA3B0A" w:rsidP="00903FE3">
          <w:pPr>
            <w:pStyle w:val="List-BulletLvl1"/>
          </w:pPr>
          <w:r w:rsidRPr="009E7223">
            <w:t>R</w:t>
          </w:r>
          <w:r w:rsidR="00903FE3" w:rsidRPr="009E7223">
            <w:t>ental of premises as a stand-alone gambling venue similar to the TAB</w:t>
          </w:r>
          <w:r w:rsidR="00903FE3" w:rsidRPr="009E7223">
            <w:rPr>
              <w:rStyle w:val="FootnoteReference"/>
            </w:rPr>
            <w:footnoteReference w:id="599"/>
          </w:r>
        </w:p>
        <w:p w14:paraId="7F5BEB9D" w14:textId="1B9C2111" w:rsidR="00903FE3" w:rsidRPr="009E7223" w:rsidRDefault="00AA3B0A" w:rsidP="00903FE3">
          <w:pPr>
            <w:pStyle w:val="List-BulletLvl1"/>
          </w:pPr>
          <w:r w:rsidRPr="009E7223">
            <w:t>O</w:t>
          </w:r>
          <w:r w:rsidR="00903FE3" w:rsidRPr="009E7223">
            <w:t>perators to sell their licences to other approved operators resulting in a clustering of larger gambling machines in a smaller number of venues</w:t>
          </w:r>
          <w:r w:rsidR="00903FE3" w:rsidRPr="009E7223">
            <w:rPr>
              <w:rStyle w:val="FootnoteReference"/>
            </w:rPr>
            <w:footnoteReference w:id="600"/>
          </w:r>
        </w:p>
        <w:p w14:paraId="046AD41C" w14:textId="474C9E30" w:rsidR="00903FE3" w:rsidRPr="009E7223" w:rsidRDefault="00AA3B0A" w:rsidP="00903FE3">
          <w:pPr>
            <w:pStyle w:val="List-BulletLvl1"/>
          </w:pPr>
          <w:r w:rsidRPr="009E7223">
            <w:t>R</w:t>
          </w:r>
          <w:r w:rsidR="00903FE3" w:rsidRPr="009E7223">
            <w:t>eplacing the current universal authorised purpose return regulation with a licence condition imposed on each society,</w:t>
          </w:r>
          <w:r w:rsidR="00903FE3" w:rsidRPr="009E7223">
            <w:rPr>
              <w:rStyle w:val="FootnoteReference"/>
            </w:rPr>
            <w:footnoteReference w:id="601"/>
          </w:r>
          <w:r w:rsidR="00903FE3" w:rsidRPr="009E7223">
            <w:t xml:space="preserve"> and</w:t>
          </w:r>
        </w:p>
        <w:p w14:paraId="1157E335" w14:textId="5A874EAD" w:rsidR="00903FE3" w:rsidRPr="009E7223" w:rsidRDefault="00AA3B0A" w:rsidP="00903FE3">
          <w:pPr>
            <w:pStyle w:val="List-BulletLvl1"/>
          </w:pPr>
          <w:r w:rsidRPr="009E7223">
            <w:t>F</w:t>
          </w:r>
          <w:r w:rsidR="00903FE3" w:rsidRPr="009E7223">
            <w:t>or a reduction in the gambling levy rate for those who relocate for harm minimisation purposes.</w:t>
          </w:r>
          <w:r w:rsidR="00903FE3" w:rsidRPr="009E7223">
            <w:rPr>
              <w:rStyle w:val="FootnoteReference"/>
            </w:rPr>
            <w:footnoteReference w:id="602"/>
          </w:r>
        </w:p>
        <w:p w14:paraId="73B42219" w14:textId="77777777" w:rsidR="00903FE3" w:rsidRPr="009E7223" w:rsidRDefault="00903FE3" w:rsidP="00903FE3">
          <w:pPr>
            <w:pStyle w:val="BodyText"/>
          </w:pPr>
          <w:r w:rsidRPr="009E7223">
            <w:t>Financial incentives suggested by non-NCGM submitters focused on reduced council rates payment or just simply paying for operators to move.</w:t>
          </w:r>
          <w:r w:rsidRPr="009E7223">
            <w:rPr>
              <w:rStyle w:val="FootnoteReference"/>
            </w:rPr>
            <w:footnoteReference w:id="603"/>
          </w:r>
        </w:p>
        <w:p w14:paraId="608CFB9C" w14:textId="32F2B063" w:rsidR="00903FE3" w:rsidRPr="009E7223" w:rsidRDefault="007B34D9" w:rsidP="00903FE3">
          <w:pPr>
            <w:pStyle w:val="BodyText"/>
          </w:pPr>
          <w:r>
            <w:t>Two</w:t>
          </w:r>
          <w:r w:rsidR="00903FE3" w:rsidRPr="009E7223">
            <w:t xml:space="preserve"> Local Government submitters</w:t>
          </w:r>
          <w:r w:rsidR="00903FE3" w:rsidRPr="009E7223">
            <w:rPr>
              <w:rStyle w:val="FootnoteReference"/>
            </w:rPr>
            <w:footnoteReference w:id="604"/>
          </w:r>
          <w:r w:rsidR="00903FE3" w:rsidRPr="009E7223">
            <w:t xml:space="preserve"> noted that relocation is already permitted within their policy framework. However, </w:t>
          </w:r>
          <w:r w:rsidR="00860DCC">
            <w:t>other</w:t>
          </w:r>
          <w:r w:rsidR="00903FE3" w:rsidRPr="009E7223">
            <w:t xml:space="preserve"> specific changes to </w:t>
          </w:r>
          <w:r w:rsidR="00D244EB">
            <w:t>c</w:t>
          </w:r>
          <w:r w:rsidR="00903FE3" w:rsidRPr="009E7223">
            <w:t xml:space="preserve">ouncil policies </w:t>
          </w:r>
          <w:r w:rsidR="00860DCC">
            <w:t xml:space="preserve">were suggested to </w:t>
          </w:r>
          <w:r w:rsidR="00903FE3" w:rsidRPr="009E7223">
            <w:t>further incentivise a move away from lower socioeconomic areas. These suggestions included:</w:t>
          </w:r>
        </w:p>
        <w:p w14:paraId="47374B5E" w14:textId="6A1E4933" w:rsidR="00C55EA7" w:rsidRDefault="00C55EA7" w:rsidP="00C55EA7">
          <w:pPr>
            <w:pStyle w:val="List-BulletLvl1"/>
          </w:pPr>
          <w:r>
            <w:t>Nine NCGM sector submitters,</w:t>
          </w:r>
          <w:r>
            <w:rPr>
              <w:rStyle w:val="FootnoteReference"/>
            </w:rPr>
            <w:footnoteReference w:id="605"/>
          </w:r>
          <w:r>
            <w:t xml:space="preserve"> two individuals,</w:t>
          </w:r>
          <w:r w:rsidRPr="00C55EA7">
            <w:rPr>
              <w:rStyle w:val="FootnoteReference"/>
            </w:rPr>
            <w:t xml:space="preserve"> </w:t>
          </w:r>
          <w:r w:rsidRPr="009E7223">
            <w:rPr>
              <w:rStyle w:val="FootnoteReference"/>
            </w:rPr>
            <w:footnoteReference w:id="606"/>
          </w:r>
          <w:r>
            <w:t xml:space="preserve"> and one Gambling Industry (other) submitter,</w:t>
          </w:r>
          <w:r>
            <w:rPr>
              <w:rStyle w:val="FootnoteReference"/>
            </w:rPr>
            <w:footnoteReference w:id="607"/>
          </w:r>
          <w:r>
            <w:t xml:space="preserve"> suggested t</w:t>
          </w:r>
          <w:r w:rsidRPr="009E7223">
            <w:t>elling Councils to allow relocation</w:t>
          </w:r>
        </w:p>
        <w:p w14:paraId="05D65F5D" w14:textId="515B6EB1" w:rsidR="00903FE3" w:rsidRPr="009E7223" w:rsidRDefault="00C55EA7" w:rsidP="00903FE3">
          <w:pPr>
            <w:pStyle w:val="List-BulletLvl1"/>
          </w:pPr>
          <w:r>
            <w:t>Seven NCGM sector submitters suggested r</w:t>
          </w:r>
          <w:r w:rsidR="00903FE3" w:rsidRPr="009E7223">
            <w:t>emoving requirements to gain a Council relocation consent or licence entirely (such as not having to reapply for a new Class 4 licence following a club merge) if moving to a higher socioeconomic area</w:t>
          </w:r>
          <w:r w:rsidR="00903FE3" w:rsidRPr="009E7223">
            <w:rPr>
              <w:rStyle w:val="FootnoteReference"/>
            </w:rPr>
            <w:footnoteReference w:id="608"/>
          </w:r>
        </w:p>
        <w:p w14:paraId="20D17C61" w14:textId="57D8B5BE" w:rsidR="00903FE3" w:rsidRDefault="00C55EA7" w:rsidP="00C55EA7">
          <w:pPr>
            <w:pStyle w:val="List-BulletLvl1"/>
          </w:pPr>
          <w:r>
            <w:t>Seven NCGM sector submitters suggested p</w:t>
          </w:r>
          <w:r w:rsidR="00903FE3" w:rsidRPr="009E7223">
            <w:t>roviding for prompt and certain methods for venues to relocate, including providing certainty that a licence will be approved before a current lease is terminated/unconditional arrangements on new premises are made</w:t>
          </w:r>
          <w:r w:rsidR="00903FE3" w:rsidRPr="009E7223">
            <w:rPr>
              <w:rStyle w:val="FootnoteReference"/>
            </w:rPr>
            <w:footnoteReference w:id="609"/>
          </w:r>
        </w:p>
        <w:p w14:paraId="1E3D8A49" w14:textId="70B1A5E8" w:rsidR="00C55EA7" w:rsidRPr="009E7223" w:rsidRDefault="00860DCC" w:rsidP="00C55EA7">
          <w:pPr>
            <w:pStyle w:val="List-BulletLvl1"/>
          </w:pPr>
          <w:r>
            <w:t>An NCGM sector submitter suggested a</w:t>
          </w:r>
          <w:r w:rsidR="00C55EA7" w:rsidRPr="009E7223">
            <w:t>mending the application process to follow the liquor licensing process</w:t>
          </w:r>
          <w:r w:rsidR="00C55EA7" w:rsidRPr="009E7223">
            <w:rPr>
              <w:rStyle w:val="FootnoteReference"/>
            </w:rPr>
            <w:footnoteReference w:id="610"/>
          </w:r>
        </w:p>
        <w:p w14:paraId="6339ACE9" w14:textId="13924D52" w:rsidR="00C55EA7" w:rsidRPr="009E7223" w:rsidRDefault="00C55EA7" w:rsidP="00903FE3">
          <w:pPr>
            <w:pStyle w:val="List-BulletLvl1"/>
          </w:pPr>
          <w:r>
            <w:t>An individual submitter suggested c</w:t>
          </w:r>
          <w:r w:rsidRPr="009E7223">
            <w:t>reating entertainment areas</w:t>
          </w:r>
          <w:r>
            <w:t>.</w:t>
          </w:r>
          <w:r w:rsidRPr="009E7223">
            <w:rPr>
              <w:rStyle w:val="FootnoteReference"/>
            </w:rPr>
            <w:footnoteReference w:id="611"/>
          </w:r>
        </w:p>
        <w:p w14:paraId="715FD61D" w14:textId="607F9A02" w:rsidR="00903FE3" w:rsidRPr="009E7223" w:rsidRDefault="007B34D9" w:rsidP="00903FE3">
          <w:pPr>
            <w:pStyle w:val="BodyText"/>
          </w:pPr>
          <w:r>
            <w:t>Eight</w:t>
          </w:r>
          <w:r w:rsidR="00903FE3" w:rsidRPr="009E7223">
            <w:t xml:space="preserve"> NCGM submitters</w:t>
          </w:r>
          <w:r w:rsidR="00903FE3" w:rsidRPr="009E7223">
            <w:rPr>
              <w:rStyle w:val="FootnoteReference"/>
            </w:rPr>
            <w:footnoteReference w:id="612"/>
          </w:r>
          <w:r w:rsidR="00903FE3" w:rsidRPr="009E7223">
            <w:t xml:space="preserve"> proposed policies that would allow NCGM operators the freedom to move wherever they felt appropriate (noting that this a freedom granted to other businesses). These policies would also recognise that relocation should be a “right” if an operator is moving to a higher socioeconomic area from a lower socioeconomic area. Other NCGM submitters required that </w:t>
          </w:r>
          <w:r w:rsidR="00903FE3" w:rsidRPr="009E7223">
            <w:lastRenderedPageBreak/>
            <w:t>Council policies provide commercial clarity about NCGM location,</w:t>
          </w:r>
          <w:r w:rsidR="00903FE3" w:rsidRPr="009E7223">
            <w:rPr>
              <w:rStyle w:val="FootnoteReference"/>
            </w:rPr>
            <w:footnoteReference w:id="613"/>
          </w:r>
          <w:r w:rsidR="00903FE3" w:rsidRPr="009E7223">
            <w:t xml:space="preserve"> or requested greater national consistency in Council gambling policy.</w:t>
          </w:r>
          <w:r w:rsidR="00903FE3" w:rsidRPr="009E7223">
            <w:rPr>
              <w:rStyle w:val="FootnoteReference"/>
            </w:rPr>
            <w:footnoteReference w:id="614"/>
          </w:r>
        </w:p>
        <w:p w14:paraId="04A60A01" w14:textId="77777777" w:rsidR="00903FE3" w:rsidRPr="009E7223" w:rsidRDefault="00903FE3" w:rsidP="00903FE3">
          <w:pPr>
            <w:pStyle w:val="BodyText"/>
          </w:pPr>
          <w:r w:rsidRPr="009E7223">
            <w:t>Some NCGM submitters considered that an amendment to Ministry contracts restricting treatment providers’ advocacy against relocation applications or for Council’s sinking lid policies would also be an incentive. (This links to the suggestion that operators be able to have more NCGMs per venue or to move premises without having to complete a licence process). This included active advocacy from providers to move venues to higher socioeconomic areas.</w:t>
          </w:r>
          <w:r w:rsidRPr="009E7223">
            <w:rPr>
              <w:rStyle w:val="FootnoteReference"/>
            </w:rPr>
            <w:footnoteReference w:id="615"/>
          </w:r>
        </w:p>
        <w:p w14:paraId="70DA7864" w14:textId="77777777" w:rsidR="00903FE3" w:rsidRPr="009E7223" w:rsidRDefault="00903FE3" w:rsidP="00903FE3">
          <w:pPr>
            <w:pStyle w:val="BodyText"/>
          </w:pPr>
          <w:r w:rsidRPr="009E7223">
            <w:t>Other incentives proposed by Local Government and NCGM submitters included:</w:t>
          </w:r>
        </w:p>
        <w:p w14:paraId="08497EBB" w14:textId="53692A61" w:rsidR="00903FE3" w:rsidRPr="009E7223" w:rsidRDefault="00AA3B0A" w:rsidP="00903FE3">
          <w:pPr>
            <w:pStyle w:val="List-BulletLvl1"/>
          </w:pPr>
          <w:r w:rsidRPr="009E7223">
            <w:t>B</w:t>
          </w:r>
          <w:r w:rsidR="00903FE3" w:rsidRPr="009E7223">
            <w:t>alancing fewer overall sites; an increase in the number of machines per venue site; and increased scrutiny of vendors and operators to ensure harm minimisation practices are upheld</w:t>
          </w:r>
          <w:r w:rsidR="00903FE3" w:rsidRPr="009E7223">
            <w:rPr>
              <w:rStyle w:val="FootnoteReference"/>
            </w:rPr>
            <w:footnoteReference w:id="616"/>
          </w:r>
        </w:p>
        <w:p w14:paraId="068F7CB7" w14:textId="7DCCD07A" w:rsidR="00903FE3" w:rsidRPr="009E7223" w:rsidRDefault="00AA3B0A" w:rsidP="00903FE3">
          <w:pPr>
            <w:pStyle w:val="List-BulletLvl1"/>
          </w:pPr>
          <w:r w:rsidRPr="009E7223">
            <w:t>A</w:t>
          </w:r>
          <w:r w:rsidR="00903FE3" w:rsidRPr="009E7223">
            <w:t xml:space="preserve"> rule change to stop other operators coming into a recently vacated premises and establishing another venue,</w:t>
          </w:r>
          <w:r w:rsidR="00903FE3" w:rsidRPr="009E7223">
            <w:rPr>
              <w:rStyle w:val="FootnoteReference"/>
            </w:rPr>
            <w:footnoteReference w:id="617"/>
          </w:r>
          <w:r w:rsidR="00903FE3" w:rsidRPr="009E7223">
            <w:t xml:space="preserve"> and</w:t>
          </w:r>
        </w:p>
        <w:p w14:paraId="49B03579" w14:textId="4299605D" w:rsidR="00903FE3" w:rsidRPr="009E7223" w:rsidRDefault="00AA3B0A" w:rsidP="00903FE3">
          <w:pPr>
            <w:pStyle w:val="List-BulletLvl1"/>
          </w:pPr>
          <w:r w:rsidRPr="009E7223">
            <w:t>O</w:t>
          </w:r>
          <w:r w:rsidR="00903FE3" w:rsidRPr="009E7223">
            <w:t>ther unspecified regulatory changes.</w:t>
          </w:r>
          <w:r w:rsidR="00903FE3" w:rsidRPr="009E7223">
            <w:rPr>
              <w:rStyle w:val="FootnoteReference"/>
            </w:rPr>
            <w:footnoteReference w:id="618"/>
          </w:r>
        </w:p>
        <w:p w14:paraId="0B54795B" w14:textId="1C386C27" w:rsidR="00903FE3" w:rsidRPr="009E7223" w:rsidRDefault="00860DCC" w:rsidP="00903FE3">
          <w:pPr>
            <w:pStyle w:val="BodyText"/>
          </w:pPr>
          <w:r>
            <w:t xml:space="preserve">Three </w:t>
          </w:r>
          <w:r w:rsidR="00903FE3" w:rsidRPr="009E7223">
            <w:t>Service Provider</w:t>
          </w:r>
          <w:r>
            <w:t>s,</w:t>
          </w:r>
          <w:r>
            <w:rPr>
              <w:rStyle w:val="FootnoteReference"/>
            </w:rPr>
            <w:footnoteReference w:id="619"/>
          </w:r>
          <w:r w:rsidR="00903FE3" w:rsidRPr="009E7223">
            <w:t xml:space="preserve"> </w:t>
          </w:r>
          <w:r>
            <w:t xml:space="preserve">a </w:t>
          </w:r>
          <w:r w:rsidRPr="009E7223">
            <w:t>Health sector</w:t>
          </w:r>
          <w:r>
            <w:t xml:space="preserve"> submitter</w:t>
          </w:r>
          <w:r w:rsidRPr="009E7223">
            <w:t>,</w:t>
          </w:r>
          <w:r>
            <w:rPr>
              <w:rStyle w:val="FootnoteReference"/>
            </w:rPr>
            <w:footnoteReference w:id="620"/>
          </w:r>
          <w:r w:rsidRPr="009E7223">
            <w:t xml:space="preserve"> </w:t>
          </w:r>
          <w:r w:rsidR="00903FE3" w:rsidRPr="009E7223">
            <w:t xml:space="preserve">and </w:t>
          </w:r>
          <w:r>
            <w:t xml:space="preserve">an </w:t>
          </w:r>
          <w:r w:rsidR="00903FE3" w:rsidRPr="009E7223">
            <w:t>individual submitter</w:t>
          </w:r>
          <w:r w:rsidR="00903FE3" w:rsidRPr="009E7223">
            <w:rPr>
              <w:rStyle w:val="FootnoteReference"/>
            </w:rPr>
            <w:footnoteReference w:id="621"/>
          </w:r>
          <w:r w:rsidR="00903FE3" w:rsidRPr="009E7223">
            <w:t xml:space="preserve"> did not support any incentivisation, as they did not support the proposal to relocate any NCGM venues.</w:t>
          </w:r>
        </w:p>
        <w:p w14:paraId="1C22C574" w14:textId="5D401F0D" w:rsidR="00F7699C" w:rsidRPr="009E7223" w:rsidRDefault="007179B4" w:rsidP="00F7699C">
          <w:pPr>
            <w:pStyle w:val="NumberedHeading2"/>
          </w:pPr>
          <w:bookmarkStart w:id="122" w:name="_Hlk527358555"/>
          <w:bookmarkStart w:id="123" w:name="_Toc531098204"/>
          <w:r w:rsidRPr="009E7223">
            <w:t xml:space="preserve">The degree of support for the </w:t>
          </w:r>
          <w:r w:rsidR="00F7699C" w:rsidRPr="009E7223">
            <w:t>levy formula</w:t>
          </w:r>
          <w:r w:rsidRPr="009E7223">
            <w:t xml:space="preserve"> policy</w:t>
          </w:r>
          <w:bookmarkEnd w:id="123"/>
        </w:p>
        <w:p w14:paraId="7CFDC509" w14:textId="1563C0E5" w:rsidR="00F7699C" w:rsidRPr="009E7223" w:rsidRDefault="00F7699C" w:rsidP="00F7699C">
          <w:pPr>
            <w:pStyle w:val="BodyText"/>
          </w:pPr>
          <w:r w:rsidRPr="009E7223">
            <w:t>The levy proposed in the consultation document is based on and will be set using the current formula set out in the Act. However, the Ministry and DIA were also interested in stakeholders’ views of what could change in the future.</w:t>
          </w:r>
        </w:p>
        <w:p w14:paraId="2E7CD891" w14:textId="77777777" w:rsidR="00F7699C" w:rsidRPr="009E7223" w:rsidRDefault="00F7699C" w:rsidP="00F7699C">
          <w:pPr>
            <w:pStyle w:val="BodyText"/>
          </w:pPr>
          <w:r w:rsidRPr="009E7223">
            <w:t>Twenty-five submitters commented on sub-question D (13 NCGM, six Service Providers, three Gambling Industry, two Local Government, one individual).</w:t>
          </w:r>
          <w:r w:rsidRPr="009E7223">
            <w:rPr>
              <w:rStyle w:val="FootnoteReference"/>
            </w:rPr>
            <w:footnoteReference w:id="622"/>
          </w:r>
          <w:r w:rsidRPr="009E7223">
            <w:t xml:space="preserve"> Twenty-three submitters provided suggestions to improve the levy formula, and two Service Providers</w:t>
          </w:r>
          <w:r w:rsidRPr="009E7223">
            <w:rPr>
              <w:rStyle w:val="FootnoteReference"/>
            </w:rPr>
            <w:footnoteReference w:id="623"/>
          </w:r>
          <w:r w:rsidRPr="009E7223">
            <w:t xml:space="preserve"> stated that they did not really understand the formula, and therefore assumed that it provided a reasonable way to reflect the relative harm.</w:t>
          </w:r>
        </w:p>
        <w:p w14:paraId="068CF48B" w14:textId="63FDB7AC" w:rsidR="00F7699C" w:rsidRPr="009E7223" w:rsidRDefault="007179B4" w:rsidP="00F7699C">
          <w:pPr>
            <w:pStyle w:val="NumberedHeading3"/>
          </w:pPr>
          <w:bookmarkStart w:id="124" w:name="_Toc531098205"/>
          <w:r w:rsidRPr="009E7223">
            <w:t>Su</w:t>
          </w:r>
          <w:r w:rsidR="001D2B4B">
            <w:t>ggestions were made for improving</w:t>
          </w:r>
          <w:r w:rsidRPr="009E7223">
            <w:t xml:space="preserve"> t</w:t>
          </w:r>
          <w:r w:rsidR="00F7699C" w:rsidRPr="009E7223">
            <w:t>he</w:t>
          </w:r>
          <w:r w:rsidR="00515700" w:rsidRPr="009E7223">
            <w:t xml:space="preserve"> levy</w:t>
          </w:r>
          <w:r w:rsidR="00F7699C" w:rsidRPr="009E7223">
            <w:t xml:space="preserve"> formula</w:t>
          </w:r>
          <w:bookmarkEnd w:id="124"/>
        </w:p>
        <w:p w14:paraId="688E1F02" w14:textId="483AC85C" w:rsidR="00F7699C" w:rsidRPr="009E7223" w:rsidRDefault="00515700" w:rsidP="00737C6F">
          <w:pPr>
            <w:pStyle w:val="Heading4"/>
          </w:pPr>
          <w:r w:rsidRPr="009E7223">
            <w:t>I</w:t>
          </w:r>
          <w:r w:rsidR="00F7699C" w:rsidRPr="009E7223">
            <w:t>nternational online gam</w:t>
          </w:r>
          <w:r w:rsidR="007B34D9">
            <w:t>bl</w:t>
          </w:r>
          <w:r w:rsidR="00F7699C" w:rsidRPr="009E7223">
            <w:t xml:space="preserve">ing providers should </w:t>
          </w:r>
          <w:r w:rsidRPr="009E7223">
            <w:t>contribute to the levy</w:t>
          </w:r>
        </w:p>
        <w:p w14:paraId="2F487781" w14:textId="79510172" w:rsidR="00F7699C" w:rsidRPr="009E7223" w:rsidRDefault="00F7699C" w:rsidP="00F7699C">
          <w:pPr>
            <w:pStyle w:val="BodyText"/>
          </w:pPr>
          <w:r w:rsidRPr="009E7223">
            <w:t>Thirteen submitters</w:t>
          </w:r>
          <w:r w:rsidRPr="009E7223">
            <w:rPr>
              <w:rStyle w:val="FootnoteReference"/>
            </w:rPr>
            <w:footnoteReference w:id="624"/>
          </w:r>
          <w:r w:rsidRPr="009E7223">
            <w:t xml:space="preserve"> (ten NCGM Sector, two Gambling Industry and one individual) commented that the levy formula should include a contribution from international online gambling providers. International online gambling providers are not currently included in the calculations, and do not pay a levy contribution, although the availability and use of international online gam</w:t>
          </w:r>
          <w:r w:rsidR="007B34D9">
            <w:t>bl</w:t>
          </w:r>
          <w:r w:rsidRPr="009E7223">
            <w:t>ing platforms is increasing.</w:t>
          </w:r>
        </w:p>
        <w:p w14:paraId="0A1D594C" w14:textId="097B27EE" w:rsidR="00F7699C" w:rsidRPr="009E7223" w:rsidRDefault="00860DCC" w:rsidP="00F7699C">
          <w:pPr>
            <w:pStyle w:val="BodyText"/>
          </w:pPr>
          <w:r>
            <w:lastRenderedPageBreak/>
            <w:t xml:space="preserve">Nine </w:t>
          </w:r>
          <w:r w:rsidR="00F7699C" w:rsidRPr="009E7223">
            <w:t>NCGM operators</w:t>
          </w:r>
          <w:r w:rsidR="00F7699C" w:rsidRPr="009E7223">
            <w:rPr>
              <w:rStyle w:val="FootnoteReference"/>
            </w:rPr>
            <w:footnoteReference w:id="625"/>
          </w:r>
          <w:r w:rsidR="00F7699C" w:rsidRPr="009E7223">
            <w:t xml:space="preserve"> submitted that the international online gambling sector needs to be included in the problem gambling levy, and be required to contribute an appropriate share, thereby reducing the cost for NCGM providers. One of these operators</w:t>
          </w:r>
          <w:r w:rsidR="00F7699C" w:rsidRPr="009E7223">
            <w:rPr>
              <w:rStyle w:val="FootnoteReference"/>
            </w:rPr>
            <w:footnoteReference w:id="626"/>
          </w:r>
          <w:r w:rsidR="00F7699C" w:rsidRPr="009E7223">
            <w:t xml:space="preserve"> went further, submitting that the New Zealand Racing Board and Lotteries Commission have significant online gambling offerings, and SkyCity Casino has its own “free to play” online casino and has indicated a desire to partner with offshore online casinos. The NCGM sector has no online offering, and therefore if money is going to be spend on studies into online gambling, a weighting should be chosen which results in those providers making a larger contribution. </w:t>
          </w:r>
        </w:p>
        <w:p w14:paraId="22F76C63" w14:textId="46054905" w:rsidR="00F7699C" w:rsidRPr="009E7223" w:rsidRDefault="00515700" w:rsidP="00F7699C">
          <w:pPr>
            <w:pStyle w:val="BodyText"/>
          </w:pPr>
          <w:r w:rsidRPr="009E7223">
            <w:t>One</w:t>
          </w:r>
          <w:r w:rsidR="00F7699C" w:rsidRPr="009E7223">
            <w:t xml:space="preserve"> Gambling Industry</w:t>
          </w:r>
          <w:r w:rsidRPr="009E7223">
            <w:t xml:space="preserve"> (other)</w:t>
          </w:r>
          <w:r w:rsidR="00F7699C" w:rsidRPr="009E7223">
            <w:t xml:space="preserve"> submitter</w:t>
          </w:r>
          <w:r w:rsidR="00F7699C" w:rsidRPr="009E7223">
            <w:rPr>
              <w:rStyle w:val="FootnoteReference"/>
            </w:rPr>
            <w:footnoteReference w:id="627"/>
          </w:r>
          <w:r w:rsidR="00F7699C" w:rsidRPr="009E7223">
            <w:t xml:space="preserve"> called for an amendment to the formula to include a contribution by international online gambling providers</w:t>
          </w:r>
          <w:r w:rsidR="00EE450F" w:rsidRPr="009E7223">
            <w:t xml:space="preserve">, arguing that they and </w:t>
          </w:r>
          <w:r w:rsidR="00F7699C" w:rsidRPr="009E7223">
            <w:t xml:space="preserve">other providers that are subject to the problem gambling levy are forced to meet the costs associated </w:t>
          </w:r>
          <w:r w:rsidR="007B34D9">
            <w:t xml:space="preserve">with </w:t>
          </w:r>
          <w:r w:rsidR="00EE450F" w:rsidRPr="009E7223">
            <w:t>presentation</w:t>
          </w:r>
          <w:r w:rsidR="007B34D9">
            <w:t>s</w:t>
          </w:r>
          <w:r w:rsidR="00EE450F" w:rsidRPr="009E7223">
            <w:t xml:space="preserve"> resulting from </w:t>
          </w:r>
          <w:r w:rsidR="00F7699C" w:rsidRPr="009E7223">
            <w:t>international online gam</w:t>
          </w:r>
          <w:r w:rsidR="00EE450F" w:rsidRPr="009E7223">
            <w:t>bling.</w:t>
          </w:r>
        </w:p>
        <w:p w14:paraId="0905D927" w14:textId="77777777" w:rsidR="00F7699C" w:rsidRPr="009E7223" w:rsidRDefault="00F7699C" w:rsidP="00F7699C">
          <w:pPr>
            <w:pStyle w:val="BodyText"/>
          </w:pPr>
          <w:r w:rsidRPr="009E7223">
            <w:t>One individual</w:t>
          </w:r>
          <w:r w:rsidRPr="009E7223">
            <w:rPr>
              <w:rStyle w:val="FootnoteReference"/>
            </w:rPr>
            <w:footnoteReference w:id="628"/>
          </w:r>
          <w:r w:rsidRPr="009E7223">
            <w:t xml:space="preserve"> also submitted that the levy should include a contribution by international online gambling providers, without further comment.</w:t>
          </w:r>
        </w:p>
        <w:p w14:paraId="40684FB6" w14:textId="005F30EE" w:rsidR="00F7699C" w:rsidRPr="009E7223" w:rsidRDefault="00515700" w:rsidP="00737C6F">
          <w:pPr>
            <w:pStyle w:val="Heading4"/>
          </w:pPr>
          <w:r w:rsidRPr="009E7223">
            <w:t>U</w:t>
          </w:r>
          <w:r w:rsidR="00F7699C" w:rsidRPr="009E7223">
            <w:t>nder- and over-recovery of the levy should be included in the formula</w:t>
          </w:r>
        </w:p>
        <w:p w14:paraId="7CC6C8D6" w14:textId="12CDCA65" w:rsidR="00F7699C" w:rsidRPr="009E7223" w:rsidRDefault="00F7699C" w:rsidP="00F7699C">
          <w:pPr>
            <w:pStyle w:val="BodyText"/>
          </w:pPr>
          <w:r w:rsidRPr="009E7223">
            <w:t>Thirteen submitters (11 NCGM Sector</w:t>
          </w:r>
          <w:r w:rsidRPr="009E7223">
            <w:rPr>
              <w:rStyle w:val="FootnoteReference"/>
            </w:rPr>
            <w:footnoteReference w:id="629"/>
          </w:r>
          <w:r w:rsidRPr="009E7223">
            <w:t xml:space="preserve"> and two Gambling Industry</w:t>
          </w:r>
          <w:r w:rsidR="007B34D9">
            <w:t>(other)</w:t>
          </w:r>
          <w:r w:rsidRPr="009E7223">
            <w:rPr>
              <w:rStyle w:val="FootnoteReference"/>
            </w:rPr>
            <w:footnoteReference w:id="630"/>
          </w:r>
          <w:r w:rsidRPr="009E7223">
            <w:t>) were concerned with the way that the Ministry had interpreted the levy recovery.</w:t>
          </w:r>
        </w:p>
        <w:p w14:paraId="7113C422" w14:textId="644A55E3" w:rsidR="00F7699C" w:rsidRPr="009E7223" w:rsidRDefault="007B34D9" w:rsidP="00F7699C">
          <w:pPr>
            <w:pStyle w:val="BodyText"/>
          </w:pPr>
          <w:r>
            <w:t xml:space="preserve">The eleven </w:t>
          </w:r>
          <w:r w:rsidR="00F7699C" w:rsidRPr="009E7223">
            <w:t>NCGM submitters considered that the variable R in the formula should automatically include a reduction in the future levy payable if there has been an underspend by the Ministry in the previous period.</w:t>
          </w:r>
          <w:r w:rsidR="00F7699C" w:rsidRPr="009E7223">
            <w:rPr>
              <w:rStyle w:val="FootnoteReference"/>
            </w:rPr>
            <w:footnoteReference w:id="631"/>
          </w:r>
          <w:r w:rsidR="00F7699C" w:rsidRPr="009E7223">
            <w:t xml:space="preserve"> They commented that the Ministry gives gambling providers credit for the over-recovery, but not for the further underspend, and that the intention of the Act was to capture the full surplus, and have this reduce future levy payments. One submitter went so far as to say that failing to include the $5 million underspend in the formula could be raised as potential grounds for judicial review.</w:t>
          </w:r>
          <w:r w:rsidR="00F7699C" w:rsidRPr="009E7223">
            <w:rPr>
              <w:rStyle w:val="FootnoteReference"/>
            </w:rPr>
            <w:footnoteReference w:id="632"/>
          </w:r>
          <w:r w:rsidR="00EE450F" w:rsidRPr="009E7223">
            <w:t xml:space="preserve"> </w:t>
          </w:r>
        </w:p>
        <w:p w14:paraId="1E583913" w14:textId="0112249A" w:rsidR="00F7699C" w:rsidRPr="009E7223" w:rsidRDefault="00EE450F" w:rsidP="00F7699C">
          <w:pPr>
            <w:pStyle w:val="BodyText"/>
          </w:pPr>
          <w:r w:rsidRPr="009E7223">
            <w:t>One</w:t>
          </w:r>
          <w:r w:rsidR="00F7699C" w:rsidRPr="009E7223">
            <w:t xml:space="preserve"> NCGM submitter</w:t>
          </w:r>
          <w:r w:rsidR="00F7699C" w:rsidRPr="009E7223">
            <w:rPr>
              <w:rStyle w:val="FootnoteReference"/>
            </w:rPr>
            <w:footnoteReference w:id="633"/>
          </w:r>
          <w:r w:rsidR="00F7699C" w:rsidRPr="009E7223">
            <w:t xml:space="preserve"> questioned the levy calculation, which was considered ambiguous. The submitter asked how variable R would be calculated </w:t>
          </w:r>
          <w:r w:rsidR="000B71EF" w:rsidRPr="009E7223">
            <w:t>if</w:t>
          </w:r>
          <w:r w:rsidR="00F7699C" w:rsidRPr="009E7223">
            <w:t xml:space="preserve"> there was an overspend rather than an underspend. Another NCGM submitter</w:t>
          </w:r>
          <w:r w:rsidR="00F7699C" w:rsidRPr="009E7223">
            <w:rPr>
              <w:rStyle w:val="FootnoteReference"/>
            </w:rPr>
            <w:footnoteReference w:id="634"/>
          </w:r>
          <w:r w:rsidR="00F7699C" w:rsidRPr="009E7223">
            <w:t xml:space="preserve"> expressed concern at the Ministry’s intention to credit gambling providers for the over-payment but not for the underspend.</w:t>
          </w:r>
        </w:p>
        <w:p w14:paraId="399256F5" w14:textId="780541DC" w:rsidR="00F7699C" w:rsidRPr="009E7223" w:rsidRDefault="007B34D9" w:rsidP="00F7699C">
          <w:pPr>
            <w:pStyle w:val="BodyText"/>
          </w:pPr>
          <w:r>
            <w:t xml:space="preserve">Two </w:t>
          </w:r>
          <w:r w:rsidR="00F7699C" w:rsidRPr="009E7223">
            <w:t>Gambling Industry (other) submitters</w:t>
          </w:r>
          <w:r w:rsidR="00F7699C" w:rsidRPr="009E7223">
            <w:rPr>
              <w:rStyle w:val="FootnoteReference"/>
            </w:rPr>
            <w:footnoteReference w:id="635"/>
          </w:r>
          <w:r w:rsidR="00F7699C" w:rsidRPr="009E7223">
            <w:t xml:space="preserve"> also commented that any underspend by the Ministry should be automatically included in the formula for the next period.</w:t>
          </w:r>
        </w:p>
        <w:p w14:paraId="3E1ED2AA" w14:textId="6263FE25" w:rsidR="00F7699C" w:rsidRPr="009E7223" w:rsidRDefault="00515700" w:rsidP="00737C6F">
          <w:pPr>
            <w:pStyle w:val="Heading4"/>
          </w:pPr>
          <w:r w:rsidRPr="009E7223">
            <w:t>T</w:t>
          </w:r>
          <w:r w:rsidR="00F7699C" w:rsidRPr="009E7223">
            <w:t xml:space="preserve">he levy </w:t>
          </w:r>
          <w:r w:rsidRPr="009E7223">
            <w:t xml:space="preserve">should be apportioned </w:t>
          </w:r>
          <w:r w:rsidR="00F7699C" w:rsidRPr="009E7223">
            <w:t xml:space="preserve">based on harm associated with </w:t>
          </w:r>
          <w:r w:rsidR="000B71EF">
            <w:t>different</w:t>
          </w:r>
          <w:r w:rsidR="00F7699C" w:rsidRPr="009E7223">
            <w:t xml:space="preserve"> modes of gambling</w:t>
          </w:r>
        </w:p>
        <w:p w14:paraId="3F849F8C" w14:textId="77777777" w:rsidR="00F7699C" w:rsidRPr="009E7223" w:rsidRDefault="00F7699C" w:rsidP="00F7699C">
          <w:pPr>
            <w:pStyle w:val="BodyText"/>
          </w:pPr>
          <w:r w:rsidRPr="009E7223">
            <w:t>A Service Provider</w:t>
          </w:r>
          <w:r w:rsidRPr="009E7223">
            <w:rPr>
              <w:rStyle w:val="FootnoteReference"/>
            </w:rPr>
            <w:footnoteReference w:id="636"/>
          </w:r>
          <w:r w:rsidRPr="009E7223">
            <w:t xml:space="preserve"> considered that the “addictive potential” of products should be acknowledged and incorporated into the formula. Currently, the formula does not accurately depict the harm associated with each product. This submitter considered that the issue may lie with the reporting </w:t>
          </w:r>
          <w:r w:rsidRPr="009E7223">
            <w:lastRenderedPageBreak/>
            <w:t>data collected, which does not allow for the product to be scaled with regards to how significant its level of harm/priority is for the problem gambler.</w:t>
          </w:r>
        </w:p>
        <w:p w14:paraId="5DE984E4" w14:textId="105CDB72" w:rsidR="00F7699C" w:rsidRPr="009E7223" w:rsidRDefault="00F7699C" w:rsidP="00F7699C">
          <w:pPr>
            <w:pStyle w:val="BodyText"/>
          </w:pPr>
          <w:r w:rsidRPr="009E7223">
            <w:t>A Local Government submitter</w:t>
          </w:r>
          <w:r w:rsidRPr="009E7223">
            <w:rPr>
              <w:rStyle w:val="FootnoteReference"/>
            </w:rPr>
            <w:footnoteReference w:id="637"/>
          </w:r>
          <w:r w:rsidRPr="009E7223">
            <w:t xml:space="preserve"> commented that the levy should be apportioned to each gambling sector based on the prevalence and degree of harm associated with that mode of gambling, rather than the problem gambling service presentations. There is need for additional elements in the formula to better reflect the actual level of harm, such as consideration of the expected prevalence of modern and problem gambling as identified by the National Gambling Study</w:t>
          </w:r>
          <w:r w:rsidR="007179B4" w:rsidRPr="009E7223">
            <w:t>.</w:t>
          </w:r>
        </w:p>
        <w:p w14:paraId="629C0028" w14:textId="5924AE18" w:rsidR="00F7699C" w:rsidRPr="009E7223" w:rsidRDefault="00515700" w:rsidP="00737C6F">
          <w:pPr>
            <w:pStyle w:val="Heading4"/>
          </w:pPr>
          <w:r w:rsidRPr="009E7223">
            <w:t>E</w:t>
          </w:r>
          <w:r w:rsidR="00F7699C" w:rsidRPr="009E7223">
            <w:t xml:space="preserve">xpenditure </w:t>
          </w:r>
          <w:r w:rsidRPr="009E7223">
            <w:t xml:space="preserve">should be recognised as </w:t>
          </w:r>
          <w:r w:rsidR="00F7699C" w:rsidRPr="009E7223">
            <w:t>the most accurate measure of harm</w:t>
          </w:r>
        </w:p>
        <w:p w14:paraId="15BEFCDD" w14:textId="7A209AFF" w:rsidR="00F7699C" w:rsidRPr="009E7223" w:rsidRDefault="00F7699C" w:rsidP="00F7699C">
          <w:pPr>
            <w:pStyle w:val="BodyText"/>
          </w:pPr>
          <w:r w:rsidRPr="009E7223">
            <w:t>Two submitters (one Gambling Industry</w:t>
          </w:r>
          <w:r w:rsidRPr="009E7223">
            <w:rPr>
              <w:rStyle w:val="FootnoteReference"/>
            </w:rPr>
            <w:footnoteReference w:id="638"/>
          </w:r>
          <w:r w:rsidRPr="009E7223">
            <w:t xml:space="preserve"> one Service Provider</w:t>
          </w:r>
          <w:r w:rsidRPr="009E7223">
            <w:rPr>
              <w:rStyle w:val="FootnoteReference"/>
            </w:rPr>
            <w:footnoteReference w:id="639"/>
          </w:r>
          <w:r w:rsidRPr="009E7223">
            <w:t xml:space="preserve">) submitted that the way </w:t>
          </w:r>
          <w:r w:rsidR="00EE450F" w:rsidRPr="009E7223">
            <w:t xml:space="preserve">which </w:t>
          </w:r>
          <w:r w:rsidRPr="009E7223">
            <w:t>expenditure is defined is problematic and should be revised. Harm can be caused by both losing money and winning games. The current approach only incorporates the former. A better approach would be to account for the impact of both losing money and winning games in gambling harm, and the costs of the services needed to support it. Player expenditure should be defined as “turnover” in the formula.</w:t>
          </w:r>
        </w:p>
        <w:p w14:paraId="5AF76733" w14:textId="288158D4" w:rsidR="00F7699C" w:rsidRPr="009E7223" w:rsidRDefault="00F7699C" w:rsidP="007179B4">
          <w:pPr>
            <w:pStyle w:val="NumberedHeading3"/>
          </w:pPr>
          <w:bookmarkStart w:id="128" w:name="_Toc531098206"/>
          <w:r w:rsidRPr="009E7223">
            <w:t xml:space="preserve">Service Providers </w:t>
          </w:r>
          <w:r w:rsidR="002D6989" w:rsidRPr="009E7223">
            <w:t>identified</w:t>
          </w:r>
          <w:r w:rsidRPr="009E7223">
            <w:t xml:space="preserve"> other considerations which needed to be included when developing the formula</w:t>
          </w:r>
          <w:bookmarkEnd w:id="128"/>
        </w:p>
        <w:p w14:paraId="603F0337" w14:textId="77777777" w:rsidR="00F7699C" w:rsidRPr="009E7223" w:rsidRDefault="00F7699C" w:rsidP="00737C6F">
          <w:pPr>
            <w:pStyle w:val="Heading4"/>
          </w:pPr>
          <w:r w:rsidRPr="009E7223">
            <w:t>Other important industry data</w:t>
          </w:r>
        </w:p>
        <w:p w14:paraId="6C6B4033" w14:textId="77777777" w:rsidR="00F7699C" w:rsidRPr="009E7223" w:rsidRDefault="00F7699C" w:rsidP="00F7699C">
          <w:pPr>
            <w:pStyle w:val="BodyText"/>
          </w:pPr>
          <w:r w:rsidRPr="009E7223">
            <w:t>One Service Provider</w:t>
          </w:r>
          <w:r w:rsidRPr="009E7223">
            <w:rPr>
              <w:rStyle w:val="FootnoteReference"/>
            </w:rPr>
            <w:footnoteReference w:id="640"/>
          </w:r>
          <w:r w:rsidRPr="009E7223">
            <w:t xml:space="preserve"> commented that the industry holds other important data which is not included in the formula (but should be), such as exclusion numbers, which would help to more accurately calculate fair allocations. </w:t>
          </w:r>
        </w:p>
        <w:p w14:paraId="698AE1F5" w14:textId="77777777" w:rsidR="00F7699C" w:rsidRPr="009E7223" w:rsidRDefault="00F7699C" w:rsidP="00737C6F">
          <w:pPr>
            <w:pStyle w:val="Heading4"/>
          </w:pPr>
          <w:r w:rsidRPr="009E7223">
            <w:t>More consideration given to the role of Service Providers</w:t>
          </w:r>
        </w:p>
        <w:p w14:paraId="100B508B" w14:textId="25E770C8" w:rsidR="00F7699C" w:rsidRPr="009E7223" w:rsidRDefault="00F7699C" w:rsidP="00F7699C">
          <w:pPr>
            <w:pStyle w:val="BodyText"/>
          </w:pPr>
          <w:r w:rsidRPr="009E7223">
            <w:t>One Service Provider</w:t>
          </w:r>
          <w:r w:rsidRPr="009E7223">
            <w:rPr>
              <w:rStyle w:val="FootnoteReference"/>
            </w:rPr>
            <w:footnoteReference w:id="641"/>
          </w:r>
          <w:r w:rsidRPr="009E7223">
            <w:rPr>
              <w:rStyle w:val="FootnoteReference"/>
            </w:rPr>
            <w:t xml:space="preserve"> </w:t>
          </w:r>
          <w:r w:rsidR="00EE450F" w:rsidRPr="009E7223">
            <w:t>suggested</w:t>
          </w:r>
          <w:r w:rsidRPr="009E7223">
            <w:t xml:space="preserve"> that a formula be designed to consider Service Providers achieving despite limited workforce capacity. It also commented that the Ministry could consider something similar to the decile 1 and 2 school system, and fund workforce increase and community leaders who carry out extensive behind the scene work. This submitter went on to say that the levy formula must fit within the principles of equality, fairness and equity for restoring mana, operators, Ministry operating costs and valuing providers’ work.</w:t>
          </w:r>
        </w:p>
        <w:p w14:paraId="1D1DA47D" w14:textId="1FAC2FD6" w:rsidR="00F7699C" w:rsidRPr="009E7223" w:rsidRDefault="00F7699C" w:rsidP="007179B4">
          <w:pPr>
            <w:pStyle w:val="NumberedHeading3"/>
          </w:pPr>
          <w:bookmarkStart w:id="129" w:name="_Toc531098207"/>
          <w:r w:rsidRPr="009E7223">
            <w:t xml:space="preserve">A Local Government submitter commented that the financial burden of administering the Act </w:t>
          </w:r>
          <w:r w:rsidR="002D6989" w:rsidRPr="009E7223">
            <w:t>needs to be</w:t>
          </w:r>
          <w:r w:rsidRPr="009E7223">
            <w:t xml:space="preserve"> reduced</w:t>
          </w:r>
          <w:bookmarkEnd w:id="129"/>
        </w:p>
        <w:p w14:paraId="153C0789" w14:textId="77777777" w:rsidR="00F7699C" w:rsidRPr="009E7223" w:rsidRDefault="00F7699C" w:rsidP="00F7699C">
          <w:pPr>
            <w:pStyle w:val="BodyText"/>
          </w:pPr>
          <w:r w:rsidRPr="009E7223">
            <w:t>A Local Government submitter</w:t>
          </w:r>
          <w:r w:rsidRPr="009E7223">
            <w:rPr>
              <w:rStyle w:val="FootnoteReference"/>
            </w:rPr>
            <w:footnoteReference w:id="642"/>
          </w:r>
          <w:r w:rsidRPr="009E7223">
            <w:t xml:space="preserve"> commented that councils are absorbing costs in meeting the statutory obligations, including:</w:t>
          </w:r>
        </w:p>
        <w:p w14:paraId="3AF9C81E" w14:textId="77777777" w:rsidR="00F7699C" w:rsidRPr="009E7223" w:rsidRDefault="00F7699C" w:rsidP="00F7699C">
          <w:pPr>
            <w:pStyle w:val="List-BulletLvl1"/>
          </w:pPr>
          <w:r w:rsidRPr="009E7223">
            <w:t>Adopting policies</w:t>
          </w:r>
        </w:p>
        <w:p w14:paraId="1B7F0D54" w14:textId="77777777" w:rsidR="00F7699C" w:rsidRPr="009E7223" w:rsidRDefault="00F7699C" w:rsidP="00F7699C">
          <w:pPr>
            <w:pStyle w:val="List-BulletLvl1"/>
          </w:pPr>
          <w:r w:rsidRPr="009E7223">
            <w:t>Conducting special consultative procedures</w:t>
          </w:r>
        </w:p>
        <w:p w14:paraId="742F0E9A" w14:textId="77777777" w:rsidR="00F7699C" w:rsidRPr="009E7223" w:rsidRDefault="00F7699C" w:rsidP="00F7699C">
          <w:pPr>
            <w:pStyle w:val="List-BulletLvl1"/>
          </w:pPr>
          <w:r w:rsidRPr="009E7223">
            <w:t>Administering the relocation of gambling venues, and</w:t>
          </w:r>
        </w:p>
        <w:p w14:paraId="4C5027E6" w14:textId="77777777" w:rsidR="00F7699C" w:rsidRPr="009E7223" w:rsidRDefault="00F7699C" w:rsidP="00F7699C">
          <w:pPr>
            <w:pStyle w:val="List-BulletLvl1"/>
          </w:pPr>
          <w:r w:rsidRPr="009E7223">
            <w:t>Restarting the process every 3 years.</w:t>
          </w:r>
        </w:p>
        <w:p w14:paraId="3A17896F" w14:textId="425E785C" w:rsidR="00F7699C" w:rsidRPr="009E7223" w:rsidRDefault="007336A7" w:rsidP="00F7699C">
          <w:pPr>
            <w:pStyle w:val="BodyText"/>
          </w:pPr>
          <w:r w:rsidRPr="009E7223">
            <w:lastRenderedPageBreak/>
            <w:t>The submitter also stressed</w:t>
          </w:r>
          <w:r w:rsidR="00F7699C" w:rsidRPr="009E7223">
            <w:t xml:space="preserve"> that the next iteration of the Strategy “</w:t>
          </w:r>
          <w:r w:rsidR="00F7699C" w:rsidRPr="009E7223">
            <w:rPr>
              <w:u w:val="single"/>
            </w:rPr>
            <w:t>must</w:t>
          </w:r>
          <w:r w:rsidR="00F7699C" w:rsidRPr="009E7223">
            <w:t>” include a commitment to provide councils with the funding necessary to reduce the financial burden of administering the Gambling Act on ratepayers.</w:t>
          </w:r>
        </w:p>
        <w:p w14:paraId="340029DD" w14:textId="77A5FD1C" w:rsidR="00F7699C" w:rsidRPr="009E7223" w:rsidRDefault="00F7699C" w:rsidP="00F7699C">
          <w:pPr>
            <w:pStyle w:val="NumberedHeading3"/>
          </w:pPr>
          <w:bookmarkStart w:id="130" w:name="_Toc531098208"/>
          <w:r w:rsidRPr="009E7223">
            <w:t>Some submitters did not understand the formula</w:t>
          </w:r>
          <w:bookmarkEnd w:id="130"/>
        </w:p>
        <w:p w14:paraId="0552C227" w14:textId="54B77F7F" w:rsidR="00F7699C" w:rsidRPr="009E7223" w:rsidRDefault="00F7699C" w:rsidP="00F7699C">
          <w:pPr>
            <w:pStyle w:val="BodyText"/>
          </w:pPr>
          <w:r w:rsidRPr="009E7223">
            <w:t>Two Service Providers,</w:t>
          </w:r>
          <w:r w:rsidRPr="009E7223">
            <w:rPr>
              <w:rStyle w:val="FootnoteReference"/>
            </w:rPr>
            <w:footnoteReference w:id="643"/>
          </w:r>
          <w:r w:rsidRPr="009E7223">
            <w:t xml:space="preserve"> in answer</w:t>
          </w:r>
          <w:r w:rsidR="007B34D9">
            <w:t>ing</w:t>
          </w:r>
          <w:r w:rsidRPr="009E7223">
            <w:t xml:space="preserve"> this question, simply stated that they did not understand the formula, and would trust that the Ministry was doing the best by all those involved.</w:t>
          </w:r>
        </w:p>
        <w:p w14:paraId="5F4D6F8F" w14:textId="77777777" w:rsidR="007179B4" w:rsidRPr="009E7223" w:rsidRDefault="007179B4">
          <w:pPr>
            <w:rPr>
              <w:rFonts w:asciiTheme="majorHAnsi" w:hAnsiTheme="majorHAnsi"/>
              <w:b/>
              <w:caps/>
              <w:color w:val="36424A" w:themeColor="text2"/>
              <w:sz w:val="28"/>
            </w:rPr>
          </w:pPr>
          <w:r w:rsidRPr="009E7223">
            <w:br w:type="page"/>
          </w:r>
        </w:p>
        <w:p w14:paraId="610A3B38" w14:textId="790210DA" w:rsidR="009731B8" w:rsidRPr="009E7223" w:rsidRDefault="009731B8" w:rsidP="00D04ED5">
          <w:pPr>
            <w:pStyle w:val="NumberedHeading1"/>
          </w:pPr>
          <w:bookmarkStart w:id="131" w:name="_Toc531098209"/>
          <w:r w:rsidRPr="009E7223">
            <w:lastRenderedPageBreak/>
            <w:t>Other issues raised by submitters</w:t>
          </w:r>
          <w:bookmarkEnd w:id="131"/>
        </w:p>
        <w:p w14:paraId="608EBF3D" w14:textId="37DB6C0D" w:rsidR="009731B8" w:rsidRPr="009E7223" w:rsidRDefault="009731B8" w:rsidP="009731B8">
          <w:pPr>
            <w:pStyle w:val="BodyText"/>
          </w:pPr>
          <w:r w:rsidRPr="009E7223">
            <w:t>Part 6 of this report outlines issues raised by submitters that did not directly relate to the draft Strategic Plan, the draft Service P</w:t>
          </w:r>
          <w:r w:rsidR="006159A7" w:rsidRPr="009E7223">
            <w:t xml:space="preserve">lan, the levy </w:t>
          </w:r>
          <w:r w:rsidR="00CC1563" w:rsidRPr="009E7223">
            <w:t>or the policy related to NCGMs</w:t>
          </w:r>
          <w:r w:rsidRPr="009E7223">
            <w:t>; however, they are pertinent to the policy or legislative settings for preventing and minimising gambling harm.</w:t>
          </w:r>
        </w:p>
        <w:bookmarkEnd w:id="122"/>
        <w:p w14:paraId="59C17664" w14:textId="288AAB3A" w:rsidR="00924B0A" w:rsidRPr="009E7223" w:rsidRDefault="007B34D9" w:rsidP="00836B1F">
          <w:pPr>
            <w:pStyle w:val="List-BulletLvl1"/>
          </w:pPr>
          <w:r>
            <w:t>Thirty-</w:t>
          </w:r>
          <w:r w:rsidR="00860DCC">
            <w:t>one</w:t>
          </w:r>
          <w:r w:rsidR="00924B0A" w:rsidRPr="009E7223">
            <w:t xml:space="preserve"> submissions included details about their role in the gambling industry.</w:t>
          </w:r>
          <w:r w:rsidR="009B75B3" w:rsidRPr="009E7223">
            <w:rPr>
              <w:rStyle w:val="FootnoteReference"/>
            </w:rPr>
            <w:footnoteReference w:id="644"/>
          </w:r>
        </w:p>
        <w:p w14:paraId="6DE7AF12" w14:textId="6AD79E38" w:rsidR="00924B0A" w:rsidRPr="009E7223" w:rsidRDefault="007B34D9" w:rsidP="009B75B3">
          <w:pPr>
            <w:pStyle w:val="List-BulletLvl1"/>
          </w:pPr>
          <w:r>
            <w:t>Fourteen</w:t>
          </w:r>
          <w:r w:rsidR="00924B0A" w:rsidRPr="009E7223">
            <w:t xml:space="preserve"> submissions expressed concerns that the PGSI might be replaced.</w:t>
          </w:r>
          <w:r w:rsidR="00EE450F" w:rsidRPr="009E7223">
            <w:rPr>
              <w:rStyle w:val="FootnoteReference"/>
            </w:rPr>
            <w:footnoteReference w:id="645"/>
          </w:r>
        </w:p>
        <w:p w14:paraId="6C343016" w14:textId="22774279" w:rsidR="00924B0A" w:rsidRPr="009E7223" w:rsidRDefault="00924B0A" w:rsidP="009B75B3">
          <w:pPr>
            <w:pStyle w:val="List-BulletLvl1"/>
          </w:pPr>
          <w:r w:rsidRPr="009E7223">
            <w:t>Eight submitters included elements of personal experience in their submissions.</w:t>
          </w:r>
          <w:r w:rsidR="00EE450F" w:rsidRPr="009E7223">
            <w:rPr>
              <w:rStyle w:val="FootnoteReference"/>
            </w:rPr>
            <w:footnoteReference w:id="646"/>
          </w:r>
        </w:p>
        <w:p w14:paraId="2925A139" w14:textId="6E6B11F6" w:rsidR="00924B0A" w:rsidRPr="009E7223" w:rsidRDefault="00924B0A" w:rsidP="009B75B3">
          <w:pPr>
            <w:pStyle w:val="List-BulletLvl1"/>
          </w:pPr>
          <w:r w:rsidRPr="009E7223">
            <w:t>Six submissions described other behaviours that they considered to be gambling comorbidities.</w:t>
          </w:r>
          <w:r w:rsidR="00EE450F" w:rsidRPr="009E7223">
            <w:rPr>
              <w:rStyle w:val="FootnoteReference"/>
            </w:rPr>
            <w:footnoteReference w:id="647"/>
          </w:r>
        </w:p>
        <w:p w14:paraId="23A6CA78" w14:textId="1171D959" w:rsidR="00924B0A" w:rsidRPr="009E7223" w:rsidRDefault="00860DCC" w:rsidP="009B75B3">
          <w:pPr>
            <w:pStyle w:val="List-BulletLvl1"/>
          </w:pPr>
          <w:r>
            <w:t>F</w:t>
          </w:r>
          <w:r w:rsidR="00E7285E">
            <w:t>ive</w:t>
          </w:r>
          <w:r>
            <w:t xml:space="preserve"> </w:t>
          </w:r>
          <w:r w:rsidR="00924B0A" w:rsidRPr="009E7223">
            <w:t>submissions critiqued the needs assessment completed by the Sapere Research Group.</w:t>
          </w:r>
          <w:r w:rsidR="00CA1C07" w:rsidRPr="009E7223">
            <w:rPr>
              <w:rStyle w:val="FootnoteReference"/>
            </w:rPr>
            <w:footnoteReference w:id="648"/>
          </w:r>
        </w:p>
        <w:p w14:paraId="50B2315D" w14:textId="0BA4270B" w:rsidR="00924B0A" w:rsidRPr="009E7223" w:rsidRDefault="00924B0A" w:rsidP="009B75B3">
          <w:pPr>
            <w:pStyle w:val="List-BulletLvl1"/>
          </w:pPr>
          <w:r w:rsidRPr="009E7223">
            <w:t xml:space="preserve">Two submissions included details of the history of the gambling industry in </w:t>
          </w:r>
          <w:r w:rsidR="00860DCC">
            <w:t>New Zealand</w:t>
          </w:r>
          <w:r w:rsidRPr="009E7223">
            <w:t>.</w:t>
          </w:r>
          <w:r w:rsidR="00CA1C07" w:rsidRPr="009E7223">
            <w:rPr>
              <w:rStyle w:val="FootnoteReference"/>
            </w:rPr>
            <w:footnoteReference w:id="649"/>
          </w:r>
        </w:p>
        <w:p w14:paraId="5F1C9978" w14:textId="2BCA156A" w:rsidR="00924B0A" w:rsidRPr="009E7223" w:rsidRDefault="00924B0A" w:rsidP="009B75B3">
          <w:pPr>
            <w:pStyle w:val="List-BulletLvl1"/>
          </w:pPr>
          <w:r w:rsidRPr="009E7223">
            <w:t>Two submissions expressed concerns about the Gambling Act.</w:t>
          </w:r>
          <w:r w:rsidR="00CA1C07" w:rsidRPr="009E7223">
            <w:rPr>
              <w:rStyle w:val="FootnoteReference"/>
            </w:rPr>
            <w:footnoteReference w:id="650"/>
          </w:r>
        </w:p>
        <w:p w14:paraId="673884E1" w14:textId="7D382D94" w:rsidR="00924B0A" w:rsidRPr="009E7223" w:rsidRDefault="00924B0A" w:rsidP="009B75B3">
          <w:pPr>
            <w:pStyle w:val="List-BulletLvl1"/>
          </w:pPr>
          <w:r w:rsidRPr="009E7223">
            <w:t xml:space="preserve">Two submissions objected to an implication in the </w:t>
          </w:r>
          <w:r w:rsidR="002E446A" w:rsidRPr="009E7223">
            <w:t>c</w:t>
          </w:r>
          <w:r w:rsidRPr="009E7223">
            <w:t xml:space="preserve">onsultation </w:t>
          </w:r>
          <w:r w:rsidR="002E446A" w:rsidRPr="009E7223">
            <w:t>d</w:t>
          </w:r>
          <w:r w:rsidRPr="009E7223">
            <w:t>ocument that certain priorities were new when they had been in process for several years.</w:t>
          </w:r>
          <w:r w:rsidR="00CA1C07" w:rsidRPr="009E7223">
            <w:rPr>
              <w:rStyle w:val="FootnoteReference"/>
            </w:rPr>
            <w:footnoteReference w:id="651"/>
          </w:r>
        </w:p>
        <w:p w14:paraId="7E4EA857" w14:textId="30ED3D90" w:rsidR="00924B0A" w:rsidRPr="009E7223" w:rsidRDefault="00924B0A" w:rsidP="009B75B3">
          <w:pPr>
            <w:pStyle w:val="List-BulletLvl1"/>
          </w:pPr>
          <w:r w:rsidRPr="009E7223">
            <w:t>One submitter commented that the National Advisory Group needs to be more appropriately utilised.</w:t>
          </w:r>
          <w:r w:rsidR="00CA1C07" w:rsidRPr="009E7223">
            <w:rPr>
              <w:rStyle w:val="FootnoteReference"/>
            </w:rPr>
            <w:footnoteReference w:id="652"/>
          </w:r>
        </w:p>
        <w:p w14:paraId="081BD26A" w14:textId="39951CD3" w:rsidR="00CA1C07" w:rsidRPr="009E7223" w:rsidRDefault="00CA1C07" w:rsidP="009B75B3">
          <w:pPr>
            <w:pStyle w:val="List-BulletLvl1"/>
          </w:pPr>
          <w:r w:rsidRPr="009E7223">
            <w:t>One submitter noted inconsistencies in the consultation document concerning the previous budget.</w:t>
          </w:r>
          <w:r w:rsidRPr="009E7223">
            <w:rPr>
              <w:rStyle w:val="FootnoteReference"/>
            </w:rPr>
            <w:footnoteReference w:id="653"/>
          </w:r>
        </w:p>
        <w:p w14:paraId="2A9D146F" w14:textId="659160C4" w:rsidR="00924B0A" w:rsidRPr="009E7223" w:rsidRDefault="00924B0A" w:rsidP="009B75B3">
          <w:pPr>
            <w:pStyle w:val="List-BulletLvl1"/>
          </w:pPr>
          <w:r w:rsidRPr="009E7223">
            <w:t>One submitter registered the concern that academic research institutes are no longer accepting industry funding for research, making the industry increasingly reliant upon the Ministry for research.</w:t>
          </w:r>
          <w:r w:rsidR="00836B1F" w:rsidRPr="009E7223">
            <w:rPr>
              <w:rStyle w:val="FootnoteReference"/>
            </w:rPr>
            <w:footnoteReference w:id="654"/>
          </w:r>
        </w:p>
        <w:p w14:paraId="29649551" w14:textId="7B8A9DB7" w:rsidR="00924B0A" w:rsidRPr="009E7223" w:rsidRDefault="00924B0A" w:rsidP="009B75B3">
          <w:pPr>
            <w:pStyle w:val="List-BulletLvl1"/>
          </w:pPr>
          <w:r w:rsidRPr="009E7223">
            <w:t>One submission requested that the population category of ‘Asian’ also include ‘South Asian’.</w:t>
          </w:r>
          <w:r w:rsidR="00836B1F" w:rsidRPr="009E7223">
            <w:rPr>
              <w:rStyle w:val="FootnoteReference"/>
            </w:rPr>
            <w:footnoteReference w:id="655"/>
          </w:r>
        </w:p>
        <w:p w14:paraId="0FD16D72" w14:textId="645BC63E" w:rsidR="00836B1F" w:rsidRPr="009E7223" w:rsidRDefault="00836B1F" w:rsidP="009B75B3">
          <w:pPr>
            <w:pStyle w:val="List-BulletLvl1"/>
          </w:pPr>
          <w:r w:rsidRPr="009E7223">
            <w:t>One submitter suggested that a short video be made to explain the levy formula and the impacts of the weightings.</w:t>
          </w:r>
          <w:r w:rsidRPr="009E7223">
            <w:rPr>
              <w:rStyle w:val="FootnoteReference"/>
            </w:rPr>
            <w:footnoteReference w:id="656"/>
          </w:r>
        </w:p>
        <w:p w14:paraId="2FD11BF4" w14:textId="3328E06E" w:rsidR="00836B1F" w:rsidRPr="009E7223" w:rsidRDefault="00836B1F" w:rsidP="009B75B3">
          <w:pPr>
            <w:pStyle w:val="List-BulletLvl1"/>
          </w:pPr>
          <w:r w:rsidRPr="009E7223">
            <w:t>One submitter suggested that the consultation document clearly define the meaning of ‘community’, including prison populations and private training establishments.</w:t>
          </w:r>
          <w:r w:rsidRPr="009E7223">
            <w:rPr>
              <w:rStyle w:val="FootnoteReference"/>
            </w:rPr>
            <w:footnoteReference w:id="657"/>
          </w:r>
        </w:p>
        <w:p w14:paraId="1CBF6E9F" w14:textId="7E27A867" w:rsidR="00836B1F" w:rsidRPr="009E7223" w:rsidRDefault="00836B1F" w:rsidP="009B75B3">
          <w:pPr>
            <w:pStyle w:val="List-BulletLvl1"/>
          </w:pPr>
          <w:r w:rsidRPr="009E7223">
            <w:lastRenderedPageBreak/>
            <w:t>One submitter expressed concern that levy consultation</w:t>
          </w:r>
          <w:r w:rsidR="007B34D9">
            <w:t>s</w:t>
          </w:r>
          <w:r w:rsidRPr="009E7223">
            <w:t xml:space="preserve"> and decision</w:t>
          </w:r>
          <w:r w:rsidR="007B34D9">
            <w:t>s</w:t>
          </w:r>
          <w:r w:rsidRPr="009E7223">
            <w:t xml:space="preserve"> have been undertaken without critical analysis of previous Service Plans.</w:t>
          </w:r>
          <w:r w:rsidRPr="009E7223">
            <w:rPr>
              <w:rStyle w:val="FootnoteReference"/>
            </w:rPr>
            <w:footnoteReference w:id="658"/>
          </w:r>
        </w:p>
        <w:p w14:paraId="12C11786" w14:textId="5E619223" w:rsidR="00924B0A" w:rsidRPr="009E7223" w:rsidRDefault="00924B0A" w:rsidP="009B75B3">
          <w:pPr>
            <w:pStyle w:val="List-BulletLvl1"/>
          </w:pPr>
          <w:r w:rsidRPr="009E7223">
            <w:t>One submission requested that a word search be conducted of the Strategy document to replace ‘problem gambling’ with ‘Harmful gambling’. ‘problem gambling service’ replaced with ‘minimising gambling harm service’; and ‘problem gambler’ be replaced with ‘people experiencing gambling harm’.</w:t>
          </w:r>
          <w:r w:rsidR="00836B1F" w:rsidRPr="009E7223">
            <w:rPr>
              <w:rStyle w:val="FootnoteReference"/>
            </w:rPr>
            <w:footnoteReference w:id="659"/>
          </w:r>
        </w:p>
        <w:p w14:paraId="14B03404" w14:textId="7049D338" w:rsidR="00924B0A" w:rsidRPr="009E7223" w:rsidRDefault="00924B0A" w:rsidP="009B75B3">
          <w:pPr>
            <w:pStyle w:val="List-BulletLvl1"/>
          </w:pPr>
          <w:r w:rsidRPr="009E7223">
            <w:t>One submission questioned the legality of gaming machines.</w:t>
          </w:r>
          <w:r w:rsidR="00836B1F" w:rsidRPr="009E7223">
            <w:rPr>
              <w:rStyle w:val="FootnoteReference"/>
            </w:rPr>
            <w:footnoteReference w:id="660"/>
          </w:r>
        </w:p>
        <w:p w14:paraId="46C84A1B" w14:textId="3615F85A" w:rsidR="00924B0A" w:rsidRPr="009E7223" w:rsidRDefault="00924B0A" w:rsidP="009B75B3">
          <w:pPr>
            <w:pStyle w:val="List-BulletLvl1"/>
          </w:pPr>
          <w:r w:rsidRPr="009E7223">
            <w:t xml:space="preserve">One submission pointed out inconsistencies within the </w:t>
          </w:r>
          <w:r w:rsidR="002E446A" w:rsidRPr="009E7223">
            <w:t>c</w:t>
          </w:r>
          <w:r w:rsidRPr="009E7223">
            <w:t xml:space="preserve">onsultation </w:t>
          </w:r>
          <w:r w:rsidR="002E446A" w:rsidRPr="009E7223">
            <w:t>d</w:t>
          </w:r>
          <w:r w:rsidRPr="009E7223">
            <w:t>ocument regarding the numbers of people experiencing harm from gambling.</w:t>
          </w:r>
          <w:r w:rsidR="00836B1F" w:rsidRPr="009E7223">
            <w:rPr>
              <w:rStyle w:val="FootnoteReference"/>
            </w:rPr>
            <w:footnoteReference w:id="661"/>
          </w:r>
        </w:p>
        <w:p w14:paraId="3CF24DA8" w14:textId="7670C085" w:rsidR="00836B1F" w:rsidRPr="009E7223" w:rsidRDefault="00836B1F" w:rsidP="009B75B3">
          <w:pPr>
            <w:pStyle w:val="List-BulletLvl1"/>
          </w:pPr>
          <w:r w:rsidRPr="009E7223">
            <w:t>One submitter suggested that casinos be required to “report on their financials”.</w:t>
          </w:r>
          <w:r w:rsidRPr="009E7223">
            <w:rPr>
              <w:rStyle w:val="FootnoteReference"/>
            </w:rPr>
            <w:footnoteReference w:id="662"/>
          </w:r>
        </w:p>
        <w:p w14:paraId="191FA902" w14:textId="38358660" w:rsidR="00924B0A" w:rsidRPr="009E7223" w:rsidRDefault="00924B0A" w:rsidP="009B75B3">
          <w:pPr>
            <w:pStyle w:val="List-BulletLvl1"/>
          </w:pPr>
          <w:r w:rsidRPr="009E7223">
            <w:t>One submission urged the Ministry to extend the consultation process to gambling machine venues in order to capture the point of view of those who attend such venues.</w:t>
          </w:r>
          <w:r w:rsidR="00836B1F" w:rsidRPr="009E7223">
            <w:rPr>
              <w:rStyle w:val="FootnoteReference"/>
            </w:rPr>
            <w:footnoteReference w:id="663"/>
          </w:r>
        </w:p>
        <w:p w14:paraId="6EA36460" w14:textId="77139A4B" w:rsidR="00924B0A" w:rsidRPr="009E7223" w:rsidRDefault="00924B0A" w:rsidP="009B75B3">
          <w:pPr>
            <w:pStyle w:val="List-BulletLvl1"/>
          </w:pPr>
          <w:r w:rsidRPr="009E7223">
            <w:t>One submission reflected on the ethical dilemma of NCGMs generating funding for community projects, juxtaposed with the harm from problem gambling.</w:t>
          </w:r>
          <w:r w:rsidR="00836B1F" w:rsidRPr="009E7223">
            <w:rPr>
              <w:rStyle w:val="FootnoteReference"/>
            </w:rPr>
            <w:footnoteReference w:id="664"/>
          </w:r>
        </w:p>
        <w:p w14:paraId="2913EB30" w14:textId="7EDDE19A" w:rsidR="00CC7043" w:rsidRDefault="00CC7043">
          <w:pPr>
            <w:rPr>
              <w:highlight w:val="yellow"/>
            </w:rPr>
          </w:pPr>
          <w:r>
            <w:rPr>
              <w:highlight w:val="yellow"/>
            </w:rPr>
            <w:br w:type="page"/>
          </w:r>
        </w:p>
        <w:p w14:paraId="758AEC82" w14:textId="77777777" w:rsidR="00CC7043" w:rsidRPr="009E7223" w:rsidRDefault="00CC7043" w:rsidP="00CC7043">
          <w:pPr>
            <w:pStyle w:val="NumberedHeading1"/>
          </w:pPr>
          <w:bookmarkStart w:id="132" w:name="_Toc531098210"/>
          <w:r w:rsidRPr="009E7223">
            <w:lastRenderedPageBreak/>
            <w:t>Thematic analysis by sector</w:t>
          </w:r>
          <w:bookmarkEnd w:id="132"/>
        </w:p>
        <w:p w14:paraId="6DA03614" w14:textId="41D24F0F" w:rsidR="00CC7043" w:rsidRPr="009E7223" w:rsidRDefault="00CC7043" w:rsidP="00CC7043">
          <w:pPr>
            <w:pStyle w:val="BodyText"/>
          </w:pPr>
          <w:r>
            <w:t>Part 7</w:t>
          </w:r>
          <w:r w:rsidRPr="009E7223">
            <w:t xml:space="preserve"> explore</w:t>
          </w:r>
          <w:r>
            <w:t>s</w:t>
          </w:r>
          <w:r w:rsidRPr="009E7223">
            <w:t xml:space="preserve"> the </w:t>
          </w:r>
          <w:r w:rsidR="000B71EF" w:rsidRPr="009E7223">
            <w:t>way</w:t>
          </w:r>
          <w:r w:rsidRPr="009E7223">
            <w:t xml:space="preserve"> different sectors addressed the common themes throughout the submissions.</w:t>
          </w:r>
        </w:p>
        <w:p w14:paraId="36478B09" w14:textId="77777777" w:rsidR="00CC7043" w:rsidRPr="009E7223" w:rsidRDefault="00CC7043" w:rsidP="00CC7043">
          <w:pPr>
            <w:pStyle w:val="NumberedHeading2"/>
          </w:pPr>
          <w:bookmarkStart w:id="133" w:name="_Toc531098211"/>
          <w:r w:rsidRPr="009E7223">
            <w:t>Use of presentation rates in calculating the levy</w:t>
          </w:r>
          <w:bookmarkEnd w:id="133"/>
        </w:p>
        <w:p w14:paraId="71ADB627" w14:textId="77777777" w:rsidR="00CC7043" w:rsidRPr="009E7223" w:rsidRDefault="00CC7043" w:rsidP="00CC7043">
          <w:pPr>
            <w:pStyle w:val="BodyText"/>
          </w:pPr>
          <w:r w:rsidRPr="009E7223">
            <w:t>The reliance on presentations was an important theme, which had cross-sector comment. However, the way that it was addressed varied by sector. For example, Service Providers tended to focus on the accuracy (or otherwise) of presentations as a measure of harm, while NCGM sector submitters and Gambling Industry (other) submitters focused on the impact that presentations should have on the levy formula.</w:t>
          </w:r>
        </w:p>
        <w:p w14:paraId="3031E6DD" w14:textId="665F471C" w:rsidR="00CC7043" w:rsidRPr="009E7223" w:rsidRDefault="00CC7043" w:rsidP="00CC7043">
          <w:pPr>
            <w:pStyle w:val="NumberedHeading3"/>
          </w:pPr>
          <w:bookmarkStart w:id="134" w:name="_Toc531098212"/>
          <w:r w:rsidRPr="009E7223">
            <w:t>Service Provider submitters</w:t>
          </w:r>
          <w:r w:rsidR="006A6EA1">
            <w:t xml:space="preserve"> did not support reliance on presentations</w:t>
          </w:r>
          <w:bookmarkEnd w:id="134"/>
        </w:p>
        <w:p w14:paraId="057266F5" w14:textId="325FAB0F" w:rsidR="00CC7043" w:rsidRPr="009E7223" w:rsidRDefault="00CC7043" w:rsidP="00CC7043">
          <w:pPr>
            <w:pStyle w:val="BodyText"/>
          </w:pPr>
          <w:r w:rsidRPr="009E7223">
            <w:t>The reliance on presentations to treatment services as a measure of harm considerably understates the harm to individuals and families, and does not equate to a true public health approach.</w:t>
          </w:r>
          <w:r w:rsidRPr="009E7223">
            <w:rPr>
              <w:rStyle w:val="FootnoteReference"/>
            </w:rPr>
            <w:footnoteReference w:id="665"/>
          </w:r>
          <w:r w:rsidRPr="009E7223">
            <w:t xml:space="preserve"> It was noted that the presentations calculation does not quantify the level of gambling harm occurring in communities</w:t>
          </w:r>
          <w:r>
            <w:t xml:space="preserve"> because</w:t>
          </w:r>
          <w:r w:rsidR="006A6EA1">
            <w:t xml:space="preserve"> not everyone </w:t>
          </w:r>
          <w:r w:rsidR="000B71EF">
            <w:t>presents,</w:t>
          </w:r>
          <w:r w:rsidR="006A6EA1">
            <w:t xml:space="preserve"> and gambling harm extends beyond the individual gambler.</w:t>
          </w:r>
        </w:p>
        <w:p w14:paraId="10E48119" w14:textId="389CC1A1" w:rsidR="00CC7043" w:rsidRPr="009E7223" w:rsidRDefault="00CC7043" w:rsidP="00CC7043">
          <w:pPr>
            <w:pStyle w:val="NumberedHeading3"/>
          </w:pPr>
          <w:bookmarkStart w:id="135" w:name="_Toc531098213"/>
          <w:r w:rsidRPr="009E7223">
            <w:t>NCGM sector submitters</w:t>
          </w:r>
          <w:r w:rsidR="006A6EA1">
            <w:t xml:space="preserve"> considered there should be less emphasis on presentations</w:t>
          </w:r>
          <w:bookmarkEnd w:id="135"/>
        </w:p>
        <w:p w14:paraId="2939697C" w14:textId="77777777" w:rsidR="00CC7043" w:rsidRPr="009E7223" w:rsidRDefault="00CC7043" w:rsidP="00CC7043">
          <w:pPr>
            <w:pStyle w:val="BodyText"/>
          </w:pPr>
          <w:r>
            <w:t xml:space="preserve">Eleven </w:t>
          </w:r>
          <w:r w:rsidRPr="009E7223">
            <w:t>NCGM sector submitters considered that there have been reduced rates of treatment presentations, and this should be reflected in a reduced funding appropriation.</w:t>
          </w:r>
          <w:r w:rsidRPr="009E7223">
            <w:rPr>
              <w:rStyle w:val="FootnoteReference"/>
            </w:rPr>
            <w:footnoteReference w:id="666"/>
          </w:r>
        </w:p>
        <w:p w14:paraId="1A9085E0" w14:textId="77777777" w:rsidR="00CC7043" w:rsidRPr="009E7223" w:rsidRDefault="00CC7043" w:rsidP="00CC7043">
          <w:pPr>
            <w:pStyle w:val="BodyText"/>
          </w:pPr>
          <w:r>
            <w:t>Most</w:t>
          </w:r>
          <w:r w:rsidRPr="009E7223">
            <w:t xml:space="preserve"> NCGM sector submitters</w:t>
          </w:r>
          <w:r w:rsidRPr="009E7223">
            <w:rPr>
              <w:rStyle w:val="FootnoteReference"/>
            </w:rPr>
            <w:footnoteReference w:id="667"/>
          </w:r>
          <w:r w:rsidRPr="009E7223">
            <w:t xml:space="preserve"> considered that a higher weighting on presentations punishes NCGM societies that engage in proactive harm minimisation practices, and that operators should not be penalised for making proactive referrals. Two NCGM sector submitters</w:t>
          </w:r>
          <w:r w:rsidRPr="009E7223">
            <w:rPr>
              <w:rStyle w:val="FootnoteReference"/>
            </w:rPr>
            <w:footnoteReference w:id="668"/>
          </w:r>
          <w:r w:rsidRPr="009E7223">
            <w:t xml:space="preserve"> went so far as to suggest a 100/0 weighting in the formula</w:t>
          </w:r>
          <w:r>
            <w:t xml:space="preserve"> (</w:t>
          </w:r>
          <w:r w:rsidRPr="009E7223">
            <w:t>that is, not taking presentations into account at all</w:t>
          </w:r>
          <w:r>
            <w:t>)</w:t>
          </w:r>
          <w:r w:rsidRPr="009E7223">
            <w:t>. Another argument for a lower weighting on presentations was that presentations data is not as accurate as expenditure data.</w:t>
          </w:r>
          <w:r w:rsidRPr="009E7223">
            <w:rPr>
              <w:rStyle w:val="FootnoteReference"/>
            </w:rPr>
            <w:footnoteReference w:id="669"/>
          </w:r>
        </w:p>
        <w:p w14:paraId="356CB552" w14:textId="77777777" w:rsidR="00CC7043" w:rsidRPr="009E7223" w:rsidRDefault="00CC7043" w:rsidP="00CC7043">
          <w:pPr>
            <w:pStyle w:val="BodyText"/>
          </w:pPr>
          <w:r>
            <w:t xml:space="preserve">Four </w:t>
          </w:r>
          <w:r w:rsidRPr="009E7223">
            <w:t>NCGM sector submitters</w:t>
          </w:r>
          <w:r w:rsidRPr="009E7223">
            <w:rPr>
              <w:rStyle w:val="FootnoteReference"/>
            </w:rPr>
            <w:footnoteReference w:id="670"/>
          </w:r>
          <w:r w:rsidRPr="009E7223">
            <w:t xml:space="preserve"> did not consider that their levy share should be based predominantly on presentation numbers, as these can be inconsistent. </w:t>
          </w:r>
        </w:p>
        <w:p w14:paraId="2674E78D" w14:textId="0DA328DA" w:rsidR="00CC7043" w:rsidRPr="009E7223" w:rsidRDefault="00CC7043" w:rsidP="00CC7043">
          <w:pPr>
            <w:pStyle w:val="NumberedHeading3"/>
          </w:pPr>
          <w:bookmarkStart w:id="136" w:name="_Toc531098214"/>
          <w:r w:rsidRPr="009E7223">
            <w:t>Gambling Industry (other) submitters</w:t>
          </w:r>
          <w:r w:rsidR="006A6EA1">
            <w:t xml:space="preserve"> supported a higher presentations weighting</w:t>
          </w:r>
          <w:bookmarkEnd w:id="136"/>
        </w:p>
        <w:p w14:paraId="6DE3E11D" w14:textId="77777777" w:rsidR="00CC7043" w:rsidRPr="009E7223" w:rsidRDefault="00CC7043" w:rsidP="00CC7043">
          <w:pPr>
            <w:pStyle w:val="BodyText"/>
          </w:pPr>
          <w:r>
            <w:t xml:space="preserve">Three </w:t>
          </w:r>
          <w:r w:rsidRPr="009E7223">
            <w:t>Gambling Industry (other) submitters</w:t>
          </w:r>
          <w:r w:rsidRPr="009E7223">
            <w:rPr>
              <w:rStyle w:val="FootnoteReference"/>
            </w:rPr>
            <w:footnoteReference w:id="671"/>
          </w:r>
          <w:r w:rsidRPr="009E7223">
            <w:t xml:space="preserve"> considered that presentations are a relatively strong indicator of harm, and wanted a higher weighting on presentations. One submitter</w:t>
          </w:r>
          <w:r w:rsidRPr="009E7223">
            <w:rPr>
              <w:rStyle w:val="FootnoteReference"/>
            </w:rPr>
            <w:footnoteReference w:id="672"/>
          </w:r>
          <w:r w:rsidRPr="009E7223">
            <w:t xml:space="preserve"> commented that a higher weighting on presentations ensures that NCGMs (the form of gambling which it considered to have the highest presentation numbers) contributes the greatest amount. </w:t>
          </w:r>
          <w:r w:rsidRPr="009E7223">
            <w:lastRenderedPageBreak/>
            <w:t>Gambling Industry (other) submitters</w:t>
          </w:r>
          <w:r w:rsidRPr="009E7223">
            <w:rPr>
              <w:rStyle w:val="FootnoteReference"/>
            </w:rPr>
            <w:footnoteReference w:id="673"/>
          </w:r>
          <w:r w:rsidRPr="009E7223">
            <w:t xml:space="preserve"> also considered that higher weighting on presentations reflects the goal of reducing harm, rather than reducing spending overall. </w:t>
          </w:r>
        </w:p>
        <w:p w14:paraId="5A400E05" w14:textId="62AD221A" w:rsidR="00CC7043" w:rsidRPr="009E7223" w:rsidRDefault="00CC7043" w:rsidP="00CC7043">
          <w:pPr>
            <w:pStyle w:val="NumberedHeading3"/>
          </w:pPr>
          <w:bookmarkStart w:id="137" w:name="_Toc531098215"/>
          <w:r w:rsidRPr="009E7223">
            <w:t>Local Government submitters</w:t>
          </w:r>
          <w:r w:rsidR="006A6EA1">
            <w:t xml:space="preserve"> supported a higher presentations weighting</w:t>
          </w:r>
          <w:bookmarkEnd w:id="137"/>
        </w:p>
        <w:p w14:paraId="6666B2A7" w14:textId="77777777" w:rsidR="00CC7043" w:rsidRPr="009E7223" w:rsidRDefault="00CC7043" w:rsidP="00CC7043">
          <w:pPr>
            <w:pStyle w:val="BodyText"/>
          </w:pPr>
          <w:r w:rsidRPr="009E7223">
            <w:t>One Local Government submitter</w:t>
          </w:r>
          <w:r w:rsidRPr="009E7223">
            <w:rPr>
              <w:rStyle w:val="FootnoteReference"/>
            </w:rPr>
            <w:footnoteReference w:id="674"/>
          </w:r>
          <w:r w:rsidRPr="009E7223">
            <w:t xml:space="preserve"> considered that presentations are a relatively strong indicator of harm, and wanted a higher weighting on presentations. </w:t>
          </w:r>
        </w:p>
        <w:p w14:paraId="0CE08C89" w14:textId="3D87ABD2" w:rsidR="00CC7043" w:rsidRDefault="00CC7043" w:rsidP="00CC7043">
          <w:pPr>
            <w:pStyle w:val="NumberedHeading2"/>
          </w:pPr>
          <w:bookmarkStart w:id="138" w:name="_Toc531098216"/>
          <w:r w:rsidRPr="009E7223">
            <w:t>Player expenditure forecasts</w:t>
          </w:r>
          <w:r w:rsidR="006A6EA1">
            <w:t xml:space="preserve"> were considered unrealistic</w:t>
          </w:r>
          <w:bookmarkEnd w:id="138"/>
        </w:p>
        <w:p w14:paraId="18D778D9" w14:textId="71610F6E" w:rsidR="003D7B18" w:rsidRPr="003D7B18" w:rsidRDefault="003D7B18" w:rsidP="003D7B18">
          <w:pPr>
            <w:pStyle w:val="BodyText"/>
          </w:pPr>
          <w:r>
            <w:t>Service Providers, Gambling Industry (other) and Individual submitters all considered that the player expenditure forecasts were unrealistic.</w:t>
          </w:r>
        </w:p>
        <w:p w14:paraId="1D7C0B69" w14:textId="77777777" w:rsidR="00CC7043" w:rsidRPr="009E7223" w:rsidRDefault="00CC7043" w:rsidP="00CC7043">
          <w:pPr>
            <w:pStyle w:val="NumberedHeading3"/>
          </w:pPr>
          <w:bookmarkStart w:id="139" w:name="_Toc531098217"/>
          <w:r w:rsidRPr="009E7223">
            <w:t>Service Provider submitters</w:t>
          </w:r>
          <w:bookmarkEnd w:id="139"/>
        </w:p>
        <w:p w14:paraId="3ACE71FE" w14:textId="77777777" w:rsidR="00CC7043" w:rsidRPr="009E7223" w:rsidRDefault="00CC7043" w:rsidP="00CC7043">
          <w:pPr>
            <w:pStyle w:val="BodyText"/>
          </w:pPr>
          <w:r w:rsidRPr="009E7223">
            <w:t>Service Providers</w:t>
          </w:r>
          <w:r w:rsidRPr="009E7223">
            <w:rPr>
              <w:rStyle w:val="FootnoteReference"/>
            </w:rPr>
            <w:footnoteReference w:id="675"/>
          </w:r>
          <w:r w:rsidRPr="009E7223">
            <w:t xml:space="preserve"> considered that player expenditure forecasts were not realistic because they do not take into account individual bet amounts or online gambling, and so </w:t>
          </w:r>
          <w:r>
            <w:t>do</w:t>
          </w:r>
          <w:r w:rsidRPr="009E7223">
            <w:t xml:space="preserve"> not provide an accurate picture of the harm associated with each product.</w:t>
          </w:r>
        </w:p>
        <w:p w14:paraId="1CF7F59E" w14:textId="77777777" w:rsidR="00CC7043" w:rsidRPr="009E7223" w:rsidRDefault="00CC7043" w:rsidP="00CC7043">
          <w:pPr>
            <w:pStyle w:val="NumberedHeading3"/>
          </w:pPr>
          <w:bookmarkStart w:id="140" w:name="_Toc531098218"/>
          <w:r w:rsidRPr="009E7223">
            <w:t>Individuals</w:t>
          </w:r>
          <w:bookmarkEnd w:id="140"/>
        </w:p>
        <w:p w14:paraId="6F9667CA" w14:textId="77777777" w:rsidR="00CC7043" w:rsidRPr="009E7223" w:rsidRDefault="00CC7043" w:rsidP="00CC7043">
          <w:pPr>
            <w:pStyle w:val="BodyText"/>
          </w:pPr>
          <w:r>
            <w:t>Three</w:t>
          </w:r>
          <w:r w:rsidRPr="009E7223">
            <w:t xml:space="preserve"> individual submitters</w:t>
          </w:r>
          <w:r w:rsidRPr="009E7223">
            <w:rPr>
              <w:rStyle w:val="FootnoteReference"/>
            </w:rPr>
            <w:footnoteReference w:id="676"/>
          </w:r>
          <w:r w:rsidRPr="009E7223">
            <w:t xml:space="preserve"> did not think that player expenditure forecasts were realistic, largely for the same reasons as Service Provider submitters. </w:t>
          </w:r>
        </w:p>
        <w:p w14:paraId="7818B5D4" w14:textId="77777777" w:rsidR="00CC7043" w:rsidRPr="009E7223" w:rsidRDefault="00CC7043" w:rsidP="00CC7043">
          <w:pPr>
            <w:pStyle w:val="NumberedHeading3"/>
          </w:pPr>
          <w:bookmarkStart w:id="141" w:name="_Toc531098219"/>
          <w:r w:rsidRPr="009E7223">
            <w:t>Gambling Industry (other) submitters</w:t>
          </w:r>
          <w:bookmarkEnd w:id="141"/>
        </w:p>
        <w:p w14:paraId="6704732F" w14:textId="77777777" w:rsidR="00CC7043" w:rsidRPr="009E7223" w:rsidRDefault="00CC7043" w:rsidP="00CC7043">
          <w:pPr>
            <w:pStyle w:val="BodyText"/>
          </w:pPr>
          <w:r w:rsidRPr="009E7223">
            <w:t>One Gambling Industry (other) submitter</w:t>
          </w:r>
          <w:r w:rsidRPr="009E7223">
            <w:rPr>
              <w:rStyle w:val="FootnoteReference"/>
            </w:rPr>
            <w:footnoteReference w:id="677"/>
          </w:r>
          <w:r w:rsidRPr="009E7223">
            <w:t xml:space="preserve"> stated that the consultation document did not describe the method used by the DIA to develop the forecasts, and noted that they are significantly higher than the corresponding values from Lotto’s Statement of Intent. It was suggested that the Ministry adopt Lotto’s forecasting. </w:t>
          </w:r>
        </w:p>
        <w:p w14:paraId="30C3C4F1" w14:textId="3FAC4563" w:rsidR="00CC7043" w:rsidRDefault="00CC7043" w:rsidP="00CC7043">
          <w:pPr>
            <w:pStyle w:val="NumberedHeading2"/>
          </w:pPr>
          <w:bookmarkStart w:id="142" w:name="_Toc531098220"/>
          <w:r w:rsidRPr="009E7223">
            <w:t>Culturally specific services</w:t>
          </w:r>
          <w:r w:rsidR="003D7B18">
            <w:t xml:space="preserve"> are required for </w:t>
          </w:r>
          <w:r w:rsidRPr="009E7223">
            <w:t>Māori</w:t>
          </w:r>
          <w:bookmarkEnd w:id="142"/>
        </w:p>
        <w:p w14:paraId="4EEEAA53" w14:textId="6C6DBE10" w:rsidR="003D7B18" w:rsidRPr="003D7B18" w:rsidRDefault="003D7B18" w:rsidP="003D7B18">
          <w:pPr>
            <w:pStyle w:val="BodyText"/>
          </w:pPr>
          <w:r>
            <w:t>Service Providers, Health sector and an individual submitter all considered that culturally specific services were required for Māori.</w:t>
          </w:r>
        </w:p>
        <w:p w14:paraId="07CCD310" w14:textId="5A2B06AF" w:rsidR="003D7B18" w:rsidRPr="009E7223" w:rsidRDefault="00CC7043" w:rsidP="003D7B18">
          <w:pPr>
            <w:pStyle w:val="NumberedHeading3"/>
          </w:pPr>
          <w:bookmarkStart w:id="143" w:name="_Toc531098221"/>
          <w:r w:rsidRPr="009E7223">
            <w:t>Service Provider submitter</w:t>
          </w:r>
          <w:r w:rsidR="003D7B18">
            <w:t>s</w:t>
          </w:r>
          <w:bookmarkEnd w:id="143"/>
        </w:p>
        <w:p w14:paraId="4AD67115" w14:textId="77777777" w:rsidR="00CC7043" w:rsidRPr="009E7223" w:rsidRDefault="00CC7043" w:rsidP="00CC7043">
          <w:pPr>
            <w:pStyle w:val="BodyText"/>
          </w:pPr>
          <w:r w:rsidRPr="009E7223">
            <w:t>Five Service Provider submitters</w:t>
          </w:r>
          <w:r w:rsidRPr="009E7223">
            <w:rPr>
              <w:rStyle w:val="FootnoteReference"/>
            </w:rPr>
            <w:footnoteReference w:id="678"/>
          </w:r>
          <w:r w:rsidRPr="009E7223">
            <w:t xml:space="preserve"> focused on the need for culturally-specific services for Māori. They considered that Māori and Pasifika populations are experiencing harm from gambling in greater numbers than other populations (particularly by NCGMs). Service Providers considered it essential that all treatment providers and public health services should be able to work in a culturally appropriate way with Māori. Service providers also focused on media and the marketing of services, the effectiveness of peer support programmes, and the importance of a collective approach to harm minimisation, for example within a community or whānau.  </w:t>
          </w:r>
        </w:p>
        <w:p w14:paraId="1FBD0AE6" w14:textId="77777777" w:rsidR="00CC7043" w:rsidRPr="009E7223" w:rsidRDefault="00CC7043" w:rsidP="00CC7043">
          <w:pPr>
            <w:pStyle w:val="NumberedHeading3"/>
          </w:pPr>
          <w:bookmarkStart w:id="144" w:name="_Toc531098222"/>
          <w:r w:rsidRPr="009E7223">
            <w:lastRenderedPageBreak/>
            <w:t>Health sector submitters</w:t>
          </w:r>
          <w:bookmarkEnd w:id="144"/>
        </w:p>
        <w:p w14:paraId="3257CBFC" w14:textId="77777777" w:rsidR="00CC7043" w:rsidRPr="009E7223" w:rsidRDefault="00CC7043" w:rsidP="00CC7043">
          <w:pPr>
            <w:pStyle w:val="BodyText"/>
          </w:pPr>
          <w:r w:rsidRPr="009E7223">
            <w:t>One Health sector submitter</w:t>
          </w:r>
          <w:r w:rsidRPr="009E7223">
            <w:rPr>
              <w:rStyle w:val="FootnoteReference"/>
            </w:rPr>
            <w:footnoteReference w:id="679"/>
          </w:r>
          <w:r w:rsidRPr="009E7223">
            <w:t xml:space="preserve"> focused on the importance of the kaiāwhina workforce, and considered that further investment is needed given the immense opportunity to deliver whānau, family and community-based support at the right time. </w:t>
          </w:r>
        </w:p>
        <w:p w14:paraId="6D393F63" w14:textId="77777777" w:rsidR="00CC7043" w:rsidRPr="009E7223" w:rsidRDefault="00CC7043" w:rsidP="00CC7043">
          <w:pPr>
            <w:pStyle w:val="NumberedHeading3"/>
          </w:pPr>
          <w:bookmarkStart w:id="145" w:name="_Toc531098223"/>
          <w:r w:rsidRPr="009E7223">
            <w:t>Individual</w:t>
          </w:r>
          <w:bookmarkEnd w:id="145"/>
          <w:r w:rsidRPr="009E7223">
            <w:t xml:space="preserve"> </w:t>
          </w:r>
        </w:p>
        <w:p w14:paraId="4841A5B0" w14:textId="7E9645F6" w:rsidR="00CC7043" w:rsidRPr="009E7223" w:rsidRDefault="00CC7043" w:rsidP="00CC7043">
          <w:pPr>
            <w:pStyle w:val="BodyText"/>
          </w:pPr>
          <w:r w:rsidRPr="009E7223">
            <w:t>An individual submitter also focused on peer support specific to Māori clients, particular</w:t>
          </w:r>
          <w:r w:rsidR="000B71EF">
            <w:t>ly</w:t>
          </w:r>
          <w:r w:rsidRPr="009E7223">
            <w:t xml:space="preserve"> whānau helping whānau.</w:t>
          </w:r>
          <w:r w:rsidRPr="009E7223">
            <w:rPr>
              <w:rStyle w:val="FootnoteReference"/>
            </w:rPr>
            <w:footnoteReference w:id="680"/>
          </w:r>
          <w:r w:rsidRPr="009E7223">
            <w:t xml:space="preserve"> </w:t>
          </w:r>
        </w:p>
        <w:p w14:paraId="197E19FF" w14:textId="4A3C843B" w:rsidR="00CC7043" w:rsidRDefault="00CC7043" w:rsidP="00CC7043">
          <w:pPr>
            <w:pStyle w:val="NumberedHeading2"/>
          </w:pPr>
          <w:bookmarkStart w:id="146" w:name="_Toc531098224"/>
          <w:r w:rsidRPr="009E7223">
            <w:t>Culturally specific services</w:t>
          </w:r>
          <w:r w:rsidR="003D7B18">
            <w:t xml:space="preserve"> are required for Pasifika</w:t>
          </w:r>
          <w:bookmarkEnd w:id="146"/>
        </w:p>
        <w:p w14:paraId="0EA9A893" w14:textId="24D2B8BC" w:rsidR="003D7B18" w:rsidRPr="003D7B18" w:rsidRDefault="003D7B18" w:rsidP="003D7B18">
          <w:pPr>
            <w:pStyle w:val="BodyText"/>
          </w:pPr>
          <w:r>
            <w:t>Service Providers, Health sector and an individual submitter all considered that culturally specific services were required for Pasifika, particular</w:t>
          </w:r>
          <w:r w:rsidR="000B71EF">
            <w:t>ly</w:t>
          </w:r>
          <w:r>
            <w:t xml:space="preserve"> language-specific helplines.</w:t>
          </w:r>
        </w:p>
        <w:p w14:paraId="15B802F0" w14:textId="77777777" w:rsidR="00CC7043" w:rsidRPr="009E7223" w:rsidRDefault="00CC7043" w:rsidP="00CC7043">
          <w:pPr>
            <w:pStyle w:val="NumberedHeading3"/>
          </w:pPr>
          <w:bookmarkStart w:id="147" w:name="_Toc531098225"/>
          <w:r w:rsidRPr="009E7223">
            <w:t>Service Provider submitters</w:t>
          </w:r>
          <w:bookmarkEnd w:id="147"/>
        </w:p>
        <w:p w14:paraId="4F55669C" w14:textId="0EE16757" w:rsidR="00CC7043" w:rsidRPr="009E7223" w:rsidRDefault="00CC7043" w:rsidP="00CC7043">
          <w:pPr>
            <w:pStyle w:val="BodyText"/>
          </w:pPr>
          <w:r w:rsidRPr="009E7223">
            <w:t>Three Service Providers</w:t>
          </w:r>
          <w:r w:rsidRPr="009E7223">
            <w:rPr>
              <w:rStyle w:val="FootnoteReference"/>
            </w:rPr>
            <w:footnoteReference w:id="681"/>
          </w:r>
          <w:r w:rsidRPr="009E7223">
            <w:t xml:space="preserve"> focused on the Pasifika community, and considered that one of the main problems was the lack of cultural competency in working with high priority populations. A major concern was the lack of Pa</w:t>
          </w:r>
          <w:r w:rsidR="003D7B18">
            <w:t>sifika</w:t>
          </w:r>
          <w:r w:rsidRPr="009E7223">
            <w:t>-specific helplines, and a pilot programme to address this was suggested.</w:t>
          </w:r>
        </w:p>
        <w:p w14:paraId="1A4E5C12" w14:textId="77777777" w:rsidR="00CC7043" w:rsidRPr="009E7223" w:rsidRDefault="00CC7043" w:rsidP="00CC7043">
          <w:pPr>
            <w:pStyle w:val="NumberedHeading3"/>
          </w:pPr>
          <w:bookmarkStart w:id="148" w:name="_Toc531098226"/>
          <w:r w:rsidRPr="009E7223">
            <w:t>Health sector submitters</w:t>
          </w:r>
          <w:bookmarkEnd w:id="148"/>
        </w:p>
        <w:p w14:paraId="4B2ED982" w14:textId="0A7FF562" w:rsidR="00CC7043" w:rsidRPr="009E7223" w:rsidRDefault="00CC7043" w:rsidP="00CC7043">
          <w:pPr>
            <w:pStyle w:val="BodyText"/>
          </w:pPr>
          <w:r w:rsidRPr="009E7223">
            <w:t>Two Health sector submitters</w:t>
          </w:r>
          <w:r w:rsidRPr="009E7223">
            <w:rPr>
              <w:rStyle w:val="FootnoteReference"/>
            </w:rPr>
            <w:footnoteReference w:id="682"/>
          </w:r>
          <w:r w:rsidRPr="009E7223">
            <w:t xml:space="preserve"> also commented on the need for Pacific-specific services, particular</w:t>
          </w:r>
          <w:r w:rsidR="000B71EF">
            <w:t>ly</w:t>
          </w:r>
          <w:r w:rsidRPr="009E7223">
            <w:t xml:space="preserve"> a helpline.</w:t>
          </w:r>
        </w:p>
        <w:p w14:paraId="5F5B2831" w14:textId="77777777" w:rsidR="00CC7043" w:rsidRPr="009E7223" w:rsidRDefault="00CC7043" w:rsidP="00CC7043">
          <w:pPr>
            <w:pStyle w:val="NumberedHeading3"/>
          </w:pPr>
          <w:bookmarkStart w:id="149" w:name="_Toc531098227"/>
          <w:r w:rsidRPr="009E7223">
            <w:t>Individual</w:t>
          </w:r>
          <w:bookmarkEnd w:id="149"/>
        </w:p>
        <w:p w14:paraId="4721C315" w14:textId="062FA364" w:rsidR="00CC7043" w:rsidRPr="009E7223" w:rsidRDefault="00CC7043" w:rsidP="00CC7043">
          <w:pPr>
            <w:pStyle w:val="BodyText"/>
          </w:pPr>
          <w:r w:rsidRPr="009E7223">
            <w:t>One individual</w:t>
          </w:r>
          <w:r w:rsidRPr="009E7223">
            <w:rPr>
              <w:rStyle w:val="FootnoteReference"/>
            </w:rPr>
            <w:footnoteReference w:id="683"/>
          </w:r>
          <w:r w:rsidRPr="009E7223">
            <w:t xml:space="preserve"> stated that the best way to deal with the issue was to provide materials that are more communicative for the intended audience. For Pasifika people, this could be done </w:t>
          </w:r>
          <w:r w:rsidR="000B71EF" w:rsidRPr="009E7223">
            <w:t>using</w:t>
          </w:r>
          <w:r w:rsidRPr="009E7223">
            <w:t xml:space="preserve"> dramas to deliver specific messages. </w:t>
          </w:r>
        </w:p>
        <w:p w14:paraId="7545C9F4" w14:textId="4269102B" w:rsidR="00CC7043" w:rsidRPr="009E7223" w:rsidRDefault="00CC7043" w:rsidP="00CC7043">
          <w:pPr>
            <w:pStyle w:val="NumberedHeading2"/>
          </w:pPr>
          <w:bookmarkStart w:id="150" w:name="_Toc531098228"/>
          <w:r w:rsidRPr="009E7223">
            <w:t>Culturally specific services</w:t>
          </w:r>
          <w:r w:rsidR="003D7B18">
            <w:t xml:space="preserve"> are required for </w:t>
          </w:r>
          <w:r w:rsidRPr="009E7223">
            <w:t>Asian</w:t>
          </w:r>
          <w:r w:rsidR="003D7B18">
            <w:t xml:space="preserve"> populations</w:t>
          </w:r>
          <w:bookmarkEnd w:id="150"/>
        </w:p>
        <w:p w14:paraId="116180DE" w14:textId="599F0708" w:rsidR="00CC7043" w:rsidRPr="009E7223" w:rsidRDefault="00CC7043" w:rsidP="00CC7043">
          <w:pPr>
            <w:pStyle w:val="NumberedHeading3"/>
          </w:pPr>
          <w:bookmarkStart w:id="151" w:name="_Toc531098229"/>
          <w:r w:rsidRPr="009E7223">
            <w:t>Service Provider submitters</w:t>
          </w:r>
          <w:r w:rsidR="003D7B18">
            <w:t xml:space="preserve"> stressed that gambling is perceived very differently in Asian cultures compared to western or Pacific cultures</w:t>
          </w:r>
          <w:bookmarkEnd w:id="151"/>
        </w:p>
        <w:p w14:paraId="6499756D" w14:textId="4889171E" w:rsidR="00CC7043" w:rsidRPr="009E7223" w:rsidRDefault="00CC7043" w:rsidP="00CC7043">
          <w:pPr>
            <w:pStyle w:val="BodyText"/>
          </w:pPr>
          <w:r w:rsidRPr="009E7223">
            <w:t>Three Service Providers</w:t>
          </w:r>
          <w:r w:rsidRPr="009E7223">
            <w:rPr>
              <w:rStyle w:val="FootnoteReference"/>
            </w:rPr>
            <w:footnoteReference w:id="684"/>
          </w:r>
          <w:r w:rsidRPr="009E7223">
            <w:t xml:space="preserve"> stressed that the Asian population views gambling differently, and cultural competency and workforce development concerning knowledge and sensitivity of how to work with Asian clients is essential. In contrast to Māori and Pasifika populations, the main concern is casino gambling. The need for a culturally-specific, anonymous helpline was emphasised. Service Providers catering specifically to Asian clients</w:t>
          </w:r>
          <w:r w:rsidRPr="009E7223">
            <w:rPr>
              <w:rStyle w:val="FootnoteReference"/>
            </w:rPr>
            <w:footnoteReference w:id="685"/>
          </w:r>
          <w:r w:rsidRPr="009E7223">
            <w:t xml:space="preserve"> </w:t>
          </w:r>
          <w:r>
            <w:t xml:space="preserve">also </w:t>
          </w:r>
          <w:r w:rsidRPr="009E7223">
            <w:t xml:space="preserve">considered international online gambling to be </w:t>
          </w:r>
          <w:r w:rsidR="000B71EF">
            <w:t>an important</w:t>
          </w:r>
          <w:r w:rsidRPr="009E7223">
            <w:t xml:space="preserve"> issue.</w:t>
          </w:r>
        </w:p>
        <w:p w14:paraId="6E3AB9F3" w14:textId="77777777" w:rsidR="00CC7043" w:rsidRPr="009E7223" w:rsidRDefault="00CC7043" w:rsidP="00CC7043">
          <w:pPr>
            <w:pStyle w:val="NumberedHeading3"/>
          </w:pPr>
          <w:bookmarkStart w:id="152" w:name="_Toc531098230"/>
          <w:r w:rsidRPr="009E7223">
            <w:lastRenderedPageBreak/>
            <w:t>Individuals</w:t>
          </w:r>
          <w:bookmarkEnd w:id="152"/>
        </w:p>
        <w:p w14:paraId="5DFC99EF" w14:textId="77777777" w:rsidR="00CC7043" w:rsidRPr="009E7223" w:rsidRDefault="00CC7043" w:rsidP="00CC7043">
          <w:pPr>
            <w:pStyle w:val="BodyText"/>
          </w:pPr>
          <w:r w:rsidRPr="009E7223">
            <w:t>Two individuals</w:t>
          </w:r>
          <w:r w:rsidRPr="009E7223">
            <w:rPr>
              <w:rStyle w:val="FootnoteReference"/>
            </w:rPr>
            <w:footnoteReference w:id="686"/>
          </w:r>
          <w:r w:rsidRPr="009E7223">
            <w:t xml:space="preserve"> considered that web-based services in Asian languages which enable clients to seek correct information and self-help tools whenever needed were particularly important to develop. </w:t>
          </w:r>
        </w:p>
        <w:p w14:paraId="3EAA4D00" w14:textId="13364B2D" w:rsidR="00CC7043" w:rsidRPr="009E7223" w:rsidRDefault="003D7B18" w:rsidP="00CC7043">
          <w:pPr>
            <w:pStyle w:val="NumberedHeading2"/>
          </w:pPr>
          <w:bookmarkStart w:id="153" w:name="_Toc531098231"/>
          <w:r>
            <w:t>Increasing online gambling was a cross-sector concern</w:t>
          </w:r>
          <w:bookmarkEnd w:id="153"/>
        </w:p>
        <w:p w14:paraId="2658D769" w14:textId="77777777" w:rsidR="00CC7043" w:rsidRPr="009E7223" w:rsidRDefault="00CC7043" w:rsidP="00CC7043">
          <w:pPr>
            <w:pStyle w:val="BodyText"/>
          </w:pPr>
          <w:r w:rsidRPr="009E7223">
            <w:t>The rise of online gambling (</w:t>
          </w:r>
          <w:r>
            <w:t xml:space="preserve">including on sites hosted in other jurisdictions </w:t>
          </w:r>
          <w:r w:rsidRPr="009E7223">
            <w:t>and with respect to Lotto’s online offerings) was a repeated theme throughout the submissions, particularly with reference to inclusion in the levy formula. Submitters from all sectors considered that international online gambling providers should be included in the levy formula</w:t>
          </w:r>
          <w:r>
            <w:t xml:space="preserve"> because they are contributing to gambling harm, and this should be reflected in the levy payments</w:t>
          </w:r>
          <w:r w:rsidRPr="009E7223">
            <w:t xml:space="preserve">. </w:t>
          </w:r>
        </w:p>
        <w:p w14:paraId="394CABE4" w14:textId="3A54769C" w:rsidR="00CC7043" w:rsidRPr="009E7223" w:rsidRDefault="00CC7043" w:rsidP="00CC7043">
          <w:pPr>
            <w:pStyle w:val="BodyText"/>
          </w:pPr>
          <w:r w:rsidRPr="009E7223">
            <w:t>Many of the comments involving international online gambling also related to advertising and the impact of online gam</w:t>
          </w:r>
          <w:r>
            <w:t>bl</w:t>
          </w:r>
          <w:r w:rsidRPr="009E7223">
            <w:t>ing on young people, and these themes are discussed separately in the sections below.</w:t>
          </w:r>
        </w:p>
        <w:p w14:paraId="4D6B0E03" w14:textId="0CB4B24B" w:rsidR="00CC7043" w:rsidRPr="009E7223" w:rsidRDefault="00CC7043" w:rsidP="00CC7043">
          <w:pPr>
            <w:pStyle w:val="NumberedHeading3"/>
          </w:pPr>
          <w:bookmarkStart w:id="154" w:name="_Toc531098232"/>
          <w:r w:rsidRPr="009E7223">
            <w:t>Service Provider submitters</w:t>
          </w:r>
          <w:r w:rsidR="006A5C6B">
            <w:t xml:space="preserve"> focused on an increasing treatment need</w:t>
          </w:r>
          <w:bookmarkEnd w:id="154"/>
        </w:p>
        <w:p w14:paraId="1F056E2C" w14:textId="16D0BF6D" w:rsidR="00CC7043" w:rsidRPr="009E7223" w:rsidRDefault="00CC7043" w:rsidP="00CC7043">
          <w:pPr>
            <w:pStyle w:val="BodyText"/>
          </w:pPr>
          <w:r w:rsidRPr="009E7223">
            <w:t>Service Providers catering specifically to Asian clients</w:t>
          </w:r>
          <w:r w:rsidRPr="009E7223">
            <w:rPr>
              <w:rStyle w:val="FootnoteReference"/>
            </w:rPr>
            <w:footnoteReference w:id="687"/>
          </w:r>
          <w:r w:rsidRPr="009E7223">
            <w:t xml:space="preserve"> considered international online gambling to be a</w:t>
          </w:r>
          <w:r w:rsidR="000B71EF">
            <w:t xml:space="preserve">n important </w:t>
          </w:r>
          <w:r w:rsidRPr="009E7223">
            <w:t>issue, because Asian clients often feel isolated, and turn to online gambling as an emotional escape. Low levels of help-seeking behaviour for online gambling related harm was considered to indicate that further innovative initiatives are required,</w:t>
          </w:r>
          <w:r w:rsidRPr="009E7223">
            <w:rPr>
              <w:rStyle w:val="FootnoteReference"/>
            </w:rPr>
            <w:footnoteReference w:id="688"/>
          </w:r>
          <w:r w:rsidRPr="009E7223">
            <w:t xml:space="preserve"> particularly to alert young people to the treatment services available.</w:t>
          </w:r>
          <w:r w:rsidRPr="009E7223">
            <w:rPr>
              <w:rStyle w:val="FootnoteReference"/>
            </w:rPr>
            <w:footnoteReference w:id="689"/>
          </w:r>
          <w:r w:rsidRPr="009E7223">
            <w:t xml:space="preserve"> </w:t>
          </w:r>
        </w:p>
        <w:p w14:paraId="2E6042BC" w14:textId="77777777" w:rsidR="00CC7043" w:rsidRPr="009E7223" w:rsidRDefault="00CC7043" w:rsidP="00CC7043">
          <w:pPr>
            <w:pStyle w:val="BodyText"/>
          </w:pPr>
          <w:r w:rsidRPr="009E7223">
            <w:t>Service Providers also considered that the overall funding appropriation appears to be insufficient to meet the challenges and issues brought about by increased online gambling,</w:t>
          </w:r>
          <w:r w:rsidRPr="009E7223">
            <w:rPr>
              <w:rStyle w:val="FootnoteReference"/>
            </w:rPr>
            <w:footnoteReference w:id="690"/>
          </w:r>
          <w:r w:rsidRPr="009E7223">
            <w:t xml:space="preserve"> and that player expenditure forecasts should take into consideration online gambling, and particularly international online operators.</w:t>
          </w:r>
          <w:r w:rsidRPr="009E7223">
            <w:rPr>
              <w:rStyle w:val="FootnoteReference"/>
            </w:rPr>
            <w:footnoteReference w:id="691"/>
          </w:r>
        </w:p>
        <w:p w14:paraId="3DECFB57" w14:textId="6AFDE8EC" w:rsidR="00CC7043" w:rsidRPr="009E7223" w:rsidRDefault="00CC7043" w:rsidP="00CC7043">
          <w:pPr>
            <w:pStyle w:val="NumberedHeading3"/>
          </w:pPr>
          <w:bookmarkStart w:id="155" w:name="_Toc531098233"/>
          <w:r w:rsidRPr="009E7223">
            <w:t>Local Government submitters</w:t>
          </w:r>
          <w:r w:rsidR="006A5C6B">
            <w:t xml:space="preserve"> noted this an emerging concern</w:t>
          </w:r>
          <w:bookmarkEnd w:id="155"/>
        </w:p>
        <w:p w14:paraId="477318AA" w14:textId="77777777" w:rsidR="00CC7043" w:rsidRPr="009E7223" w:rsidRDefault="00CC7043" w:rsidP="00CC7043">
          <w:pPr>
            <w:pStyle w:val="BodyText"/>
          </w:pPr>
          <w:r w:rsidRPr="009E7223">
            <w:t>Two Local Government submitters</w:t>
          </w:r>
          <w:r w:rsidRPr="009E7223">
            <w:rPr>
              <w:rStyle w:val="FootnoteReference"/>
            </w:rPr>
            <w:footnoteReference w:id="692"/>
          </w:r>
          <w:r w:rsidRPr="009E7223">
            <w:t xml:space="preserve"> noted that although the gambling environment looks much the same as it did three years ago, an emerging concern is the potential rise in international online gambling, and associated gambling-related harm. </w:t>
          </w:r>
        </w:p>
        <w:p w14:paraId="2586065B" w14:textId="70861E61" w:rsidR="00CC7043" w:rsidRPr="009E7223" w:rsidRDefault="00CC7043" w:rsidP="00CC7043">
          <w:pPr>
            <w:pStyle w:val="NumberedHeading3"/>
          </w:pPr>
          <w:bookmarkStart w:id="156" w:name="_Toc531098234"/>
          <w:r w:rsidRPr="009E7223">
            <w:t>NCGM sector submitters</w:t>
          </w:r>
          <w:r w:rsidR="006A5C6B">
            <w:t xml:space="preserve"> were concerned that providers are not contributing to the levy</w:t>
          </w:r>
          <w:bookmarkEnd w:id="156"/>
        </w:p>
        <w:p w14:paraId="21AE874F" w14:textId="77777777" w:rsidR="00CC7043" w:rsidRPr="009E7223" w:rsidRDefault="00CC7043" w:rsidP="00CC7043">
          <w:pPr>
            <w:pStyle w:val="BodyText"/>
          </w:pPr>
          <w:r w:rsidRPr="009E7223">
            <w:t>One NCGM sector submitter</w:t>
          </w:r>
          <w:r w:rsidRPr="009E7223">
            <w:rPr>
              <w:rStyle w:val="FootnoteReference"/>
            </w:rPr>
            <w:footnoteReference w:id="693"/>
          </w:r>
          <w:r w:rsidRPr="009E7223">
            <w:t xml:space="preserve"> stated that it was pleased to see that research into online gambling had been included as a priority, and another stressed the importance of a robust evidence base.</w:t>
          </w:r>
          <w:r w:rsidRPr="009E7223">
            <w:rPr>
              <w:rStyle w:val="FootnoteReference"/>
            </w:rPr>
            <w:footnoteReference w:id="694"/>
          </w:r>
          <w:r w:rsidRPr="009E7223">
            <w:t xml:space="preserve"> There was a concern that gamblers who are excluded from NCGM venues are turning to </w:t>
          </w:r>
          <w:r w:rsidRPr="009E7223">
            <w:lastRenderedPageBreak/>
            <w:t>unsupervised online gambling,</w:t>
          </w:r>
          <w:r w:rsidRPr="009E7223">
            <w:rPr>
              <w:rStyle w:val="FootnoteReference"/>
            </w:rPr>
            <w:footnoteReference w:id="695"/>
          </w:r>
          <w:r w:rsidRPr="009E7223">
            <w:t xml:space="preserve"> and therefore online providers should be monitored, levied and taxed. </w:t>
          </w:r>
        </w:p>
        <w:p w14:paraId="3F89A8A8" w14:textId="77777777" w:rsidR="00CC7043" w:rsidRPr="009E7223" w:rsidRDefault="00CC7043" w:rsidP="00CC7043">
          <w:pPr>
            <w:pStyle w:val="BodyText"/>
          </w:pPr>
          <w:r w:rsidRPr="009E7223">
            <w:t>One submitter</w:t>
          </w:r>
          <w:r w:rsidRPr="009E7223">
            <w:rPr>
              <w:rStyle w:val="FootnoteReference"/>
            </w:rPr>
            <w:footnoteReference w:id="696"/>
          </w:r>
          <w:r w:rsidRPr="009E7223">
            <w:t xml:space="preserve"> considered that the Lotteries Commission and New Zealand Racing Board should pay a larger levy share to fund online gambling research given that they have online gambling products and the NCGM sector does not.</w:t>
          </w:r>
        </w:p>
        <w:p w14:paraId="1F180F66" w14:textId="7C520CBC" w:rsidR="00CC7043" w:rsidRPr="009E7223" w:rsidRDefault="00CC7043" w:rsidP="00CC7043">
          <w:pPr>
            <w:pStyle w:val="NumberedHeading3"/>
          </w:pPr>
          <w:bookmarkStart w:id="157" w:name="_Toc531098235"/>
          <w:r w:rsidRPr="009E7223">
            <w:t>Gambling Industry (other) submitters</w:t>
          </w:r>
          <w:r w:rsidR="006A5C6B">
            <w:t xml:space="preserve"> encouraged more research</w:t>
          </w:r>
          <w:bookmarkEnd w:id="157"/>
        </w:p>
        <w:p w14:paraId="791371C6" w14:textId="77777777" w:rsidR="00CC7043" w:rsidRPr="009E7223" w:rsidRDefault="00CC7043" w:rsidP="00CC7043">
          <w:pPr>
            <w:pStyle w:val="BodyText"/>
          </w:pPr>
          <w:r w:rsidRPr="009E7223">
            <w:t>A Gambling Industry (other) submitter</w:t>
          </w:r>
          <w:r w:rsidRPr="009E7223">
            <w:rPr>
              <w:rStyle w:val="FootnoteReference"/>
            </w:rPr>
            <w:footnoteReference w:id="697"/>
          </w:r>
          <w:r w:rsidRPr="009E7223">
            <w:t xml:space="preserve"> considered that there should be an emphasis on online gambling in research and evaluation.</w:t>
          </w:r>
        </w:p>
        <w:p w14:paraId="7A00C232" w14:textId="695381C7" w:rsidR="00CC7043" w:rsidRPr="009E7223" w:rsidRDefault="00CC7043" w:rsidP="00CC7043">
          <w:pPr>
            <w:pStyle w:val="NumberedHeading3"/>
          </w:pPr>
          <w:bookmarkStart w:id="158" w:name="_Toc531098236"/>
          <w:r w:rsidRPr="009E7223">
            <w:t>Health Sector submitters</w:t>
          </w:r>
          <w:r w:rsidR="006A5C6B">
            <w:t xml:space="preserve"> encouraged more research</w:t>
          </w:r>
          <w:bookmarkEnd w:id="158"/>
        </w:p>
        <w:p w14:paraId="0A26EF61" w14:textId="77777777" w:rsidR="00CC7043" w:rsidRPr="009E7223" w:rsidRDefault="00CC7043" w:rsidP="00CC7043">
          <w:pPr>
            <w:pStyle w:val="BodyText"/>
          </w:pPr>
          <w:r w:rsidRPr="009E7223">
            <w:t>A Health sector submitter</w:t>
          </w:r>
          <w:r w:rsidRPr="009E7223">
            <w:rPr>
              <w:rStyle w:val="FootnoteReference"/>
            </w:rPr>
            <w:footnoteReference w:id="698"/>
          </w:r>
          <w:r w:rsidRPr="009E7223">
            <w:t xml:space="preserve"> stressed the importance of a robust evidence base with respect to online gambling. </w:t>
          </w:r>
        </w:p>
        <w:p w14:paraId="12BA0F6B" w14:textId="360AADCD" w:rsidR="00CC7043" w:rsidRPr="009E7223" w:rsidRDefault="00CC7043" w:rsidP="00CC7043">
          <w:pPr>
            <w:pStyle w:val="NumberedHeading3"/>
          </w:pPr>
          <w:bookmarkStart w:id="159" w:name="_Toc531098237"/>
          <w:r w:rsidRPr="009E7223">
            <w:t>Individuals</w:t>
          </w:r>
          <w:r w:rsidR="006A5C6B">
            <w:t xml:space="preserve"> were concerned about the lack of regulation</w:t>
          </w:r>
          <w:bookmarkEnd w:id="159"/>
        </w:p>
        <w:p w14:paraId="06EE31AC" w14:textId="77777777" w:rsidR="00CC7043" w:rsidRPr="009E7223" w:rsidRDefault="00CC7043" w:rsidP="00CC7043">
          <w:pPr>
            <w:pStyle w:val="BodyText"/>
          </w:pPr>
          <w:r w:rsidRPr="009E7223">
            <w:t>One individual</w:t>
          </w:r>
          <w:r w:rsidRPr="009E7223">
            <w:rPr>
              <w:rStyle w:val="FootnoteReference"/>
            </w:rPr>
            <w:footnoteReference w:id="699"/>
          </w:r>
          <w:r w:rsidRPr="009E7223">
            <w:t xml:space="preserve"> noted that online gambling is not covered under the Act, and expressed a concern that online gambling needs to be appropriately regulated. Additionally, the player expenditure forecasts should take into consideration online gambling, and particularly international online operators.</w:t>
          </w:r>
        </w:p>
        <w:p w14:paraId="7AF456FE" w14:textId="77777777" w:rsidR="00CC7043" w:rsidRPr="009E7223" w:rsidRDefault="00CC7043" w:rsidP="00CC7043">
          <w:pPr>
            <w:pStyle w:val="NumberedHeading2"/>
          </w:pPr>
          <w:bookmarkStart w:id="160" w:name="_Toc531098238"/>
          <w:r w:rsidRPr="009E7223">
            <w:t>Young people and gambling</w:t>
          </w:r>
          <w:bookmarkEnd w:id="160"/>
        </w:p>
        <w:p w14:paraId="0ABA415E" w14:textId="77777777" w:rsidR="00CC7043" w:rsidRPr="009E7223" w:rsidRDefault="00CC7043" w:rsidP="00CC7043">
          <w:pPr>
            <w:pStyle w:val="BodyText"/>
          </w:pPr>
          <w:r w:rsidRPr="009E7223">
            <w:t>Addressing gambling harm for young people, particularly in relation to international online gambling, was a concern for Service Providers.</w:t>
          </w:r>
        </w:p>
        <w:p w14:paraId="266A66A0" w14:textId="7FA19592" w:rsidR="00CC7043" w:rsidRPr="009E7223" w:rsidRDefault="00CC7043" w:rsidP="00CC7043">
          <w:pPr>
            <w:pStyle w:val="NumberedHeading3"/>
          </w:pPr>
          <w:bookmarkStart w:id="161" w:name="_Toc531098239"/>
          <w:r w:rsidRPr="009E7223">
            <w:t>Service Provider submitters</w:t>
          </w:r>
          <w:r w:rsidR="006A5C6B">
            <w:t xml:space="preserve"> want a greater focus on youth in the Strategy</w:t>
          </w:r>
          <w:bookmarkEnd w:id="161"/>
        </w:p>
        <w:p w14:paraId="5AEFD9CC" w14:textId="77777777" w:rsidR="00CC7043" w:rsidRPr="009E7223" w:rsidRDefault="00CC7043" w:rsidP="00CC7043">
          <w:pPr>
            <w:pStyle w:val="BodyText"/>
          </w:pPr>
          <w:r w:rsidRPr="009E7223">
            <w:t>While youth and gam</w:t>
          </w:r>
          <w:r>
            <w:t>bl</w:t>
          </w:r>
          <w:r w:rsidRPr="009E7223">
            <w:t>ing is noted by the Ministry as a future priority research project, there is nothing included for intervention teams who are currently working with youth under 15 years of age.</w:t>
          </w:r>
          <w:r w:rsidRPr="009E7223">
            <w:rPr>
              <w:rStyle w:val="FootnoteReference"/>
            </w:rPr>
            <w:footnoteReference w:id="700"/>
          </w:r>
          <w:r w:rsidRPr="009E7223">
            <w:t xml:space="preserve"> Youth should be specifically highlighted in the Strategic Framework, with additional actions to support them as a vulnerable group, including youth-focused interventions.</w:t>
          </w:r>
          <w:r w:rsidRPr="009E7223">
            <w:rPr>
              <w:rStyle w:val="FootnoteReference"/>
            </w:rPr>
            <w:footnoteReference w:id="701"/>
          </w:r>
          <w:r w:rsidRPr="009E7223">
            <w:t xml:space="preserve"> Harm minimisation advertising should be targeted at youth, because this is the group using online gambling the most.</w:t>
          </w:r>
          <w:r w:rsidRPr="009E7223">
            <w:rPr>
              <w:rStyle w:val="FootnoteReference"/>
            </w:rPr>
            <w:footnoteReference w:id="702"/>
          </w:r>
          <w:r w:rsidRPr="009E7223">
            <w:t xml:space="preserve"> Gambling advertising should be restricted to times and places that prevent exposure to children.</w:t>
          </w:r>
          <w:r w:rsidRPr="009E7223">
            <w:rPr>
              <w:rStyle w:val="FootnoteReference"/>
            </w:rPr>
            <w:footnoteReference w:id="703"/>
          </w:r>
        </w:p>
        <w:p w14:paraId="3E834080" w14:textId="7AC2D534" w:rsidR="00CC7043" w:rsidRPr="009E7223" w:rsidRDefault="00CC7043" w:rsidP="00CC7043">
          <w:pPr>
            <w:pStyle w:val="NumberedHeading2"/>
          </w:pPr>
          <w:bookmarkStart w:id="162" w:name="_Toc531098240"/>
          <w:r w:rsidRPr="009E7223">
            <w:lastRenderedPageBreak/>
            <w:t>Advertising</w:t>
          </w:r>
          <w:r w:rsidR="00317899">
            <w:t xml:space="preserve"> </w:t>
          </w:r>
          <w:r w:rsidR="00E26217">
            <w:t xml:space="preserve">of </w:t>
          </w:r>
          <w:r w:rsidR="00317899">
            <w:t xml:space="preserve">gambling services and </w:t>
          </w:r>
          <w:r w:rsidR="00E26217">
            <w:t>of support services: each need attention</w:t>
          </w:r>
          <w:bookmarkEnd w:id="162"/>
        </w:p>
        <w:p w14:paraId="4C4E3CBA" w14:textId="3804C6C2" w:rsidR="00CC7043" w:rsidRPr="009E7223" w:rsidRDefault="00CC7043" w:rsidP="00CC7043">
          <w:pPr>
            <w:pStyle w:val="BodyText"/>
          </w:pPr>
          <w:r w:rsidRPr="009E7223">
            <w:t>Another theme was advertising</w:t>
          </w:r>
          <w:r w:rsidR="006A5C6B">
            <w:t>. There were two strands to this theme: adv</w:t>
          </w:r>
          <w:r w:rsidRPr="009E7223">
            <w:t>ertising of gambling products</w:t>
          </w:r>
          <w:r w:rsidR="006A5C6B">
            <w:t>;</w:t>
          </w:r>
          <w:r w:rsidRPr="009E7223">
            <w:t xml:space="preserve"> and advertising of support services.</w:t>
          </w:r>
        </w:p>
        <w:p w14:paraId="707C7752" w14:textId="377BDC5F" w:rsidR="00CC7043" w:rsidRPr="009E7223" w:rsidRDefault="00CC7043" w:rsidP="00CC7043">
          <w:pPr>
            <w:pStyle w:val="NumberedHeading3"/>
          </w:pPr>
          <w:bookmarkStart w:id="163" w:name="_Toc531098241"/>
          <w:r w:rsidRPr="009E7223">
            <w:t>Service Provider submitters</w:t>
          </w:r>
          <w:r w:rsidR="006A5C6B">
            <w:t xml:space="preserve"> want to restrict the promotion of gambling</w:t>
          </w:r>
          <w:bookmarkEnd w:id="163"/>
        </w:p>
        <w:p w14:paraId="71FA7720" w14:textId="25C1F577" w:rsidR="00CC7043" w:rsidRPr="009E7223" w:rsidRDefault="00CC7043" w:rsidP="00CC7043">
          <w:pPr>
            <w:pStyle w:val="BodyText"/>
          </w:pPr>
          <w:r w:rsidRPr="009E7223">
            <w:t>Service Providers considered that there should be action to increase restrictions on advertising and promotion of gambling.</w:t>
          </w:r>
          <w:r w:rsidRPr="009E7223">
            <w:rPr>
              <w:rStyle w:val="FootnoteReference"/>
            </w:rPr>
            <w:footnoteReference w:id="704"/>
          </w:r>
          <w:r w:rsidRPr="009E7223">
            <w:t xml:space="preserve"> In particular, Lotto NZ should not be permitted to advertise during primetime and when children are likely to be exposed to promotions, and the Racing Board should not be allowed to promote sports odds in mainstream media.</w:t>
          </w:r>
          <w:r w:rsidRPr="009E7223">
            <w:rPr>
              <w:rStyle w:val="FootnoteReference"/>
            </w:rPr>
            <w:footnoteReference w:id="705"/>
          </w:r>
          <w:r w:rsidRPr="009E7223">
            <w:t xml:space="preserve"> Advertising which targets vulnerable groups must cease, and advertising in general should be restricted to times and places that prevent exposure to children.</w:t>
          </w:r>
        </w:p>
        <w:p w14:paraId="30B90E06" w14:textId="77777777" w:rsidR="00CC7043" w:rsidRPr="009E7223" w:rsidRDefault="00CC7043" w:rsidP="00CC7043">
          <w:pPr>
            <w:pStyle w:val="BodyText"/>
          </w:pPr>
          <w:r w:rsidRPr="009E7223">
            <w:t>Harm minimisation advertising should be targeted at youth, particularly for online gambling, and the advertising should be monitored for effectiveness.</w:t>
          </w:r>
          <w:r w:rsidRPr="009E7223">
            <w:rPr>
              <w:rStyle w:val="FootnoteReference"/>
            </w:rPr>
            <w:footnoteReference w:id="706"/>
          </w:r>
          <w:r w:rsidRPr="009E7223">
            <w:t xml:space="preserve"> Gambling awareness advertisements should be placed alongside gambling promotion advertising</w:t>
          </w:r>
          <w:r w:rsidRPr="009E7223">
            <w:rPr>
              <w:rStyle w:val="FootnoteReference"/>
            </w:rPr>
            <w:footnoteReference w:id="707"/>
          </w:r>
          <w:r w:rsidRPr="009E7223">
            <w:t xml:space="preserve"> and through mass media.</w:t>
          </w:r>
          <w:r w:rsidRPr="009E7223">
            <w:rPr>
              <w:rStyle w:val="FootnoteReference"/>
            </w:rPr>
            <w:footnoteReference w:id="708"/>
          </w:r>
          <w:r w:rsidRPr="009E7223">
            <w:t xml:space="preserve"> </w:t>
          </w:r>
        </w:p>
        <w:p w14:paraId="465BB859" w14:textId="77777777" w:rsidR="00CC7043" w:rsidRPr="009E7223" w:rsidRDefault="00CC7043" w:rsidP="00CC7043">
          <w:pPr>
            <w:pStyle w:val="BodyText"/>
          </w:pPr>
          <w:r w:rsidRPr="009E7223">
            <w:t>A Service Provider considered that a better understanding is required of how gambling advertising exposure impacts different population groups, particularly youth.</w:t>
          </w:r>
          <w:r w:rsidRPr="009E7223">
            <w:rPr>
              <w:rStyle w:val="FootnoteReference"/>
            </w:rPr>
            <w:footnoteReference w:id="709"/>
          </w:r>
        </w:p>
        <w:p w14:paraId="47BC02B3" w14:textId="0D91982C" w:rsidR="00CC7043" w:rsidRPr="009E7223" w:rsidRDefault="00CC7043" w:rsidP="00CC7043">
          <w:pPr>
            <w:pStyle w:val="NumberedHeading3"/>
          </w:pPr>
          <w:bookmarkStart w:id="164" w:name="_Toc531098242"/>
          <w:r w:rsidRPr="009E7223">
            <w:t>NCGM sector submitters</w:t>
          </w:r>
          <w:r w:rsidR="006A5C6B">
            <w:t xml:space="preserve"> noted the relationship between advertising and problem gambling</w:t>
          </w:r>
          <w:bookmarkEnd w:id="164"/>
        </w:p>
        <w:p w14:paraId="12C07B1A" w14:textId="77777777" w:rsidR="00CC7043" w:rsidRPr="009E7223" w:rsidRDefault="00CC7043" w:rsidP="00CC7043">
          <w:pPr>
            <w:pStyle w:val="BodyText"/>
          </w:pPr>
          <w:r w:rsidRPr="009E7223">
            <w:t>An NCGM sector submitter acknowledged the relationship between advertising of gambling services and problem gambling, noting the rise in Lotto spending: “</w:t>
          </w:r>
          <w:r w:rsidRPr="006B5F5E">
            <w:rPr>
              <w:i/>
            </w:rPr>
            <w:t>it seems that advertising is exacerbating the problem</w:t>
          </w:r>
          <w:r w:rsidRPr="009E7223">
            <w:t>”.</w:t>
          </w:r>
          <w:r w:rsidRPr="009E7223">
            <w:rPr>
              <w:rStyle w:val="FootnoteReference"/>
            </w:rPr>
            <w:footnoteReference w:id="710"/>
          </w:r>
        </w:p>
        <w:p w14:paraId="7D3F4166" w14:textId="019A35EF" w:rsidR="00CC7043" w:rsidRPr="009E7223" w:rsidRDefault="00CC7043" w:rsidP="00CC7043">
          <w:pPr>
            <w:pStyle w:val="NumberedHeading3"/>
          </w:pPr>
          <w:bookmarkStart w:id="165" w:name="_Toc531098243"/>
          <w:r w:rsidRPr="009E7223">
            <w:t>Local Government submitters</w:t>
          </w:r>
          <w:r w:rsidR="006A5C6B">
            <w:t xml:space="preserve"> sought more information</w:t>
          </w:r>
          <w:bookmarkEnd w:id="165"/>
        </w:p>
        <w:p w14:paraId="7EBCE5A7" w14:textId="77777777" w:rsidR="00CC7043" w:rsidRPr="009E7223" w:rsidRDefault="00CC7043" w:rsidP="00CC7043">
          <w:pPr>
            <w:pStyle w:val="BodyText"/>
          </w:pPr>
          <w:r w:rsidRPr="009E7223">
            <w:t>A Local Government submitter expressed its interest in developing a better understanding of the impact of gambling advertising exposure, especially the propensity to gamble. It was considered that such an understanding would usually inform strategies to reduce gambling harm.</w:t>
          </w:r>
          <w:r w:rsidRPr="009E7223">
            <w:rPr>
              <w:rStyle w:val="FootnoteReference"/>
            </w:rPr>
            <w:footnoteReference w:id="711"/>
          </w:r>
          <w:r w:rsidRPr="009E7223">
            <w:t xml:space="preserve"> </w:t>
          </w:r>
        </w:p>
        <w:p w14:paraId="2FC344C2" w14:textId="5E86A9BF" w:rsidR="00CC7043" w:rsidRPr="009E7223" w:rsidRDefault="00CC7043" w:rsidP="00CC7043">
          <w:pPr>
            <w:pStyle w:val="NumberedHeading3"/>
          </w:pPr>
          <w:bookmarkStart w:id="166" w:name="_Toc531098244"/>
          <w:r w:rsidRPr="009E7223">
            <w:t>Health sector submitters</w:t>
          </w:r>
          <w:r w:rsidR="006A5C6B">
            <w:t xml:space="preserve"> sought more information</w:t>
          </w:r>
          <w:bookmarkEnd w:id="166"/>
        </w:p>
        <w:p w14:paraId="7131A183" w14:textId="77777777" w:rsidR="00CC7043" w:rsidRPr="009E7223" w:rsidRDefault="00CC7043" w:rsidP="00CC7043">
          <w:pPr>
            <w:pStyle w:val="BodyText"/>
          </w:pPr>
          <w:r w:rsidRPr="009E7223">
            <w:t>A Health sector submitter identified the need to develop a better understanding of how gambling industry advertising impacts population groups, increasing their propensity to gamble.</w:t>
          </w:r>
          <w:r w:rsidRPr="009E7223">
            <w:rPr>
              <w:rStyle w:val="FootnoteReference"/>
            </w:rPr>
            <w:footnoteReference w:id="712"/>
          </w:r>
        </w:p>
        <w:p w14:paraId="180E1308" w14:textId="0CFC349C" w:rsidR="00CC7043" w:rsidRPr="009E7223" w:rsidRDefault="00CC7043" w:rsidP="00CC7043">
          <w:pPr>
            <w:pStyle w:val="NumberedHeading3"/>
          </w:pPr>
          <w:bookmarkStart w:id="167" w:name="_Toc531098245"/>
          <w:r w:rsidRPr="009E7223">
            <w:lastRenderedPageBreak/>
            <w:t>Individual submitters</w:t>
          </w:r>
          <w:r w:rsidR="006A5C6B">
            <w:t xml:space="preserve"> made practical suggestions to reach people in need of help</w:t>
          </w:r>
          <w:bookmarkEnd w:id="167"/>
        </w:p>
        <w:p w14:paraId="6EFCD7DF" w14:textId="77777777" w:rsidR="00CC7043" w:rsidRPr="009E7223" w:rsidRDefault="00CC7043" w:rsidP="00CC7043">
          <w:pPr>
            <w:pStyle w:val="BodyText"/>
          </w:pPr>
          <w:r w:rsidRPr="009E7223">
            <w:t>Individual submitters suggested that advertising of treatment services could be inserted during pauses in place on machines,</w:t>
          </w:r>
          <w:r w:rsidRPr="009E7223">
            <w:rPr>
              <w:rStyle w:val="FootnoteReference"/>
            </w:rPr>
            <w:footnoteReference w:id="713"/>
          </w:r>
          <w:r w:rsidRPr="009E7223">
            <w:t xml:space="preserve"> and that treatment services could advertise through Chinese media platforms and in places where Asian people often frequent, such as Asian supermarkets.</w:t>
          </w:r>
          <w:r w:rsidRPr="009E7223">
            <w:rPr>
              <w:rStyle w:val="FootnoteReference"/>
            </w:rPr>
            <w:footnoteReference w:id="714"/>
          </w:r>
        </w:p>
        <w:p w14:paraId="74F2682A" w14:textId="0F143BAD" w:rsidR="00CC7043" w:rsidRPr="009E7223" w:rsidRDefault="00CC7043" w:rsidP="00CC7043">
          <w:pPr>
            <w:pStyle w:val="NumberedHeading2"/>
          </w:pPr>
          <w:bookmarkStart w:id="168" w:name="_Toc531098246"/>
          <w:r w:rsidRPr="009E7223">
            <w:t xml:space="preserve">Peer support </w:t>
          </w:r>
          <w:r w:rsidR="006A5C6B">
            <w:t>was backed, but there were reservations about</w:t>
          </w:r>
          <w:r w:rsidRPr="009E7223">
            <w:t xml:space="preserve"> residential services</w:t>
          </w:r>
          <w:bookmarkEnd w:id="168"/>
        </w:p>
        <w:p w14:paraId="129311AA" w14:textId="7EF88619" w:rsidR="00CC7043" w:rsidRPr="009E7223" w:rsidRDefault="00CC7043" w:rsidP="00CC7043">
          <w:pPr>
            <w:pStyle w:val="BodyText"/>
          </w:pPr>
          <w:r w:rsidRPr="009E7223">
            <w:t xml:space="preserve">Submitters from across the sectors expressed approval for the peer support </w:t>
          </w:r>
          <w:r w:rsidR="00345350">
            <w:t xml:space="preserve">proposal, but the </w:t>
          </w:r>
          <w:r w:rsidRPr="009E7223">
            <w:t xml:space="preserve">residential facility </w:t>
          </w:r>
          <w:r w:rsidR="00345350">
            <w:t>proposal was questioned</w:t>
          </w:r>
          <w:r>
            <w:t>.</w:t>
          </w:r>
        </w:p>
        <w:p w14:paraId="0DB70DB7" w14:textId="7794B218" w:rsidR="00345350" w:rsidRPr="009E7223" w:rsidRDefault="00345350" w:rsidP="00345350">
          <w:pPr>
            <w:pStyle w:val="NumberedHeading3"/>
          </w:pPr>
          <w:bookmarkStart w:id="169" w:name="_Toc531098247"/>
          <w:r w:rsidRPr="009E7223">
            <w:t>Service Provider submitters</w:t>
          </w:r>
          <w:r>
            <w:t xml:space="preserve"> were supportive of both proposals</w:t>
          </w:r>
          <w:bookmarkEnd w:id="169"/>
        </w:p>
        <w:p w14:paraId="4295E95E" w14:textId="18C41B44" w:rsidR="00345350" w:rsidRPr="009E7223" w:rsidRDefault="00345350" w:rsidP="00345350">
          <w:pPr>
            <w:pStyle w:val="BodyText"/>
          </w:pPr>
          <w:r>
            <w:t xml:space="preserve">Four </w:t>
          </w:r>
          <w:r w:rsidRPr="009E7223">
            <w:t>Service Provider submitters expressed support for peer support programmes,</w:t>
          </w:r>
          <w:r w:rsidRPr="009E7223">
            <w:rPr>
              <w:rStyle w:val="FootnoteReference"/>
            </w:rPr>
            <w:footnoteReference w:id="715"/>
          </w:r>
          <w:r w:rsidRPr="009E7223">
            <w:t xml:space="preserve"> particular</w:t>
          </w:r>
          <w:r w:rsidR="000B71EF">
            <w:t>ly</w:t>
          </w:r>
          <w:r w:rsidRPr="009E7223">
            <w:t xml:space="preserve"> for vulnerable groups, such as Asian populations.</w:t>
          </w:r>
          <w:r w:rsidRPr="009E7223">
            <w:rPr>
              <w:rStyle w:val="FootnoteReference"/>
            </w:rPr>
            <w:footnoteReference w:id="716"/>
          </w:r>
          <w:r w:rsidRPr="009E7223">
            <w:t xml:space="preserve"> It was stated that peer support should be included in intervention funding.</w:t>
          </w:r>
          <w:r w:rsidRPr="009E7223">
            <w:rPr>
              <w:rStyle w:val="FootnoteReference"/>
            </w:rPr>
            <w:footnoteReference w:id="717"/>
          </w:r>
        </w:p>
        <w:p w14:paraId="0C26845B" w14:textId="77777777" w:rsidR="00345350" w:rsidRPr="009E7223" w:rsidRDefault="00345350" w:rsidP="00345350">
          <w:pPr>
            <w:pStyle w:val="BodyText"/>
          </w:pPr>
          <w:r w:rsidRPr="009E7223">
            <w:t>Service Providers also expressed support for making available residential care services for the most vulnerable clients.</w:t>
          </w:r>
          <w:r w:rsidRPr="009E7223">
            <w:rPr>
              <w:rStyle w:val="FootnoteReference"/>
            </w:rPr>
            <w:footnoteReference w:id="718"/>
          </w:r>
        </w:p>
        <w:p w14:paraId="2F196AB8" w14:textId="33819661" w:rsidR="00CC7043" w:rsidRPr="009E7223" w:rsidRDefault="00CC7043" w:rsidP="00CC7043">
          <w:pPr>
            <w:pStyle w:val="NumberedHeading3"/>
          </w:pPr>
          <w:bookmarkStart w:id="170" w:name="_Toc531098248"/>
          <w:r w:rsidRPr="009E7223">
            <w:t>NCGM sector submitters</w:t>
          </w:r>
          <w:r w:rsidR="00345350">
            <w:t xml:space="preserve"> were more supportive of peer support than residential services</w:t>
          </w:r>
          <w:bookmarkEnd w:id="170"/>
        </w:p>
        <w:p w14:paraId="7D1FE503" w14:textId="77777777" w:rsidR="00CC7043" w:rsidRPr="009E7223" w:rsidRDefault="00CC7043" w:rsidP="00CC7043">
          <w:pPr>
            <w:pStyle w:val="BodyText"/>
          </w:pPr>
          <w:r w:rsidRPr="009E7223">
            <w:t>Two NCGM sector submitters considered that peer support elements are important,</w:t>
          </w:r>
          <w:r w:rsidRPr="009E7223">
            <w:rPr>
              <w:rStyle w:val="FootnoteReference"/>
            </w:rPr>
            <w:footnoteReference w:id="719"/>
          </w:r>
          <w:r w:rsidRPr="009E7223">
            <w:t xml:space="preserve"> and that comparable programmes work well in the alcohol and drug context, and similar positive results could be achieved for gambling. They suggested that it be provided on a voluntary, or minimal cost basis to keep costs low.</w:t>
          </w:r>
          <w:r w:rsidRPr="009E7223">
            <w:rPr>
              <w:rStyle w:val="FootnoteReference"/>
            </w:rPr>
            <w:footnoteReference w:id="720"/>
          </w:r>
        </w:p>
        <w:p w14:paraId="4BA1B1EE" w14:textId="4D3C431E" w:rsidR="00CC7043" w:rsidRPr="009E7223" w:rsidRDefault="00CC7043" w:rsidP="00CC7043">
          <w:pPr>
            <w:pStyle w:val="BodyText"/>
          </w:pPr>
          <w:r w:rsidRPr="009E7223">
            <w:t>Two NCGM sector submitters were concerned that the proposed residential facility has not been included in the budget.</w:t>
          </w:r>
          <w:r w:rsidRPr="009E7223">
            <w:rPr>
              <w:rStyle w:val="FootnoteReference"/>
            </w:rPr>
            <w:footnoteReference w:id="721"/>
          </w:r>
          <w:r w:rsidRPr="009E7223">
            <w:t xml:space="preserve"> </w:t>
          </w:r>
          <w:r w:rsidR="000B71EF">
            <w:t>Five</w:t>
          </w:r>
          <w:r w:rsidRPr="009E7223">
            <w:t xml:space="preserve"> NCGM sector submitters did not support the need for a residential facility, and expressed concern about the cost and potential returns.</w:t>
          </w:r>
          <w:r w:rsidRPr="009E7223">
            <w:rPr>
              <w:rStyle w:val="FootnoteReference"/>
            </w:rPr>
            <w:footnoteReference w:id="722"/>
          </w:r>
        </w:p>
        <w:p w14:paraId="1533CB75" w14:textId="1A9D5647" w:rsidR="00CC7043" w:rsidRPr="009E7223" w:rsidRDefault="00CC7043" w:rsidP="00CC7043">
          <w:pPr>
            <w:pStyle w:val="NumberedHeading3"/>
          </w:pPr>
          <w:bookmarkStart w:id="171" w:name="_Toc531098249"/>
          <w:r w:rsidRPr="009E7223">
            <w:t>Individuals</w:t>
          </w:r>
          <w:r w:rsidR="00345350">
            <w:t xml:space="preserve"> were generally supportive of peer support</w:t>
          </w:r>
          <w:bookmarkEnd w:id="171"/>
        </w:p>
        <w:p w14:paraId="7F1112BA" w14:textId="77777777" w:rsidR="00CC7043" w:rsidRPr="009E7223" w:rsidRDefault="00CC7043" w:rsidP="00CC7043">
          <w:pPr>
            <w:pStyle w:val="BodyText"/>
          </w:pPr>
          <w:r w:rsidRPr="009E7223">
            <w:t>Individuals</w:t>
          </w:r>
          <w:r w:rsidRPr="009E7223">
            <w:rPr>
              <w:rStyle w:val="FootnoteReference"/>
            </w:rPr>
            <w:footnoteReference w:id="723"/>
          </w:r>
          <w:r w:rsidRPr="009E7223">
            <w:t xml:space="preserve"> considered that support elements are important, because the most effective harm minimisation programmes involve support by people who have experienced similar issues, for example whānau helping whānau. However, there are challenges such as limited workforce, privacy and additional training requirements.</w:t>
          </w:r>
          <w:r w:rsidRPr="009E7223">
            <w:rPr>
              <w:rStyle w:val="FootnoteReference"/>
            </w:rPr>
            <w:footnoteReference w:id="724"/>
          </w:r>
          <w:r w:rsidRPr="009E7223">
            <w:t xml:space="preserve"> The peer support role could potentially be merged with the consumer advisor role.</w:t>
          </w:r>
          <w:r w:rsidRPr="009E7223">
            <w:rPr>
              <w:rStyle w:val="FootnoteReference"/>
            </w:rPr>
            <w:footnoteReference w:id="725"/>
          </w:r>
        </w:p>
        <w:p w14:paraId="3A7D4C7B" w14:textId="54685957" w:rsidR="00CC7043" w:rsidRPr="009E7223" w:rsidRDefault="00CC7043" w:rsidP="00CC7043">
          <w:pPr>
            <w:pStyle w:val="NumberedHeading3"/>
          </w:pPr>
          <w:bookmarkStart w:id="172" w:name="_Toc531098250"/>
          <w:r w:rsidRPr="009E7223">
            <w:lastRenderedPageBreak/>
            <w:t>Health sector submitters</w:t>
          </w:r>
          <w:r w:rsidR="00345350">
            <w:t xml:space="preserve"> were generally supportive</w:t>
          </w:r>
          <w:bookmarkEnd w:id="172"/>
        </w:p>
        <w:p w14:paraId="73EBCCEB" w14:textId="77777777" w:rsidR="00CC7043" w:rsidRPr="009E7223" w:rsidRDefault="00CC7043" w:rsidP="00CC7043">
          <w:pPr>
            <w:pStyle w:val="BodyText"/>
          </w:pPr>
          <w:r w:rsidRPr="009E7223">
            <w:t>Health sector submitters expressed support for peer support programmes</w:t>
          </w:r>
          <w:r w:rsidRPr="009E7223">
            <w:rPr>
              <w:rStyle w:val="FootnoteReference"/>
            </w:rPr>
            <w:footnoteReference w:id="726"/>
          </w:r>
          <w:r w:rsidRPr="009E7223">
            <w:t xml:space="preserve"> and the proposed residential facility.</w:t>
          </w:r>
          <w:r w:rsidRPr="009E7223">
            <w:rPr>
              <w:rStyle w:val="FootnoteReference"/>
            </w:rPr>
            <w:footnoteReference w:id="727"/>
          </w:r>
        </w:p>
        <w:p w14:paraId="38214317" w14:textId="270D633B" w:rsidR="00CC7043" w:rsidRPr="009E7223" w:rsidRDefault="00CC7043" w:rsidP="00CC7043">
          <w:pPr>
            <w:pStyle w:val="NumberedHeading3"/>
          </w:pPr>
          <w:bookmarkStart w:id="173" w:name="_Toc531098251"/>
          <w:r w:rsidRPr="009E7223">
            <w:t>Gambling Industry (other) submitters</w:t>
          </w:r>
          <w:r w:rsidR="00345350">
            <w:t xml:space="preserve"> were generally supportive</w:t>
          </w:r>
          <w:bookmarkEnd w:id="173"/>
        </w:p>
        <w:p w14:paraId="6F179C99" w14:textId="77777777" w:rsidR="00CC7043" w:rsidRPr="009E7223" w:rsidRDefault="00CC7043" w:rsidP="00CC7043">
          <w:pPr>
            <w:pStyle w:val="BodyText"/>
          </w:pPr>
          <w:r w:rsidRPr="009E7223">
            <w:t>Two Gambling Industry (other) submitters</w:t>
          </w:r>
          <w:r w:rsidRPr="009E7223">
            <w:rPr>
              <w:rStyle w:val="FootnoteReference"/>
            </w:rPr>
            <w:footnoteReference w:id="728"/>
          </w:r>
          <w:r w:rsidRPr="009E7223">
            <w:t xml:space="preserve"> expressed support for new intervention services such as residential care for gambling harm.</w:t>
          </w:r>
        </w:p>
        <w:p w14:paraId="77DF9237" w14:textId="2CEBF35A" w:rsidR="00CC7043" w:rsidRPr="009E7223" w:rsidRDefault="00CC7043" w:rsidP="00CC7043">
          <w:pPr>
            <w:pStyle w:val="NumberedHeading2"/>
          </w:pPr>
          <w:bookmarkStart w:id="174" w:name="_Toc531098252"/>
          <w:r w:rsidRPr="009E7223">
            <w:t>Venue relocation</w:t>
          </w:r>
          <w:r w:rsidR="00345350">
            <w:t xml:space="preserve"> and incentivisation</w:t>
          </w:r>
          <w:bookmarkEnd w:id="174"/>
        </w:p>
        <w:p w14:paraId="56F932E7" w14:textId="77777777" w:rsidR="00CC7043" w:rsidRPr="009E7223" w:rsidRDefault="00CC7043" w:rsidP="00CC7043">
          <w:pPr>
            <w:pStyle w:val="BodyText"/>
          </w:pPr>
          <w:r w:rsidRPr="009E7223">
            <w:t>Submitters from all sectors commented on the proposal to incentivise NCGM operators to relocate from low socioeconomic areas to high socioeconomic areas, and discussed the barriers that exist to moving NCGMs from lower socioeconomic areas.</w:t>
          </w:r>
        </w:p>
        <w:p w14:paraId="3122A98D" w14:textId="586B388A" w:rsidR="00CC7043" w:rsidRPr="009E7223" w:rsidRDefault="00CC7043" w:rsidP="00CC7043">
          <w:pPr>
            <w:pStyle w:val="NumberedHeading3"/>
          </w:pPr>
          <w:bookmarkStart w:id="175" w:name="_Toc531098253"/>
          <w:r w:rsidRPr="009E7223">
            <w:t>Service Provider submitters</w:t>
          </w:r>
          <w:r w:rsidR="00345350">
            <w:t xml:space="preserve"> did not support incentivisation</w:t>
          </w:r>
          <w:bookmarkEnd w:id="175"/>
        </w:p>
        <w:p w14:paraId="19CF53B3" w14:textId="77777777" w:rsidR="00CC7043" w:rsidRPr="009E7223" w:rsidRDefault="00CC7043" w:rsidP="00CC7043">
          <w:pPr>
            <w:pStyle w:val="BodyText"/>
          </w:pPr>
          <w:r w:rsidRPr="009E7223">
            <w:t xml:space="preserve">Service Provider submitters did not support the idea of incentivising NCGM venues to relocate from low socioeconomic to high socioeconomic areas. </w:t>
          </w:r>
          <w:r>
            <w:t xml:space="preserve">Three </w:t>
          </w:r>
          <w:r w:rsidRPr="009E7223">
            <w:t>Service Providers commented that the approach does not reflect the reality of gambling behaviours</w:t>
          </w:r>
          <w:r>
            <w:t xml:space="preserve"> (that is, that people will travel to the nearest NCGM venue, and possibly even stay longer to reflect the travel time)</w:t>
          </w:r>
          <w:r w:rsidRPr="009E7223">
            <w:t>,</w:t>
          </w:r>
          <w:r w:rsidRPr="009E7223">
            <w:rPr>
              <w:rStyle w:val="FootnoteReference"/>
            </w:rPr>
            <w:footnoteReference w:id="729"/>
          </w:r>
          <w:r w:rsidRPr="009E7223">
            <w:t xml:space="preserve"> is contrary to the public health aims of the Gambling Act</w:t>
          </w:r>
          <w:r>
            <w:t xml:space="preserve"> 2003</w:t>
          </w:r>
          <w:r w:rsidRPr="009E7223">
            <w:rPr>
              <w:rStyle w:val="FootnoteReference"/>
            </w:rPr>
            <w:footnoteReference w:id="730"/>
          </w:r>
          <w:r w:rsidRPr="009E7223">
            <w:t xml:space="preserve"> and is not reflective of the goal to reduce harm overall.</w:t>
          </w:r>
          <w:r w:rsidRPr="009E7223">
            <w:rPr>
              <w:rStyle w:val="FootnoteReference"/>
            </w:rPr>
            <w:footnoteReference w:id="731"/>
          </w:r>
          <w:r w:rsidRPr="009E7223">
            <w:t xml:space="preserve"> Other concerns were the economic implications</w:t>
          </w:r>
          <w:r>
            <w:t xml:space="preserve"> for NCGM venues</w:t>
          </w:r>
          <w:r w:rsidRPr="009E7223">
            <w:rPr>
              <w:rStyle w:val="FootnoteReference"/>
            </w:rPr>
            <w:footnoteReference w:id="732"/>
          </w:r>
          <w:r w:rsidRPr="009E7223">
            <w:t xml:space="preserve"> and potential loss of re-investment opportunities</w:t>
          </w:r>
          <w:r>
            <w:t xml:space="preserve"> for community organisations that rely on community grants</w:t>
          </w:r>
          <w:r w:rsidRPr="009E7223">
            <w:t>.</w:t>
          </w:r>
          <w:r w:rsidRPr="009E7223">
            <w:rPr>
              <w:rStyle w:val="FootnoteReference"/>
            </w:rPr>
            <w:footnoteReference w:id="733"/>
          </w:r>
        </w:p>
        <w:p w14:paraId="41CACCD3" w14:textId="55571942" w:rsidR="00CC7043" w:rsidRPr="009E7223" w:rsidRDefault="00CC7043" w:rsidP="00CC7043">
          <w:pPr>
            <w:pStyle w:val="BodyText"/>
          </w:pPr>
          <w:r>
            <w:t xml:space="preserve">Two </w:t>
          </w:r>
          <w:r w:rsidRPr="009E7223">
            <w:t>Service Providers</w:t>
          </w:r>
          <w:r w:rsidRPr="009E7223">
            <w:rPr>
              <w:rStyle w:val="FootnoteReference"/>
            </w:rPr>
            <w:footnoteReference w:id="734"/>
          </w:r>
          <w:r w:rsidRPr="009E7223">
            <w:t xml:space="preserve"> noted commercial realities as a barrier to incentivisation, and </w:t>
          </w:r>
          <w:r>
            <w:t>four</w:t>
          </w:r>
          <w:r w:rsidRPr="009E7223">
            <w:t xml:space="preserve"> suggested unspecified regulatory changes as a way of forcing relocation.</w:t>
          </w:r>
          <w:r w:rsidRPr="009E7223">
            <w:rPr>
              <w:rStyle w:val="FootnoteReference"/>
            </w:rPr>
            <w:footnoteReference w:id="735"/>
          </w:r>
          <w:r w:rsidRPr="009E7223">
            <w:t xml:space="preserve"> One Service Provider suggested that any incentivisation should be directed to activities that reduce gambling harm.</w:t>
          </w:r>
          <w:r w:rsidRPr="009E7223">
            <w:rPr>
              <w:rStyle w:val="FootnoteReference"/>
            </w:rPr>
            <w:footnoteReference w:id="736"/>
          </w:r>
          <w:r w:rsidRPr="009E7223">
            <w:t xml:space="preserve"> Three Service Providers</w:t>
          </w:r>
          <w:r w:rsidRPr="009E7223">
            <w:rPr>
              <w:rStyle w:val="FootnoteReference"/>
            </w:rPr>
            <w:footnoteReference w:id="737"/>
          </w:r>
          <w:r w:rsidRPr="009E7223">
            <w:t xml:space="preserve"> did not support any incentivisation, as they did not support the proposal to relocate NCGM venues in the first place.</w:t>
          </w:r>
        </w:p>
        <w:p w14:paraId="1C20897B" w14:textId="01BCF751" w:rsidR="00CC7043" w:rsidRPr="009E7223" w:rsidRDefault="00CC7043" w:rsidP="00CC7043">
          <w:pPr>
            <w:pStyle w:val="NumberedHeading3"/>
          </w:pPr>
          <w:bookmarkStart w:id="176" w:name="_Toc531098254"/>
          <w:r w:rsidRPr="009E7223">
            <w:t>NCGM sector submitters</w:t>
          </w:r>
          <w:r w:rsidR="00345350">
            <w:t xml:space="preserve"> highlighted structural barriers to relocating</w:t>
          </w:r>
          <w:bookmarkEnd w:id="176"/>
        </w:p>
        <w:p w14:paraId="2746EA75" w14:textId="77777777" w:rsidR="00CC7043" w:rsidRPr="009E7223" w:rsidRDefault="00CC7043" w:rsidP="00CC7043">
          <w:pPr>
            <w:pStyle w:val="BodyText"/>
          </w:pPr>
          <w:r w:rsidRPr="009E7223">
            <w:t xml:space="preserve">Some NCGM sector submitters did not support the idea of incentivising NCGM venues to relocate. </w:t>
          </w:r>
          <w:r>
            <w:t xml:space="preserve">The reasons for this were consistent with those articulated by Service Providers. </w:t>
          </w:r>
          <w:r w:rsidRPr="009E7223">
            <w:t>One NCGM sector submitter</w:t>
          </w:r>
          <w:r w:rsidRPr="009E7223">
            <w:rPr>
              <w:rStyle w:val="FootnoteReference"/>
            </w:rPr>
            <w:footnoteReference w:id="738"/>
          </w:r>
          <w:r w:rsidRPr="009E7223">
            <w:t xml:space="preserve"> considered the idea “</w:t>
          </w:r>
          <w:r w:rsidRPr="00860DCC">
            <w:rPr>
              <w:i/>
            </w:rPr>
            <w:t>nothing short of ridiculous</w:t>
          </w:r>
          <w:r w:rsidRPr="009E7223">
            <w:t>”. Another considered that the approach did not reflect the realities of gambling</w:t>
          </w:r>
          <w:r>
            <w:t xml:space="preserve"> behaviour</w:t>
          </w:r>
          <w:r w:rsidRPr="009E7223">
            <w:t>,</w:t>
          </w:r>
          <w:r w:rsidRPr="009E7223">
            <w:rPr>
              <w:rStyle w:val="FootnoteReference"/>
            </w:rPr>
            <w:footnoteReference w:id="739"/>
          </w:r>
          <w:r w:rsidRPr="009E7223">
            <w:t xml:space="preserve"> and another</w:t>
          </w:r>
          <w:r w:rsidRPr="009E7223">
            <w:rPr>
              <w:rStyle w:val="FootnoteReference"/>
            </w:rPr>
            <w:footnoteReference w:id="740"/>
          </w:r>
          <w:r w:rsidRPr="009E7223">
            <w:t xml:space="preserve"> commented that the approach would be contrary to the public health aims of the Ga</w:t>
          </w:r>
          <w:r>
            <w:t>m</w:t>
          </w:r>
          <w:r w:rsidRPr="009E7223">
            <w:t xml:space="preserve">bling Act </w:t>
          </w:r>
          <w:r>
            <w:t xml:space="preserve">2003 </w:t>
          </w:r>
          <w:r w:rsidRPr="009E7223">
            <w:t xml:space="preserve">(particularly in relation to preventing and reducing gambling related harm). There was some concern that removing NCGMs </w:t>
          </w:r>
          <w:r w:rsidRPr="009E7223">
            <w:lastRenderedPageBreak/>
            <w:t>from lower socioeconomic areas communities would result in lost re-investment opportunities (in the form of grants, etc.) for those communities and redistribution of funds into wealthier areas.</w:t>
          </w:r>
          <w:r w:rsidRPr="009E7223">
            <w:rPr>
              <w:rStyle w:val="FootnoteReference"/>
            </w:rPr>
            <w:footnoteReference w:id="741"/>
          </w:r>
        </w:p>
        <w:p w14:paraId="669D5BE0" w14:textId="77777777" w:rsidR="00CC7043" w:rsidRPr="009E7223" w:rsidRDefault="00CC7043" w:rsidP="00CC7043">
          <w:pPr>
            <w:pStyle w:val="BodyText"/>
          </w:pPr>
          <w:r w:rsidRPr="009E7223">
            <w:t>The main barrier to NCGM venue relocation discussed by NCGM sector submitters was local authority policy restrictions,</w:t>
          </w:r>
          <w:r w:rsidRPr="009E7223">
            <w:rPr>
              <w:rStyle w:val="FootnoteReference"/>
            </w:rPr>
            <w:footnoteReference w:id="742"/>
          </w:r>
          <w:r w:rsidRPr="009E7223">
            <w:t xml:space="preserve"> followed by the practical impacts of the time and effort required to complete the consent process.</w:t>
          </w:r>
          <w:r w:rsidRPr="009E7223">
            <w:rPr>
              <w:rStyle w:val="FootnoteReference"/>
            </w:rPr>
            <w:footnoteReference w:id="743"/>
          </w:r>
          <w:r w:rsidRPr="009E7223">
            <w:t xml:space="preserve"> Another barrier discussed was the Gambling Act </w:t>
          </w:r>
          <w:r>
            <w:t xml:space="preserve">2003 </w:t>
          </w:r>
          <w:r w:rsidRPr="009E7223">
            <w:t>requirement that NCGMs be located in certain types of venues.</w:t>
          </w:r>
          <w:r w:rsidRPr="009E7223">
            <w:rPr>
              <w:rStyle w:val="FootnoteReference"/>
            </w:rPr>
            <w:footnoteReference w:id="744"/>
          </w:r>
          <w:r w:rsidRPr="009E7223">
            <w:t xml:space="preserve"> </w:t>
          </w:r>
          <w:r>
            <w:t xml:space="preserve">Eight </w:t>
          </w:r>
          <w:r w:rsidRPr="009E7223">
            <w:t>NCGM submitters were also concerned that there would be strong advocacy against relocation</w:t>
          </w:r>
          <w:r>
            <w:t>, potentially impacting on the viability of their businesses should they look to relocate</w:t>
          </w:r>
          <w:r w:rsidRPr="009E7223">
            <w:t>.</w:t>
          </w:r>
          <w:r w:rsidRPr="009E7223">
            <w:rPr>
              <w:rStyle w:val="FootnoteReference"/>
            </w:rPr>
            <w:footnoteReference w:id="745"/>
          </w:r>
        </w:p>
        <w:p w14:paraId="3DDA8441" w14:textId="77777777" w:rsidR="00CC7043" w:rsidRPr="009E7223" w:rsidRDefault="00CC7043" w:rsidP="00CC7043">
          <w:pPr>
            <w:pStyle w:val="BodyText"/>
          </w:pPr>
          <w:r w:rsidRPr="009E7223">
            <w:t>Some NCGM sector submitters suggested incentives, for example:</w:t>
          </w:r>
        </w:p>
        <w:p w14:paraId="03109054" w14:textId="77777777" w:rsidR="00CC7043" w:rsidRPr="009E7223" w:rsidRDefault="00CC7043" w:rsidP="00CC7043">
          <w:pPr>
            <w:pStyle w:val="List-BulletLvl1"/>
          </w:pPr>
          <w:r w:rsidRPr="009E7223">
            <w:t>Financial incentives, such as allowing larger bet sizes,</w:t>
          </w:r>
          <w:r w:rsidRPr="009E7223">
            <w:rPr>
              <w:rStyle w:val="FootnoteReference"/>
            </w:rPr>
            <w:footnoteReference w:id="746"/>
          </w:r>
          <w:r w:rsidRPr="009E7223">
            <w:t xml:space="preserve"> selling licenses at market rate,</w:t>
          </w:r>
          <w:r w:rsidRPr="009E7223">
            <w:rPr>
              <w:rStyle w:val="FootnoteReference"/>
            </w:rPr>
            <w:footnoteReference w:id="747"/>
          </w:r>
          <w:r w:rsidRPr="009E7223">
            <w:t xml:space="preserve"> rental of premises as a stand-alone gambling venue similar to the TAB,</w:t>
          </w:r>
          <w:r w:rsidRPr="009E7223">
            <w:rPr>
              <w:rStyle w:val="FootnoteReference"/>
            </w:rPr>
            <w:footnoteReference w:id="748"/>
          </w:r>
          <w:r w:rsidRPr="009E7223">
            <w:t xml:space="preserve"> allowing operators to sell their licenses to other approved operators,</w:t>
          </w:r>
          <w:r w:rsidRPr="009E7223">
            <w:rPr>
              <w:rStyle w:val="FootnoteReference"/>
            </w:rPr>
            <w:footnoteReference w:id="749"/>
          </w:r>
          <w:r w:rsidRPr="009E7223">
            <w:t xml:space="preserve"> and replacing the current universal authorised purpose return regulation with a licence condition imposed on each society</w:t>
          </w:r>
          <w:r w:rsidRPr="009E7223">
            <w:rPr>
              <w:rStyle w:val="FootnoteReference"/>
            </w:rPr>
            <w:footnoteReference w:id="750"/>
          </w:r>
        </w:p>
        <w:p w14:paraId="2D7D8A68" w14:textId="77777777" w:rsidR="00CC7043" w:rsidRPr="009E7223" w:rsidRDefault="00CC7043" w:rsidP="00CC7043">
          <w:pPr>
            <w:pStyle w:val="List-BulletLvl1"/>
          </w:pPr>
          <w:r w:rsidRPr="009E7223">
            <w:t>Specific changes to Council policies including amending the application process to follow liquor licensing processes,</w:t>
          </w:r>
          <w:r w:rsidRPr="009E7223">
            <w:rPr>
              <w:rStyle w:val="FootnoteReference"/>
            </w:rPr>
            <w:footnoteReference w:id="751"/>
          </w:r>
          <w:r w:rsidRPr="009E7223">
            <w:t xml:space="preserve"> removing requirements to gain a Council relocation consent,</w:t>
          </w:r>
          <w:r w:rsidRPr="009E7223">
            <w:rPr>
              <w:rStyle w:val="FootnoteReference"/>
            </w:rPr>
            <w:footnoteReference w:id="752"/>
          </w:r>
          <w:r w:rsidRPr="009E7223">
            <w:t xml:space="preserve"> and providing prompt and certain methods for venues to relocate,</w:t>
          </w:r>
          <w:r w:rsidRPr="009E7223">
            <w:rPr>
              <w:rStyle w:val="FootnoteReference"/>
            </w:rPr>
            <w:footnoteReference w:id="753"/>
          </w:r>
          <w:r w:rsidRPr="009E7223">
            <w:t xml:space="preserve"> and</w:t>
          </w:r>
        </w:p>
        <w:p w14:paraId="443391D9" w14:textId="77777777" w:rsidR="00CC7043" w:rsidRPr="009E7223" w:rsidRDefault="00CC7043" w:rsidP="00CC7043">
          <w:pPr>
            <w:pStyle w:val="List-BulletLvl1"/>
          </w:pPr>
          <w:r w:rsidRPr="009E7223">
            <w:t>Policies that would allow NCGM operators the freedom to move wherever they felt appropriate.</w:t>
          </w:r>
          <w:r w:rsidRPr="009E7223">
            <w:rPr>
              <w:rStyle w:val="FootnoteReference"/>
            </w:rPr>
            <w:footnoteReference w:id="754"/>
          </w:r>
        </w:p>
        <w:p w14:paraId="096F090D" w14:textId="55E420CD" w:rsidR="00CC7043" w:rsidRPr="009E7223" w:rsidRDefault="00CC7043" w:rsidP="00CC7043">
          <w:pPr>
            <w:pStyle w:val="NumberedHeading3"/>
          </w:pPr>
          <w:bookmarkStart w:id="177" w:name="_Toc531098255"/>
          <w:r w:rsidRPr="009E7223">
            <w:t>Health sector submitters</w:t>
          </w:r>
          <w:r w:rsidR="00345350">
            <w:t xml:space="preserve"> opposed incentivisation</w:t>
          </w:r>
          <w:bookmarkEnd w:id="177"/>
        </w:p>
        <w:p w14:paraId="03BAFBB0" w14:textId="77777777" w:rsidR="00CC7043" w:rsidRPr="009E7223" w:rsidRDefault="00CC7043" w:rsidP="00CC7043">
          <w:pPr>
            <w:pStyle w:val="BodyText"/>
          </w:pPr>
          <w:r w:rsidRPr="009E7223">
            <w:t>Health sector submitters opposed the incentivisation approach for similar reasons to NCGM venues, including that it is not reflective of gambling behaviours,</w:t>
          </w:r>
          <w:r w:rsidRPr="009E7223">
            <w:rPr>
              <w:rStyle w:val="FootnoteReference"/>
            </w:rPr>
            <w:footnoteReference w:id="755"/>
          </w:r>
          <w:r w:rsidRPr="009E7223">
            <w:t xml:space="preserve"> is contrary to the public health aims of the Act,</w:t>
          </w:r>
          <w:r w:rsidRPr="009E7223">
            <w:rPr>
              <w:rStyle w:val="FootnoteReference"/>
            </w:rPr>
            <w:footnoteReference w:id="756"/>
          </w:r>
          <w:r w:rsidRPr="009E7223">
            <w:t xml:space="preserve"> fails to reduce harm overall,</w:t>
          </w:r>
          <w:r w:rsidRPr="009E7223">
            <w:rPr>
              <w:rStyle w:val="FootnoteReference"/>
            </w:rPr>
            <w:footnoteReference w:id="757"/>
          </w:r>
          <w:r w:rsidRPr="009E7223">
            <w:t xml:space="preserve"> and has adverse economic implications.</w:t>
          </w:r>
          <w:r w:rsidRPr="009E7223">
            <w:rPr>
              <w:rStyle w:val="FootnoteReference"/>
            </w:rPr>
            <w:footnoteReference w:id="758"/>
          </w:r>
        </w:p>
        <w:p w14:paraId="375638C0" w14:textId="77777777" w:rsidR="00CC7043" w:rsidRPr="009E7223" w:rsidRDefault="00CC7043" w:rsidP="00CC7043">
          <w:pPr>
            <w:pStyle w:val="BodyText"/>
          </w:pPr>
          <w:r w:rsidRPr="009E7223">
            <w:t>One Health sector submitter</w:t>
          </w:r>
          <w:r w:rsidRPr="009E7223">
            <w:rPr>
              <w:rStyle w:val="FootnoteReference"/>
            </w:rPr>
            <w:footnoteReference w:id="759"/>
          </w:r>
          <w:r w:rsidRPr="009E7223">
            <w:t xml:space="preserve"> suggested that relocation could be achieved through unspecified regulatory changes, and another did not support any incentivisation, as they did not support the proposal to relocate any NCGM venues.</w:t>
          </w:r>
          <w:r w:rsidRPr="009E7223">
            <w:rPr>
              <w:rStyle w:val="FootnoteReference"/>
            </w:rPr>
            <w:footnoteReference w:id="760"/>
          </w:r>
        </w:p>
        <w:p w14:paraId="01CBDEDE" w14:textId="7F25E31A" w:rsidR="00CC7043" w:rsidRPr="009E7223" w:rsidRDefault="00CC7043" w:rsidP="00CC7043">
          <w:pPr>
            <w:pStyle w:val="NumberedHeading3"/>
          </w:pPr>
          <w:bookmarkStart w:id="178" w:name="_Toc531098256"/>
          <w:r w:rsidRPr="009E7223">
            <w:lastRenderedPageBreak/>
            <w:t>Local Government submitters</w:t>
          </w:r>
          <w:r w:rsidR="00345350">
            <w:t xml:space="preserve"> acknowledged structural barriers and did not support incentivisation</w:t>
          </w:r>
          <w:bookmarkEnd w:id="178"/>
        </w:p>
        <w:p w14:paraId="05319835" w14:textId="77777777" w:rsidR="00CC7043" w:rsidRPr="009E7223" w:rsidRDefault="00CC7043" w:rsidP="00CC7043">
          <w:pPr>
            <w:pStyle w:val="BodyText"/>
          </w:pPr>
          <w:r w:rsidRPr="009E7223">
            <w:t>Local Government submitters did not support the proposal. One considered that a sinking lid approach was the best approach to harm minimisation.</w:t>
          </w:r>
          <w:r w:rsidRPr="009E7223">
            <w:rPr>
              <w:rStyle w:val="FootnoteReference"/>
            </w:rPr>
            <w:footnoteReference w:id="761"/>
          </w:r>
          <w:r w:rsidRPr="009E7223">
            <w:t xml:space="preserve"> One Local Government submitter</w:t>
          </w:r>
          <w:r w:rsidRPr="009E7223">
            <w:rPr>
              <w:rStyle w:val="FootnoteReference"/>
            </w:rPr>
            <w:footnoteReference w:id="762"/>
          </w:r>
          <w:r w:rsidRPr="009E7223">
            <w:t xml:space="preserve"> suggested that further research be completed to determine what incentives might be attractive. </w:t>
          </w:r>
        </w:p>
        <w:p w14:paraId="5AA8ED84" w14:textId="77777777" w:rsidR="00CC7043" w:rsidRPr="009E7223" w:rsidRDefault="00CC7043" w:rsidP="00CC7043">
          <w:pPr>
            <w:pStyle w:val="BodyText"/>
          </w:pPr>
          <w:r w:rsidRPr="009E7223">
            <w:t>Local Government submitters identified barriers to relocation such as local authority policy restrictions,</w:t>
          </w:r>
          <w:r w:rsidRPr="009E7223">
            <w:rPr>
              <w:rStyle w:val="FootnoteReference"/>
            </w:rPr>
            <w:footnoteReference w:id="763"/>
          </w:r>
          <w:r w:rsidRPr="009E7223">
            <w:t xml:space="preserve"> consent-related business risks,</w:t>
          </w:r>
          <w:r w:rsidRPr="009E7223">
            <w:rPr>
              <w:rStyle w:val="FootnoteReference"/>
            </w:rPr>
            <w:footnoteReference w:id="764"/>
          </w:r>
          <w:r w:rsidRPr="009E7223">
            <w:t xml:space="preserve"> the role of the Waikiwi Tavern judgment,</w:t>
          </w:r>
          <w:r w:rsidRPr="009E7223">
            <w:rPr>
              <w:rStyle w:val="FootnoteReference"/>
            </w:rPr>
            <w:footnoteReference w:id="765"/>
          </w:r>
          <w:r w:rsidRPr="009E7223">
            <w:t xml:space="preserve"> and commercial realities.</w:t>
          </w:r>
          <w:r w:rsidRPr="009E7223">
            <w:rPr>
              <w:rStyle w:val="FootnoteReference"/>
            </w:rPr>
            <w:footnoteReference w:id="766"/>
          </w:r>
        </w:p>
        <w:p w14:paraId="1DACBDA2" w14:textId="77777777" w:rsidR="00CC7043" w:rsidRPr="009E7223" w:rsidRDefault="00CC7043" w:rsidP="00CC7043">
          <w:pPr>
            <w:pStyle w:val="BodyText"/>
          </w:pPr>
          <w:r w:rsidRPr="009E7223">
            <w:t>Two Local Government submitters noted that their present policies enabled NCGM venues to relocate from low socioeconomic areas, but both noted that no venues had moved.</w:t>
          </w:r>
          <w:r w:rsidRPr="009E7223">
            <w:rPr>
              <w:rStyle w:val="FootnoteReference"/>
            </w:rPr>
            <w:footnoteReference w:id="767"/>
          </w:r>
        </w:p>
        <w:p w14:paraId="06F3AE7F" w14:textId="35E74AAD" w:rsidR="00CC7043" w:rsidRPr="009E7223" w:rsidRDefault="00CC7043" w:rsidP="00CC7043">
          <w:pPr>
            <w:pStyle w:val="NumberedHeading3"/>
          </w:pPr>
          <w:bookmarkStart w:id="179" w:name="_Toc531098257"/>
          <w:r w:rsidRPr="009E7223">
            <w:t>Gambling Industry (other) submitters</w:t>
          </w:r>
          <w:r w:rsidR="00345350">
            <w:t xml:space="preserve"> noted structural barriers</w:t>
          </w:r>
          <w:bookmarkEnd w:id="179"/>
        </w:p>
        <w:p w14:paraId="4D79EBEB" w14:textId="77777777" w:rsidR="00CC7043" w:rsidRPr="009E7223" w:rsidRDefault="00CC7043" w:rsidP="00CC7043">
          <w:pPr>
            <w:pStyle w:val="BodyText"/>
          </w:pPr>
          <w:r w:rsidRPr="009E7223">
            <w:t>Gambling Industry (other)</w:t>
          </w:r>
          <w:r w:rsidRPr="009E7223">
            <w:rPr>
              <w:rStyle w:val="FootnoteReference"/>
            </w:rPr>
            <w:footnoteReference w:id="768"/>
          </w:r>
          <w:r w:rsidRPr="009E7223">
            <w:t xml:space="preserve"> submitters noted barriers to NCGM venue relocation, including Council policy restrictions, and the practical impacts of completing the consent process.</w:t>
          </w:r>
        </w:p>
        <w:p w14:paraId="595C6F89" w14:textId="6FB51989" w:rsidR="00CC7043" w:rsidRPr="009E7223" w:rsidRDefault="00CC7043" w:rsidP="00CC7043">
          <w:pPr>
            <w:pStyle w:val="NumberedHeading3"/>
          </w:pPr>
          <w:bookmarkStart w:id="180" w:name="_Toc531098258"/>
          <w:r w:rsidRPr="009E7223">
            <w:t>Individuals</w:t>
          </w:r>
          <w:r w:rsidR="00345350">
            <w:t xml:space="preserve"> did not support relocation or incentivisation</w:t>
          </w:r>
          <w:bookmarkEnd w:id="180"/>
        </w:p>
        <w:p w14:paraId="4A2FBA74" w14:textId="77777777" w:rsidR="00CC7043" w:rsidRPr="009E7223" w:rsidRDefault="00CC7043" w:rsidP="00CC7043">
          <w:pPr>
            <w:pStyle w:val="BodyText"/>
          </w:pPr>
          <w:r w:rsidRPr="009E7223">
            <w:t>An individual submitter considered that a sinking lid approach was the best approach to harm minimisation,</w:t>
          </w:r>
          <w:r w:rsidRPr="009E7223">
            <w:rPr>
              <w:rStyle w:val="FootnoteReference"/>
            </w:rPr>
            <w:footnoteReference w:id="769"/>
          </w:r>
          <w:r w:rsidRPr="009E7223">
            <w:t xml:space="preserve"> and another preferred that efforts be focused on making the gambling environment safer through improved in situ interventions to reduce harm at the point of play.</w:t>
          </w:r>
          <w:r w:rsidRPr="009E7223">
            <w:rPr>
              <w:rStyle w:val="FootnoteReference"/>
            </w:rPr>
            <w:footnoteReference w:id="770"/>
          </w:r>
        </w:p>
        <w:p w14:paraId="2410CC42" w14:textId="77777777" w:rsidR="00CC7043" w:rsidRPr="009E7223" w:rsidRDefault="00CC7043" w:rsidP="00CC7043">
          <w:pPr>
            <w:pStyle w:val="BodyText"/>
          </w:pPr>
          <w:r w:rsidRPr="009E7223">
            <w:t>An individual</w:t>
          </w:r>
          <w:r w:rsidRPr="009E7223">
            <w:rPr>
              <w:rStyle w:val="FootnoteReference"/>
            </w:rPr>
            <w:footnoteReference w:id="771"/>
          </w:r>
          <w:r w:rsidRPr="009E7223">
            <w:t xml:space="preserve"> noted commercial realities as a barrier to incentivisation.</w:t>
          </w:r>
        </w:p>
        <w:p w14:paraId="16322C52" w14:textId="61FA316E" w:rsidR="00FE3AEE" w:rsidRPr="00CC7043" w:rsidRDefault="00CC7043">
          <w:r w:rsidRPr="009E7223">
            <w:t>One individual suggested an alternative to incentivisation.</w:t>
          </w:r>
          <w:r w:rsidRPr="009E7223">
            <w:rPr>
              <w:rStyle w:val="FootnoteReference"/>
            </w:rPr>
            <w:footnoteReference w:id="772"/>
          </w:r>
        </w:p>
        <w:p w14:paraId="711CFC0F" w14:textId="77777777" w:rsidR="001174A3" w:rsidRDefault="001174A3">
          <w:pPr>
            <w:sectPr w:rsidR="001174A3" w:rsidSect="00CC770A">
              <w:headerReference w:type="even" r:id="rId17"/>
              <w:headerReference w:type="default" r:id="rId18"/>
              <w:footerReference w:type="even" r:id="rId19"/>
              <w:footerReference w:type="default" r:id="rId20"/>
              <w:headerReference w:type="first" r:id="rId21"/>
              <w:footerReference w:type="first" r:id="rId22"/>
              <w:type w:val="oddPage"/>
              <w:pgSz w:w="11907" w:h="16839" w:code="9"/>
              <w:pgMar w:top="1134" w:right="1275" w:bottom="1418" w:left="1418" w:header="964" w:footer="964" w:gutter="0"/>
              <w:pgNumType w:start="0"/>
              <w:cols w:space="708"/>
              <w:titlePg/>
              <w:docGrid w:linePitch="360"/>
            </w:sectPr>
          </w:pPr>
        </w:p>
        <w:p w14:paraId="562A53DF" w14:textId="0C280FB1" w:rsidR="00FE76A9" w:rsidRDefault="00FE76A9" w:rsidP="007B3E5F">
          <w:pPr>
            <w:pStyle w:val="Heading1"/>
          </w:pPr>
          <w:bookmarkStart w:id="181" w:name="_Toc531098259"/>
          <w:r w:rsidRPr="009E7223">
            <w:lastRenderedPageBreak/>
            <w:t xml:space="preserve">Appendix </w:t>
          </w:r>
          <w:r w:rsidR="0066529B" w:rsidRPr="009E7223">
            <w:t>A</w:t>
          </w:r>
          <w:r w:rsidRPr="009E7223">
            <w:t xml:space="preserve"> – </w:t>
          </w:r>
          <w:r w:rsidR="007B3E5F" w:rsidRPr="009E7223">
            <w:t>L</w:t>
          </w:r>
          <w:r w:rsidRPr="009E7223">
            <w:t>ist of submitters</w:t>
          </w:r>
          <w:bookmarkEnd w:id="181"/>
        </w:p>
        <w:p w14:paraId="0D141591" w14:textId="3EE2DB00" w:rsidR="00326390" w:rsidRPr="00695B30" w:rsidRDefault="00326390" w:rsidP="00326390">
          <w:pPr>
            <w:pStyle w:val="Caption"/>
            <w:keepNext/>
            <w:rPr>
              <w:sz w:val="24"/>
            </w:rPr>
          </w:pPr>
          <w:bookmarkStart w:id="182" w:name="_Toc529787394"/>
          <w:r w:rsidRPr="00695B30">
            <w:rPr>
              <w:sz w:val="24"/>
            </w:rPr>
            <w:t xml:space="preserve">Table </w:t>
          </w:r>
          <w:r w:rsidRPr="00695B30">
            <w:rPr>
              <w:sz w:val="24"/>
            </w:rPr>
            <w:fldChar w:fldCharType="begin"/>
          </w:r>
          <w:r w:rsidRPr="00695B30">
            <w:rPr>
              <w:sz w:val="24"/>
            </w:rPr>
            <w:instrText xml:space="preserve"> SEQ Table \* ARABIC </w:instrText>
          </w:r>
          <w:r w:rsidRPr="00695B30">
            <w:rPr>
              <w:sz w:val="24"/>
            </w:rPr>
            <w:fldChar w:fldCharType="separate"/>
          </w:r>
          <w:r w:rsidR="00CE4EFF">
            <w:rPr>
              <w:noProof/>
              <w:sz w:val="24"/>
            </w:rPr>
            <w:t>13</w:t>
          </w:r>
          <w:r w:rsidRPr="00695B30">
            <w:rPr>
              <w:sz w:val="24"/>
            </w:rPr>
            <w:fldChar w:fldCharType="end"/>
          </w:r>
          <w:r w:rsidRPr="00695B30">
            <w:rPr>
              <w:sz w:val="24"/>
            </w:rPr>
            <w:t>: List of submitters, sorted by submitter unique ID</w:t>
          </w:r>
          <w:bookmarkEnd w:id="182"/>
        </w:p>
        <w:tbl>
          <w:tblPr>
            <w:tblW w:w="4821" w:type="dxa"/>
            <w:tblInd w:w="-426" w:type="dxa"/>
            <w:tblLook w:val="04A0" w:firstRow="1" w:lastRow="0" w:firstColumn="1" w:lastColumn="0" w:noHBand="0" w:noVBand="1"/>
          </w:tblPr>
          <w:tblGrid>
            <w:gridCol w:w="557"/>
            <w:gridCol w:w="4264"/>
          </w:tblGrid>
          <w:tr w:rsidR="00326390" w:rsidRPr="00326390" w14:paraId="53B9D6DD" w14:textId="77777777" w:rsidTr="00326390">
            <w:trPr>
              <w:trHeight w:val="300"/>
            </w:trPr>
            <w:tc>
              <w:tcPr>
                <w:tcW w:w="557" w:type="dxa"/>
                <w:tcBorders>
                  <w:top w:val="nil"/>
                  <w:left w:val="nil"/>
                  <w:bottom w:val="nil"/>
                  <w:right w:val="nil"/>
                </w:tcBorders>
                <w:shd w:val="clear" w:color="auto" w:fill="auto"/>
                <w:noWrap/>
                <w:vAlign w:val="bottom"/>
                <w:hideMark/>
              </w:tcPr>
              <w:p w14:paraId="59F1AD10"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1</w:t>
                </w:r>
              </w:p>
            </w:tc>
            <w:tc>
              <w:tcPr>
                <w:tcW w:w="4264" w:type="dxa"/>
                <w:tcBorders>
                  <w:top w:val="nil"/>
                  <w:left w:val="nil"/>
                  <w:bottom w:val="nil"/>
                  <w:right w:val="nil"/>
                </w:tcBorders>
                <w:shd w:val="clear" w:color="auto" w:fill="auto"/>
                <w:noWrap/>
                <w:vAlign w:val="bottom"/>
                <w:hideMark/>
              </w:tcPr>
              <w:p w14:paraId="2789276A"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Akarana Community Trust</w:t>
                </w:r>
              </w:p>
            </w:tc>
          </w:tr>
          <w:tr w:rsidR="00326390" w:rsidRPr="00326390" w14:paraId="3A525BBB" w14:textId="77777777" w:rsidTr="00326390">
            <w:trPr>
              <w:trHeight w:val="300"/>
            </w:trPr>
            <w:tc>
              <w:tcPr>
                <w:tcW w:w="557" w:type="dxa"/>
                <w:tcBorders>
                  <w:top w:val="nil"/>
                  <w:left w:val="nil"/>
                  <w:bottom w:val="nil"/>
                  <w:right w:val="nil"/>
                </w:tcBorders>
                <w:shd w:val="clear" w:color="auto" w:fill="auto"/>
                <w:noWrap/>
                <w:vAlign w:val="bottom"/>
                <w:hideMark/>
              </w:tcPr>
              <w:p w14:paraId="1B74AF75"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2</w:t>
                </w:r>
              </w:p>
            </w:tc>
            <w:tc>
              <w:tcPr>
                <w:tcW w:w="4264" w:type="dxa"/>
                <w:tcBorders>
                  <w:top w:val="nil"/>
                  <w:left w:val="nil"/>
                  <w:bottom w:val="nil"/>
                  <w:right w:val="nil"/>
                </w:tcBorders>
                <w:shd w:val="clear" w:color="auto" w:fill="auto"/>
                <w:noWrap/>
                <w:vAlign w:val="bottom"/>
                <w:hideMark/>
              </w:tcPr>
              <w:p w14:paraId="667BE6CE"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Trillian Trust</w:t>
                </w:r>
              </w:p>
            </w:tc>
          </w:tr>
          <w:tr w:rsidR="00326390" w:rsidRPr="00326390" w14:paraId="3C5ACDF5" w14:textId="77777777" w:rsidTr="00326390">
            <w:trPr>
              <w:trHeight w:val="300"/>
            </w:trPr>
            <w:tc>
              <w:tcPr>
                <w:tcW w:w="557" w:type="dxa"/>
                <w:tcBorders>
                  <w:top w:val="nil"/>
                  <w:left w:val="nil"/>
                  <w:bottom w:val="nil"/>
                  <w:right w:val="nil"/>
                </w:tcBorders>
                <w:shd w:val="clear" w:color="auto" w:fill="auto"/>
                <w:noWrap/>
                <w:vAlign w:val="bottom"/>
                <w:hideMark/>
              </w:tcPr>
              <w:p w14:paraId="0495E82F"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3</w:t>
                </w:r>
              </w:p>
            </w:tc>
            <w:tc>
              <w:tcPr>
                <w:tcW w:w="4264" w:type="dxa"/>
                <w:tcBorders>
                  <w:top w:val="nil"/>
                  <w:left w:val="nil"/>
                  <w:bottom w:val="nil"/>
                  <w:right w:val="nil"/>
                </w:tcBorders>
                <w:shd w:val="clear" w:color="auto" w:fill="auto"/>
                <w:noWrap/>
                <w:vAlign w:val="bottom"/>
                <w:hideMark/>
              </w:tcPr>
              <w:p w14:paraId="05F8FEFC"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Rano Community Trust</w:t>
                </w:r>
              </w:p>
            </w:tc>
          </w:tr>
          <w:tr w:rsidR="00326390" w:rsidRPr="00326390" w14:paraId="64F06A8B" w14:textId="77777777" w:rsidTr="00326390">
            <w:trPr>
              <w:trHeight w:val="300"/>
            </w:trPr>
            <w:tc>
              <w:tcPr>
                <w:tcW w:w="557" w:type="dxa"/>
                <w:tcBorders>
                  <w:top w:val="nil"/>
                  <w:left w:val="nil"/>
                  <w:bottom w:val="nil"/>
                  <w:right w:val="nil"/>
                </w:tcBorders>
                <w:shd w:val="clear" w:color="auto" w:fill="auto"/>
                <w:noWrap/>
                <w:vAlign w:val="bottom"/>
                <w:hideMark/>
              </w:tcPr>
              <w:p w14:paraId="029C03A1"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4</w:t>
                </w:r>
              </w:p>
            </w:tc>
            <w:tc>
              <w:tcPr>
                <w:tcW w:w="4264" w:type="dxa"/>
                <w:tcBorders>
                  <w:top w:val="nil"/>
                  <w:left w:val="nil"/>
                  <w:bottom w:val="nil"/>
                  <w:right w:val="nil"/>
                </w:tcBorders>
                <w:shd w:val="clear" w:color="auto" w:fill="auto"/>
                <w:noWrap/>
                <w:vAlign w:val="bottom"/>
                <w:hideMark/>
              </w:tcPr>
              <w:p w14:paraId="3643DFE0" w14:textId="79B99EF8" w:rsidR="00326390" w:rsidRPr="00326390" w:rsidRDefault="00A86925" w:rsidP="00326390">
                <w:pPr>
                  <w:spacing w:after="0" w:line="240" w:lineRule="auto"/>
                  <w:jc w:val="both"/>
                  <w:rPr>
                    <w:rFonts w:ascii="Cambria" w:eastAsia="Times New Roman" w:hAnsi="Cambria" w:cs="Calibri"/>
                    <w:color w:val="000000"/>
                    <w:lang w:eastAsia="en-NZ"/>
                  </w:rPr>
                </w:pPr>
                <w:r>
                  <w:rPr>
                    <w:rFonts w:ascii="Cambria" w:eastAsia="Times New Roman" w:hAnsi="Cambria" w:cs="Calibri"/>
                    <w:color w:val="000000"/>
                    <w:lang w:eastAsia="en-NZ"/>
                  </w:rPr>
                  <w:t>Individual</w:t>
                </w:r>
              </w:p>
            </w:tc>
          </w:tr>
          <w:tr w:rsidR="00326390" w:rsidRPr="00326390" w14:paraId="2D24FD40" w14:textId="77777777" w:rsidTr="00326390">
            <w:trPr>
              <w:trHeight w:val="300"/>
            </w:trPr>
            <w:tc>
              <w:tcPr>
                <w:tcW w:w="557" w:type="dxa"/>
                <w:tcBorders>
                  <w:top w:val="nil"/>
                  <w:left w:val="nil"/>
                  <w:bottom w:val="nil"/>
                  <w:right w:val="nil"/>
                </w:tcBorders>
                <w:shd w:val="clear" w:color="auto" w:fill="auto"/>
                <w:noWrap/>
                <w:vAlign w:val="bottom"/>
                <w:hideMark/>
              </w:tcPr>
              <w:p w14:paraId="763442FD"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5</w:t>
                </w:r>
              </w:p>
            </w:tc>
            <w:tc>
              <w:tcPr>
                <w:tcW w:w="4264" w:type="dxa"/>
                <w:tcBorders>
                  <w:top w:val="nil"/>
                  <w:left w:val="nil"/>
                  <w:bottom w:val="nil"/>
                  <w:right w:val="nil"/>
                </w:tcBorders>
                <w:shd w:val="clear" w:color="auto" w:fill="auto"/>
                <w:noWrap/>
                <w:vAlign w:val="bottom"/>
                <w:hideMark/>
              </w:tcPr>
              <w:p w14:paraId="4DFAE4B6" w14:textId="73B8F429"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First Light Community Foundation</w:t>
                </w:r>
              </w:p>
            </w:tc>
          </w:tr>
          <w:tr w:rsidR="00326390" w:rsidRPr="00326390" w14:paraId="3E63409B" w14:textId="77777777" w:rsidTr="00326390">
            <w:trPr>
              <w:trHeight w:val="300"/>
            </w:trPr>
            <w:tc>
              <w:tcPr>
                <w:tcW w:w="557" w:type="dxa"/>
                <w:tcBorders>
                  <w:top w:val="nil"/>
                  <w:left w:val="nil"/>
                  <w:bottom w:val="nil"/>
                  <w:right w:val="nil"/>
                </w:tcBorders>
                <w:shd w:val="clear" w:color="auto" w:fill="auto"/>
                <w:noWrap/>
                <w:vAlign w:val="bottom"/>
                <w:hideMark/>
              </w:tcPr>
              <w:p w14:paraId="7F143FA3"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6</w:t>
                </w:r>
              </w:p>
            </w:tc>
            <w:tc>
              <w:tcPr>
                <w:tcW w:w="4264" w:type="dxa"/>
                <w:tcBorders>
                  <w:top w:val="nil"/>
                  <w:left w:val="nil"/>
                  <w:bottom w:val="nil"/>
                  <w:right w:val="nil"/>
                </w:tcBorders>
                <w:shd w:val="clear" w:color="auto" w:fill="auto"/>
                <w:noWrap/>
                <w:vAlign w:val="bottom"/>
                <w:hideMark/>
              </w:tcPr>
              <w:p w14:paraId="46DA43AE" w14:textId="608AF864"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Trust House</w:t>
                </w:r>
                <w:r w:rsidR="004464EF">
                  <w:rPr>
                    <w:rFonts w:ascii="Cambria" w:eastAsia="Times New Roman" w:hAnsi="Cambria" w:cs="Calibri"/>
                    <w:color w:val="000000"/>
                    <w:lang w:eastAsia="en-NZ"/>
                  </w:rPr>
                  <w:t xml:space="preserve"> Foundation</w:t>
                </w:r>
              </w:p>
            </w:tc>
          </w:tr>
          <w:tr w:rsidR="00326390" w:rsidRPr="00326390" w14:paraId="36484E87" w14:textId="77777777" w:rsidTr="00326390">
            <w:trPr>
              <w:trHeight w:val="300"/>
            </w:trPr>
            <w:tc>
              <w:tcPr>
                <w:tcW w:w="557" w:type="dxa"/>
                <w:tcBorders>
                  <w:top w:val="nil"/>
                  <w:left w:val="nil"/>
                  <w:bottom w:val="nil"/>
                  <w:right w:val="nil"/>
                </w:tcBorders>
                <w:shd w:val="clear" w:color="auto" w:fill="auto"/>
                <w:noWrap/>
                <w:vAlign w:val="bottom"/>
                <w:hideMark/>
              </w:tcPr>
              <w:p w14:paraId="00B23E59"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7</w:t>
                </w:r>
              </w:p>
            </w:tc>
            <w:tc>
              <w:tcPr>
                <w:tcW w:w="4264" w:type="dxa"/>
                <w:tcBorders>
                  <w:top w:val="nil"/>
                  <w:left w:val="nil"/>
                  <w:bottom w:val="nil"/>
                  <w:right w:val="nil"/>
                </w:tcBorders>
                <w:shd w:val="clear" w:color="auto" w:fill="auto"/>
                <w:noWrap/>
                <w:vAlign w:val="bottom"/>
                <w:hideMark/>
              </w:tcPr>
              <w:p w14:paraId="510E8D1C"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COMS Systems Limited</w:t>
                </w:r>
              </w:p>
            </w:tc>
          </w:tr>
          <w:tr w:rsidR="00326390" w:rsidRPr="00326390" w14:paraId="6BEAFFAE" w14:textId="77777777" w:rsidTr="00326390">
            <w:trPr>
              <w:trHeight w:val="300"/>
            </w:trPr>
            <w:tc>
              <w:tcPr>
                <w:tcW w:w="557" w:type="dxa"/>
                <w:tcBorders>
                  <w:top w:val="nil"/>
                  <w:left w:val="nil"/>
                  <w:bottom w:val="nil"/>
                  <w:right w:val="nil"/>
                </w:tcBorders>
                <w:shd w:val="clear" w:color="auto" w:fill="auto"/>
                <w:noWrap/>
                <w:vAlign w:val="bottom"/>
                <w:hideMark/>
              </w:tcPr>
              <w:p w14:paraId="0EF970CE"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8</w:t>
                </w:r>
              </w:p>
            </w:tc>
            <w:tc>
              <w:tcPr>
                <w:tcW w:w="4264" w:type="dxa"/>
                <w:tcBorders>
                  <w:top w:val="nil"/>
                  <w:left w:val="nil"/>
                  <w:bottom w:val="nil"/>
                  <w:right w:val="nil"/>
                </w:tcBorders>
                <w:shd w:val="clear" w:color="auto" w:fill="auto"/>
                <w:noWrap/>
                <w:vAlign w:val="bottom"/>
                <w:hideMark/>
              </w:tcPr>
              <w:p w14:paraId="1269478F" w14:textId="5AFEA1CB"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Dragon Community Trust L</w:t>
                </w:r>
                <w:r w:rsidR="004464EF">
                  <w:rPr>
                    <w:rFonts w:ascii="Cambria" w:eastAsia="Times New Roman" w:hAnsi="Cambria" w:cs="Calibri"/>
                    <w:color w:val="000000"/>
                    <w:lang w:eastAsia="en-NZ"/>
                  </w:rPr>
                  <w:t>imited</w:t>
                </w:r>
              </w:p>
            </w:tc>
          </w:tr>
          <w:tr w:rsidR="00326390" w:rsidRPr="00326390" w14:paraId="43EF65B6" w14:textId="77777777" w:rsidTr="00326390">
            <w:trPr>
              <w:trHeight w:val="300"/>
            </w:trPr>
            <w:tc>
              <w:tcPr>
                <w:tcW w:w="557" w:type="dxa"/>
                <w:tcBorders>
                  <w:top w:val="nil"/>
                  <w:left w:val="nil"/>
                  <w:bottom w:val="nil"/>
                  <w:right w:val="nil"/>
                </w:tcBorders>
                <w:shd w:val="clear" w:color="auto" w:fill="auto"/>
                <w:noWrap/>
                <w:vAlign w:val="bottom"/>
                <w:hideMark/>
              </w:tcPr>
              <w:p w14:paraId="1607FC70" w14:textId="77777777" w:rsid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9</w:t>
                </w:r>
              </w:p>
              <w:p w14:paraId="315FA209" w14:textId="77777777" w:rsidR="006B5D41" w:rsidRPr="00326390" w:rsidRDefault="006B5D41" w:rsidP="00326390">
                <w:pPr>
                  <w:spacing w:after="0" w:line="240" w:lineRule="auto"/>
                  <w:jc w:val="right"/>
                  <w:rPr>
                    <w:rFonts w:ascii="Calibri" w:eastAsia="Times New Roman" w:hAnsi="Calibri" w:cs="Calibri"/>
                    <w:color w:val="000000"/>
                    <w:lang w:eastAsia="en-NZ"/>
                  </w:rPr>
                </w:pPr>
              </w:p>
            </w:tc>
            <w:tc>
              <w:tcPr>
                <w:tcW w:w="4264" w:type="dxa"/>
                <w:tcBorders>
                  <w:top w:val="nil"/>
                  <w:left w:val="nil"/>
                  <w:bottom w:val="nil"/>
                  <w:right w:val="nil"/>
                </w:tcBorders>
                <w:shd w:val="clear" w:color="auto" w:fill="auto"/>
                <w:noWrap/>
                <w:vAlign w:val="bottom"/>
                <w:hideMark/>
              </w:tcPr>
              <w:p w14:paraId="3CD7F56F"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Te Oranga Kaumātua Kuia and Hāpai Te Hauora</w:t>
                </w:r>
              </w:p>
            </w:tc>
          </w:tr>
          <w:tr w:rsidR="00326390" w:rsidRPr="00326390" w14:paraId="5CF36DF4" w14:textId="77777777" w:rsidTr="00326390">
            <w:trPr>
              <w:trHeight w:val="300"/>
            </w:trPr>
            <w:tc>
              <w:tcPr>
                <w:tcW w:w="557" w:type="dxa"/>
                <w:tcBorders>
                  <w:top w:val="nil"/>
                  <w:left w:val="nil"/>
                  <w:bottom w:val="nil"/>
                  <w:right w:val="nil"/>
                </w:tcBorders>
                <w:shd w:val="clear" w:color="auto" w:fill="auto"/>
                <w:noWrap/>
                <w:vAlign w:val="bottom"/>
                <w:hideMark/>
              </w:tcPr>
              <w:p w14:paraId="521DCE68"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10</w:t>
                </w:r>
              </w:p>
            </w:tc>
            <w:tc>
              <w:tcPr>
                <w:tcW w:w="4264" w:type="dxa"/>
                <w:tcBorders>
                  <w:top w:val="nil"/>
                  <w:left w:val="nil"/>
                  <w:bottom w:val="nil"/>
                  <w:right w:val="nil"/>
                </w:tcBorders>
                <w:shd w:val="clear" w:color="auto" w:fill="auto"/>
                <w:noWrap/>
                <w:vAlign w:val="bottom"/>
                <w:hideMark/>
              </w:tcPr>
              <w:p w14:paraId="5C845D12"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CERT</w:t>
                </w:r>
              </w:p>
            </w:tc>
          </w:tr>
          <w:tr w:rsidR="00326390" w:rsidRPr="00326390" w14:paraId="665B7101" w14:textId="77777777" w:rsidTr="00326390">
            <w:trPr>
              <w:trHeight w:val="300"/>
            </w:trPr>
            <w:tc>
              <w:tcPr>
                <w:tcW w:w="557" w:type="dxa"/>
                <w:tcBorders>
                  <w:top w:val="nil"/>
                  <w:left w:val="nil"/>
                  <w:bottom w:val="nil"/>
                  <w:right w:val="nil"/>
                </w:tcBorders>
                <w:shd w:val="clear" w:color="auto" w:fill="auto"/>
                <w:noWrap/>
                <w:vAlign w:val="bottom"/>
                <w:hideMark/>
              </w:tcPr>
              <w:p w14:paraId="01CE117F"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11</w:t>
                </w:r>
              </w:p>
            </w:tc>
            <w:tc>
              <w:tcPr>
                <w:tcW w:w="4264" w:type="dxa"/>
                <w:tcBorders>
                  <w:top w:val="nil"/>
                  <w:left w:val="nil"/>
                  <w:bottom w:val="nil"/>
                  <w:right w:val="nil"/>
                </w:tcBorders>
                <w:shd w:val="clear" w:color="auto" w:fill="auto"/>
                <w:noWrap/>
                <w:vAlign w:val="bottom"/>
                <w:hideMark/>
              </w:tcPr>
              <w:p w14:paraId="5981DF2C" w14:textId="447E7861"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 xml:space="preserve">Addiction Advice </w:t>
                </w:r>
                <w:r w:rsidR="004464EF">
                  <w:rPr>
                    <w:rFonts w:ascii="Cambria" w:eastAsia="Times New Roman" w:hAnsi="Cambria" w:cs="Calibri"/>
                    <w:color w:val="000000"/>
                    <w:lang w:eastAsia="en-NZ"/>
                  </w:rPr>
                  <w:t>Limited/Nelson-Marlborough Problem Gambling Services</w:t>
                </w:r>
              </w:p>
            </w:tc>
          </w:tr>
          <w:tr w:rsidR="00326390" w:rsidRPr="00326390" w14:paraId="0D615DD1" w14:textId="77777777" w:rsidTr="00326390">
            <w:trPr>
              <w:trHeight w:val="300"/>
            </w:trPr>
            <w:tc>
              <w:tcPr>
                <w:tcW w:w="557" w:type="dxa"/>
                <w:tcBorders>
                  <w:top w:val="nil"/>
                  <w:left w:val="nil"/>
                  <w:bottom w:val="nil"/>
                  <w:right w:val="nil"/>
                </w:tcBorders>
                <w:shd w:val="clear" w:color="auto" w:fill="auto"/>
                <w:noWrap/>
                <w:vAlign w:val="bottom"/>
                <w:hideMark/>
              </w:tcPr>
              <w:p w14:paraId="5D0B11EC"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12</w:t>
                </w:r>
              </w:p>
            </w:tc>
            <w:tc>
              <w:tcPr>
                <w:tcW w:w="4264" w:type="dxa"/>
                <w:tcBorders>
                  <w:top w:val="nil"/>
                  <w:left w:val="nil"/>
                  <w:bottom w:val="nil"/>
                  <w:right w:val="nil"/>
                </w:tcBorders>
                <w:shd w:val="clear" w:color="auto" w:fill="auto"/>
                <w:noWrap/>
                <w:vAlign w:val="bottom"/>
                <w:hideMark/>
              </w:tcPr>
              <w:p w14:paraId="0CBB6D6B"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Christchurch City Council</w:t>
                </w:r>
              </w:p>
            </w:tc>
          </w:tr>
          <w:tr w:rsidR="00326390" w:rsidRPr="00326390" w14:paraId="1CCBD567" w14:textId="77777777" w:rsidTr="00326390">
            <w:trPr>
              <w:trHeight w:val="300"/>
            </w:trPr>
            <w:tc>
              <w:tcPr>
                <w:tcW w:w="557" w:type="dxa"/>
                <w:tcBorders>
                  <w:top w:val="nil"/>
                  <w:left w:val="nil"/>
                  <w:bottom w:val="nil"/>
                  <w:right w:val="nil"/>
                </w:tcBorders>
                <w:shd w:val="clear" w:color="auto" w:fill="auto"/>
                <w:noWrap/>
                <w:vAlign w:val="bottom"/>
                <w:hideMark/>
              </w:tcPr>
              <w:p w14:paraId="6B58DA63"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13</w:t>
                </w:r>
              </w:p>
            </w:tc>
            <w:tc>
              <w:tcPr>
                <w:tcW w:w="4264" w:type="dxa"/>
                <w:tcBorders>
                  <w:top w:val="nil"/>
                  <w:left w:val="nil"/>
                  <w:bottom w:val="nil"/>
                  <w:right w:val="nil"/>
                </w:tcBorders>
                <w:shd w:val="clear" w:color="auto" w:fill="auto"/>
                <w:noWrap/>
                <w:vAlign w:val="bottom"/>
                <w:hideMark/>
              </w:tcPr>
              <w:p w14:paraId="4ABF0266"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K'aute Pasifika Trust</w:t>
                </w:r>
              </w:p>
            </w:tc>
          </w:tr>
          <w:tr w:rsidR="00326390" w:rsidRPr="00326390" w14:paraId="2DAB1FCC" w14:textId="77777777" w:rsidTr="00326390">
            <w:trPr>
              <w:trHeight w:val="300"/>
            </w:trPr>
            <w:tc>
              <w:tcPr>
                <w:tcW w:w="557" w:type="dxa"/>
                <w:tcBorders>
                  <w:top w:val="nil"/>
                  <w:left w:val="nil"/>
                  <w:bottom w:val="nil"/>
                  <w:right w:val="nil"/>
                </w:tcBorders>
                <w:shd w:val="clear" w:color="auto" w:fill="auto"/>
                <w:noWrap/>
                <w:vAlign w:val="bottom"/>
                <w:hideMark/>
              </w:tcPr>
              <w:p w14:paraId="52C69BCC"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14</w:t>
                </w:r>
              </w:p>
            </w:tc>
            <w:tc>
              <w:tcPr>
                <w:tcW w:w="4264" w:type="dxa"/>
                <w:tcBorders>
                  <w:top w:val="nil"/>
                  <w:left w:val="nil"/>
                  <w:bottom w:val="nil"/>
                  <w:right w:val="nil"/>
                </w:tcBorders>
                <w:shd w:val="clear" w:color="auto" w:fill="auto"/>
                <w:noWrap/>
                <w:vAlign w:val="bottom"/>
                <w:hideMark/>
              </w:tcPr>
              <w:p w14:paraId="2853B09C"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Clubs New Zealand</w:t>
                </w:r>
              </w:p>
            </w:tc>
          </w:tr>
          <w:tr w:rsidR="00326390" w:rsidRPr="00326390" w14:paraId="4A139B2A" w14:textId="77777777" w:rsidTr="00326390">
            <w:trPr>
              <w:trHeight w:val="300"/>
            </w:trPr>
            <w:tc>
              <w:tcPr>
                <w:tcW w:w="557" w:type="dxa"/>
                <w:tcBorders>
                  <w:top w:val="nil"/>
                  <w:left w:val="nil"/>
                  <w:bottom w:val="nil"/>
                  <w:right w:val="nil"/>
                </w:tcBorders>
                <w:shd w:val="clear" w:color="auto" w:fill="auto"/>
                <w:noWrap/>
                <w:vAlign w:val="bottom"/>
                <w:hideMark/>
              </w:tcPr>
              <w:p w14:paraId="18EFA7C2"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15</w:t>
                </w:r>
              </w:p>
            </w:tc>
            <w:tc>
              <w:tcPr>
                <w:tcW w:w="4264" w:type="dxa"/>
                <w:tcBorders>
                  <w:top w:val="nil"/>
                  <w:left w:val="nil"/>
                  <w:bottom w:val="nil"/>
                  <w:right w:val="nil"/>
                </w:tcBorders>
                <w:shd w:val="clear" w:color="auto" w:fill="auto"/>
                <w:noWrap/>
                <w:vAlign w:val="bottom"/>
                <w:hideMark/>
              </w:tcPr>
              <w:p w14:paraId="3D037E5D"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Salvation Army OASIS Wellington</w:t>
                </w:r>
              </w:p>
            </w:tc>
          </w:tr>
          <w:tr w:rsidR="00326390" w:rsidRPr="00326390" w14:paraId="6D8C4906" w14:textId="77777777" w:rsidTr="00326390">
            <w:trPr>
              <w:trHeight w:val="300"/>
            </w:trPr>
            <w:tc>
              <w:tcPr>
                <w:tcW w:w="557" w:type="dxa"/>
                <w:tcBorders>
                  <w:top w:val="nil"/>
                  <w:left w:val="nil"/>
                  <w:bottom w:val="nil"/>
                  <w:right w:val="nil"/>
                </w:tcBorders>
                <w:shd w:val="clear" w:color="auto" w:fill="auto"/>
                <w:noWrap/>
                <w:vAlign w:val="bottom"/>
                <w:hideMark/>
              </w:tcPr>
              <w:p w14:paraId="6D346AE1"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16</w:t>
                </w:r>
              </w:p>
            </w:tc>
            <w:tc>
              <w:tcPr>
                <w:tcW w:w="4264" w:type="dxa"/>
                <w:tcBorders>
                  <w:top w:val="nil"/>
                  <w:left w:val="nil"/>
                  <w:bottom w:val="nil"/>
                  <w:right w:val="nil"/>
                </w:tcBorders>
                <w:shd w:val="clear" w:color="auto" w:fill="auto"/>
                <w:noWrap/>
                <w:vAlign w:val="bottom"/>
                <w:hideMark/>
              </w:tcPr>
              <w:p w14:paraId="0EF524AA"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Four Winds Foundation</w:t>
                </w:r>
              </w:p>
            </w:tc>
          </w:tr>
          <w:tr w:rsidR="00326390" w:rsidRPr="00326390" w14:paraId="785BB699" w14:textId="77777777" w:rsidTr="00326390">
            <w:trPr>
              <w:trHeight w:val="300"/>
            </w:trPr>
            <w:tc>
              <w:tcPr>
                <w:tcW w:w="557" w:type="dxa"/>
                <w:tcBorders>
                  <w:top w:val="nil"/>
                  <w:left w:val="nil"/>
                  <w:bottom w:val="nil"/>
                  <w:right w:val="nil"/>
                </w:tcBorders>
                <w:shd w:val="clear" w:color="auto" w:fill="auto"/>
                <w:noWrap/>
                <w:vAlign w:val="bottom"/>
                <w:hideMark/>
              </w:tcPr>
              <w:p w14:paraId="39DA5F05"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17</w:t>
                </w:r>
              </w:p>
            </w:tc>
            <w:tc>
              <w:tcPr>
                <w:tcW w:w="4264" w:type="dxa"/>
                <w:tcBorders>
                  <w:top w:val="nil"/>
                  <w:left w:val="nil"/>
                  <w:bottom w:val="nil"/>
                  <w:right w:val="nil"/>
                </w:tcBorders>
                <w:shd w:val="clear" w:color="auto" w:fill="auto"/>
                <w:noWrap/>
                <w:vAlign w:val="bottom"/>
                <w:hideMark/>
              </w:tcPr>
              <w:p w14:paraId="097C15C4"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The Lion Foundation</w:t>
                </w:r>
              </w:p>
            </w:tc>
          </w:tr>
          <w:tr w:rsidR="00326390" w:rsidRPr="00326390" w14:paraId="1564C5DB" w14:textId="77777777" w:rsidTr="00326390">
            <w:trPr>
              <w:trHeight w:val="300"/>
            </w:trPr>
            <w:tc>
              <w:tcPr>
                <w:tcW w:w="557" w:type="dxa"/>
                <w:tcBorders>
                  <w:top w:val="nil"/>
                  <w:left w:val="nil"/>
                  <w:bottom w:val="nil"/>
                  <w:right w:val="nil"/>
                </w:tcBorders>
                <w:shd w:val="clear" w:color="auto" w:fill="auto"/>
                <w:noWrap/>
                <w:vAlign w:val="bottom"/>
                <w:hideMark/>
              </w:tcPr>
              <w:p w14:paraId="00569E6A" w14:textId="77777777" w:rsid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18</w:t>
                </w:r>
              </w:p>
              <w:p w14:paraId="717906D6" w14:textId="77777777" w:rsidR="006B5D41" w:rsidRPr="00326390" w:rsidRDefault="006B5D41" w:rsidP="00326390">
                <w:pPr>
                  <w:spacing w:after="0" w:line="240" w:lineRule="auto"/>
                  <w:jc w:val="right"/>
                  <w:rPr>
                    <w:rFonts w:ascii="Calibri" w:eastAsia="Times New Roman" w:hAnsi="Calibri" w:cs="Calibri"/>
                    <w:color w:val="000000"/>
                    <w:lang w:eastAsia="en-NZ"/>
                  </w:rPr>
                </w:pPr>
              </w:p>
            </w:tc>
            <w:tc>
              <w:tcPr>
                <w:tcW w:w="4264" w:type="dxa"/>
                <w:tcBorders>
                  <w:top w:val="nil"/>
                  <w:left w:val="nil"/>
                  <w:bottom w:val="nil"/>
                  <w:right w:val="nil"/>
                </w:tcBorders>
                <w:shd w:val="clear" w:color="auto" w:fill="auto"/>
                <w:noWrap/>
                <w:vAlign w:val="bottom"/>
                <w:hideMark/>
              </w:tcPr>
              <w:p w14:paraId="1D2A8D1D" w14:textId="77777777" w:rsidR="006B5D41"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 xml:space="preserve">Gaming Machine Association of New </w:t>
                </w:r>
              </w:p>
              <w:p w14:paraId="4B08384D" w14:textId="04746516"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Zealand</w:t>
                </w:r>
              </w:p>
            </w:tc>
          </w:tr>
          <w:tr w:rsidR="00326390" w:rsidRPr="00326390" w14:paraId="3A4161D6" w14:textId="77777777" w:rsidTr="00326390">
            <w:trPr>
              <w:trHeight w:val="300"/>
            </w:trPr>
            <w:tc>
              <w:tcPr>
                <w:tcW w:w="557" w:type="dxa"/>
                <w:tcBorders>
                  <w:top w:val="nil"/>
                  <w:left w:val="nil"/>
                  <w:bottom w:val="nil"/>
                  <w:right w:val="nil"/>
                </w:tcBorders>
                <w:shd w:val="clear" w:color="auto" w:fill="auto"/>
                <w:noWrap/>
                <w:vAlign w:val="bottom"/>
                <w:hideMark/>
              </w:tcPr>
              <w:p w14:paraId="56071AE7"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19</w:t>
                </w:r>
              </w:p>
            </w:tc>
            <w:tc>
              <w:tcPr>
                <w:tcW w:w="4264" w:type="dxa"/>
                <w:tcBorders>
                  <w:top w:val="nil"/>
                  <w:left w:val="nil"/>
                  <w:bottom w:val="nil"/>
                  <w:right w:val="nil"/>
                </w:tcBorders>
                <w:shd w:val="clear" w:color="auto" w:fill="auto"/>
                <w:noWrap/>
                <w:vAlign w:val="bottom"/>
                <w:hideMark/>
              </w:tcPr>
              <w:p w14:paraId="69A00088"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Hennessy’s Irish Bar</w:t>
                </w:r>
              </w:p>
            </w:tc>
          </w:tr>
          <w:tr w:rsidR="00326390" w:rsidRPr="00326390" w14:paraId="5B2EF441" w14:textId="77777777" w:rsidTr="00326390">
            <w:trPr>
              <w:trHeight w:val="300"/>
            </w:trPr>
            <w:tc>
              <w:tcPr>
                <w:tcW w:w="557" w:type="dxa"/>
                <w:tcBorders>
                  <w:top w:val="nil"/>
                  <w:left w:val="nil"/>
                  <w:bottom w:val="nil"/>
                  <w:right w:val="nil"/>
                </w:tcBorders>
                <w:shd w:val="clear" w:color="auto" w:fill="auto"/>
                <w:noWrap/>
                <w:vAlign w:val="bottom"/>
                <w:hideMark/>
              </w:tcPr>
              <w:p w14:paraId="79530EF4"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20</w:t>
                </w:r>
              </w:p>
            </w:tc>
            <w:tc>
              <w:tcPr>
                <w:tcW w:w="4264" w:type="dxa"/>
                <w:tcBorders>
                  <w:top w:val="nil"/>
                  <w:left w:val="nil"/>
                  <w:bottom w:val="nil"/>
                  <w:right w:val="nil"/>
                </w:tcBorders>
                <w:shd w:val="clear" w:color="auto" w:fill="auto"/>
                <w:noWrap/>
                <w:vAlign w:val="bottom"/>
                <w:hideMark/>
              </w:tcPr>
              <w:p w14:paraId="02719A09"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ABACUS Counselling, Training &amp; Supervision Ltd</w:t>
                </w:r>
              </w:p>
            </w:tc>
          </w:tr>
          <w:tr w:rsidR="00326390" w:rsidRPr="00326390" w14:paraId="7641093D" w14:textId="77777777" w:rsidTr="00326390">
            <w:trPr>
              <w:trHeight w:val="300"/>
            </w:trPr>
            <w:tc>
              <w:tcPr>
                <w:tcW w:w="557" w:type="dxa"/>
                <w:tcBorders>
                  <w:top w:val="nil"/>
                  <w:left w:val="nil"/>
                  <w:bottom w:val="nil"/>
                  <w:right w:val="nil"/>
                </w:tcBorders>
                <w:shd w:val="clear" w:color="auto" w:fill="auto"/>
                <w:noWrap/>
                <w:vAlign w:val="bottom"/>
                <w:hideMark/>
              </w:tcPr>
              <w:p w14:paraId="335D492B"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21</w:t>
                </w:r>
              </w:p>
            </w:tc>
            <w:tc>
              <w:tcPr>
                <w:tcW w:w="4264" w:type="dxa"/>
                <w:tcBorders>
                  <w:top w:val="nil"/>
                  <w:left w:val="nil"/>
                  <w:bottom w:val="nil"/>
                  <w:right w:val="nil"/>
                </w:tcBorders>
                <w:shd w:val="clear" w:color="auto" w:fill="auto"/>
                <w:noWrap/>
                <w:vAlign w:val="bottom"/>
                <w:hideMark/>
              </w:tcPr>
              <w:p w14:paraId="1CCCC227" w14:textId="6D46C179" w:rsidR="00326390" w:rsidRPr="00326390" w:rsidRDefault="00A86925" w:rsidP="00326390">
                <w:pPr>
                  <w:spacing w:after="0" w:line="240" w:lineRule="auto"/>
                  <w:jc w:val="both"/>
                  <w:rPr>
                    <w:rFonts w:ascii="Cambria" w:eastAsia="Times New Roman" w:hAnsi="Cambria" w:cs="Calibri"/>
                    <w:color w:val="000000"/>
                    <w:lang w:eastAsia="en-NZ"/>
                  </w:rPr>
                </w:pPr>
                <w:r>
                  <w:rPr>
                    <w:rFonts w:ascii="Cambria" w:eastAsia="Times New Roman" w:hAnsi="Cambria" w:cs="Calibri"/>
                    <w:color w:val="000000"/>
                    <w:lang w:eastAsia="en-NZ"/>
                  </w:rPr>
                  <w:t>Individual</w:t>
                </w:r>
              </w:p>
            </w:tc>
          </w:tr>
          <w:tr w:rsidR="00326390" w:rsidRPr="00326390" w14:paraId="732F094B" w14:textId="77777777" w:rsidTr="00326390">
            <w:trPr>
              <w:trHeight w:val="300"/>
            </w:trPr>
            <w:tc>
              <w:tcPr>
                <w:tcW w:w="557" w:type="dxa"/>
                <w:tcBorders>
                  <w:top w:val="nil"/>
                  <w:left w:val="nil"/>
                  <w:bottom w:val="nil"/>
                  <w:right w:val="nil"/>
                </w:tcBorders>
                <w:shd w:val="clear" w:color="auto" w:fill="auto"/>
                <w:noWrap/>
                <w:vAlign w:val="bottom"/>
                <w:hideMark/>
              </w:tcPr>
              <w:p w14:paraId="380C5668"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22</w:t>
                </w:r>
              </w:p>
            </w:tc>
            <w:tc>
              <w:tcPr>
                <w:tcW w:w="4264" w:type="dxa"/>
                <w:tcBorders>
                  <w:top w:val="nil"/>
                  <w:left w:val="nil"/>
                  <w:bottom w:val="nil"/>
                  <w:right w:val="nil"/>
                </w:tcBorders>
                <w:shd w:val="clear" w:color="auto" w:fill="auto"/>
                <w:noWrap/>
                <w:vAlign w:val="bottom"/>
                <w:hideMark/>
              </w:tcPr>
              <w:p w14:paraId="4C5BA753"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BlueSync Limited</w:t>
                </w:r>
              </w:p>
            </w:tc>
          </w:tr>
          <w:tr w:rsidR="00326390" w:rsidRPr="00326390" w14:paraId="18A43B76" w14:textId="77777777" w:rsidTr="00326390">
            <w:trPr>
              <w:trHeight w:val="300"/>
            </w:trPr>
            <w:tc>
              <w:tcPr>
                <w:tcW w:w="557" w:type="dxa"/>
                <w:tcBorders>
                  <w:top w:val="nil"/>
                  <w:left w:val="nil"/>
                  <w:bottom w:val="nil"/>
                  <w:right w:val="nil"/>
                </w:tcBorders>
                <w:shd w:val="clear" w:color="auto" w:fill="auto"/>
                <w:noWrap/>
                <w:vAlign w:val="bottom"/>
                <w:hideMark/>
              </w:tcPr>
              <w:p w14:paraId="6E8482E5"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23</w:t>
                </w:r>
              </w:p>
            </w:tc>
            <w:tc>
              <w:tcPr>
                <w:tcW w:w="4264" w:type="dxa"/>
                <w:tcBorders>
                  <w:top w:val="nil"/>
                  <w:left w:val="nil"/>
                  <w:bottom w:val="nil"/>
                  <w:right w:val="nil"/>
                </w:tcBorders>
                <w:shd w:val="clear" w:color="auto" w:fill="auto"/>
                <w:noWrap/>
                <w:vAlign w:val="bottom"/>
                <w:hideMark/>
              </w:tcPr>
              <w:p w14:paraId="6C9E86BF"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Wellington City Council</w:t>
                </w:r>
              </w:p>
            </w:tc>
          </w:tr>
          <w:tr w:rsidR="00326390" w:rsidRPr="00326390" w14:paraId="05985060" w14:textId="77777777" w:rsidTr="00326390">
            <w:trPr>
              <w:trHeight w:val="300"/>
            </w:trPr>
            <w:tc>
              <w:tcPr>
                <w:tcW w:w="557" w:type="dxa"/>
                <w:tcBorders>
                  <w:top w:val="nil"/>
                  <w:left w:val="nil"/>
                  <w:bottom w:val="nil"/>
                  <w:right w:val="nil"/>
                </w:tcBorders>
                <w:shd w:val="clear" w:color="auto" w:fill="auto"/>
                <w:noWrap/>
                <w:vAlign w:val="bottom"/>
                <w:hideMark/>
              </w:tcPr>
              <w:p w14:paraId="6F89CAE6"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24</w:t>
                </w:r>
              </w:p>
            </w:tc>
            <w:tc>
              <w:tcPr>
                <w:tcW w:w="4264" w:type="dxa"/>
                <w:tcBorders>
                  <w:top w:val="nil"/>
                  <w:left w:val="nil"/>
                  <w:bottom w:val="nil"/>
                  <w:right w:val="nil"/>
                </w:tcBorders>
                <w:shd w:val="clear" w:color="auto" w:fill="auto"/>
                <w:noWrap/>
                <w:vAlign w:val="bottom"/>
                <w:hideMark/>
              </w:tcPr>
              <w:p w14:paraId="1439B9C4"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Waikato DHB</w:t>
                </w:r>
              </w:p>
            </w:tc>
          </w:tr>
          <w:tr w:rsidR="00326390" w:rsidRPr="00326390" w14:paraId="2524E985" w14:textId="77777777" w:rsidTr="00326390">
            <w:trPr>
              <w:trHeight w:val="300"/>
            </w:trPr>
            <w:tc>
              <w:tcPr>
                <w:tcW w:w="557" w:type="dxa"/>
                <w:tcBorders>
                  <w:top w:val="nil"/>
                  <w:left w:val="nil"/>
                  <w:bottom w:val="nil"/>
                  <w:right w:val="nil"/>
                </w:tcBorders>
                <w:shd w:val="clear" w:color="auto" w:fill="auto"/>
                <w:noWrap/>
                <w:vAlign w:val="bottom"/>
                <w:hideMark/>
              </w:tcPr>
              <w:p w14:paraId="3F5020E2"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25</w:t>
                </w:r>
              </w:p>
            </w:tc>
            <w:tc>
              <w:tcPr>
                <w:tcW w:w="4264" w:type="dxa"/>
                <w:tcBorders>
                  <w:top w:val="nil"/>
                  <w:left w:val="nil"/>
                  <w:bottom w:val="nil"/>
                  <w:right w:val="nil"/>
                </w:tcBorders>
                <w:shd w:val="clear" w:color="auto" w:fill="auto"/>
                <w:noWrap/>
                <w:vAlign w:val="bottom"/>
                <w:hideMark/>
              </w:tcPr>
              <w:p w14:paraId="000A45D0"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Whakatāne District Council</w:t>
                </w:r>
              </w:p>
            </w:tc>
          </w:tr>
          <w:tr w:rsidR="00326390" w:rsidRPr="00326390" w14:paraId="1EC7A29F" w14:textId="77777777" w:rsidTr="00326390">
            <w:trPr>
              <w:trHeight w:val="300"/>
            </w:trPr>
            <w:tc>
              <w:tcPr>
                <w:tcW w:w="557" w:type="dxa"/>
                <w:tcBorders>
                  <w:top w:val="nil"/>
                  <w:left w:val="nil"/>
                  <w:bottom w:val="nil"/>
                  <w:right w:val="nil"/>
                </w:tcBorders>
                <w:shd w:val="clear" w:color="auto" w:fill="auto"/>
                <w:noWrap/>
                <w:vAlign w:val="bottom"/>
                <w:hideMark/>
              </w:tcPr>
              <w:p w14:paraId="141F6C8F"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26</w:t>
                </w:r>
              </w:p>
            </w:tc>
            <w:tc>
              <w:tcPr>
                <w:tcW w:w="4264" w:type="dxa"/>
                <w:tcBorders>
                  <w:top w:val="nil"/>
                  <w:left w:val="nil"/>
                  <w:bottom w:val="nil"/>
                  <w:right w:val="nil"/>
                </w:tcBorders>
                <w:shd w:val="clear" w:color="auto" w:fill="auto"/>
                <w:noWrap/>
                <w:vAlign w:val="bottom"/>
                <w:hideMark/>
              </w:tcPr>
              <w:p w14:paraId="149477E1"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BlueSky Community Trust Ltd</w:t>
                </w:r>
              </w:p>
            </w:tc>
          </w:tr>
          <w:tr w:rsidR="00326390" w:rsidRPr="00326390" w14:paraId="5EF46904" w14:textId="77777777" w:rsidTr="00326390">
            <w:trPr>
              <w:trHeight w:val="300"/>
            </w:trPr>
            <w:tc>
              <w:tcPr>
                <w:tcW w:w="557" w:type="dxa"/>
                <w:tcBorders>
                  <w:top w:val="nil"/>
                  <w:left w:val="nil"/>
                  <w:bottom w:val="nil"/>
                  <w:right w:val="nil"/>
                </w:tcBorders>
                <w:shd w:val="clear" w:color="auto" w:fill="auto"/>
                <w:noWrap/>
                <w:vAlign w:val="bottom"/>
                <w:hideMark/>
              </w:tcPr>
              <w:p w14:paraId="6BB663DC"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27</w:t>
                </w:r>
              </w:p>
            </w:tc>
            <w:tc>
              <w:tcPr>
                <w:tcW w:w="4264" w:type="dxa"/>
                <w:tcBorders>
                  <w:top w:val="nil"/>
                  <w:left w:val="nil"/>
                  <w:bottom w:val="nil"/>
                  <w:right w:val="nil"/>
                </w:tcBorders>
                <w:shd w:val="clear" w:color="auto" w:fill="auto"/>
                <w:noWrap/>
                <w:vAlign w:val="bottom"/>
                <w:hideMark/>
              </w:tcPr>
              <w:p w14:paraId="4F21CE4E"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Auckland Regional Public Health Service</w:t>
                </w:r>
              </w:p>
            </w:tc>
          </w:tr>
          <w:tr w:rsidR="00326390" w:rsidRPr="00326390" w14:paraId="025A3C69" w14:textId="77777777" w:rsidTr="00326390">
            <w:trPr>
              <w:trHeight w:val="300"/>
            </w:trPr>
            <w:tc>
              <w:tcPr>
                <w:tcW w:w="557" w:type="dxa"/>
                <w:tcBorders>
                  <w:top w:val="nil"/>
                  <w:left w:val="nil"/>
                  <w:bottom w:val="nil"/>
                  <w:right w:val="nil"/>
                </w:tcBorders>
                <w:shd w:val="clear" w:color="auto" w:fill="auto"/>
                <w:noWrap/>
                <w:vAlign w:val="bottom"/>
                <w:hideMark/>
              </w:tcPr>
              <w:p w14:paraId="616DA0C2"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28</w:t>
                </w:r>
              </w:p>
            </w:tc>
            <w:tc>
              <w:tcPr>
                <w:tcW w:w="4264" w:type="dxa"/>
                <w:tcBorders>
                  <w:top w:val="nil"/>
                  <w:left w:val="nil"/>
                  <w:bottom w:val="nil"/>
                  <w:right w:val="nil"/>
                </w:tcBorders>
                <w:shd w:val="clear" w:color="auto" w:fill="auto"/>
                <w:noWrap/>
                <w:vAlign w:val="bottom"/>
                <w:hideMark/>
              </w:tcPr>
              <w:p w14:paraId="45BD184E"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Grassroots Trust Limited</w:t>
                </w:r>
              </w:p>
            </w:tc>
          </w:tr>
          <w:tr w:rsidR="00326390" w:rsidRPr="00326390" w14:paraId="0EC6A5DF" w14:textId="77777777" w:rsidTr="00326390">
            <w:trPr>
              <w:trHeight w:val="300"/>
            </w:trPr>
            <w:tc>
              <w:tcPr>
                <w:tcW w:w="557" w:type="dxa"/>
                <w:tcBorders>
                  <w:top w:val="nil"/>
                  <w:left w:val="nil"/>
                  <w:bottom w:val="nil"/>
                  <w:right w:val="nil"/>
                </w:tcBorders>
                <w:shd w:val="clear" w:color="auto" w:fill="auto"/>
                <w:noWrap/>
                <w:vAlign w:val="bottom"/>
                <w:hideMark/>
              </w:tcPr>
              <w:p w14:paraId="5ACC33FA"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29</w:t>
                </w:r>
              </w:p>
            </w:tc>
            <w:tc>
              <w:tcPr>
                <w:tcW w:w="4264" w:type="dxa"/>
                <w:tcBorders>
                  <w:top w:val="nil"/>
                  <w:left w:val="nil"/>
                  <w:bottom w:val="nil"/>
                  <w:right w:val="nil"/>
                </w:tcBorders>
                <w:shd w:val="clear" w:color="auto" w:fill="auto"/>
                <w:noWrap/>
                <w:vAlign w:val="bottom"/>
                <w:hideMark/>
              </w:tcPr>
              <w:p w14:paraId="66F2E1A0"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Manawatu District Council</w:t>
                </w:r>
              </w:p>
            </w:tc>
          </w:tr>
          <w:tr w:rsidR="00326390" w:rsidRPr="00326390" w14:paraId="690F70FE" w14:textId="77777777" w:rsidTr="00326390">
            <w:trPr>
              <w:trHeight w:val="300"/>
            </w:trPr>
            <w:tc>
              <w:tcPr>
                <w:tcW w:w="557" w:type="dxa"/>
                <w:tcBorders>
                  <w:top w:val="nil"/>
                  <w:left w:val="nil"/>
                  <w:bottom w:val="nil"/>
                  <w:right w:val="nil"/>
                </w:tcBorders>
                <w:shd w:val="clear" w:color="auto" w:fill="auto"/>
                <w:noWrap/>
                <w:vAlign w:val="bottom"/>
                <w:hideMark/>
              </w:tcPr>
              <w:p w14:paraId="75D62151"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30</w:t>
                </w:r>
              </w:p>
            </w:tc>
            <w:tc>
              <w:tcPr>
                <w:tcW w:w="4264" w:type="dxa"/>
                <w:tcBorders>
                  <w:top w:val="nil"/>
                  <w:left w:val="nil"/>
                  <w:bottom w:val="nil"/>
                  <w:right w:val="nil"/>
                </w:tcBorders>
                <w:shd w:val="clear" w:color="auto" w:fill="auto"/>
                <w:noWrap/>
                <w:vAlign w:val="bottom"/>
                <w:hideMark/>
              </w:tcPr>
              <w:p w14:paraId="32C9214E"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Canterbury DHB</w:t>
                </w:r>
              </w:p>
            </w:tc>
          </w:tr>
          <w:tr w:rsidR="00326390" w:rsidRPr="00326390" w14:paraId="3AF04B76" w14:textId="77777777" w:rsidTr="00326390">
            <w:trPr>
              <w:trHeight w:val="300"/>
            </w:trPr>
            <w:tc>
              <w:tcPr>
                <w:tcW w:w="557" w:type="dxa"/>
                <w:tcBorders>
                  <w:top w:val="nil"/>
                  <w:left w:val="nil"/>
                  <w:bottom w:val="nil"/>
                  <w:right w:val="nil"/>
                </w:tcBorders>
                <w:shd w:val="clear" w:color="auto" w:fill="auto"/>
                <w:noWrap/>
                <w:vAlign w:val="bottom"/>
                <w:hideMark/>
              </w:tcPr>
              <w:p w14:paraId="106EC14E"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31</w:t>
                </w:r>
              </w:p>
            </w:tc>
            <w:tc>
              <w:tcPr>
                <w:tcW w:w="4264" w:type="dxa"/>
                <w:tcBorders>
                  <w:top w:val="nil"/>
                  <w:left w:val="nil"/>
                  <w:bottom w:val="nil"/>
                  <w:right w:val="nil"/>
                </w:tcBorders>
                <w:shd w:val="clear" w:color="auto" w:fill="auto"/>
                <w:noWrap/>
                <w:vAlign w:val="bottom"/>
                <w:hideMark/>
              </w:tcPr>
              <w:p w14:paraId="03FA7893"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Whanganui District Council</w:t>
                </w:r>
              </w:p>
            </w:tc>
          </w:tr>
          <w:tr w:rsidR="00326390" w:rsidRPr="00326390" w14:paraId="528E9DEC" w14:textId="77777777" w:rsidTr="00326390">
            <w:trPr>
              <w:trHeight w:val="300"/>
            </w:trPr>
            <w:tc>
              <w:tcPr>
                <w:tcW w:w="557" w:type="dxa"/>
                <w:tcBorders>
                  <w:top w:val="nil"/>
                  <w:left w:val="nil"/>
                  <w:bottom w:val="nil"/>
                  <w:right w:val="nil"/>
                </w:tcBorders>
                <w:shd w:val="clear" w:color="auto" w:fill="auto"/>
                <w:noWrap/>
                <w:vAlign w:val="bottom"/>
                <w:hideMark/>
              </w:tcPr>
              <w:p w14:paraId="2F8BC037"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32</w:t>
                </w:r>
              </w:p>
            </w:tc>
            <w:tc>
              <w:tcPr>
                <w:tcW w:w="4264" w:type="dxa"/>
                <w:tcBorders>
                  <w:top w:val="nil"/>
                  <w:left w:val="nil"/>
                  <w:bottom w:val="nil"/>
                  <w:right w:val="nil"/>
                </w:tcBorders>
                <w:shd w:val="clear" w:color="auto" w:fill="auto"/>
                <w:noWrap/>
                <w:vAlign w:val="bottom"/>
                <w:hideMark/>
              </w:tcPr>
              <w:p w14:paraId="1F59C95C"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Nelson Marlborough DHB</w:t>
                </w:r>
              </w:p>
            </w:tc>
          </w:tr>
          <w:tr w:rsidR="00326390" w:rsidRPr="00326390" w14:paraId="7280A0ED" w14:textId="77777777" w:rsidTr="00326390">
            <w:trPr>
              <w:trHeight w:val="300"/>
            </w:trPr>
            <w:tc>
              <w:tcPr>
                <w:tcW w:w="557" w:type="dxa"/>
                <w:tcBorders>
                  <w:top w:val="nil"/>
                  <w:left w:val="nil"/>
                  <w:bottom w:val="nil"/>
                  <w:right w:val="nil"/>
                </w:tcBorders>
                <w:shd w:val="clear" w:color="auto" w:fill="auto"/>
                <w:noWrap/>
                <w:vAlign w:val="bottom"/>
                <w:hideMark/>
              </w:tcPr>
              <w:p w14:paraId="444D35DC"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33</w:t>
                </w:r>
              </w:p>
            </w:tc>
            <w:tc>
              <w:tcPr>
                <w:tcW w:w="4264" w:type="dxa"/>
                <w:tcBorders>
                  <w:top w:val="nil"/>
                  <w:left w:val="nil"/>
                  <w:bottom w:val="nil"/>
                  <w:right w:val="nil"/>
                </w:tcBorders>
                <w:shd w:val="clear" w:color="auto" w:fill="auto"/>
                <w:noWrap/>
                <w:vAlign w:val="bottom"/>
                <w:hideMark/>
              </w:tcPr>
              <w:p w14:paraId="61180B91"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Southern DHB</w:t>
                </w:r>
              </w:p>
            </w:tc>
          </w:tr>
          <w:tr w:rsidR="00326390" w:rsidRPr="00326390" w14:paraId="1A1A3159" w14:textId="77777777" w:rsidTr="00326390">
            <w:trPr>
              <w:trHeight w:val="300"/>
            </w:trPr>
            <w:tc>
              <w:tcPr>
                <w:tcW w:w="557" w:type="dxa"/>
                <w:tcBorders>
                  <w:top w:val="nil"/>
                  <w:left w:val="nil"/>
                  <w:bottom w:val="nil"/>
                  <w:right w:val="nil"/>
                </w:tcBorders>
                <w:shd w:val="clear" w:color="auto" w:fill="auto"/>
                <w:noWrap/>
                <w:vAlign w:val="bottom"/>
                <w:hideMark/>
              </w:tcPr>
              <w:p w14:paraId="4BAA897A"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34</w:t>
                </w:r>
              </w:p>
            </w:tc>
            <w:tc>
              <w:tcPr>
                <w:tcW w:w="4264" w:type="dxa"/>
                <w:tcBorders>
                  <w:top w:val="nil"/>
                  <w:left w:val="nil"/>
                  <w:bottom w:val="nil"/>
                  <w:right w:val="nil"/>
                </w:tcBorders>
                <w:shd w:val="clear" w:color="auto" w:fill="auto"/>
                <w:noWrap/>
                <w:vAlign w:val="bottom"/>
                <w:hideMark/>
              </w:tcPr>
              <w:p w14:paraId="6868DE04"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Hospitality New Zealand</w:t>
                </w:r>
              </w:p>
            </w:tc>
          </w:tr>
          <w:tr w:rsidR="00326390" w:rsidRPr="00326390" w14:paraId="3BF3E34E" w14:textId="77777777" w:rsidTr="00326390">
            <w:trPr>
              <w:trHeight w:val="300"/>
            </w:trPr>
            <w:tc>
              <w:tcPr>
                <w:tcW w:w="557" w:type="dxa"/>
                <w:tcBorders>
                  <w:top w:val="nil"/>
                  <w:left w:val="nil"/>
                  <w:bottom w:val="nil"/>
                  <w:right w:val="nil"/>
                </w:tcBorders>
                <w:shd w:val="clear" w:color="auto" w:fill="auto"/>
                <w:noWrap/>
                <w:vAlign w:val="bottom"/>
                <w:hideMark/>
              </w:tcPr>
              <w:p w14:paraId="79E3DA67"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35</w:t>
                </w:r>
              </w:p>
            </w:tc>
            <w:tc>
              <w:tcPr>
                <w:tcW w:w="4264" w:type="dxa"/>
                <w:tcBorders>
                  <w:top w:val="nil"/>
                  <w:left w:val="nil"/>
                  <w:bottom w:val="nil"/>
                  <w:right w:val="nil"/>
                </w:tcBorders>
                <w:shd w:val="clear" w:color="auto" w:fill="auto"/>
                <w:noWrap/>
                <w:vAlign w:val="bottom"/>
                <w:hideMark/>
              </w:tcPr>
              <w:p w14:paraId="353E8EAA"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Advance Gaming</w:t>
                </w:r>
              </w:p>
            </w:tc>
          </w:tr>
          <w:tr w:rsidR="00326390" w:rsidRPr="00326390" w14:paraId="3081028F" w14:textId="77777777" w:rsidTr="00326390">
            <w:trPr>
              <w:trHeight w:val="300"/>
            </w:trPr>
            <w:tc>
              <w:tcPr>
                <w:tcW w:w="557" w:type="dxa"/>
                <w:tcBorders>
                  <w:top w:val="nil"/>
                  <w:left w:val="nil"/>
                  <w:bottom w:val="nil"/>
                  <w:right w:val="nil"/>
                </w:tcBorders>
                <w:shd w:val="clear" w:color="auto" w:fill="auto"/>
                <w:noWrap/>
                <w:vAlign w:val="bottom"/>
                <w:hideMark/>
              </w:tcPr>
              <w:p w14:paraId="1663EF1F"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36</w:t>
                </w:r>
              </w:p>
            </w:tc>
            <w:tc>
              <w:tcPr>
                <w:tcW w:w="4264" w:type="dxa"/>
                <w:tcBorders>
                  <w:top w:val="nil"/>
                  <w:left w:val="nil"/>
                  <w:bottom w:val="nil"/>
                  <w:right w:val="nil"/>
                </w:tcBorders>
                <w:shd w:val="clear" w:color="auto" w:fill="auto"/>
                <w:noWrap/>
                <w:vAlign w:val="bottom"/>
                <w:hideMark/>
              </w:tcPr>
              <w:p w14:paraId="12D92C31"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Whanganui DHB</w:t>
                </w:r>
              </w:p>
            </w:tc>
          </w:tr>
          <w:tr w:rsidR="00326390" w:rsidRPr="00326390" w14:paraId="1A1F1B37" w14:textId="77777777" w:rsidTr="00326390">
            <w:trPr>
              <w:trHeight w:val="300"/>
            </w:trPr>
            <w:tc>
              <w:tcPr>
                <w:tcW w:w="557" w:type="dxa"/>
                <w:tcBorders>
                  <w:top w:val="nil"/>
                  <w:left w:val="nil"/>
                  <w:bottom w:val="nil"/>
                  <w:right w:val="nil"/>
                </w:tcBorders>
                <w:shd w:val="clear" w:color="auto" w:fill="auto"/>
                <w:noWrap/>
                <w:vAlign w:val="bottom"/>
                <w:hideMark/>
              </w:tcPr>
              <w:p w14:paraId="604BE89C"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37</w:t>
                </w:r>
              </w:p>
            </w:tc>
            <w:tc>
              <w:tcPr>
                <w:tcW w:w="4264" w:type="dxa"/>
                <w:tcBorders>
                  <w:top w:val="nil"/>
                  <w:left w:val="nil"/>
                  <w:bottom w:val="nil"/>
                  <w:right w:val="nil"/>
                </w:tcBorders>
                <w:shd w:val="clear" w:color="auto" w:fill="auto"/>
                <w:noWrap/>
                <w:vAlign w:val="bottom"/>
                <w:hideMark/>
              </w:tcPr>
              <w:p w14:paraId="5B279F82"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Ngā Tai o Te Awa</w:t>
                </w:r>
              </w:p>
            </w:tc>
          </w:tr>
          <w:tr w:rsidR="00326390" w:rsidRPr="00326390" w14:paraId="501E2473" w14:textId="77777777" w:rsidTr="00326390">
            <w:trPr>
              <w:trHeight w:val="300"/>
            </w:trPr>
            <w:tc>
              <w:tcPr>
                <w:tcW w:w="557" w:type="dxa"/>
                <w:tcBorders>
                  <w:top w:val="nil"/>
                  <w:left w:val="nil"/>
                  <w:bottom w:val="nil"/>
                  <w:right w:val="nil"/>
                </w:tcBorders>
                <w:shd w:val="clear" w:color="auto" w:fill="auto"/>
                <w:noWrap/>
                <w:vAlign w:val="bottom"/>
                <w:hideMark/>
              </w:tcPr>
              <w:p w14:paraId="3663D06B"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38</w:t>
                </w:r>
              </w:p>
            </w:tc>
            <w:tc>
              <w:tcPr>
                <w:tcW w:w="4264" w:type="dxa"/>
                <w:tcBorders>
                  <w:top w:val="nil"/>
                  <w:left w:val="nil"/>
                  <w:bottom w:val="nil"/>
                  <w:right w:val="nil"/>
                </w:tcBorders>
                <w:shd w:val="clear" w:color="auto" w:fill="auto"/>
                <w:noWrap/>
                <w:vAlign w:val="bottom"/>
                <w:hideMark/>
              </w:tcPr>
              <w:p w14:paraId="2E3F5EA1" w14:textId="1C2B3D10" w:rsidR="00326390" w:rsidRPr="00326390" w:rsidRDefault="00A86925" w:rsidP="00326390">
                <w:pPr>
                  <w:spacing w:after="0" w:line="240" w:lineRule="auto"/>
                  <w:jc w:val="both"/>
                  <w:rPr>
                    <w:rFonts w:ascii="Cambria" w:eastAsia="Times New Roman" w:hAnsi="Cambria" w:cs="Calibri"/>
                    <w:color w:val="000000"/>
                    <w:lang w:eastAsia="en-NZ"/>
                  </w:rPr>
                </w:pPr>
                <w:r>
                  <w:rPr>
                    <w:rFonts w:ascii="Cambria" w:eastAsia="Times New Roman" w:hAnsi="Cambria" w:cs="Calibri"/>
                    <w:color w:val="000000"/>
                    <w:lang w:eastAsia="en-NZ"/>
                  </w:rPr>
                  <w:t>Individual</w:t>
                </w:r>
              </w:p>
            </w:tc>
          </w:tr>
          <w:tr w:rsidR="00326390" w:rsidRPr="00326390" w14:paraId="3AA6B865" w14:textId="77777777" w:rsidTr="00326390">
            <w:trPr>
              <w:trHeight w:val="300"/>
            </w:trPr>
            <w:tc>
              <w:tcPr>
                <w:tcW w:w="557" w:type="dxa"/>
                <w:tcBorders>
                  <w:top w:val="nil"/>
                  <w:left w:val="nil"/>
                  <w:bottom w:val="nil"/>
                  <w:right w:val="nil"/>
                </w:tcBorders>
                <w:shd w:val="clear" w:color="auto" w:fill="auto"/>
                <w:noWrap/>
                <w:vAlign w:val="bottom"/>
                <w:hideMark/>
              </w:tcPr>
              <w:p w14:paraId="2F692113"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39</w:t>
                </w:r>
              </w:p>
            </w:tc>
            <w:tc>
              <w:tcPr>
                <w:tcW w:w="4264" w:type="dxa"/>
                <w:tcBorders>
                  <w:top w:val="nil"/>
                  <w:left w:val="nil"/>
                  <w:bottom w:val="nil"/>
                  <w:right w:val="nil"/>
                </w:tcBorders>
                <w:shd w:val="clear" w:color="auto" w:fill="auto"/>
                <w:noWrap/>
                <w:vAlign w:val="bottom"/>
                <w:hideMark/>
              </w:tcPr>
              <w:p w14:paraId="6F26B2D0"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The Salvation Army Oasis</w:t>
                </w:r>
              </w:p>
            </w:tc>
          </w:tr>
          <w:tr w:rsidR="00326390" w:rsidRPr="00326390" w14:paraId="146822D6" w14:textId="77777777" w:rsidTr="00326390">
            <w:trPr>
              <w:trHeight w:val="300"/>
            </w:trPr>
            <w:tc>
              <w:tcPr>
                <w:tcW w:w="557" w:type="dxa"/>
                <w:tcBorders>
                  <w:top w:val="nil"/>
                  <w:left w:val="nil"/>
                  <w:bottom w:val="nil"/>
                  <w:right w:val="nil"/>
                </w:tcBorders>
                <w:shd w:val="clear" w:color="auto" w:fill="auto"/>
                <w:noWrap/>
                <w:vAlign w:val="bottom"/>
                <w:hideMark/>
              </w:tcPr>
              <w:p w14:paraId="28FCC4A6"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40</w:t>
                </w:r>
              </w:p>
            </w:tc>
            <w:tc>
              <w:tcPr>
                <w:tcW w:w="4264" w:type="dxa"/>
                <w:tcBorders>
                  <w:top w:val="nil"/>
                  <w:left w:val="nil"/>
                  <w:bottom w:val="nil"/>
                  <w:right w:val="nil"/>
                </w:tcBorders>
                <w:shd w:val="clear" w:color="auto" w:fill="auto"/>
                <w:noWrap/>
                <w:vAlign w:val="bottom"/>
                <w:hideMark/>
              </w:tcPr>
              <w:p w14:paraId="0410D280"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Auckland University of Technology</w:t>
                </w:r>
              </w:p>
            </w:tc>
          </w:tr>
          <w:tr w:rsidR="00326390" w:rsidRPr="00326390" w14:paraId="03412ED3" w14:textId="77777777" w:rsidTr="00326390">
            <w:trPr>
              <w:trHeight w:val="300"/>
            </w:trPr>
            <w:tc>
              <w:tcPr>
                <w:tcW w:w="557" w:type="dxa"/>
                <w:tcBorders>
                  <w:top w:val="nil"/>
                  <w:left w:val="nil"/>
                  <w:bottom w:val="nil"/>
                  <w:right w:val="nil"/>
                </w:tcBorders>
                <w:shd w:val="clear" w:color="auto" w:fill="auto"/>
                <w:noWrap/>
                <w:vAlign w:val="bottom"/>
                <w:hideMark/>
              </w:tcPr>
              <w:p w14:paraId="7A0D3744"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41</w:t>
                </w:r>
              </w:p>
            </w:tc>
            <w:tc>
              <w:tcPr>
                <w:tcW w:w="4264" w:type="dxa"/>
                <w:tcBorders>
                  <w:top w:val="nil"/>
                  <w:left w:val="nil"/>
                  <w:bottom w:val="nil"/>
                  <w:right w:val="nil"/>
                </w:tcBorders>
                <w:shd w:val="clear" w:color="auto" w:fill="auto"/>
                <w:noWrap/>
                <w:vAlign w:val="bottom"/>
                <w:hideMark/>
              </w:tcPr>
              <w:p w14:paraId="680E2F80"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One Foundation</w:t>
                </w:r>
              </w:p>
            </w:tc>
          </w:tr>
          <w:tr w:rsidR="00326390" w:rsidRPr="00326390" w14:paraId="3A054806" w14:textId="77777777" w:rsidTr="00326390">
            <w:trPr>
              <w:trHeight w:val="300"/>
            </w:trPr>
            <w:tc>
              <w:tcPr>
                <w:tcW w:w="557" w:type="dxa"/>
                <w:tcBorders>
                  <w:top w:val="nil"/>
                  <w:left w:val="nil"/>
                  <w:bottom w:val="nil"/>
                  <w:right w:val="nil"/>
                </w:tcBorders>
                <w:shd w:val="clear" w:color="auto" w:fill="auto"/>
                <w:noWrap/>
                <w:vAlign w:val="bottom"/>
                <w:hideMark/>
              </w:tcPr>
              <w:p w14:paraId="76AE08A6"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42</w:t>
                </w:r>
              </w:p>
            </w:tc>
            <w:tc>
              <w:tcPr>
                <w:tcW w:w="4264" w:type="dxa"/>
                <w:tcBorders>
                  <w:top w:val="nil"/>
                  <w:left w:val="nil"/>
                  <w:bottom w:val="nil"/>
                  <w:right w:val="nil"/>
                </w:tcBorders>
                <w:shd w:val="clear" w:color="auto" w:fill="auto"/>
                <w:noWrap/>
                <w:vAlign w:val="bottom"/>
                <w:hideMark/>
              </w:tcPr>
              <w:p w14:paraId="0D8ECAC3"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Lotto NZ</w:t>
                </w:r>
              </w:p>
            </w:tc>
          </w:tr>
          <w:tr w:rsidR="00326390" w:rsidRPr="00326390" w14:paraId="612FBA39" w14:textId="77777777" w:rsidTr="00326390">
            <w:trPr>
              <w:trHeight w:val="300"/>
            </w:trPr>
            <w:tc>
              <w:tcPr>
                <w:tcW w:w="557" w:type="dxa"/>
                <w:tcBorders>
                  <w:top w:val="nil"/>
                  <w:left w:val="nil"/>
                  <w:bottom w:val="nil"/>
                  <w:right w:val="nil"/>
                </w:tcBorders>
                <w:shd w:val="clear" w:color="auto" w:fill="auto"/>
                <w:noWrap/>
                <w:vAlign w:val="bottom"/>
                <w:hideMark/>
              </w:tcPr>
              <w:p w14:paraId="77A8D5F5"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43</w:t>
                </w:r>
              </w:p>
            </w:tc>
            <w:tc>
              <w:tcPr>
                <w:tcW w:w="4264" w:type="dxa"/>
                <w:tcBorders>
                  <w:top w:val="nil"/>
                  <w:left w:val="nil"/>
                  <w:bottom w:val="nil"/>
                  <w:right w:val="nil"/>
                </w:tcBorders>
                <w:shd w:val="clear" w:color="auto" w:fill="auto"/>
                <w:noWrap/>
                <w:vAlign w:val="bottom"/>
                <w:hideMark/>
              </w:tcPr>
              <w:p w14:paraId="232518A8"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New Zealand Racing Board</w:t>
                </w:r>
              </w:p>
            </w:tc>
          </w:tr>
          <w:tr w:rsidR="00326390" w:rsidRPr="00326390" w14:paraId="028BC177" w14:textId="77777777" w:rsidTr="00326390">
            <w:trPr>
              <w:trHeight w:val="300"/>
            </w:trPr>
            <w:tc>
              <w:tcPr>
                <w:tcW w:w="557" w:type="dxa"/>
                <w:tcBorders>
                  <w:top w:val="nil"/>
                  <w:left w:val="nil"/>
                  <w:bottom w:val="nil"/>
                  <w:right w:val="nil"/>
                </w:tcBorders>
                <w:shd w:val="clear" w:color="auto" w:fill="auto"/>
                <w:noWrap/>
                <w:vAlign w:val="bottom"/>
                <w:hideMark/>
              </w:tcPr>
              <w:p w14:paraId="7F080AB3"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44</w:t>
                </w:r>
              </w:p>
            </w:tc>
            <w:tc>
              <w:tcPr>
                <w:tcW w:w="4264" w:type="dxa"/>
                <w:tcBorders>
                  <w:top w:val="nil"/>
                  <w:left w:val="nil"/>
                  <w:bottom w:val="nil"/>
                  <w:right w:val="nil"/>
                </w:tcBorders>
                <w:shd w:val="clear" w:color="auto" w:fill="auto"/>
                <w:noWrap/>
                <w:vAlign w:val="bottom"/>
                <w:hideMark/>
              </w:tcPr>
              <w:p w14:paraId="728F67BD"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Problem Gambling Foundation</w:t>
                </w:r>
              </w:p>
            </w:tc>
          </w:tr>
          <w:tr w:rsidR="00326390" w:rsidRPr="00326390" w14:paraId="74F9238A" w14:textId="77777777" w:rsidTr="00326390">
            <w:trPr>
              <w:trHeight w:val="300"/>
            </w:trPr>
            <w:tc>
              <w:tcPr>
                <w:tcW w:w="557" w:type="dxa"/>
                <w:tcBorders>
                  <w:top w:val="nil"/>
                  <w:left w:val="nil"/>
                  <w:bottom w:val="nil"/>
                  <w:right w:val="nil"/>
                </w:tcBorders>
                <w:shd w:val="clear" w:color="auto" w:fill="auto"/>
                <w:noWrap/>
                <w:vAlign w:val="bottom"/>
                <w:hideMark/>
              </w:tcPr>
              <w:p w14:paraId="468992D3"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45</w:t>
                </w:r>
              </w:p>
            </w:tc>
            <w:tc>
              <w:tcPr>
                <w:tcW w:w="4264" w:type="dxa"/>
                <w:tcBorders>
                  <w:top w:val="nil"/>
                  <w:left w:val="nil"/>
                  <w:bottom w:val="nil"/>
                  <w:right w:val="nil"/>
                </w:tcBorders>
                <w:shd w:val="clear" w:color="auto" w:fill="auto"/>
                <w:noWrap/>
                <w:vAlign w:val="bottom"/>
                <w:hideMark/>
              </w:tcPr>
              <w:p w14:paraId="26D28305"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Asian Family Services</w:t>
                </w:r>
              </w:p>
            </w:tc>
          </w:tr>
          <w:tr w:rsidR="00326390" w:rsidRPr="00326390" w14:paraId="065E7B46" w14:textId="77777777" w:rsidTr="00326390">
            <w:trPr>
              <w:trHeight w:val="300"/>
            </w:trPr>
            <w:tc>
              <w:tcPr>
                <w:tcW w:w="557" w:type="dxa"/>
                <w:tcBorders>
                  <w:top w:val="nil"/>
                  <w:left w:val="nil"/>
                  <w:bottom w:val="nil"/>
                  <w:right w:val="nil"/>
                </w:tcBorders>
                <w:shd w:val="clear" w:color="auto" w:fill="auto"/>
                <w:noWrap/>
                <w:vAlign w:val="bottom"/>
                <w:hideMark/>
              </w:tcPr>
              <w:p w14:paraId="14D56557"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46</w:t>
                </w:r>
              </w:p>
            </w:tc>
            <w:tc>
              <w:tcPr>
                <w:tcW w:w="4264" w:type="dxa"/>
                <w:tcBorders>
                  <w:top w:val="nil"/>
                  <w:left w:val="nil"/>
                  <w:bottom w:val="nil"/>
                  <w:right w:val="nil"/>
                </w:tcBorders>
                <w:shd w:val="clear" w:color="auto" w:fill="auto"/>
                <w:noWrap/>
                <w:vAlign w:val="bottom"/>
                <w:hideMark/>
              </w:tcPr>
              <w:p w14:paraId="599D65FD" w14:textId="3C3C93BB"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A</w:t>
                </w:r>
                <w:r w:rsidR="00CC009C">
                  <w:rPr>
                    <w:rFonts w:ascii="Cambria" w:eastAsia="Times New Roman" w:hAnsi="Cambria" w:cs="Calibri"/>
                    <w:color w:val="000000"/>
                    <w:lang w:eastAsia="en-NZ"/>
                  </w:rPr>
                  <w:t>SHA</w:t>
                </w:r>
              </w:p>
            </w:tc>
          </w:tr>
          <w:tr w:rsidR="00326390" w:rsidRPr="00326390" w14:paraId="1A6AC4FE" w14:textId="77777777" w:rsidTr="00326390">
            <w:trPr>
              <w:trHeight w:val="300"/>
            </w:trPr>
            <w:tc>
              <w:tcPr>
                <w:tcW w:w="557" w:type="dxa"/>
                <w:tcBorders>
                  <w:top w:val="nil"/>
                  <w:left w:val="nil"/>
                  <w:bottom w:val="nil"/>
                  <w:right w:val="nil"/>
                </w:tcBorders>
                <w:shd w:val="clear" w:color="auto" w:fill="auto"/>
                <w:noWrap/>
                <w:vAlign w:val="bottom"/>
                <w:hideMark/>
              </w:tcPr>
              <w:p w14:paraId="71ABD02B"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47</w:t>
                </w:r>
              </w:p>
            </w:tc>
            <w:tc>
              <w:tcPr>
                <w:tcW w:w="4264" w:type="dxa"/>
                <w:tcBorders>
                  <w:top w:val="nil"/>
                  <w:left w:val="nil"/>
                  <w:bottom w:val="nil"/>
                  <w:right w:val="nil"/>
                </w:tcBorders>
                <w:shd w:val="clear" w:color="auto" w:fill="auto"/>
                <w:noWrap/>
                <w:vAlign w:val="bottom"/>
                <w:hideMark/>
              </w:tcPr>
              <w:p w14:paraId="675DF41C" w14:textId="42127B7D" w:rsidR="00326390" w:rsidRPr="00326390" w:rsidRDefault="00A86925" w:rsidP="00326390">
                <w:pPr>
                  <w:spacing w:after="0" w:line="240" w:lineRule="auto"/>
                  <w:jc w:val="both"/>
                  <w:rPr>
                    <w:rFonts w:ascii="Cambria" w:eastAsia="Times New Roman" w:hAnsi="Cambria" w:cs="Calibri"/>
                    <w:color w:val="000000"/>
                    <w:lang w:eastAsia="en-NZ"/>
                  </w:rPr>
                </w:pPr>
                <w:r>
                  <w:rPr>
                    <w:rFonts w:ascii="Cambria" w:eastAsia="Times New Roman" w:hAnsi="Cambria" w:cs="Calibri"/>
                    <w:color w:val="000000"/>
                    <w:lang w:eastAsia="en-NZ"/>
                  </w:rPr>
                  <w:t>Individual</w:t>
                </w:r>
              </w:p>
            </w:tc>
          </w:tr>
          <w:tr w:rsidR="00A86925" w:rsidRPr="00326390" w14:paraId="05B5BC70" w14:textId="77777777" w:rsidTr="00A86925">
            <w:trPr>
              <w:trHeight w:val="300"/>
            </w:trPr>
            <w:tc>
              <w:tcPr>
                <w:tcW w:w="557" w:type="dxa"/>
                <w:tcBorders>
                  <w:top w:val="nil"/>
                  <w:left w:val="nil"/>
                  <w:bottom w:val="nil"/>
                  <w:right w:val="nil"/>
                </w:tcBorders>
                <w:shd w:val="clear" w:color="auto" w:fill="auto"/>
                <w:noWrap/>
                <w:vAlign w:val="bottom"/>
                <w:hideMark/>
              </w:tcPr>
              <w:p w14:paraId="0D14108E" w14:textId="77777777" w:rsidR="00A86925" w:rsidRPr="00326390" w:rsidRDefault="00A86925" w:rsidP="00A86925">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48</w:t>
                </w:r>
              </w:p>
            </w:tc>
            <w:tc>
              <w:tcPr>
                <w:tcW w:w="4264" w:type="dxa"/>
                <w:tcBorders>
                  <w:top w:val="nil"/>
                  <w:left w:val="nil"/>
                  <w:bottom w:val="nil"/>
                  <w:right w:val="nil"/>
                </w:tcBorders>
                <w:shd w:val="clear" w:color="auto" w:fill="auto"/>
                <w:noWrap/>
                <w:hideMark/>
              </w:tcPr>
              <w:p w14:paraId="55CBC79D" w14:textId="58994ECB" w:rsidR="00A86925" w:rsidRPr="00326390" w:rsidRDefault="00A86925" w:rsidP="00A86925">
                <w:pPr>
                  <w:spacing w:after="0" w:line="240" w:lineRule="auto"/>
                  <w:jc w:val="both"/>
                  <w:rPr>
                    <w:rFonts w:ascii="Cambria" w:eastAsia="Times New Roman" w:hAnsi="Cambria" w:cs="Calibri"/>
                    <w:color w:val="000000"/>
                    <w:lang w:eastAsia="en-NZ"/>
                  </w:rPr>
                </w:pPr>
                <w:r w:rsidRPr="00E46696">
                  <w:rPr>
                    <w:rFonts w:ascii="Cambria" w:eastAsia="Times New Roman" w:hAnsi="Cambria" w:cs="Calibri"/>
                    <w:color w:val="000000"/>
                    <w:lang w:eastAsia="en-NZ"/>
                  </w:rPr>
                  <w:t>Individua</w:t>
                </w:r>
                <w:r>
                  <w:rPr>
                    <w:rFonts w:ascii="Cambria" w:eastAsia="Times New Roman" w:hAnsi="Cambria" w:cs="Calibri"/>
                    <w:color w:val="000000"/>
                    <w:lang w:eastAsia="en-NZ"/>
                  </w:rPr>
                  <w:t>l</w:t>
                </w:r>
              </w:p>
            </w:tc>
          </w:tr>
          <w:tr w:rsidR="00A86925" w:rsidRPr="00326390" w14:paraId="6381D3C9" w14:textId="77777777" w:rsidTr="00A86925">
            <w:trPr>
              <w:trHeight w:val="300"/>
            </w:trPr>
            <w:tc>
              <w:tcPr>
                <w:tcW w:w="557" w:type="dxa"/>
                <w:tcBorders>
                  <w:top w:val="nil"/>
                  <w:left w:val="nil"/>
                  <w:bottom w:val="nil"/>
                  <w:right w:val="nil"/>
                </w:tcBorders>
                <w:shd w:val="clear" w:color="auto" w:fill="auto"/>
                <w:noWrap/>
                <w:vAlign w:val="bottom"/>
                <w:hideMark/>
              </w:tcPr>
              <w:p w14:paraId="280AC578" w14:textId="77777777" w:rsidR="00A86925" w:rsidRPr="00326390" w:rsidRDefault="00A86925" w:rsidP="00A86925">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49</w:t>
                </w:r>
              </w:p>
            </w:tc>
            <w:tc>
              <w:tcPr>
                <w:tcW w:w="4264" w:type="dxa"/>
                <w:tcBorders>
                  <w:top w:val="nil"/>
                  <w:left w:val="nil"/>
                  <w:bottom w:val="nil"/>
                  <w:right w:val="nil"/>
                </w:tcBorders>
                <w:shd w:val="clear" w:color="auto" w:fill="auto"/>
                <w:noWrap/>
                <w:hideMark/>
              </w:tcPr>
              <w:p w14:paraId="40464996" w14:textId="0C70A734" w:rsidR="00A86925" w:rsidRPr="00326390" w:rsidRDefault="00A86925" w:rsidP="00A86925">
                <w:pPr>
                  <w:spacing w:after="0" w:line="240" w:lineRule="auto"/>
                  <w:jc w:val="both"/>
                  <w:rPr>
                    <w:rFonts w:ascii="Cambria" w:eastAsia="Times New Roman" w:hAnsi="Cambria" w:cs="Calibri"/>
                    <w:color w:val="000000"/>
                    <w:lang w:eastAsia="en-NZ"/>
                  </w:rPr>
                </w:pPr>
                <w:r w:rsidRPr="00E46696">
                  <w:rPr>
                    <w:rFonts w:ascii="Cambria" w:eastAsia="Times New Roman" w:hAnsi="Cambria" w:cs="Calibri"/>
                    <w:color w:val="000000"/>
                    <w:lang w:eastAsia="en-NZ"/>
                  </w:rPr>
                  <w:t>Individua</w:t>
                </w:r>
                <w:r>
                  <w:rPr>
                    <w:rFonts w:ascii="Cambria" w:eastAsia="Times New Roman" w:hAnsi="Cambria" w:cs="Calibri"/>
                    <w:color w:val="000000"/>
                    <w:lang w:eastAsia="en-NZ"/>
                  </w:rPr>
                  <w:t>l</w:t>
                </w:r>
              </w:p>
            </w:tc>
          </w:tr>
          <w:tr w:rsidR="00326390" w:rsidRPr="00326390" w14:paraId="6280B341" w14:textId="77777777" w:rsidTr="00326390">
            <w:trPr>
              <w:trHeight w:val="300"/>
            </w:trPr>
            <w:tc>
              <w:tcPr>
                <w:tcW w:w="557" w:type="dxa"/>
                <w:tcBorders>
                  <w:top w:val="nil"/>
                  <w:left w:val="nil"/>
                  <w:bottom w:val="nil"/>
                  <w:right w:val="nil"/>
                </w:tcBorders>
                <w:shd w:val="clear" w:color="auto" w:fill="auto"/>
                <w:noWrap/>
                <w:vAlign w:val="bottom"/>
                <w:hideMark/>
              </w:tcPr>
              <w:p w14:paraId="06A6AD20"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50</w:t>
                </w:r>
              </w:p>
            </w:tc>
            <w:tc>
              <w:tcPr>
                <w:tcW w:w="4264" w:type="dxa"/>
                <w:tcBorders>
                  <w:top w:val="nil"/>
                  <w:left w:val="nil"/>
                  <w:bottom w:val="nil"/>
                  <w:right w:val="nil"/>
                </w:tcBorders>
                <w:shd w:val="clear" w:color="auto" w:fill="auto"/>
                <w:noWrap/>
                <w:vAlign w:val="bottom"/>
                <w:hideMark/>
              </w:tcPr>
              <w:p w14:paraId="434C55B4"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New Zealand Community Trust</w:t>
                </w:r>
              </w:p>
            </w:tc>
          </w:tr>
          <w:tr w:rsidR="00326390" w:rsidRPr="00326390" w14:paraId="753FC61D" w14:textId="77777777" w:rsidTr="00326390">
            <w:trPr>
              <w:trHeight w:val="300"/>
            </w:trPr>
            <w:tc>
              <w:tcPr>
                <w:tcW w:w="557" w:type="dxa"/>
                <w:tcBorders>
                  <w:top w:val="nil"/>
                  <w:left w:val="nil"/>
                  <w:bottom w:val="nil"/>
                  <w:right w:val="nil"/>
                </w:tcBorders>
                <w:shd w:val="clear" w:color="auto" w:fill="auto"/>
                <w:noWrap/>
                <w:vAlign w:val="bottom"/>
                <w:hideMark/>
              </w:tcPr>
              <w:p w14:paraId="7E69AEC8"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51</w:t>
                </w:r>
              </w:p>
            </w:tc>
            <w:tc>
              <w:tcPr>
                <w:tcW w:w="4264" w:type="dxa"/>
                <w:tcBorders>
                  <w:top w:val="nil"/>
                  <w:left w:val="nil"/>
                  <w:bottom w:val="nil"/>
                  <w:right w:val="nil"/>
                </w:tcBorders>
                <w:shd w:val="clear" w:color="auto" w:fill="auto"/>
                <w:noWrap/>
                <w:vAlign w:val="bottom"/>
                <w:hideMark/>
              </w:tcPr>
              <w:p w14:paraId="37633D9F"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Pelorus Trust</w:t>
                </w:r>
              </w:p>
            </w:tc>
          </w:tr>
          <w:tr w:rsidR="00326390" w:rsidRPr="00326390" w14:paraId="43738FBE" w14:textId="77777777" w:rsidTr="00326390">
            <w:trPr>
              <w:trHeight w:val="300"/>
            </w:trPr>
            <w:tc>
              <w:tcPr>
                <w:tcW w:w="557" w:type="dxa"/>
                <w:tcBorders>
                  <w:top w:val="nil"/>
                  <w:left w:val="nil"/>
                  <w:bottom w:val="nil"/>
                  <w:right w:val="nil"/>
                </w:tcBorders>
                <w:shd w:val="clear" w:color="auto" w:fill="auto"/>
                <w:noWrap/>
                <w:vAlign w:val="bottom"/>
                <w:hideMark/>
              </w:tcPr>
              <w:p w14:paraId="2AA04012"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52</w:t>
                </w:r>
              </w:p>
            </w:tc>
            <w:tc>
              <w:tcPr>
                <w:tcW w:w="4264" w:type="dxa"/>
                <w:tcBorders>
                  <w:top w:val="nil"/>
                  <w:left w:val="nil"/>
                  <w:bottom w:val="nil"/>
                  <w:right w:val="nil"/>
                </w:tcBorders>
                <w:shd w:val="clear" w:color="auto" w:fill="auto"/>
                <w:noWrap/>
                <w:vAlign w:val="bottom"/>
                <w:hideMark/>
              </w:tcPr>
              <w:p w14:paraId="60C6BDFD"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Hamilton City Council</w:t>
                </w:r>
              </w:p>
            </w:tc>
          </w:tr>
          <w:tr w:rsidR="00326390" w:rsidRPr="00326390" w14:paraId="7ADAAA0A" w14:textId="77777777" w:rsidTr="00326390">
            <w:trPr>
              <w:trHeight w:val="300"/>
            </w:trPr>
            <w:tc>
              <w:tcPr>
                <w:tcW w:w="557" w:type="dxa"/>
                <w:tcBorders>
                  <w:top w:val="nil"/>
                  <w:left w:val="nil"/>
                  <w:bottom w:val="nil"/>
                  <w:right w:val="nil"/>
                </w:tcBorders>
                <w:shd w:val="clear" w:color="auto" w:fill="auto"/>
                <w:noWrap/>
                <w:vAlign w:val="bottom"/>
                <w:hideMark/>
              </w:tcPr>
              <w:p w14:paraId="435E3707"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53</w:t>
                </w:r>
              </w:p>
            </w:tc>
            <w:tc>
              <w:tcPr>
                <w:tcW w:w="4264" w:type="dxa"/>
                <w:tcBorders>
                  <w:top w:val="nil"/>
                  <w:left w:val="nil"/>
                  <w:bottom w:val="nil"/>
                  <w:right w:val="nil"/>
                </w:tcBorders>
                <w:shd w:val="clear" w:color="auto" w:fill="auto"/>
                <w:noWrap/>
                <w:vAlign w:val="bottom"/>
                <w:hideMark/>
              </w:tcPr>
              <w:p w14:paraId="1071DA91"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Mapu Maia</w:t>
                </w:r>
              </w:p>
            </w:tc>
          </w:tr>
          <w:tr w:rsidR="00326390" w:rsidRPr="00326390" w14:paraId="1114EEDF" w14:textId="77777777" w:rsidTr="00326390">
            <w:trPr>
              <w:trHeight w:val="300"/>
            </w:trPr>
            <w:tc>
              <w:tcPr>
                <w:tcW w:w="557" w:type="dxa"/>
                <w:tcBorders>
                  <w:top w:val="nil"/>
                  <w:left w:val="nil"/>
                  <w:bottom w:val="nil"/>
                  <w:right w:val="nil"/>
                </w:tcBorders>
                <w:shd w:val="clear" w:color="auto" w:fill="auto"/>
                <w:noWrap/>
                <w:vAlign w:val="bottom"/>
                <w:hideMark/>
              </w:tcPr>
              <w:p w14:paraId="31BA38C5"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54</w:t>
                </w:r>
              </w:p>
            </w:tc>
            <w:tc>
              <w:tcPr>
                <w:tcW w:w="4264" w:type="dxa"/>
                <w:tcBorders>
                  <w:top w:val="nil"/>
                  <w:left w:val="nil"/>
                  <w:bottom w:val="nil"/>
                  <w:right w:val="nil"/>
                </w:tcBorders>
                <w:shd w:val="clear" w:color="auto" w:fill="auto"/>
                <w:noWrap/>
                <w:vAlign w:val="bottom"/>
                <w:hideMark/>
              </w:tcPr>
              <w:p w14:paraId="5020B036"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Tautoko Māori</w:t>
                </w:r>
              </w:p>
            </w:tc>
          </w:tr>
          <w:tr w:rsidR="00326390" w:rsidRPr="00326390" w14:paraId="19841F2F" w14:textId="77777777" w:rsidTr="00326390">
            <w:trPr>
              <w:trHeight w:val="300"/>
            </w:trPr>
            <w:tc>
              <w:tcPr>
                <w:tcW w:w="557" w:type="dxa"/>
                <w:tcBorders>
                  <w:top w:val="nil"/>
                  <w:left w:val="nil"/>
                  <w:bottom w:val="nil"/>
                  <w:right w:val="nil"/>
                </w:tcBorders>
                <w:shd w:val="clear" w:color="auto" w:fill="auto"/>
                <w:noWrap/>
                <w:vAlign w:val="bottom"/>
                <w:hideMark/>
              </w:tcPr>
              <w:p w14:paraId="6B1CA006"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55</w:t>
                </w:r>
              </w:p>
            </w:tc>
            <w:tc>
              <w:tcPr>
                <w:tcW w:w="4264" w:type="dxa"/>
                <w:tcBorders>
                  <w:top w:val="nil"/>
                  <w:left w:val="nil"/>
                  <w:bottom w:val="nil"/>
                  <w:right w:val="nil"/>
                </w:tcBorders>
                <w:shd w:val="clear" w:color="auto" w:fill="auto"/>
                <w:noWrap/>
                <w:vAlign w:val="bottom"/>
                <w:hideMark/>
              </w:tcPr>
              <w:p w14:paraId="4433FD2A"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SKYCITY Entertainment Group</w:t>
                </w:r>
              </w:p>
            </w:tc>
          </w:tr>
          <w:tr w:rsidR="00326390" w:rsidRPr="00326390" w14:paraId="3B577865" w14:textId="77777777" w:rsidTr="00326390">
            <w:trPr>
              <w:trHeight w:val="300"/>
            </w:trPr>
            <w:tc>
              <w:tcPr>
                <w:tcW w:w="557" w:type="dxa"/>
                <w:tcBorders>
                  <w:top w:val="nil"/>
                  <w:left w:val="nil"/>
                  <w:bottom w:val="nil"/>
                  <w:right w:val="nil"/>
                </w:tcBorders>
                <w:shd w:val="clear" w:color="auto" w:fill="auto"/>
                <w:noWrap/>
                <w:vAlign w:val="bottom"/>
                <w:hideMark/>
              </w:tcPr>
              <w:p w14:paraId="7CAD0944"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56</w:t>
                </w:r>
              </w:p>
            </w:tc>
            <w:tc>
              <w:tcPr>
                <w:tcW w:w="4264" w:type="dxa"/>
                <w:tcBorders>
                  <w:top w:val="nil"/>
                  <w:left w:val="nil"/>
                  <w:bottom w:val="nil"/>
                  <w:right w:val="nil"/>
                </w:tcBorders>
                <w:shd w:val="clear" w:color="auto" w:fill="auto"/>
                <w:noWrap/>
                <w:vAlign w:val="bottom"/>
                <w:hideMark/>
              </w:tcPr>
              <w:p w14:paraId="15496294"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Hapai Te Hauora Tapui</w:t>
                </w:r>
              </w:p>
            </w:tc>
          </w:tr>
          <w:tr w:rsidR="00326390" w:rsidRPr="00326390" w14:paraId="55F12C1B" w14:textId="77777777" w:rsidTr="00326390">
            <w:trPr>
              <w:trHeight w:val="300"/>
            </w:trPr>
            <w:tc>
              <w:tcPr>
                <w:tcW w:w="557" w:type="dxa"/>
                <w:tcBorders>
                  <w:top w:val="nil"/>
                  <w:left w:val="nil"/>
                  <w:bottom w:val="nil"/>
                  <w:right w:val="nil"/>
                </w:tcBorders>
                <w:shd w:val="clear" w:color="auto" w:fill="auto"/>
                <w:noWrap/>
                <w:vAlign w:val="bottom"/>
                <w:hideMark/>
              </w:tcPr>
              <w:p w14:paraId="25B2901D"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57</w:t>
                </w:r>
              </w:p>
            </w:tc>
            <w:tc>
              <w:tcPr>
                <w:tcW w:w="4264" w:type="dxa"/>
                <w:tcBorders>
                  <w:top w:val="nil"/>
                  <w:left w:val="nil"/>
                  <w:bottom w:val="nil"/>
                  <w:right w:val="nil"/>
                </w:tcBorders>
                <w:shd w:val="clear" w:color="auto" w:fill="auto"/>
                <w:noWrap/>
                <w:vAlign w:val="bottom"/>
                <w:hideMark/>
              </w:tcPr>
              <w:p w14:paraId="4E4F5EB5"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Health Promotion Agency</w:t>
                </w:r>
              </w:p>
            </w:tc>
          </w:tr>
          <w:tr w:rsidR="00326390" w:rsidRPr="00326390" w14:paraId="35A1EB6F" w14:textId="77777777" w:rsidTr="00326390">
            <w:trPr>
              <w:trHeight w:val="300"/>
            </w:trPr>
            <w:tc>
              <w:tcPr>
                <w:tcW w:w="557" w:type="dxa"/>
                <w:tcBorders>
                  <w:top w:val="nil"/>
                  <w:left w:val="nil"/>
                  <w:bottom w:val="nil"/>
                  <w:right w:val="nil"/>
                </w:tcBorders>
                <w:shd w:val="clear" w:color="auto" w:fill="auto"/>
                <w:noWrap/>
                <w:vAlign w:val="bottom"/>
                <w:hideMark/>
              </w:tcPr>
              <w:p w14:paraId="2035E64C"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58</w:t>
                </w:r>
              </w:p>
            </w:tc>
            <w:tc>
              <w:tcPr>
                <w:tcW w:w="4264" w:type="dxa"/>
                <w:tcBorders>
                  <w:top w:val="nil"/>
                  <w:left w:val="nil"/>
                  <w:bottom w:val="nil"/>
                  <w:right w:val="nil"/>
                </w:tcBorders>
                <w:shd w:val="clear" w:color="auto" w:fill="auto"/>
                <w:noWrap/>
                <w:vAlign w:val="bottom"/>
                <w:hideMark/>
              </w:tcPr>
              <w:p w14:paraId="4ED0A6F5"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Feed Families Not Pokies Inc</w:t>
                </w:r>
              </w:p>
            </w:tc>
          </w:tr>
          <w:tr w:rsidR="00326390" w:rsidRPr="00326390" w14:paraId="4E8BF7E2" w14:textId="77777777" w:rsidTr="00326390">
            <w:trPr>
              <w:trHeight w:val="300"/>
            </w:trPr>
            <w:tc>
              <w:tcPr>
                <w:tcW w:w="557" w:type="dxa"/>
                <w:tcBorders>
                  <w:top w:val="nil"/>
                  <w:left w:val="nil"/>
                  <w:bottom w:val="nil"/>
                  <w:right w:val="nil"/>
                </w:tcBorders>
                <w:shd w:val="clear" w:color="auto" w:fill="auto"/>
                <w:noWrap/>
                <w:vAlign w:val="bottom"/>
                <w:hideMark/>
              </w:tcPr>
              <w:p w14:paraId="1FD1C06B"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59</w:t>
                </w:r>
              </w:p>
            </w:tc>
            <w:tc>
              <w:tcPr>
                <w:tcW w:w="4264" w:type="dxa"/>
                <w:tcBorders>
                  <w:top w:val="nil"/>
                  <w:left w:val="nil"/>
                  <w:bottom w:val="nil"/>
                  <w:right w:val="nil"/>
                </w:tcBorders>
                <w:shd w:val="clear" w:color="auto" w:fill="auto"/>
                <w:noWrap/>
                <w:vAlign w:val="bottom"/>
                <w:hideMark/>
              </w:tcPr>
              <w:p w14:paraId="4CCF7A19" w14:textId="6282AFE9"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Torutek</w:t>
                </w:r>
                <w:r w:rsidR="00CC009C">
                  <w:rPr>
                    <w:rFonts w:ascii="Cambria" w:eastAsia="Times New Roman" w:hAnsi="Cambria" w:cs="Calibri"/>
                    <w:color w:val="000000"/>
                    <w:lang w:eastAsia="en-NZ"/>
                  </w:rPr>
                  <w:t xml:space="preserve"> Limited</w:t>
                </w:r>
              </w:p>
            </w:tc>
          </w:tr>
          <w:tr w:rsidR="00326390" w:rsidRPr="00326390" w14:paraId="1987654A" w14:textId="77777777" w:rsidTr="00326390">
            <w:trPr>
              <w:trHeight w:val="300"/>
            </w:trPr>
            <w:tc>
              <w:tcPr>
                <w:tcW w:w="557" w:type="dxa"/>
                <w:tcBorders>
                  <w:top w:val="nil"/>
                  <w:left w:val="nil"/>
                  <w:bottom w:val="nil"/>
                  <w:right w:val="nil"/>
                </w:tcBorders>
                <w:shd w:val="clear" w:color="auto" w:fill="auto"/>
                <w:noWrap/>
                <w:vAlign w:val="bottom"/>
                <w:hideMark/>
              </w:tcPr>
              <w:p w14:paraId="6AB17B08"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60</w:t>
                </w:r>
              </w:p>
            </w:tc>
            <w:tc>
              <w:tcPr>
                <w:tcW w:w="4264" w:type="dxa"/>
                <w:tcBorders>
                  <w:top w:val="nil"/>
                  <w:left w:val="nil"/>
                  <w:bottom w:val="nil"/>
                  <w:right w:val="nil"/>
                </w:tcBorders>
                <w:shd w:val="clear" w:color="auto" w:fill="auto"/>
                <w:noWrap/>
                <w:vAlign w:val="bottom"/>
                <w:hideMark/>
              </w:tcPr>
              <w:p w14:paraId="35C9CB42"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Taeaomanino Trust</w:t>
                </w:r>
              </w:p>
            </w:tc>
          </w:tr>
          <w:tr w:rsidR="00326390" w:rsidRPr="00326390" w14:paraId="4FFE9416" w14:textId="77777777" w:rsidTr="00326390">
            <w:trPr>
              <w:trHeight w:val="300"/>
            </w:trPr>
            <w:tc>
              <w:tcPr>
                <w:tcW w:w="557" w:type="dxa"/>
                <w:tcBorders>
                  <w:top w:val="nil"/>
                  <w:left w:val="nil"/>
                  <w:bottom w:val="nil"/>
                  <w:right w:val="nil"/>
                </w:tcBorders>
                <w:shd w:val="clear" w:color="auto" w:fill="auto"/>
                <w:noWrap/>
                <w:vAlign w:val="bottom"/>
                <w:hideMark/>
              </w:tcPr>
              <w:p w14:paraId="7A459834"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61</w:t>
                </w:r>
              </w:p>
            </w:tc>
            <w:tc>
              <w:tcPr>
                <w:tcW w:w="4264" w:type="dxa"/>
                <w:tcBorders>
                  <w:top w:val="nil"/>
                  <w:left w:val="nil"/>
                  <w:bottom w:val="nil"/>
                  <w:right w:val="nil"/>
                </w:tcBorders>
                <w:shd w:val="clear" w:color="auto" w:fill="auto"/>
                <w:noWrap/>
                <w:vAlign w:val="bottom"/>
                <w:hideMark/>
              </w:tcPr>
              <w:p w14:paraId="5AECF84D"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Christchurch Casinos Limited</w:t>
                </w:r>
              </w:p>
            </w:tc>
          </w:tr>
          <w:tr w:rsidR="00326390" w:rsidRPr="00326390" w14:paraId="2FE5A86F" w14:textId="77777777" w:rsidTr="00326390">
            <w:trPr>
              <w:trHeight w:val="300"/>
            </w:trPr>
            <w:tc>
              <w:tcPr>
                <w:tcW w:w="557" w:type="dxa"/>
                <w:tcBorders>
                  <w:top w:val="nil"/>
                  <w:left w:val="nil"/>
                  <w:bottom w:val="nil"/>
                  <w:right w:val="nil"/>
                </w:tcBorders>
                <w:shd w:val="clear" w:color="auto" w:fill="auto"/>
                <w:noWrap/>
                <w:vAlign w:val="bottom"/>
                <w:hideMark/>
              </w:tcPr>
              <w:p w14:paraId="74840254"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62</w:t>
                </w:r>
              </w:p>
            </w:tc>
            <w:tc>
              <w:tcPr>
                <w:tcW w:w="4264" w:type="dxa"/>
                <w:tcBorders>
                  <w:top w:val="nil"/>
                  <w:left w:val="nil"/>
                  <w:bottom w:val="nil"/>
                  <w:right w:val="nil"/>
                </w:tcBorders>
                <w:shd w:val="clear" w:color="auto" w:fill="auto"/>
                <w:noWrap/>
                <w:vAlign w:val="bottom"/>
                <w:hideMark/>
              </w:tcPr>
              <w:p w14:paraId="075A57C4" w14:textId="3FBCA95F" w:rsidR="00326390" w:rsidRPr="00326390" w:rsidRDefault="00A86925" w:rsidP="00326390">
                <w:pPr>
                  <w:spacing w:after="0" w:line="240" w:lineRule="auto"/>
                  <w:jc w:val="both"/>
                  <w:rPr>
                    <w:rFonts w:ascii="Cambria" w:eastAsia="Times New Roman" w:hAnsi="Cambria" w:cs="Calibri"/>
                    <w:color w:val="000000"/>
                    <w:lang w:eastAsia="en-NZ"/>
                  </w:rPr>
                </w:pPr>
                <w:r>
                  <w:rPr>
                    <w:rFonts w:ascii="Cambria" w:eastAsia="Times New Roman" w:hAnsi="Cambria" w:cs="Calibri"/>
                    <w:color w:val="000000"/>
                    <w:lang w:eastAsia="en-NZ"/>
                  </w:rPr>
                  <w:t>Individual</w:t>
                </w:r>
              </w:p>
            </w:tc>
          </w:tr>
          <w:tr w:rsidR="00326390" w:rsidRPr="00326390" w14:paraId="1CE5A1CF" w14:textId="77777777" w:rsidTr="00326390">
            <w:trPr>
              <w:trHeight w:val="300"/>
            </w:trPr>
            <w:tc>
              <w:tcPr>
                <w:tcW w:w="557" w:type="dxa"/>
                <w:tcBorders>
                  <w:top w:val="nil"/>
                  <w:left w:val="nil"/>
                  <w:bottom w:val="nil"/>
                  <w:right w:val="nil"/>
                </w:tcBorders>
                <w:shd w:val="clear" w:color="auto" w:fill="auto"/>
                <w:noWrap/>
                <w:vAlign w:val="bottom"/>
                <w:hideMark/>
              </w:tcPr>
              <w:p w14:paraId="187B86F0"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63</w:t>
                </w:r>
              </w:p>
            </w:tc>
            <w:tc>
              <w:tcPr>
                <w:tcW w:w="4264" w:type="dxa"/>
                <w:tcBorders>
                  <w:top w:val="nil"/>
                  <w:left w:val="nil"/>
                  <w:bottom w:val="nil"/>
                  <w:right w:val="nil"/>
                </w:tcBorders>
                <w:shd w:val="clear" w:color="auto" w:fill="auto"/>
                <w:noWrap/>
                <w:vAlign w:val="bottom"/>
                <w:hideMark/>
              </w:tcPr>
              <w:p w14:paraId="55F46C25"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Milestone Foundation Limited</w:t>
                </w:r>
              </w:p>
            </w:tc>
          </w:tr>
          <w:tr w:rsidR="00326390" w:rsidRPr="00326390" w14:paraId="3217D36D" w14:textId="77777777" w:rsidTr="00326390">
            <w:trPr>
              <w:trHeight w:val="300"/>
            </w:trPr>
            <w:tc>
              <w:tcPr>
                <w:tcW w:w="557" w:type="dxa"/>
                <w:tcBorders>
                  <w:top w:val="nil"/>
                  <w:left w:val="nil"/>
                  <w:bottom w:val="nil"/>
                  <w:right w:val="nil"/>
                </w:tcBorders>
                <w:shd w:val="clear" w:color="auto" w:fill="auto"/>
                <w:noWrap/>
                <w:vAlign w:val="bottom"/>
                <w:hideMark/>
              </w:tcPr>
              <w:p w14:paraId="307D37ED"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64</w:t>
                </w:r>
              </w:p>
            </w:tc>
            <w:tc>
              <w:tcPr>
                <w:tcW w:w="4264" w:type="dxa"/>
                <w:tcBorders>
                  <w:top w:val="nil"/>
                  <w:left w:val="nil"/>
                  <w:bottom w:val="nil"/>
                  <w:right w:val="nil"/>
                </w:tcBorders>
                <w:shd w:val="clear" w:color="auto" w:fill="auto"/>
                <w:noWrap/>
                <w:vAlign w:val="bottom"/>
                <w:hideMark/>
              </w:tcPr>
              <w:p w14:paraId="4ED73BA4" w14:textId="0836BDA9"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Pub Charity</w:t>
                </w:r>
                <w:r w:rsidR="00CC009C">
                  <w:rPr>
                    <w:rFonts w:ascii="Cambria" w:eastAsia="Times New Roman" w:hAnsi="Cambria" w:cs="Calibri"/>
                    <w:color w:val="000000"/>
                    <w:lang w:eastAsia="en-NZ"/>
                  </w:rPr>
                  <w:t xml:space="preserve"> Limited</w:t>
                </w:r>
              </w:p>
            </w:tc>
          </w:tr>
          <w:tr w:rsidR="00326390" w:rsidRPr="00326390" w14:paraId="1943895C" w14:textId="77777777" w:rsidTr="00326390">
            <w:trPr>
              <w:trHeight w:val="300"/>
            </w:trPr>
            <w:tc>
              <w:tcPr>
                <w:tcW w:w="557" w:type="dxa"/>
                <w:tcBorders>
                  <w:top w:val="nil"/>
                  <w:left w:val="nil"/>
                  <w:bottom w:val="nil"/>
                  <w:right w:val="nil"/>
                </w:tcBorders>
                <w:shd w:val="clear" w:color="auto" w:fill="auto"/>
                <w:noWrap/>
                <w:vAlign w:val="bottom"/>
                <w:hideMark/>
              </w:tcPr>
              <w:p w14:paraId="5716D610"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65</w:t>
                </w:r>
              </w:p>
            </w:tc>
            <w:tc>
              <w:tcPr>
                <w:tcW w:w="4264" w:type="dxa"/>
                <w:tcBorders>
                  <w:top w:val="nil"/>
                  <w:left w:val="nil"/>
                  <w:bottom w:val="nil"/>
                  <w:right w:val="nil"/>
                </w:tcBorders>
                <w:shd w:val="clear" w:color="auto" w:fill="auto"/>
                <w:noWrap/>
                <w:vAlign w:val="bottom"/>
                <w:hideMark/>
              </w:tcPr>
              <w:p w14:paraId="221EF902" w14:textId="1E15B8A4"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Alliance</w:t>
                </w:r>
                <w:r w:rsidR="00CC009C">
                  <w:rPr>
                    <w:rFonts w:ascii="Cambria" w:eastAsia="Times New Roman" w:hAnsi="Cambria" w:cs="Calibri"/>
                    <w:color w:val="000000"/>
                    <w:lang w:eastAsia="en-NZ"/>
                  </w:rPr>
                  <w:t xml:space="preserve"> </w:t>
                </w:r>
                <w:r w:rsidRPr="00326390">
                  <w:rPr>
                    <w:rFonts w:ascii="Cambria" w:eastAsia="Times New Roman" w:hAnsi="Cambria" w:cs="Calibri"/>
                    <w:color w:val="000000"/>
                    <w:lang w:eastAsia="en-NZ"/>
                  </w:rPr>
                  <w:t>Health</w:t>
                </w:r>
                <w:r w:rsidR="00CC009C">
                  <w:rPr>
                    <w:rFonts w:ascii="Cambria" w:eastAsia="Times New Roman" w:hAnsi="Cambria" w:cs="Calibri"/>
                    <w:color w:val="000000"/>
                    <w:lang w:eastAsia="en-NZ"/>
                  </w:rPr>
                  <w:t xml:space="preserve"> Plus</w:t>
                </w:r>
              </w:p>
            </w:tc>
          </w:tr>
          <w:tr w:rsidR="00326390" w:rsidRPr="00326390" w14:paraId="091B6C2A" w14:textId="77777777" w:rsidTr="00326390">
            <w:trPr>
              <w:trHeight w:val="300"/>
            </w:trPr>
            <w:tc>
              <w:tcPr>
                <w:tcW w:w="557" w:type="dxa"/>
                <w:tcBorders>
                  <w:top w:val="nil"/>
                  <w:left w:val="nil"/>
                  <w:bottom w:val="nil"/>
                  <w:right w:val="nil"/>
                </w:tcBorders>
                <w:shd w:val="clear" w:color="auto" w:fill="auto"/>
                <w:noWrap/>
                <w:vAlign w:val="bottom"/>
                <w:hideMark/>
              </w:tcPr>
              <w:p w14:paraId="4EF95AC6"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66</w:t>
                </w:r>
              </w:p>
            </w:tc>
            <w:tc>
              <w:tcPr>
                <w:tcW w:w="4264" w:type="dxa"/>
                <w:tcBorders>
                  <w:top w:val="nil"/>
                  <w:left w:val="nil"/>
                  <w:bottom w:val="nil"/>
                  <w:right w:val="nil"/>
                </w:tcBorders>
                <w:shd w:val="clear" w:color="auto" w:fill="auto"/>
                <w:noWrap/>
                <w:vAlign w:val="bottom"/>
                <w:hideMark/>
              </w:tcPr>
              <w:p w14:paraId="4F1C3B4A"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Careerforce</w:t>
                </w:r>
              </w:p>
            </w:tc>
          </w:tr>
          <w:tr w:rsidR="00A86925" w:rsidRPr="00326390" w14:paraId="1B75A3F3" w14:textId="77777777" w:rsidTr="00326390">
            <w:trPr>
              <w:trHeight w:val="300"/>
            </w:trPr>
            <w:tc>
              <w:tcPr>
                <w:tcW w:w="557" w:type="dxa"/>
                <w:tcBorders>
                  <w:top w:val="nil"/>
                  <w:left w:val="nil"/>
                  <w:bottom w:val="nil"/>
                  <w:right w:val="nil"/>
                </w:tcBorders>
                <w:shd w:val="clear" w:color="auto" w:fill="auto"/>
                <w:noWrap/>
                <w:vAlign w:val="bottom"/>
                <w:hideMark/>
              </w:tcPr>
              <w:p w14:paraId="7C113868" w14:textId="77777777" w:rsidR="00A86925" w:rsidRPr="00326390" w:rsidRDefault="00A86925" w:rsidP="00A86925">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 xml:space="preserve">C01 </w:t>
                </w:r>
              </w:p>
            </w:tc>
            <w:tc>
              <w:tcPr>
                <w:tcW w:w="4264" w:type="dxa"/>
                <w:tcBorders>
                  <w:top w:val="nil"/>
                  <w:left w:val="nil"/>
                  <w:bottom w:val="nil"/>
                  <w:right w:val="nil"/>
                </w:tcBorders>
                <w:shd w:val="clear" w:color="auto" w:fill="auto"/>
                <w:noWrap/>
                <w:vAlign w:val="bottom"/>
                <w:hideMark/>
              </w:tcPr>
              <w:p w14:paraId="3BADF3FA" w14:textId="698B1066" w:rsidR="00A86925" w:rsidRPr="00326390" w:rsidRDefault="00A86925" w:rsidP="00A86925">
                <w:pPr>
                  <w:spacing w:after="0" w:line="240" w:lineRule="auto"/>
                  <w:jc w:val="both"/>
                  <w:rPr>
                    <w:rFonts w:ascii="Cambria" w:eastAsia="Times New Roman" w:hAnsi="Cambria" w:cs="Calibri"/>
                    <w:color w:val="000000"/>
                    <w:lang w:eastAsia="en-NZ"/>
                  </w:rPr>
                </w:pPr>
                <w:r w:rsidRPr="00E46696">
                  <w:rPr>
                    <w:rFonts w:ascii="Cambria" w:eastAsia="Times New Roman" w:hAnsi="Cambria" w:cs="Calibri"/>
                    <w:color w:val="000000"/>
                    <w:lang w:eastAsia="en-NZ"/>
                  </w:rPr>
                  <w:t>Individua</w:t>
                </w:r>
                <w:r>
                  <w:rPr>
                    <w:rFonts w:ascii="Cambria" w:eastAsia="Times New Roman" w:hAnsi="Cambria" w:cs="Calibri"/>
                    <w:color w:val="000000"/>
                    <w:lang w:eastAsia="en-NZ"/>
                  </w:rPr>
                  <w:t>l</w:t>
                </w:r>
              </w:p>
            </w:tc>
          </w:tr>
          <w:tr w:rsidR="00326390" w:rsidRPr="00326390" w14:paraId="47239B28" w14:textId="77777777" w:rsidTr="00326390">
            <w:trPr>
              <w:trHeight w:val="300"/>
            </w:trPr>
            <w:tc>
              <w:tcPr>
                <w:tcW w:w="557" w:type="dxa"/>
                <w:tcBorders>
                  <w:top w:val="nil"/>
                  <w:left w:val="nil"/>
                  <w:bottom w:val="nil"/>
                  <w:right w:val="nil"/>
                </w:tcBorders>
                <w:shd w:val="clear" w:color="auto" w:fill="auto"/>
                <w:noWrap/>
                <w:vAlign w:val="bottom"/>
                <w:hideMark/>
              </w:tcPr>
              <w:p w14:paraId="0B1F6ADC"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 xml:space="preserve">C02 </w:t>
                </w:r>
              </w:p>
            </w:tc>
            <w:tc>
              <w:tcPr>
                <w:tcW w:w="4264" w:type="dxa"/>
                <w:tcBorders>
                  <w:top w:val="nil"/>
                  <w:left w:val="nil"/>
                  <w:bottom w:val="nil"/>
                  <w:right w:val="nil"/>
                </w:tcBorders>
                <w:shd w:val="clear" w:color="auto" w:fill="auto"/>
                <w:noWrap/>
                <w:vAlign w:val="bottom"/>
                <w:hideMark/>
              </w:tcPr>
              <w:p w14:paraId="4F533BA2" w14:textId="66B0231E" w:rsidR="00326390" w:rsidRPr="00326390" w:rsidRDefault="00A86925" w:rsidP="00326390">
                <w:pPr>
                  <w:spacing w:after="0" w:line="240" w:lineRule="auto"/>
                  <w:jc w:val="both"/>
                  <w:rPr>
                    <w:rFonts w:ascii="Cambria" w:eastAsia="Times New Roman" w:hAnsi="Cambria" w:cs="Calibri"/>
                    <w:color w:val="000000"/>
                    <w:lang w:eastAsia="en-NZ"/>
                  </w:rPr>
                </w:pPr>
                <w:r w:rsidRPr="00A86925">
                  <w:rPr>
                    <w:rFonts w:ascii="Cambria" w:eastAsia="Times New Roman" w:hAnsi="Cambria" w:cs="Calibri"/>
                    <w:color w:val="000000"/>
                    <w:lang w:eastAsia="en-NZ"/>
                  </w:rPr>
                  <w:t>Odyssey, Auckland</w:t>
                </w:r>
              </w:p>
            </w:tc>
          </w:tr>
          <w:tr w:rsidR="00326390" w:rsidRPr="00326390" w14:paraId="35A04115" w14:textId="77777777" w:rsidTr="00326390">
            <w:trPr>
              <w:trHeight w:val="300"/>
            </w:trPr>
            <w:tc>
              <w:tcPr>
                <w:tcW w:w="557" w:type="dxa"/>
                <w:tcBorders>
                  <w:top w:val="nil"/>
                  <w:left w:val="nil"/>
                  <w:bottom w:val="nil"/>
                  <w:right w:val="nil"/>
                </w:tcBorders>
                <w:shd w:val="clear" w:color="auto" w:fill="auto"/>
                <w:noWrap/>
                <w:vAlign w:val="bottom"/>
                <w:hideMark/>
              </w:tcPr>
              <w:p w14:paraId="3C041730"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 xml:space="preserve">C03 </w:t>
                </w:r>
              </w:p>
            </w:tc>
            <w:tc>
              <w:tcPr>
                <w:tcW w:w="4264" w:type="dxa"/>
                <w:tcBorders>
                  <w:top w:val="nil"/>
                  <w:left w:val="nil"/>
                  <w:bottom w:val="nil"/>
                  <w:right w:val="nil"/>
                </w:tcBorders>
                <w:shd w:val="clear" w:color="auto" w:fill="auto"/>
                <w:noWrap/>
                <w:vAlign w:val="bottom"/>
                <w:hideMark/>
              </w:tcPr>
              <w:p w14:paraId="03FA551F" w14:textId="4A070E35" w:rsidR="00326390" w:rsidRPr="00326390" w:rsidRDefault="00A86925" w:rsidP="00326390">
                <w:pPr>
                  <w:spacing w:after="0" w:line="240" w:lineRule="auto"/>
                  <w:jc w:val="both"/>
                  <w:rPr>
                    <w:rFonts w:ascii="Cambria" w:eastAsia="Times New Roman" w:hAnsi="Cambria" w:cs="Calibri"/>
                    <w:color w:val="000000"/>
                    <w:lang w:eastAsia="en-NZ"/>
                  </w:rPr>
                </w:pPr>
                <w:r>
                  <w:rPr>
                    <w:rFonts w:ascii="Cambria" w:eastAsia="Times New Roman" w:hAnsi="Cambria" w:cs="Calibri"/>
                    <w:color w:val="000000"/>
                    <w:lang w:eastAsia="en-NZ"/>
                  </w:rPr>
                  <w:t>Individual</w:t>
                </w:r>
              </w:p>
            </w:tc>
          </w:tr>
          <w:tr w:rsidR="00326390" w:rsidRPr="00326390" w14:paraId="4567B82A" w14:textId="77777777" w:rsidTr="00326390">
            <w:trPr>
              <w:trHeight w:val="300"/>
            </w:trPr>
            <w:tc>
              <w:tcPr>
                <w:tcW w:w="557" w:type="dxa"/>
                <w:tcBorders>
                  <w:top w:val="nil"/>
                  <w:left w:val="nil"/>
                  <w:bottom w:val="nil"/>
                  <w:right w:val="nil"/>
                </w:tcBorders>
                <w:shd w:val="clear" w:color="auto" w:fill="auto"/>
                <w:noWrap/>
                <w:vAlign w:val="bottom"/>
                <w:hideMark/>
              </w:tcPr>
              <w:p w14:paraId="5FED8CA8"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 xml:space="preserve">C04 </w:t>
                </w:r>
              </w:p>
            </w:tc>
            <w:tc>
              <w:tcPr>
                <w:tcW w:w="4264" w:type="dxa"/>
                <w:tcBorders>
                  <w:top w:val="nil"/>
                  <w:left w:val="nil"/>
                  <w:bottom w:val="nil"/>
                  <w:right w:val="nil"/>
                </w:tcBorders>
                <w:shd w:val="clear" w:color="auto" w:fill="auto"/>
                <w:noWrap/>
                <w:vAlign w:val="bottom"/>
                <w:hideMark/>
              </w:tcPr>
              <w:p w14:paraId="3739F48E" w14:textId="687A1D02" w:rsidR="00326390" w:rsidRPr="00326390" w:rsidRDefault="00A86925" w:rsidP="00326390">
                <w:pPr>
                  <w:spacing w:after="0" w:line="240" w:lineRule="auto"/>
                  <w:jc w:val="both"/>
                  <w:rPr>
                    <w:rFonts w:ascii="Cambria" w:eastAsia="Times New Roman" w:hAnsi="Cambria" w:cs="Calibri"/>
                    <w:color w:val="000000"/>
                    <w:lang w:eastAsia="en-NZ"/>
                  </w:rPr>
                </w:pPr>
                <w:r w:rsidRPr="00A86925">
                  <w:rPr>
                    <w:rFonts w:ascii="Cambria" w:eastAsia="Times New Roman" w:hAnsi="Cambria" w:cs="Calibri"/>
                    <w:color w:val="000000"/>
                    <w:lang w:eastAsia="en-NZ"/>
                  </w:rPr>
                  <w:t>The Southern Trust</w:t>
                </w:r>
              </w:p>
            </w:tc>
          </w:tr>
          <w:tr w:rsidR="00326390" w:rsidRPr="00326390" w14:paraId="5084CAD7" w14:textId="77777777" w:rsidTr="00326390">
            <w:trPr>
              <w:trHeight w:val="300"/>
            </w:trPr>
            <w:tc>
              <w:tcPr>
                <w:tcW w:w="557" w:type="dxa"/>
                <w:tcBorders>
                  <w:top w:val="nil"/>
                  <w:left w:val="nil"/>
                  <w:bottom w:val="nil"/>
                  <w:right w:val="nil"/>
                </w:tcBorders>
                <w:shd w:val="clear" w:color="auto" w:fill="auto"/>
                <w:noWrap/>
                <w:vAlign w:val="bottom"/>
                <w:hideMark/>
              </w:tcPr>
              <w:p w14:paraId="3710EF29"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 xml:space="preserve">C05 </w:t>
                </w:r>
              </w:p>
            </w:tc>
            <w:tc>
              <w:tcPr>
                <w:tcW w:w="4264" w:type="dxa"/>
                <w:tcBorders>
                  <w:top w:val="nil"/>
                  <w:left w:val="nil"/>
                  <w:bottom w:val="nil"/>
                  <w:right w:val="nil"/>
                </w:tcBorders>
                <w:shd w:val="clear" w:color="auto" w:fill="auto"/>
                <w:noWrap/>
                <w:vAlign w:val="bottom"/>
                <w:hideMark/>
              </w:tcPr>
              <w:p w14:paraId="1FB3D1D0" w14:textId="23441C0E" w:rsidR="00326390" w:rsidRPr="00326390" w:rsidRDefault="00A86925" w:rsidP="00326390">
                <w:pPr>
                  <w:spacing w:after="0" w:line="240" w:lineRule="auto"/>
                  <w:jc w:val="both"/>
                  <w:rPr>
                    <w:rFonts w:ascii="Cambria" w:eastAsia="Times New Roman" w:hAnsi="Cambria" w:cs="Calibri"/>
                    <w:color w:val="000000"/>
                    <w:lang w:eastAsia="en-NZ"/>
                  </w:rPr>
                </w:pPr>
                <w:r w:rsidRPr="00A86925">
                  <w:rPr>
                    <w:rFonts w:ascii="Cambria" w:eastAsia="Times New Roman" w:hAnsi="Cambria" w:cs="Calibri"/>
                    <w:color w:val="000000"/>
                    <w:lang w:eastAsia="en-NZ"/>
                  </w:rPr>
                  <w:t>Raukura Hauora O Tainui</w:t>
                </w:r>
              </w:p>
            </w:tc>
          </w:tr>
          <w:tr w:rsidR="00326390" w:rsidRPr="00326390" w14:paraId="17A6048E" w14:textId="77777777" w:rsidTr="00326390">
            <w:trPr>
              <w:trHeight w:val="300"/>
            </w:trPr>
            <w:tc>
              <w:tcPr>
                <w:tcW w:w="557" w:type="dxa"/>
                <w:tcBorders>
                  <w:top w:val="nil"/>
                  <w:left w:val="nil"/>
                  <w:bottom w:val="nil"/>
                  <w:right w:val="nil"/>
                </w:tcBorders>
                <w:shd w:val="clear" w:color="auto" w:fill="auto"/>
                <w:noWrap/>
                <w:vAlign w:val="bottom"/>
                <w:hideMark/>
              </w:tcPr>
              <w:p w14:paraId="11666F61"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 xml:space="preserve">C06 </w:t>
                </w:r>
              </w:p>
            </w:tc>
            <w:tc>
              <w:tcPr>
                <w:tcW w:w="4264" w:type="dxa"/>
                <w:tcBorders>
                  <w:top w:val="nil"/>
                  <w:left w:val="nil"/>
                  <w:bottom w:val="nil"/>
                  <w:right w:val="nil"/>
                </w:tcBorders>
                <w:shd w:val="clear" w:color="auto" w:fill="auto"/>
                <w:noWrap/>
                <w:vAlign w:val="bottom"/>
                <w:hideMark/>
              </w:tcPr>
              <w:p w14:paraId="21CB847A" w14:textId="5F45A65F" w:rsidR="00326390" w:rsidRPr="00326390" w:rsidRDefault="00A86925" w:rsidP="00326390">
                <w:pPr>
                  <w:spacing w:after="0" w:line="240" w:lineRule="auto"/>
                  <w:jc w:val="both"/>
                  <w:rPr>
                    <w:rFonts w:ascii="Cambria" w:eastAsia="Times New Roman" w:hAnsi="Cambria" w:cs="Calibri"/>
                    <w:color w:val="000000"/>
                    <w:lang w:eastAsia="en-NZ"/>
                  </w:rPr>
                </w:pPr>
                <w:r>
                  <w:rPr>
                    <w:rFonts w:ascii="Cambria" w:eastAsia="Times New Roman" w:hAnsi="Cambria" w:cs="Calibri"/>
                    <w:color w:val="000000"/>
                    <w:lang w:eastAsia="en-NZ"/>
                  </w:rPr>
                  <w:t>M</w:t>
                </w:r>
                <w:r w:rsidR="00293830">
                  <w:rPr>
                    <w:rFonts w:ascii="Cambria" w:eastAsia="Times New Roman" w:hAnsi="Cambria" w:cs="Calibri"/>
                    <w:color w:val="000000"/>
                    <w:lang w:eastAsia="en-NZ"/>
                  </w:rPr>
                  <w:t>ercer J</w:t>
                </w:r>
                <w:r w:rsidRPr="00A86925">
                  <w:rPr>
                    <w:rFonts w:ascii="Cambria" w:eastAsia="Times New Roman" w:hAnsi="Cambria" w:cs="Calibri"/>
                    <w:color w:val="000000"/>
                    <w:lang w:eastAsia="en-NZ"/>
                  </w:rPr>
                  <w:t>ets under 12</w:t>
                </w:r>
              </w:p>
            </w:tc>
          </w:tr>
          <w:tr w:rsidR="00326390" w:rsidRPr="00326390" w14:paraId="367912C0" w14:textId="77777777" w:rsidTr="00326390">
            <w:trPr>
              <w:trHeight w:val="300"/>
            </w:trPr>
            <w:tc>
              <w:tcPr>
                <w:tcW w:w="557" w:type="dxa"/>
                <w:tcBorders>
                  <w:top w:val="nil"/>
                  <w:left w:val="nil"/>
                  <w:bottom w:val="nil"/>
                  <w:right w:val="nil"/>
                </w:tcBorders>
                <w:shd w:val="clear" w:color="auto" w:fill="auto"/>
                <w:noWrap/>
                <w:vAlign w:val="bottom"/>
                <w:hideMark/>
              </w:tcPr>
              <w:p w14:paraId="570972F5"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 xml:space="preserve">C07 </w:t>
                </w:r>
              </w:p>
            </w:tc>
            <w:tc>
              <w:tcPr>
                <w:tcW w:w="4264" w:type="dxa"/>
                <w:tcBorders>
                  <w:top w:val="nil"/>
                  <w:left w:val="nil"/>
                  <w:bottom w:val="nil"/>
                  <w:right w:val="nil"/>
                </w:tcBorders>
                <w:shd w:val="clear" w:color="auto" w:fill="auto"/>
                <w:noWrap/>
                <w:vAlign w:val="bottom"/>
                <w:hideMark/>
              </w:tcPr>
              <w:p w14:paraId="208C03C3" w14:textId="34907B89" w:rsidR="00326390" w:rsidRPr="00326390" w:rsidRDefault="00A86925" w:rsidP="00A86925">
                <w:pPr>
                  <w:spacing w:after="0" w:line="240" w:lineRule="auto"/>
                  <w:jc w:val="both"/>
                  <w:rPr>
                    <w:rFonts w:ascii="Cambria" w:eastAsia="Times New Roman" w:hAnsi="Cambria" w:cs="Calibri"/>
                    <w:color w:val="000000"/>
                    <w:lang w:eastAsia="en-NZ"/>
                  </w:rPr>
                </w:pPr>
                <w:r w:rsidRPr="00A86925">
                  <w:rPr>
                    <w:rFonts w:ascii="Cambria" w:eastAsia="Times New Roman" w:hAnsi="Cambria" w:cs="Calibri"/>
                    <w:color w:val="000000"/>
                    <w:lang w:eastAsia="en-NZ"/>
                  </w:rPr>
                  <w:t>The Better B</w:t>
                </w:r>
                <w:r>
                  <w:rPr>
                    <w:rFonts w:ascii="Cambria" w:eastAsia="Times New Roman" w:hAnsi="Cambria" w:cs="Calibri"/>
                    <w:color w:val="000000"/>
                    <w:lang w:eastAsia="en-NZ"/>
                  </w:rPr>
                  <w:t>a</w:t>
                </w:r>
                <w:r w:rsidRPr="00A86925">
                  <w:rPr>
                    <w:rFonts w:ascii="Cambria" w:eastAsia="Times New Roman" w:hAnsi="Cambria" w:cs="Calibri"/>
                    <w:color w:val="000000"/>
                    <w:lang w:eastAsia="en-NZ"/>
                  </w:rPr>
                  <w:t>r Company</w:t>
                </w:r>
              </w:p>
            </w:tc>
          </w:tr>
          <w:tr w:rsidR="00326390" w:rsidRPr="00326390" w14:paraId="204D1DF4" w14:textId="77777777" w:rsidTr="00326390">
            <w:trPr>
              <w:trHeight w:val="300"/>
            </w:trPr>
            <w:tc>
              <w:tcPr>
                <w:tcW w:w="557" w:type="dxa"/>
                <w:tcBorders>
                  <w:top w:val="nil"/>
                  <w:left w:val="nil"/>
                  <w:bottom w:val="nil"/>
                  <w:right w:val="nil"/>
                </w:tcBorders>
                <w:shd w:val="clear" w:color="auto" w:fill="auto"/>
                <w:noWrap/>
                <w:vAlign w:val="bottom"/>
                <w:hideMark/>
              </w:tcPr>
              <w:p w14:paraId="5DD13174"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 xml:space="preserve">C08 </w:t>
                </w:r>
              </w:p>
            </w:tc>
            <w:tc>
              <w:tcPr>
                <w:tcW w:w="4264" w:type="dxa"/>
                <w:tcBorders>
                  <w:top w:val="nil"/>
                  <w:left w:val="nil"/>
                  <w:bottom w:val="nil"/>
                  <w:right w:val="nil"/>
                </w:tcBorders>
                <w:shd w:val="clear" w:color="auto" w:fill="auto"/>
                <w:noWrap/>
                <w:vAlign w:val="bottom"/>
                <w:hideMark/>
              </w:tcPr>
              <w:p w14:paraId="3D6329F3" w14:textId="59388E43" w:rsidR="00326390" w:rsidRPr="00326390" w:rsidRDefault="006B5D41" w:rsidP="006B5D41">
                <w:pPr>
                  <w:spacing w:after="0" w:line="240" w:lineRule="auto"/>
                  <w:jc w:val="both"/>
                  <w:rPr>
                    <w:rFonts w:ascii="Cambria" w:eastAsia="Times New Roman" w:hAnsi="Cambria" w:cs="Calibri"/>
                    <w:color w:val="000000"/>
                    <w:lang w:eastAsia="en-NZ"/>
                  </w:rPr>
                </w:pPr>
                <w:r>
                  <w:rPr>
                    <w:rFonts w:ascii="Cambria" w:eastAsia="Times New Roman" w:hAnsi="Cambria" w:cs="Calibri"/>
                    <w:color w:val="000000"/>
                    <w:lang w:eastAsia="en-NZ"/>
                  </w:rPr>
                  <w:t>Best Care (Whakapai Hauora)</w:t>
                </w:r>
              </w:p>
            </w:tc>
          </w:tr>
          <w:tr w:rsidR="00326390" w:rsidRPr="00326390" w14:paraId="201DCAFA" w14:textId="77777777" w:rsidTr="00326390">
            <w:trPr>
              <w:trHeight w:val="300"/>
            </w:trPr>
            <w:tc>
              <w:tcPr>
                <w:tcW w:w="557" w:type="dxa"/>
                <w:tcBorders>
                  <w:top w:val="nil"/>
                  <w:left w:val="nil"/>
                  <w:bottom w:val="nil"/>
                  <w:right w:val="nil"/>
                </w:tcBorders>
                <w:shd w:val="clear" w:color="auto" w:fill="auto"/>
                <w:noWrap/>
                <w:vAlign w:val="bottom"/>
                <w:hideMark/>
              </w:tcPr>
              <w:p w14:paraId="4982E8D7"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 xml:space="preserve">C09 </w:t>
                </w:r>
              </w:p>
            </w:tc>
            <w:tc>
              <w:tcPr>
                <w:tcW w:w="4264" w:type="dxa"/>
                <w:tcBorders>
                  <w:top w:val="nil"/>
                  <w:left w:val="nil"/>
                  <w:bottom w:val="nil"/>
                  <w:right w:val="nil"/>
                </w:tcBorders>
                <w:shd w:val="clear" w:color="auto" w:fill="auto"/>
                <w:noWrap/>
                <w:vAlign w:val="bottom"/>
                <w:hideMark/>
              </w:tcPr>
              <w:p w14:paraId="3E2B59B8" w14:textId="09BD8F3F" w:rsidR="00326390" w:rsidRPr="00326390" w:rsidRDefault="00A86925" w:rsidP="00326390">
                <w:pPr>
                  <w:spacing w:after="0" w:line="240" w:lineRule="auto"/>
                  <w:jc w:val="both"/>
                  <w:rPr>
                    <w:rFonts w:ascii="Cambria" w:eastAsia="Times New Roman" w:hAnsi="Cambria" w:cs="Calibri"/>
                    <w:color w:val="000000"/>
                    <w:lang w:eastAsia="en-NZ"/>
                  </w:rPr>
                </w:pPr>
                <w:r>
                  <w:rPr>
                    <w:rFonts w:ascii="Cambria" w:eastAsia="Times New Roman" w:hAnsi="Cambria" w:cs="Calibri"/>
                    <w:color w:val="000000"/>
                    <w:lang w:eastAsia="en-NZ"/>
                  </w:rPr>
                  <w:t>Individual</w:t>
                </w:r>
              </w:p>
            </w:tc>
          </w:tr>
          <w:tr w:rsidR="00326390" w:rsidRPr="00326390" w14:paraId="2646952A" w14:textId="77777777" w:rsidTr="00326390">
            <w:trPr>
              <w:trHeight w:val="300"/>
            </w:trPr>
            <w:tc>
              <w:tcPr>
                <w:tcW w:w="557" w:type="dxa"/>
                <w:tcBorders>
                  <w:top w:val="nil"/>
                  <w:left w:val="nil"/>
                  <w:bottom w:val="nil"/>
                  <w:right w:val="nil"/>
                </w:tcBorders>
                <w:shd w:val="clear" w:color="auto" w:fill="auto"/>
                <w:noWrap/>
                <w:vAlign w:val="bottom"/>
                <w:hideMark/>
              </w:tcPr>
              <w:p w14:paraId="32009836"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 xml:space="preserve">C10 </w:t>
                </w:r>
              </w:p>
            </w:tc>
            <w:tc>
              <w:tcPr>
                <w:tcW w:w="4264" w:type="dxa"/>
                <w:tcBorders>
                  <w:top w:val="nil"/>
                  <w:left w:val="nil"/>
                  <w:bottom w:val="nil"/>
                  <w:right w:val="nil"/>
                </w:tcBorders>
                <w:shd w:val="clear" w:color="auto" w:fill="auto"/>
                <w:noWrap/>
                <w:vAlign w:val="bottom"/>
                <w:hideMark/>
              </w:tcPr>
              <w:p w14:paraId="5BDC1CB8" w14:textId="694060A1" w:rsidR="00326390" w:rsidRPr="00326390" w:rsidRDefault="006B5D41" w:rsidP="00326390">
                <w:pPr>
                  <w:spacing w:after="0" w:line="240" w:lineRule="auto"/>
                  <w:jc w:val="both"/>
                  <w:rPr>
                    <w:rFonts w:ascii="Cambria" w:eastAsia="Times New Roman" w:hAnsi="Cambria" w:cs="Calibri"/>
                    <w:color w:val="000000"/>
                    <w:lang w:eastAsia="en-NZ"/>
                  </w:rPr>
                </w:pPr>
                <w:r w:rsidRPr="006B5D41">
                  <w:rPr>
                    <w:rFonts w:ascii="Cambria" w:eastAsia="Times New Roman" w:hAnsi="Cambria" w:cs="Calibri"/>
                    <w:color w:val="000000"/>
                    <w:lang w:eastAsia="en-NZ"/>
                  </w:rPr>
                  <w:t>Tui Ora</w:t>
                </w:r>
              </w:p>
            </w:tc>
          </w:tr>
          <w:tr w:rsidR="00326390" w:rsidRPr="00326390" w14:paraId="2E1135A4" w14:textId="77777777" w:rsidTr="006B5D41">
            <w:trPr>
              <w:trHeight w:val="300"/>
            </w:trPr>
            <w:tc>
              <w:tcPr>
                <w:tcW w:w="557" w:type="dxa"/>
                <w:tcBorders>
                  <w:top w:val="nil"/>
                  <w:left w:val="nil"/>
                  <w:bottom w:val="nil"/>
                  <w:right w:val="nil"/>
                </w:tcBorders>
                <w:shd w:val="clear" w:color="auto" w:fill="auto"/>
                <w:noWrap/>
                <w:vAlign w:val="bottom"/>
                <w:hideMark/>
              </w:tcPr>
              <w:p w14:paraId="34AC94A0" w14:textId="77777777" w:rsid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 xml:space="preserve">C11 </w:t>
                </w:r>
              </w:p>
              <w:p w14:paraId="7CD52952" w14:textId="77777777" w:rsidR="006B5D41" w:rsidRPr="00326390" w:rsidRDefault="006B5D41" w:rsidP="00326390">
                <w:pPr>
                  <w:spacing w:after="0" w:line="240" w:lineRule="auto"/>
                  <w:jc w:val="right"/>
                  <w:rPr>
                    <w:rFonts w:ascii="Calibri" w:eastAsia="Times New Roman" w:hAnsi="Calibri" w:cs="Calibri"/>
                    <w:color w:val="000000"/>
                    <w:lang w:eastAsia="en-NZ"/>
                  </w:rPr>
                </w:pPr>
              </w:p>
            </w:tc>
            <w:tc>
              <w:tcPr>
                <w:tcW w:w="4264" w:type="dxa"/>
                <w:tcBorders>
                  <w:top w:val="nil"/>
                  <w:left w:val="nil"/>
                  <w:bottom w:val="nil"/>
                  <w:right w:val="nil"/>
                </w:tcBorders>
                <w:shd w:val="clear" w:color="auto" w:fill="auto"/>
                <w:noWrap/>
                <w:vAlign w:val="bottom"/>
              </w:tcPr>
              <w:p w14:paraId="189F306B" w14:textId="5D73F955" w:rsidR="00326390" w:rsidRPr="00326390" w:rsidRDefault="006B5D41" w:rsidP="00326390">
                <w:pPr>
                  <w:spacing w:after="0" w:line="240" w:lineRule="auto"/>
                  <w:jc w:val="both"/>
                  <w:rPr>
                    <w:rFonts w:ascii="Cambria" w:eastAsia="Times New Roman" w:hAnsi="Cambria" w:cs="Calibri"/>
                    <w:color w:val="000000"/>
                    <w:lang w:eastAsia="en-NZ"/>
                  </w:rPr>
                </w:pPr>
                <w:r w:rsidRPr="006B5D41">
                  <w:rPr>
                    <w:rFonts w:ascii="Cambria" w:eastAsia="Times New Roman" w:hAnsi="Cambria" w:cs="Calibri"/>
                    <w:color w:val="000000"/>
                    <w:lang w:eastAsia="en-NZ"/>
                  </w:rPr>
                  <w:t>Tupu - Pacific Alcohol &amp; Drug and Gambling Service</w:t>
                </w:r>
              </w:p>
            </w:tc>
          </w:tr>
          <w:tr w:rsidR="00326390" w:rsidRPr="00326390" w14:paraId="797A7A7A" w14:textId="77777777" w:rsidTr="006B5D41">
            <w:trPr>
              <w:trHeight w:val="300"/>
            </w:trPr>
            <w:tc>
              <w:tcPr>
                <w:tcW w:w="557" w:type="dxa"/>
                <w:tcBorders>
                  <w:top w:val="nil"/>
                  <w:left w:val="nil"/>
                  <w:bottom w:val="nil"/>
                  <w:right w:val="nil"/>
                </w:tcBorders>
                <w:shd w:val="clear" w:color="auto" w:fill="auto"/>
                <w:noWrap/>
                <w:vAlign w:val="bottom"/>
                <w:hideMark/>
              </w:tcPr>
              <w:p w14:paraId="654393F7"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C12</w:t>
                </w:r>
              </w:p>
            </w:tc>
            <w:tc>
              <w:tcPr>
                <w:tcW w:w="4264" w:type="dxa"/>
                <w:tcBorders>
                  <w:top w:val="nil"/>
                  <w:left w:val="nil"/>
                  <w:bottom w:val="nil"/>
                  <w:right w:val="nil"/>
                </w:tcBorders>
                <w:shd w:val="clear" w:color="auto" w:fill="auto"/>
                <w:noWrap/>
                <w:vAlign w:val="bottom"/>
              </w:tcPr>
              <w:p w14:paraId="6C905E31" w14:textId="7C6221E4" w:rsidR="00326390" w:rsidRPr="00326390" w:rsidRDefault="006B5D41" w:rsidP="00326390">
                <w:pPr>
                  <w:spacing w:after="0" w:line="240" w:lineRule="auto"/>
                  <w:jc w:val="both"/>
                  <w:rPr>
                    <w:rFonts w:ascii="Cambria" w:eastAsia="Times New Roman" w:hAnsi="Cambria" w:cs="Calibri"/>
                    <w:color w:val="000000"/>
                    <w:lang w:eastAsia="en-NZ"/>
                  </w:rPr>
                </w:pPr>
                <w:r w:rsidRPr="006B5D41">
                  <w:rPr>
                    <w:rFonts w:ascii="Cambria" w:eastAsia="Times New Roman" w:hAnsi="Cambria" w:cs="Calibri"/>
                    <w:color w:val="000000"/>
                    <w:lang w:eastAsia="en-NZ"/>
                  </w:rPr>
                  <w:t>Te Rangihaeata Oranga Trust</w:t>
                </w:r>
              </w:p>
            </w:tc>
          </w:tr>
          <w:tr w:rsidR="00326390" w:rsidRPr="00326390" w14:paraId="33D59FF6" w14:textId="77777777" w:rsidTr="006B5D41">
            <w:trPr>
              <w:trHeight w:val="300"/>
            </w:trPr>
            <w:tc>
              <w:tcPr>
                <w:tcW w:w="557" w:type="dxa"/>
                <w:tcBorders>
                  <w:top w:val="nil"/>
                  <w:left w:val="nil"/>
                  <w:bottom w:val="nil"/>
                  <w:right w:val="nil"/>
                </w:tcBorders>
                <w:shd w:val="clear" w:color="auto" w:fill="auto"/>
                <w:noWrap/>
                <w:vAlign w:val="bottom"/>
                <w:hideMark/>
              </w:tcPr>
              <w:p w14:paraId="61DCEB95" w14:textId="77777777" w:rsid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C13</w:t>
                </w:r>
              </w:p>
              <w:p w14:paraId="6AB9A41C" w14:textId="77777777" w:rsidR="006B5D41" w:rsidRPr="00326390" w:rsidRDefault="006B5D41" w:rsidP="00326390">
                <w:pPr>
                  <w:spacing w:after="0" w:line="240" w:lineRule="auto"/>
                  <w:jc w:val="right"/>
                  <w:rPr>
                    <w:rFonts w:ascii="Calibri" w:eastAsia="Times New Roman" w:hAnsi="Calibri" w:cs="Calibri"/>
                    <w:color w:val="000000"/>
                    <w:lang w:eastAsia="en-NZ"/>
                  </w:rPr>
                </w:pPr>
              </w:p>
            </w:tc>
            <w:tc>
              <w:tcPr>
                <w:tcW w:w="4264" w:type="dxa"/>
                <w:tcBorders>
                  <w:top w:val="nil"/>
                  <w:left w:val="nil"/>
                  <w:bottom w:val="nil"/>
                  <w:right w:val="nil"/>
                </w:tcBorders>
                <w:shd w:val="clear" w:color="auto" w:fill="auto"/>
                <w:noWrap/>
                <w:vAlign w:val="bottom"/>
              </w:tcPr>
              <w:p w14:paraId="6ED9C7DF" w14:textId="3A42EDE1" w:rsidR="00326390" w:rsidRPr="00326390" w:rsidRDefault="006B5D41" w:rsidP="00326390">
                <w:pPr>
                  <w:spacing w:after="0" w:line="240" w:lineRule="auto"/>
                  <w:jc w:val="both"/>
                  <w:rPr>
                    <w:rFonts w:ascii="Cambria" w:eastAsia="Times New Roman" w:hAnsi="Cambria" w:cs="Calibri"/>
                    <w:color w:val="000000"/>
                    <w:lang w:eastAsia="en-NZ"/>
                  </w:rPr>
                </w:pPr>
                <w:r w:rsidRPr="006B5D41">
                  <w:rPr>
                    <w:rFonts w:ascii="Cambria" w:eastAsia="Times New Roman" w:hAnsi="Cambria" w:cs="Calibri"/>
                    <w:color w:val="000000"/>
                    <w:lang w:eastAsia="en-NZ"/>
                  </w:rPr>
                  <w:t>Nga Manga Puriri Northland Problem Gambling Service</w:t>
                </w:r>
              </w:p>
            </w:tc>
          </w:tr>
          <w:tr w:rsidR="00326390" w:rsidRPr="00326390" w14:paraId="1C0D8A3D" w14:textId="77777777" w:rsidTr="00326390">
            <w:trPr>
              <w:trHeight w:val="300"/>
            </w:trPr>
            <w:tc>
              <w:tcPr>
                <w:tcW w:w="557" w:type="dxa"/>
                <w:tcBorders>
                  <w:top w:val="nil"/>
                  <w:left w:val="nil"/>
                  <w:bottom w:val="nil"/>
                  <w:right w:val="nil"/>
                </w:tcBorders>
                <w:shd w:val="clear" w:color="auto" w:fill="auto"/>
                <w:noWrap/>
                <w:vAlign w:val="bottom"/>
                <w:hideMark/>
              </w:tcPr>
              <w:p w14:paraId="25667437"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C14</w:t>
                </w:r>
              </w:p>
            </w:tc>
            <w:tc>
              <w:tcPr>
                <w:tcW w:w="4264" w:type="dxa"/>
                <w:tcBorders>
                  <w:top w:val="nil"/>
                  <w:left w:val="nil"/>
                  <w:bottom w:val="nil"/>
                  <w:right w:val="nil"/>
                </w:tcBorders>
                <w:shd w:val="clear" w:color="auto" w:fill="auto"/>
                <w:noWrap/>
                <w:vAlign w:val="bottom"/>
                <w:hideMark/>
              </w:tcPr>
              <w:p w14:paraId="66851F45" w14:textId="2F4B4DBA" w:rsidR="00326390" w:rsidRPr="00326390" w:rsidRDefault="00A86925" w:rsidP="00326390">
                <w:pPr>
                  <w:spacing w:after="0" w:line="240" w:lineRule="auto"/>
                  <w:jc w:val="both"/>
                  <w:rPr>
                    <w:rFonts w:ascii="Cambria" w:eastAsia="Times New Roman" w:hAnsi="Cambria" w:cs="Calibri"/>
                    <w:color w:val="000000"/>
                    <w:lang w:eastAsia="en-NZ"/>
                  </w:rPr>
                </w:pPr>
                <w:r w:rsidRPr="00E46696">
                  <w:rPr>
                    <w:rFonts w:ascii="Cambria" w:eastAsia="Times New Roman" w:hAnsi="Cambria" w:cs="Calibri"/>
                    <w:color w:val="000000"/>
                    <w:lang w:eastAsia="en-NZ"/>
                  </w:rPr>
                  <w:t>Individua</w:t>
                </w:r>
                <w:r>
                  <w:rPr>
                    <w:rFonts w:ascii="Cambria" w:eastAsia="Times New Roman" w:hAnsi="Cambria" w:cs="Calibri"/>
                    <w:color w:val="000000"/>
                    <w:lang w:eastAsia="en-NZ"/>
                  </w:rPr>
                  <w:t>l</w:t>
                </w:r>
              </w:p>
            </w:tc>
          </w:tr>
          <w:tr w:rsidR="00326390" w:rsidRPr="00326390" w14:paraId="240B1B8F" w14:textId="77777777" w:rsidTr="00326390">
            <w:trPr>
              <w:trHeight w:val="300"/>
            </w:trPr>
            <w:tc>
              <w:tcPr>
                <w:tcW w:w="557" w:type="dxa"/>
                <w:tcBorders>
                  <w:top w:val="nil"/>
                  <w:left w:val="nil"/>
                  <w:bottom w:val="nil"/>
                  <w:right w:val="nil"/>
                </w:tcBorders>
                <w:shd w:val="clear" w:color="auto" w:fill="auto"/>
                <w:noWrap/>
                <w:vAlign w:val="bottom"/>
                <w:hideMark/>
              </w:tcPr>
              <w:p w14:paraId="4E7CF66A"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C15</w:t>
                </w:r>
              </w:p>
            </w:tc>
            <w:tc>
              <w:tcPr>
                <w:tcW w:w="4264" w:type="dxa"/>
                <w:tcBorders>
                  <w:top w:val="nil"/>
                  <w:left w:val="nil"/>
                  <w:bottom w:val="nil"/>
                  <w:right w:val="nil"/>
                </w:tcBorders>
                <w:shd w:val="clear" w:color="auto" w:fill="auto"/>
                <w:noWrap/>
                <w:vAlign w:val="bottom"/>
                <w:hideMark/>
              </w:tcPr>
              <w:p w14:paraId="2B061973" w14:textId="68D9E6BE" w:rsidR="00326390" w:rsidRPr="00326390" w:rsidRDefault="006B5D41" w:rsidP="00326390">
                <w:pPr>
                  <w:spacing w:after="0" w:line="240" w:lineRule="auto"/>
                  <w:jc w:val="both"/>
                  <w:rPr>
                    <w:rFonts w:ascii="Cambria" w:eastAsia="Times New Roman" w:hAnsi="Cambria" w:cs="Calibri"/>
                    <w:color w:val="000000"/>
                    <w:lang w:eastAsia="en-NZ"/>
                  </w:rPr>
                </w:pPr>
                <w:r>
                  <w:rPr>
                    <w:rFonts w:ascii="Cambria" w:eastAsia="Times New Roman" w:hAnsi="Cambria" w:cs="Calibri"/>
                    <w:color w:val="000000"/>
                    <w:lang w:eastAsia="en-NZ"/>
                  </w:rPr>
                  <w:t>Individual</w:t>
                </w:r>
              </w:p>
            </w:tc>
          </w:tr>
          <w:tr w:rsidR="00326390" w:rsidRPr="00326390" w14:paraId="34FF87EE" w14:textId="77777777" w:rsidTr="00326390">
            <w:trPr>
              <w:trHeight w:val="300"/>
            </w:trPr>
            <w:tc>
              <w:tcPr>
                <w:tcW w:w="557" w:type="dxa"/>
                <w:tcBorders>
                  <w:top w:val="nil"/>
                  <w:left w:val="nil"/>
                  <w:bottom w:val="nil"/>
                  <w:right w:val="nil"/>
                </w:tcBorders>
                <w:shd w:val="clear" w:color="auto" w:fill="auto"/>
                <w:noWrap/>
                <w:vAlign w:val="bottom"/>
                <w:hideMark/>
              </w:tcPr>
              <w:p w14:paraId="5BCE8754" w14:textId="77777777" w:rsid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C16</w:t>
                </w:r>
              </w:p>
              <w:p w14:paraId="592CFB10" w14:textId="77777777" w:rsidR="006B5D41" w:rsidRPr="00326390" w:rsidRDefault="006B5D41" w:rsidP="00326390">
                <w:pPr>
                  <w:spacing w:after="0" w:line="240" w:lineRule="auto"/>
                  <w:jc w:val="right"/>
                  <w:rPr>
                    <w:rFonts w:ascii="Calibri" w:eastAsia="Times New Roman" w:hAnsi="Calibri" w:cs="Calibri"/>
                    <w:color w:val="000000"/>
                    <w:lang w:eastAsia="en-NZ"/>
                  </w:rPr>
                </w:pPr>
              </w:p>
            </w:tc>
            <w:tc>
              <w:tcPr>
                <w:tcW w:w="4264" w:type="dxa"/>
                <w:tcBorders>
                  <w:top w:val="nil"/>
                  <w:left w:val="nil"/>
                  <w:bottom w:val="nil"/>
                  <w:right w:val="nil"/>
                </w:tcBorders>
                <w:shd w:val="clear" w:color="auto" w:fill="auto"/>
                <w:noWrap/>
                <w:vAlign w:val="bottom"/>
                <w:hideMark/>
              </w:tcPr>
              <w:p w14:paraId="2DA884E8" w14:textId="44D858CE" w:rsidR="00326390" w:rsidRPr="00326390" w:rsidRDefault="006B5D41" w:rsidP="00326390">
                <w:pPr>
                  <w:spacing w:after="0" w:line="240" w:lineRule="auto"/>
                  <w:rPr>
                    <w:rFonts w:ascii="Cambria" w:eastAsia="Times New Roman" w:hAnsi="Cambria" w:cs="Calibri"/>
                    <w:color w:val="000000"/>
                    <w:lang w:eastAsia="en-NZ"/>
                  </w:rPr>
                </w:pPr>
                <w:r w:rsidRPr="006B5D41">
                  <w:rPr>
                    <w:rFonts w:ascii="Cambria" w:eastAsia="Times New Roman" w:hAnsi="Cambria" w:cs="Calibri"/>
                    <w:color w:val="000000"/>
                    <w:lang w:eastAsia="en-NZ"/>
                  </w:rPr>
                  <w:t>Kaiawhina Workfroce Action Plan and Careerforce</w:t>
                </w:r>
                <w:r w:rsidR="00326390" w:rsidRPr="00326390">
                  <w:rPr>
                    <w:rFonts w:ascii="Cambria" w:eastAsia="Times New Roman" w:hAnsi="Cambria" w:cs="Calibri"/>
                    <w:color w:val="000000"/>
                    <w:lang w:eastAsia="en-NZ"/>
                  </w:rPr>
                  <w:t xml:space="preserve">s </w:t>
                </w:r>
              </w:p>
            </w:tc>
          </w:tr>
        </w:tbl>
        <w:p w14:paraId="37E02D07" w14:textId="77777777" w:rsidR="00326390" w:rsidRDefault="00326390">
          <w:r>
            <w:br w:type="page"/>
          </w:r>
        </w:p>
        <w:p w14:paraId="21621945" w14:textId="04113E03" w:rsidR="00326390" w:rsidRPr="00695B30" w:rsidRDefault="00326390" w:rsidP="00326390">
          <w:pPr>
            <w:pStyle w:val="Caption"/>
            <w:keepNext/>
            <w:rPr>
              <w:sz w:val="24"/>
            </w:rPr>
          </w:pPr>
          <w:bookmarkStart w:id="183" w:name="_Toc529787395"/>
          <w:r w:rsidRPr="00695B30">
            <w:rPr>
              <w:sz w:val="24"/>
            </w:rPr>
            <w:lastRenderedPageBreak/>
            <w:t xml:space="preserve">Table </w:t>
          </w:r>
          <w:r w:rsidRPr="00695B30">
            <w:rPr>
              <w:sz w:val="24"/>
            </w:rPr>
            <w:fldChar w:fldCharType="begin"/>
          </w:r>
          <w:r w:rsidRPr="00695B30">
            <w:rPr>
              <w:sz w:val="24"/>
            </w:rPr>
            <w:instrText xml:space="preserve"> SEQ Table \* ARABIC </w:instrText>
          </w:r>
          <w:r w:rsidRPr="00695B30">
            <w:rPr>
              <w:sz w:val="24"/>
            </w:rPr>
            <w:fldChar w:fldCharType="separate"/>
          </w:r>
          <w:r w:rsidR="00CE4EFF">
            <w:rPr>
              <w:noProof/>
              <w:sz w:val="24"/>
            </w:rPr>
            <w:t>14</w:t>
          </w:r>
          <w:r w:rsidRPr="00695B30">
            <w:rPr>
              <w:sz w:val="24"/>
            </w:rPr>
            <w:fldChar w:fldCharType="end"/>
          </w:r>
          <w:r w:rsidRPr="00695B30">
            <w:rPr>
              <w:sz w:val="24"/>
            </w:rPr>
            <w:t>: List of submitters, sorted alphabetically</w:t>
          </w:r>
          <w:bookmarkEnd w:id="183"/>
        </w:p>
        <w:tbl>
          <w:tblPr>
            <w:tblW w:w="5079" w:type="dxa"/>
            <w:tblInd w:w="-567" w:type="dxa"/>
            <w:tblLook w:val="04A0" w:firstRow="1" w:lastRow="0" w:firstColumn="1" w:lastColumn="0" w:noHBand="0" w:noVBand="1"/>
          </w:tblPr>
          <w:tblGrid>
            <w:gridCol w:w="674"/>
            <w:gridCol w:w="4405"/>
          </w:tblGrid>
          <w:tr w:rsidR="00326390" w:rsidRPr="00326390" w14:paraId="454091C6" w14:textId="77777777" w:rsidTr="00B465C5">
            <w:trPr>
              <w:trHeight w:val="300"/>
            </w:trPr>
            <w:tc>
              <w:tcPr>
                <w:tcW w:w="674" w:type="dxa"/>
                <w:tcBorders>
                  <w:top w:val="nil"/>
                  <w:left w:val="nil"/>
                  <w:bottom w:val="nil"/>
                  <w:right w:val="nil"/>
                </w:tcBorders>
                <w:shd w:val="clear" w:color="auto" w:fill="auto"/>
                <w:noWrap/>
                <w:vAlign w:val="bottom"/>
                <w:hideMark/>
              </w:tcPr>
              <w:p w14:paraId="28DF335A"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20</w:t>
                </w:r>
              </w:p>
            </w:tc>
            <w:tc>
              <w:tcPr>
                <w:tcW w:w="4405" w:type="dxa"/>
                <w:tcBorders>
                  <w:top w:val="nil"/>
                  <w:left w:val="nil"/>
                  <w:bottom w:val="nil"/>
                  <w:right w:val="nil"/>
                </w:tcBorders>
                <w:shd w:val="clear" w:color="auto" w:fill="auto"/>
                <w:noWrap/>
                <w:vAlign w:val="bottom"/>
                <w:hideMark/>
              </w:tcPr>
              <w:p w14:paraId="15C1C21D"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ABACUS Counselling, Training &amp; Supervision Ltd</w:t>
                </w:r>
              </w:p>
            </w:tc>
          </w:tr>
          <w:tr w:rsidR="00326390" w:rsidRPr="00326390" w14:paraId="3768617E" w14:textId="77777777" w:rsidTr="00B465C5">
            <w:trPr>
              <w:trHeight w:val="300"/>
            </w:trPr>
            <w:tc>
              <w:tcPr>
                <w:tcW w:w="674" w:type="dxa"/>
                <w:tcBorders>
                  <w:top w:val="nil"/>
                  <w:left w:val="nil"/>
                  <w:bottom w:val="nil"/>
                  <w:right w:val="nil"/>
                </w:tcBorders>
                <w:shd w:val="clear" w:color="auto" w:fill="auto"/>
                <w:noWrap/>
                <w:vAlign w:val="bottom"/>
                <w:hideMark/>
              </w:tcPr>
              <w:p w14:paraId="59253E75"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11</w:t>
                </w:r>
              </w:p>
            </w:tc>
            <w:tc>
              <w:tcPr>
                <w:tcW w:w="4405" w:type="dxa"/>
                <w:tcBorders>
                  <w:top w:val="nil"/>
                  <w:left w:val="nil"/>
                  <w:bottom w:val="nil"/>
                  <w:right w:val="nil"/>
                </w:tcBorders>
                <w:shd w:val="clear" w:color="auto" w:fill="auto"/>
                <w:noWrap/>
                <w:vAlign w:val="bottom"/>
                <w:hideMark/>
              </w:tcPr>
              <w:p w14:paraId="04D9ED11" w14:textId="5E2AA47A" w:rsidR="00326390" w:rsidRPr="00326390" w:rsidRDefault="004464EF"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 xml:space="preserve">Addiction Advice </w:t>
                </w:r>
                <w:r>
                  <w:rPr>
                    <w:rFonts w:ascii="Cambria" w:eastAsia="Times New Roman" w:hAnsi="Cambria" w:cs="Calibri"/>
                    <w:color w:val="000000"/>
                    <w:lang w:eastAsia="en-NZ"/>
                  </w:rPr>
                  <w:t>Limited/Nelson-Marlborough Problem Gambling Services</w:t>
                </w:r>
              </w:p>
            </w:tc>
          </w:tr>
          <w:tr w:rsidR="00326390" w:rsidRPr="00326390" w14:paraId="5B4B66C9" w14:textId="77777777" w:rsidTr="00B465C5">
            <w:trPr>
              <w:trHeight w:val="300"/>
            </w:trPr>
            <w:tc>
              <w:tcPr>
                <w:tcW w:w="674" w:type="dxa"/>
                <w:tcBorders>
                  <w:top w:val="nil"/>
                  <w:left w:val="nil"/>
                  <w:bottom w:val="nil"/>
                  <w:right w:val="nil"/>
                </w:tcBorders>
                <w:shd w:val="clear" w:color="auto" w:fill="auto"/>
                <w:noWrap/>
                <w:vAlign w:val="bottom"/>
                <w:hideMark/>
              </w:tcPr>
              <w:p w14:paraId="3A710114"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35</w:t>
                </w:r>
              </w:p>
            </w:tc>
            <w:tc>
              <w:tcPr>
                <w:tcW w:w="4405" w:type="dxa"/>
                <w:tcBorders>
                  <w:top w:val="nil"/>
                  <w:left w:val="nil"/>
                  <w:bottom w:val="nil"/>
                  <w:right w:val="nil"/>
                </w:tcBorders>
                <w:shd w:val="clear" w:color="auto" w:fill="auto"/>
                <w:noWrap/>
                <w:vAlign w:val="bottom"/>
                <w:hideMark/>
              </w:tcPr>
              <w:p w14:paraId="1C434218"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Advance Gaming</w:t>
                </w:r>
              </w:p>
            </w:tc>
          </w:tr>
          <w:tr w:rsidR="00326390" w:rsidRPr="00326390" w14:paraId="3B5EF2C8" w14:textId="77777777" w:rsidTr="00B465C5">
            <w:trPr>
              <w:trHeight w:val="300"/>
            </w:trPr>
            <w:tc>
              <w:tcPr>
                <w:tcW w:w="674" w:type="dxa"/>
                <w:tcBorders>
                  <w:top w:val="nil"/>
                  <w:left w:val="nil"/>
                  <w:bottom w:val="nil"/>
                  <w:right w:val="nil"/>
                </w:tcBorders>
                <w:shd w:val="clear" w:color="auto" w:fill="auto"/>
                <w:noWrap/>
                <w:vAlign w:val="bottom"/>
                <w:hideMark/>
              </w:tcPr>
              <w:p w14:paraId="76B32593"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1</w:t>
                </w:r>
              </w:p>
            </w:tc>
            <w:tc>
              <w:tcPr>
                <w:tcW w:w="4405" w:type="dxa"/>
                <w:tcBorders>
                  <w:top w:val="nil"/>
                  <w:left w:val="nil"/>
                  <w:bottom w:val="nil"/>
                  <w:right w:val="nil"/>
                </w:tcBorders>
                <w:shd w:val="clear" w:color="auto" w:fill="auto"/>
                <w:noWrap/>
                <w:vAlign w:val="bottom"/>
                <w:hideMark/>
              </w:tcPr>
              <w:p w14:paraId="51B58292"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Akarana Community Trust</w:t>
                </w:r>
              </w:p>
            </w:tc>
          </w:tr>
          <w:tr w:rsidR="00326390" w:rsidRPr="00326390" w14:paraId="33720651" w14:textId="77777777" w:rsidTr="00B465C5">
            <w:trPr>
              <w:trHeight w:val="300"/>
            </w:trPr>
            <w:tc>
              <w:tcPr>
                <w:tcW w:w="674" w:type="dxa"/>
                <w:tcBorders>
                  <w:top w:val="nil"/>
                  <w:left w:val="nil"/>
                  <w:bottom w:val="nil"/>
                  <w:right w:val="nil"/>
                </w:tcBorders>
                <w:shd w:val="clear" w:color="auto" w:fill="auto"/>
                <w:noWrap/>
                <w:vAlign w:val="bottom"/>
                <w:hideMark/>
              </w:tcPr>
              <w:p w14:paraId="4494B108"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65</w:t>
                </w:r>
              </w:p>
            </w:tc>
            <w:tc>
              <w:tcPr>
                <w:tcW w:w="4405" w:type="dxa"/>
                <w:tcBorders>
                  <w:top w:val="nil"/>
                  <w:left w:val="nil"/>
                  <w:bottom w:val="nil"/>
                  <w:right w:val="nil"/>
                </w:tcBorders>
                <w:shd w:val="clear" w:color="auto" w:fill="auto"/>
                <w:noWrap/>
                <w:vAlign w:val="bottom"/>
                <w:hideMark/>
              </w:tcPr>
              <w:p w14:paraId="17585999" w14:textId="2F4657CF"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Alliance Health</w:t>
                </w:r>
                <w:r w:rsidR="00CC009C">
                  <w:rPr>
                    <w:rFonts w:ascii="Cambria" w:eastAsia="Times New Roman" w:hAnsi="Cambria" w:cs="Calibri"/>
                    <w:color w:val="000000"/>
                    <w:lang w:eastAsia="en-NZ"/>
                  </w:rPr>
                  <w:t xml:space="preserve"> Plus</w:t>
                </w:r>
              </w:p>
            </w:tc>
          </w:tr>
          <w:tr w:rsidR="00326390" w:rsidRPr="00326390" w14:paraId="2DAFBDE5" w14:textId="77777777" w:rsidTr="00B465C5">
            <w:trPr>
              <w:trHeight w:val="300"/>
            </w:trPr>
            <w:tc>
              <w:tcPr>
                <w:tcW w:w="674" w:type="dxa"/>
                <w:tcBorders>
                  <w:top w:val="nil"/>
                  <w:left w:val="nil"/>
                  <w:bottom w:val="nil"/>
                  <w:right w:val="nil"/>
                </w:tcBorders>
                <w:shd w:val="clear" w:color="auto" w:fill="auto"/>
                <w:noWrap/>
                <w:vAlign w:val="bottom"/>
                <w:hideMark/>
              </w:tcPr>
              <w:p w14:paraId="3869330F"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46</w:t>
                </w:r>
              </w:p>
            </w:tc>
            <w:tc>
              <w:tcPr>
                <w:tcW w:w="4405" w:type="dxa"/>
                <w:tcBorders>
                  <w:top w:val="nil"/>
                  <w:left w:val="nil"/>
                  <w:bottom w:val="nil"/>
                  <w:right w:val="nil"/>
                </w:tcBorders>
                <w:shd w:val="clear" w:color="auto" w:fill="auto"/>
                <w:noWrap/>
                <w:vAlign w:val="bottom"/>
                <w:hideMark/>
              </w:tcPr>
              <w:p w14:paraId="36D893ED" w14:textId="4C9409BB"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A</w:t>
                </w:r>
                <w:r w:rsidR="00CC009C">
                  <w:rPr>
                    <w:rFonts w:ascii="Cambria" w:eastAsia="Times New Roman" w:hAnsi="Cambria" w:cs="Calibri"/>
                    <w:color w:val="000000"/>
                    <w:lang w:eastAsia="en-NZ"/>
                  </w:rPr>
                  <w:t>SHA</w:t>
                </w:r>
              </w:p>
            </w:tc>
          </w:tr>
          <w:tr w:rsidR="00326390" w:rsidRPr="00326390" w14:paraId="6842213A" w14:textId="77777777" w:rsidTr="00B465C5">
            <w:trPr>
              <w:trHeight w:val="300"/>
            </w:trPr>
            <w:tc>
              <w:tcPr>
                <w:tcW w:w="674" w:type="dxa"/>
                <w:tcBorders>
                  <w:top w:val="nil"/>
                  <w:left w:val="nil"/>
                  <w:bottom w:val="nil"/>
                  <w:right w:val="nil"/>
                </w:tcBorders>
                <w:shd w:val="clear" w:color="auto" w:fill="auto"/>
                <w:noWrap/>
                <w:vAlign w:val="bottom"/>
                <w:hideMark/>
              </w:tcPr>
              <w:p w14:paraId="4A14C904"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45</w:t>
                </w:r>
              </w:p>
            </w:tc>
            <w:tc>
              <w:tcPr>
                <w:tcW w:w="4405" w:type="dxa"/>
                <w:tcBorders>
                  <w:top w:val="nil"/>
                  <w:left w:val="nil"/>
                  <w:bottom w:val="nil"/>
                  <w:right w:val="nil"/>
                </w:tcBorders>
                <w:shd w:val="clear" w:color="auto" w:fill="auto"/>
                <w:noWrap/>
                <w:vAlign w:val="bottom"/>
                <w:hideMark/>
              </w:tcPr>
              <w:p w14:paraId="1A707B97"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Asian Family Services</w:t>
                </w:r>
              </w:p>
            </w:tc>
          </w:tr>
          <w:tr w:rsidR="00326390" w:rsidRPr="00326390" w14:paraId="5111B52A" w14:textId="77777777" w:rsidTr="00B465C5">
            <w:trPr>
              <w:trHeight w:val="300"/>
            </w:trPr>
            <w:tc>
              <w:tcPr>
                <w:tcW w:w="674" w:type="dxa"/>
                <w:tcBorders>
                  <w:top w:val="nil"/>
                  <w:left w:val="nil"/>
                  <w:bottom w:val="nil"/>
                  <w:right w:val="nil"/>
                </w:tcBorders>
                <w:shd w:val="clear" w:color="auto" w:fill="auto"/>
                <w:noWrap/>
                <w:vAlign w:val="bottom"/>
                <w:hideMark/>
              </w:tcPr>
              <w:p w14:paraId="4C0191F3"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27</w:t>
                </w:r>
              </w:p>
            </w:tc>
            <w:tc>
              <w:tcPr>
                <w:tcW w:w="4405" w:type="dxa"/>
                <w:tcBorders>
                  <w:top w:val="nil"/>
                  <w:left w:val="nil"/>
                  <w:bottom w:val="nil"/>
                  <w:right w:val="nil"/>
                </w:tcBorders>
                <w:shd w:val="clear" w:color="auto" w:fill="auto"/>
                <w:noWrap/>
                <w:vAlign w:val="bottom"/>
                <w:hideMark/>
              </w:tcPr>
              <w:p w14:paraId="7348F5FC"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Auckland Regional Public Health Service</w:t>
                </w:r>
              </w:p>
            </w:tc>
          </w:tr>
          <w:tr w:rsidR="00326390" w:rsidRPr="00326390" w14:paraId="37C15311" w14:textId="77777777" w:rsidTr="00B465C5">
            <w:trPr>
              <w:trHeight w:val="300"/>
            </w:trPr>
            <w:tc>
              <w:tcPr>
                <w:tcW w:w="674" w:type="dxa"/>
                <w:tcBorders>
                  <w:top w:val="nil"/>
                  <w:left w:val="nil"/>
                  <w:bottom w:val="nil"/>
                  <w:right w:val="nil"/>
                </w:tcBorders>
                <w:shd w:val="clear" w:color="auto" w:fill="auto"/>
                <w:noWrap/>
                <w:vAlign w:val="bottom"/>
                <w:hideMark/>
              </w:tcPr>
              <w:p w14:paraId="2F5FE666"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40</w:t>
                </w:r>
              </w:p>
            </w:tc>
            <w:tc>
              <w:tcPr>
                <w:tcW w:w="4405" w:type="dxa"/>
                <w:tcBorders>
                  <w:top w:val="nil"/>
                  <w:left w:val="nil"/>
                  <w:bottom w:val="nil"/>
                  <w:right w:val="nil"/>
                </w:tcBorders>
                <w:shd w:val="clear" w:color="auto" w:fill="auto"/>
                <w:noWrap/>
                <w:vAlign w:val="bottom"/>
                <w:hideMark/>
              </w:tcPr>
              <w:p w14:paraId="0D169E3D"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Auckland University of Technology</w:t>
                </w:r>
              </w:p>
            </w:tc>
          </w:tr>
          <w:tr w:rsidR="00326390" w:rsidRPr="00326390" w14:paraId="0AA42958" w14:textId="77777777" w:rsidTr="00B465C5">
            <w:trPr>
              <w:trHeight w:val="300"/>
            </w:trPr>
            <w:tc>
              <w:tcPr>
                <w:tcW w:w="674" w:type="dxa"/>
                <w:tcBorders>
                  <w:top w:val="nil"/>
                  <w:left w:val="nil"/>
                  <w:bottom w:val="nil"/>
                  <w:right w:val="nil"/>
                </w:tcBorders>
                <w:shd w:val="clear" w:color="auto" w:fill="auto"/>
                <w:noWrap/>
                <w:vAlign w:val="bottom"/>
                <w:hideMark/>
              </w:tcPr>
              <w:p w14:paraId="1A74D14F"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26</w:t>
                </w:r>
              </w:p>
            </w:tc>
            <w:tc>
              <w:tcPr>
                <w:tcW w:w="4405" w:type="dxa"/>
                <w:tcBorders>
                  <w:top w:val="nil"/>
                  <w:left w:val="nil"/>
                  <w:bottom w:val="nil"/>
                  <w:right w:val="nil"/>
                </w:tcBorders>
                <w:shd w:val="clear" w:color="auto" w:fill="auto"/>
                <w:noWrap/>
                <w:vAlign w:val="bottom"/>
                <w:hideMark/>
              </w:tcPr>
              <w:p w14:paraId="0E8E7827"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BlueSky Community Trust Ltd</w:t>
                </w:r>
              </w:p>
            </w:tc>
          </w:tr>
          <w:tr w:rsidR="00326390" w:rsidRPr="00326390" w14:paraId="5EE1A53B" w14:textId="77777777" w:rsidTr="00B465C5">
            <w:trPr>
              <w:trHeight w:val="300"/>
            </w:trPr>
            <w:tc>
              <w:tcPr>
                <w:tcW w:w="674" w:type="dxa"/>
                <w:tcBorders>
                  <w:top w:val="nil"/>
                  <w:left w:val="nil"/>
                  <w:bottom w:val="nil"/>
                  <w:right w:val="nil"/>
                </w:tcBorders>
                <w:shd w:val="clear" w:color="auto" w:fill="auto"/>
                <w:noWrap/>
                <w:vAlign w:val="bottom"/>
                <w:hideMark/>
              </w:tcPr>
              <w:p w14:paraId="56D2B8C9"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22</w:t>
                </w:r>
              </w:p>
            </w:tc>
            <w:tc>
              <w:tcPr>
                <w:tcW w:w="4405" w:type="dxa"/>
                <w:tcBorders>
                  <w:top w:val="nil"/>
                  <w:left w:val="nil"/>
                  <w:bottom w:val="nil"/>
                  <w:right w:val="nil"/>
                </w:tcBorders>
                <w:shd w:val="clear" w:color="auto" w:fill="auto"/>
                <w:noWrap/>
                <w:vAlign w:val="bottom"/>
                <w:hideMark/>
              </w:tcPr>
              <w:p w14:paraId="6D07CA1D"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BlueSync Limited</w:t>
                </w:r>
              </w:p>
            </w:tc>
          </w:tr>
          <w:tr w:rsidR="00326390" w:rsidRPr="00326390" w14:paraId="7EAE5E63" w14:textId="77777777" w:rsidTr="00B465C5">
            <w:trPr>
              <w:trHeight w:val="300"/>
            </w:trPr>
            <w:tc>
              <w:tcPr>
                <w:tcW w:w="674" w:type="dxa"/>
                <w:tcBorders>
                  <w:top w:val="nil"/>
                  <w:left w:val="nil"/>
                  <w:bottom w:val="nil"/>
                  <w:right w:val="nil"/>
                </w:tcBorders>
                <w:shd w:val="clear" w:color="auto" w:fill="auto"/>
                <w:noWrap/>
                <w:vAlign w:val="bottom"/>
                <w:hideMark/>
              </w:tcPr>
              <w:p w14:paraId="4801F4FB"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30</w:t>
                </w:r>
              </w:p>
            </w:tc>
            <w:tc>
              <w:tcPr>
                <w:tcW w:w="4405" w:type="dxa"/>
                <w:tcBorders>
                  <w:top w:val="nil"/>
                  <w:left w:val="nil"/>
                  <w:bottom w:val="nil"/>
                  <w:right w:val="nil"/>
                </w:tcBorders>
                <w:shd w:val="clear" w:color="auto" w:fill="auto"/>
                <w:noWrap/>
                <w:vAlign w:val="bottom"/>
                <w:hideMark/>
              </w:tcPr>
              <w:p w14:paraId="0E200D64"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Canterbury DHB</w:t>
                </w:r>
              </w:p>
            </w:tc>
          </w:tr>
          <w:tr w:rsidR="00326390" w:rsidRPr="00326390" w14:paraId="50D38B50" w14:textId="77777777" w:rsidTr="00B465C5">
            <w:trPr>
              <w:trHeight w:val="300"/>
            </w:trPr>
            <w:tc>
              <w:tcPr>
                <w:tcW w:w="674" w:type="dxa"/>
                <w:tcBorders>
                  <w:top w:val="nil"/>
                  <w:left w:val="nil"/>
                  <w:bottom w:val="nil"/>
                  <w:right w:val="nil"/>
                </w:tcBorders>
                <w:shd w:val="clear" w:color="auto" w:fill="auto"/>
                <w:noWrap/>
                <w:vAlign w:val="bottom"/>
                <w:hideMark/>
              </w:tcPr>
              <w:p w14:paraId="0267EA7D"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66</w:t>
                </w:r>
              </w:p>
            </w:tc>
            <w:tc>
              <w:tcPr>
                <w:tcW w:w="4405" w:type="dxa"/>
                <w:tcBorders>
                  <w:top w:val="nil"/>
                  <w:left w:val="nil"/>
                  <w:bottom w:val="nil"/>
                  <w:right w:val="nil"/>
                </w:tcBorders>
                <w:shd w:val="clear" w:color="auto" w:fill="auto"/>
                <w:noWrap/>
                <w:vAlign w:val="bottom"/>
                <w:hideMark/>
              </w:tcPr>
              <w:p w14:paraId="679B6DE3"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Careerforce</w:t>
                </w:r>
              </w:p>
            </w:tc>
          </w:tr>
          <w:tr w:rsidR="00326390" w:rsidRPr="00326390" w14:paraId="4BD622B2" w14:textId="77777777" w:rsidTr="00B465C5">
            <w:trPr>
              <w:trHeight w:val="300"/>
            </w:trPr>
            <w:tc>
              <w:tcPr>
                <w:tcW w:w="674" w:type="dxa"/>
                <w:tcBorders>
                  <w:top w:val="nil"/>
                  <w:left w:val="nil"/>
                  <w:bottom w:val="nil"/>
                  <w:right w:val="nil"/>
                </w:tcBorders>
                <w:shd w:val="clear" w:color="auto" w:fill="auto"/>
                <w:noWrap/>
                <w:vAlign w:val="bottom"/>
                <w:hideMark/>
              </w:tcPr>
              <w:p w14:paraId="5E94517B"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C12</w:t>
                </w:r>
              </w:p>
            </w:tc>
            <w:tc>
              <w:tcPr>
                <w:tcW w:w="4405" w:type="dxa"/>
                <w:tcBorders>
                  <w:top w:val="nil"/>
                  <w:left w:val="nil"/>
                  <w:bottom w:val="nil"/>
                  <w:right w:val="nil"/>
                </w:tcBorders>
                <w:shd w:val="clear" w:color="auto" w:fill="auto"/>
                <w:noWrap/>
                <w:vAlign w:val="bottom"/>
                <w:hideMark/>
              </w:tcPr>
              <w:p w14:paraId="7B06B837" w14:textId="4974F722" w:rsidR="00326390" w:rsidRPr="00326390" w:rsidRDefault="00293830" w:rsidP="00326390">
                <w:pPr>
                  <w:spacing w:after="0" w:line="240" w:lineRule="auto"/>
                  <w:jc w:val="both"/>
                  <w:rPr>
                    <w:rFonts w:ascii="Cambria" w:eastAsia="Times New Roman" w:hAnsi="Cambria" w:cs="Calibri"/>
                    <w:color w:val="000000"/>
                    <w:lang w:eastAsia="en-NZ"/>
                  </w:rPr>
                </w:pPr>
                <w:r w:rsidRPr="006B5D41">
                  <w:rPr>
                    <w:rFonts w:ascii="Cambria" w:eastAsia="Times New Roman" w:hAnsi="Cambria" w:cs="Calibri"/>
                    <w:color w:val="000000"/>
                    <w:lang w:eastAsia="en-NZ"/>
                  </w:rPr>
                  <w:t>Te Rangihaeata Oranga Trust</w:t>
                </w:r>
              </w:p>
            </w:tc>
          </w:tr>
          <w:tr w:rsidR="00326390" w:rsidRPr="00326390" w14:paraId="12C28850" w14:textId="77777777" w:rsidTr="00B465C5">
            <w:trPr>
              <w:trHeight w:val="300"/>
            </w:trPr>
            <w:tc>
              <w:tcPr>
                <w:tcW w:w="674" w:type="dxa"/>
                <w:tcBorders>
                  <w:top w:val="nil"/>
                  <w:left w:val="nil"/>
                  <w:bottom w:val="nil"/>
                  <w:right w:val="nil"/>
                </w:tcBorders>
                <w:shd w:val="clear" w:color="auto" w:fill="auto"/>
                <w:noWrap/>
                <w:vAlign w:val="bottom"/>
                <w:hideMark/>
              </w:tcPr>
              <w:p w14:paraId="70FDE54C"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10</w:t>
                </w:r>
              </w:p>
            </w:tc>
            <w:tc>
              <w:tcPr>
                <w:tcW w:w="4405" w:type="dxa"/>
                <w:tcBorders>
                  <w:top w:val="nil"/>
                  <w:left w:val="nil"/>
                  <w:bottom w:val="nil"/>
                  <w:right w:val="nil"/>
                </w:tcBorders>
                <w:shd w:val="clear" w:color="auto" w:fill="auto"/>
                <w:noWrap/>
                <w:vAlign w:val="bottom"/>
                <w:hideMark/>
              </w:tcPr>
              <w:p w14:paraId="57527E42"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CERT</w:t>
                </w:r>
              </w:p>
            </w:tc>
          </w:tr>
          <w:tr w:rsidR="00326390" w:rsidRPr="00326390" w14:paraId="621AE2D9" w14:textId="77777777" w:rsidTr="00B465C5">
            <w:trPr>
              <w:trHeight w:val="300"/>
            </w:trPr>
            <w:tc>
              <w:tcPr>
                <w:tcW w:w="674" w:type="dxa"/>
                <w:tcBorders>
                  <w:top w:val="nil"/>
                  <w:left w:val="nil"/>
                  <w:bottom w:val="nil"/>
                  <w:right w:val="nil"/>
                </w:tcBorders>
                <w:shd w:val="clear" w:color="auto" w:fill="auto"/>
                <w:noWrap/>
                <w:vAlign w:val="bottom"/>
                <w:hideMark/>
              </w:tcPr>
              <w:p w14:paraId="4BF432D6"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 xml:space="preserve">C07 </w:t>
                </w:r>
              </w:p>
            </w:tc>
            <w:tc>
              <w:tcPr>
                <w:tcW w:w="4405" w:type="dxa"/>
                <w:tcBorders>
                  <w:top w:val="nil"/>
                  <w:left w:val="nil"/>
                  <w:bottom w:val="nil"/>
                  <w:right w:val="nil"/>
                </w:tcBorders>
                <w:shd w:val="clear" w:color="auto" w:fill="auto"/>
                <w:noWrap/>
                <w:vAlign w:val="bottom"/>
                <w:hideMark/>
              </w:tcPr>
              <w:p w14:paraId="724F2A69"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Chris Marshall</w:t>
                </w:r>
              </w:p>
            </w:tc>
          </w:tr>
          <w:tr w:rsidR="00326390" w:rsidRPr="00326390" w14:paraId="6C5DC0EC" w14:textId="77777777" w:rsidTr="00B465C5">
            <w:trPr>
              <w:trHeight w:val="300"/>
            </w:trPr>
            <w:tc>
              <w:tcPr>
                <w:tcW w:w="674" w:type="dxa"/>
                <w:tcBorders>
                  <w:top w:val="nil"/>
                  <w:left w:val="nil"/>
                  <w:bottom w:val="nil"/>
                  <w:right w:val="nil"/>
                </w:tcBorders>
                <w:shd w:val="clear" w:color="auto" w:fill="auto"/>
                <w:noWrap/>
                <w:vAlign w:val="bottom"/>
                <w:hideMark/>
              </w:tcPr>
              <w:p w14:paraId="3C7D7D78"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61</w:t>
                </w:r>
              </w:p>
            </w:tc>
            <w:tc>
              <w:tcPr>
                <w:tcW w:w="4405" w:type="dxa"/>
                <w:tcBorders>
                  <w:top w:val="nil"/>
                  <w:left w:val="nil"/>
                  <w:bottom w:val="nil"/>
                  <w:right w:val="nil"/>
                </w:tcBorders>
                <w:shd w:val="clear" w:color="auto" w:fill="auto"/>
                <w:noWrap/>
                <w:vAlign w:val="bottom"/>
                <w:hideMark/>
              </w:tcPr>
              <w:p w14:paraId="354327E1"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Christchurch Casinos Limited</w:t>
                </w:r>
              </w:p>
            </w:tc>
          </w:tr>
          <w:tr w:rsidR="00326390" w:rsidRPr="00326390" w14:paraId="4C9BB640" w14:textId="77777777" w:rsidTr="00B465C5">
            <w:trPr>
              <w:trHeight w:val="300"/>
            </w:trPr>
            <w:tc>
              <w:tcPr>
                <w:tcW w:w="674" w:type="dxa"/>
                <w:tcBorders>
                  <w:top w:val="nil"/>
                  <w:left w:val="nil"/>
                  <w:bottom w:val="nil"/>
                  <w:right w:val="nil"/>
                </w:tcBorders>
                <w:shd w:val="clear" w:color="auto" w:fill="auto"/>
                <w:noWrap/>
                <w:vAlign w:val="bottom"/>
                <w:hideMark/>
              </w:tcPr>
              <w:p w14:paraId="63BF03EF"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12</w:t>
                </w:r>
              </w:p>
            </w:tc>
            <w:tc>
              <w:tcPr>
                <w:tcW w:w="4405" w:type="dxa"/>
                <w:tcBorders>
                  <w:top w:val="nil"/>
                  <w:left w:val="nil"/>
                  <w:bottom w:val="nil"/>
                  <w:right w:val="nil"/>
                </w:tcBorders>
                <w:shd w:val="clear" w:color="auto" w:fill="auto"/>
                <w:noWrap/>
                <w:vAlign w:val="bottom"/>
                <w:hideMark/>
              </w:tcPr>
              <w:p w14:paraId="3206DEBD"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Christchurch City Council</w:t>
                </w:r>
              </w:p>
            </w:tc>
          </w:tr>
          <w:tr w:rsidR="00326390" w:rsidRPr="00326390" w14:paraId="5D039C84" w14:textId="77777777" w:rsidTr="00B465C5">
            <w:trPr>
              <w:trHeight w:val="300"/>
            </w:trPr>
            <w:tc>
              <w:tcPr>
                <w:tcW w:w="674" w:type="dxa"/>
                <w:tcBorders>
                  <w:top w:val="nil"/>
                  <w:left w:val="nil"/>
                  <w:bottom w:val="nil"/>
                  <w:right w:val="nil"/>
                </w:tcBorders>
                <w:shd w:val="clear" w:color="auto" w:fill="auto"/>
                <w:noWrap/>
                <w:vAlign w:val="bottom"/>
                <w:hideMark/>
              </w:tcPr>
              <w:p w14:paraId="2A5F7F17"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14</w:t>
                </w:r>
              </w:p>
            </w:tc>
            <w:tc>
              <w:tcPr>
                <w:tcW w:w="4405" w:type="dxa"/>
                <w:tcBorders>
                  <w:top w:val="nil"/>
                  <w:left w:val="nil"/>
                  <w:bottom w:val="nil"/>
                  <w:right w:val="nil"/>
                </w:tcBorders>
                <w:shd w:val="clear" w:color="auto" w:fill="auto"/>
                <w:noWrap/>
                <w:vAlign w:val="bottom"/>
                <w:hideMark/>
              </w:tcPr>
              <w:p w14:paraId="2C9B4DC7"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Clubs New Zealand</w:t>
                </w:r>
              </w:p>
            </w:tc>
          </w:tr>
          <w:tr w:rsidR="00326390" w:rsidRPr="00326390" w14:paraId="37FFFE19" w14:textId="77777777" w:rsidTr="00B465C5">
            <w:trPr>
              <w:trHeight w:val="300"/>
            </w:trPr>
            <w:tc>
              <w:tcPr>
                <w:tcW w:w="674" w:type="dxa"/>
                <w:tcBorders>
                  <w:top w:val="nil"/>
                  <w:left w:val="nil"/>
                  <w:bottom w:val="nil"/>
                  <w:right w:val="nil"/>
                </w:tcBorders>
                <w:shd w:val="clear" w:color="auto" w:fill="auto"/>
                <w:noWrap/>
                <w:vAlign w:val="bottom"/>
                <w:hideMark/>
              </w:tcPr>
              <w:p w14:paraId="6E9849E5"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7</w:t>
                </w:r>
              </w:p>
            </w:tc>
            <w:tc>
              <w:tcPr>
                <w:tcW w:w="4405" w:type="dxa"/>
                <w:tcBorders>
                  <w:top w:val="nil"/>
                  <w:left w:val="nil"/>
                  <w:bottom w:val="nil"/>
                  <w:right w:val="nil"/>
                </w:tcBorders>
                <w:shd w:val="clear" w:color="auto" w:fill="auto"/>
                <w:noWrap/>
                <w:vAlign w:val="bottom"/>
                <w:hideMark/>
              </w:tcPr>
              <w:p w14:paraId="6357BD24"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COMS Systems Limited</w:t>
                </w:r>
              </w:p>
            </w:tc>
          </w:tr>
          <w:tr w:rsidR="00326390" w:rsidRPr="00326390" w14:paraId="26A49781" w14:textId="77777777" w:rsidTr="00B465C5">
            <w:trPr>
              <w:trHeight w:val="300"/>
            </w:trPr>
            <w:tc>
              <w:tcPr>
                <w:tcW w:w="674" w:type="dxa"/>
                <w:tcBorders>
                  <w:top w:val="nil"/>
                  <w:left w:val="nil"/>
                  <w:bottom w:val="nil"/>
                  <w:right w:val="nil"/>
                </w:tcBorders>
                <w:shd w:val="clear" w:color="auto" w:fill="auto"/>
                <w:noWrap/>
                <w:vAlign w:val="bottom"/>
                <w:hideMark/>
              </w:tcPr>
              <w:p w14:paraId="53C36129"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8</w:t>
                </w:r>
              </w:p>
            </w:tc>
            <w:tc>
              <w:tcPr>
                <w:tcW w:w="4405" w:type="dxa"/>
                <w:tcBorders>
                  <w:top w:val="nil"/>
                  <w:left w:val="nil"/>
                  <w:bottom w:val="nil"/>
                  <w:right w:val="nil"/>
                </w:tcBorders>
                <w:shd w:val="clear" w:color="auto" w:fill="auto"/>
                <w:noWrap/>
                <w:vAlign w:val="bottom"/>
                <w:hideMark/>
              </w:tcPr>
              <w:p w14:paraId="0973482D" w14:textId="4EF0AD30"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Dragon Community Trust L</w:t>
                </w:r>
                <w:r w:rsidR="004464EF">
                  <w:rPr>
                    <w:rFonts w:ascii="Cambria" w:eastAsia="Times New Roman" w:hAnsi="Cambria" w:cs="Calibri"/>
                    <w:color w:val="000000"/>
                    <w:lang w:eastAsia="en-NZ"/>
                  </w:rPr>
                  <w:t>imited</w:t>
                </w:r>
              </w:p>
            </w:tc>
          </w:tr>
          <w:tr w:rsidR="00326390" w:rsidRPr="00326390" w14:paraId="763C5E6F" w14:textId="77777777" w:rsidTr="00B465C5">
            <w:trPr>
              <w:trHeight w:val="300"/>
            </w:trPr>
            <w:tc>
              <w:tcPr>
                <w:tcW w:w="674" w:type="dxa"/>
                <w:tcBorders>
                  <w:top w:val="nil"/>
                  <w:left w:val="nil"/>
                  <w:bottom w:val="nil"/>
                  <w:right w:val="nil"/>
                </w:tcBorders>
                <w:shd w:val="clear" w:color="auto" w:fill="auto"/>
                <w:noWrap/>
                <w:vAlign w:val="bottom"/>
                <w:hideMark/>
              </w:tcPr>
              <w:p w14:paraId="1354E956"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58</w:t>
                </w:r>
              </w:p>
            </w:tc>
            <w:tc>
              <w:tcPr>
                <w:tcW w:w="4405" w:type="dxa"/>
                <w:tcBorders>
                  <w:top w:val="nil"/>
                  <w:left w:val="nil"/>
                  <w:bottom w:val="nil"/>
                  <w:right w:val="nil"/>
                </w:tcBorders>
                <w:shd w:val="clear" w:color="auto" w:fill="auto"/>
                <w:noWrap/>
                <w:vAlign w:val="bottom"/>
                <w:hideMark/>
              </w:tcPr>
              <w:p w14:paraId="3B8847EF"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Feed Families Not Pokies Inc</w:t>
                </w:r>
              </w:p>
            </w:tc>
          </w:tr>
          <w:tr w:rsidR="00326390" w:rsidRPr="00326390" w14:paraId="55FD3910" w14:textId="77777777" w:rsidTr="00B465C5">
            <w:trPr>
              <w:trHeight w:val="300"/>
            </w:trPr>
            <w:tc>
              <w:tcPr>
                <w:tcW w:w="674" w:type="dxa"/>
                <w:tcBorders>
                  <w:top w:val="nil"/>
                  <w:left w:val="nil"/>
                  <w:bottom w:val="nil"/>
                  <w:right w:val="nil"/>
                </w:tcBorders>
                <w:shd w:val="clear" w:color="auto" w:fill="auto"/>
                <w:noWrap/>
                <w:vAlign w:val="bottom"/>
                <w:hideMark/>
              </w:tcPr>
              <w:p w14:paraId="04FFB486"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5</w:t>
                </w:r>
              </w:p>
            </w:tc>
            <w:tc>
              <w:tcPr>
                <w:tcW w:w="4405" w:type="dxa"/>
                <w:tcBorders>
                  <w:top w:val="nil"/>
                  <w:left w:val="nil"/>
                  <w:bottom w:val="nil"/>
                  <w:right w:val="nil"/>
                </w:tcBorders>
                <w:shd w:val="clear" w:color="auto" w:fill="auto"/>
                <w:noWrap/>
                <w:vAlign w:val="bottom"/>
                <w:hideMark/>
              </w:tcPr>
              <w:p w14:paraId="60BD373E" w14:textId="4FCE40F2"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First Light Community Foundation</w:t>
                </w:r>
              </w:p>
            </w:tc>
          </w:tr>
          <w:tr w:rsidR="00326390" w:rsidRPr="00326390" w14:paraId="6585F5F7" w14:textId="77777777" w:rsidTr="00B465C5">
            <w:trPr>
              <w:trHeight w:val="300"/>
            </w:trPr>
            <w:tc>
              <w:tcPr>
                <w:tcW w:w="674" w:type="dxa"/>
                <w:tcBorders>
                  <w:top w:val="nil"/>
                  <w:left w:val="nil"/>
                  <w:bottom w:val="nil"/>
                  <w:right w:val="nil"/>
                </w:tcBorders>
                <w:shd w:val="clear" w:color="auto" w:fill="auto"/>
                <w:noWrap/>
                <w:vAlign w:val="bottom"/>
                <w:hideMark/>
              </w:tcPr>
              <w:p w14:paraId="6E82F819"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16</w:t>
                </w:r>
              </w:p>
            </w:tc>
            <w:tc>
              <w:tcPr>
                <w:tcW w:w="4405" w:type="dxa"/>
                <w:tcBorders>
                  <w:top w:val="nil"/>
                  <w:left w:val="nil"/>
                  <w:bottom w:val="nil"/>
                  <w:right w:val="nil"/>
                </w:tcBorders>
                <w:shd w:val="clear" w:color="auto" w:fill="auto"/>
                <w:noWrap/>
                <w:vAlign w:val="bottom"/>
                <w:hideMark/>
              </w:tcPr>
              <w:p w14:paraId="3174B664"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Four Winds Foundation</w:t>
                </w:r>
              </w:p>
            </w:tc>
          </w:tr>
          <w:tr w:rsidR="00326390" w:rsidRPr="00326390" w14:paraId="0B251D4F" w14:textId="77777777" w:rsidTr="00B465C5">
            <w:trPr>
              <w:trHeight w:val="300"/>
            </w:trPr>
            <w:tc>
              <w:tcPr>
                <w:tcW w:w="674" w:type="dxa"/>
                <w:tcBorders>
                  <w:top w:val="nil"/>
                  <w:left w:val="nil"/>
                  <w:bottom w:val="nil"/>
                  <w:right w:val="nil"/>
                </w:tcBorders>
                <w:shd w:val="clear" w:color="auto" w:fill="auto"/>
                <w:noWrap/>
                <w:vAlign w:val="bottom"/>
                <w:hideMark/>
              </w:tcPr>
              <w:p w14:paraId="5F39E430"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18</w:t>
                </w:r>
              </w:p>
            </w:tc>
            <w:tc>
              <w:tcPr>
                <w:tcW w:w="4405" w:type="dxa"/>
                <w:tcBorders>
                  <w:top w:val="nil"/>
                  <w:left w:val="nil"/>
                  <w:bottom w:val="nil"/>
                  <w:right w:val="nil"/>
                </w:tcBorders>
                <w:shd w:val="clear" w:color="auto" w:fill="auto"/>
                <w:noWrap/>
                <w:vAlign w:val="bottom"/>
                <w:hideMark/>
              </w:tcPr>
              <w:p w14:paraId="4AF3EF03"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Gaming Machine Association of New Zealand</w:t>
                </w:r>
              </w:p>
            </w:tc>
          </w:tr>
          <w:tr w:rsidR="00326390" w:rsidRPr="00326390" w14:paraId="1493D428" w14:textId="77777777" w:rsidTr="00B465C5">
            <w:trPr>
              <w:trHeight w:val="300"/>
            </w:trPr>
            <w:tc>
              <w:tcPr>
                <w:tcW w:w="674" w:type="dxa"/>
                <w:tcBorders>
                  <w:top w:val="nil"/>
                  <w:left w:val="nil"/>
                  <w:bottom w:val="nil"/>
                  <w:right w:val="nil"/>
                </w:tcBorders>
                <w:shd w:val="clear" w:color="auto" w:fill="auto"/>
                <w:noWrap/>
                <w:vAlign w:val="bottom"/>
                <w:hideMark/>
              </w:tcPr>
              <w:p w14:paraId="29E223A9"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28</w:t>
                </w:r>
              </w:p>
            </w:tc>
            <w:tc>
              <w:tcPr>
                <w:tcW w:w="4405" w:type="dxa"/>
                <w:tcBorders>
                  <w:top w:val="nil"/>
                  <w:left w:val="nil"/>
                  <w:bottom w:val="nil"/>
                  <w:right w:val="nil"/>
                </w:tcBorders>
                <w:shd w:val="clear" w:color="auto" w:fill="auto"/>
                <w:noWrap/>
                <w:vAlign w:val="bottom"/>
                <w:hideMark/>
              </w:tcPr>
              <w:p w14:paraId="637EDA91"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Grassroots Trust Limited</w:t>
                </w:r>
              </w:p>
            </w:tc>
          </w:tr>
          <w:tr w:rsidR="00326390" w:rsidRPr="00326390" w14:paraId="57344115" w14:textId="77777777" w:rsidTr="00B465C5">
            <w:trPr>
              <w:trHeight w:val="300"/>
            </w:trPr>
            <w:tc>
              <w:tcPr>
                <w:tcW w:w="674" w:type="dxa"/>
                <w:tcBorders>
                  <w:top w:val="nil"/>
                  <w:left w:val="nil"/>
                  <w:bottom w:val="nil"/>
                  <w:right w:val="nil"/>
                </w:tcBorders>
                <w:shd w:val="clear" w:color="auto" w:fill="auto"/>
                <w:noWrap/>
                <w:vAlign w:val="bottom"/>
                <w:hideMark/>
              </w:tcPr>
              <w:p w14:paraId="063EB017"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52</w:t>
                </w:r>
              </w:p>
            </w:tc>
            <w:tc>
              <w:tcPr>
                <w:tcW w:w="4405" w:type="dxa"/>
                <w:tcBorders>
                  <w:top w:val="nil"/>
                  <w:left w:val="nil"/>
                  <w:bottom w:val="nil"/>
                  <w:right w:val="nil"/>
                </w:tcBorders>
                <w:shd w:val="clear" w:color="auto" w:fill="auto"/>
                <w:noWrap/>
                <w:vAlign w:val="bottom"/>
                <w:hideMark/>
              </w:tcPr>
              <w:p w14:paraId="2DF6269E"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Hamilton City Council</w:t>
                </w:r>
              </w:p>
            </w:tc>
          </w:tr>
          <w:tr w:rsidR="00326390" w:rsidRPr="00326390" w14:paraId="12E14740" w14:textId="77777777" w:rsidTr="00B465C5">
            <w:trPr>
              <w:trHeight w:val="300"/>
            </w:trPr>
            <w:tc>
              <w:tcPr>
                <w:tcW w:w="674" w:type="dxa"/>
                <w:tcBorders>
                  <w:top w:val="nil"/>
                  <w:left w:val="nil"/>
                  <w:bottom w:val="nil"/>
                  <w:right w:val="nil"/>
                </w:tcBorders>
                <w:shd w:val="clear" w:color="auto" w:fill="auto"/>
                <w:noWrap/>
                <w:vAlign w:val="bottom"/>
                <w:hideMark/>
              </w:tcPr>
              <w:p w14:paraId="0AB199A0"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56</w:t>
                </w:r>
              </w:p>
            </w:tc>
            <w:tc>
              <w:tcPr>
                <w:tcW w:w="4405" w:type="dxa"/>
                <w:tcBorders>
                  <w:top w:val="nil"/>
                  <w:left w:val="nil"/>
                  <w:bottom w:val="nil"/>
                  <w:right w:val="nil"/>
                </w:tcBorders>
                <w:shd w:val="clear" w:color="auto" w:fill="auto"/>
                <w:noWrap/>
                <w:vAlign w:val="bottom"/>
                <w:hideMark/>
              </w:tcPr>
              <w:p w14:paraId="5A5F3E2E"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Hapai Te Hauora Tapui</w:t>
                </w:r>
              </w:p>
            </w:tc>
          </w:tr>
          <w:tr w:rsidR="00326390" w:rsidRPr="00326390" w14:paraId="451401A7" w14:textId="77777777" w:rsidTr="00B465C5">
            <w:trPr>
              <w:trHeight w:val="300"/>
            </w:trPr>
            <w:tc>
              <w:tcPr>
                <w:tcW w:w="674" w:type="dxa"/>
                <w:tcBorders>
                  <w:top w:val="nil"/>
                  <w:left w:val="nil"/>
                  <w:bottom w:val="nil"/>
                  <w:right w:val="nil"/>
                </w:tcBorders>
                <w:shd w:val="clear" w:color="auto" w:fill="auto"/>
                <w:noWrap/>
                <w:vAlign w:val="bottom"/>
                <w:hideMark/>
              </w:tcPr>
              <w:p w14:paraId="6777223D"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57</w:t>
                </w:r>
              </w:p>
            </w:tc>
            <w:tc>
              <w:tcPr>
                <w:tcW w:w="4405" w:type="dxa"/>
                <w:tcBorders>
                  <w:top w:val="nil"/>
                  <w:left w:val="nil"/>
                  <w:bottom w:val="nil"/>
                  <w:right w:val="nil"/>
                </w:tcBorders>
                <w:shd w:val="clear" w:color="auto" w:fill="auto"/>
                <w:noWrap/>
                <w:vAlign w:val="bottom"/>
                <w:hideMark/>
              </w:tcPr>
              <w:p w14:paraId="60695CA5"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Health Promotion Agency</w:t>
                </w:r>
              </w:p>
            </w:tc>
          </w:tr>
          <w:tr w:rsidR="00326390" w:rsidRPr="00326390" w14:paraId="53B14F93" w14:textId="77777777" w:rsidTr="00B465C5">
            <w:trPr>
              <w:trHeight w:val="300"/>
            </w:trPr>
            <w:tc>
              <w:tcPr>
                <w:tcW w:w="674" w:type="dxa"/>
                <w:tcBorders>
                  <w:top w:val="nil"/>
                  <w:left w:val="nil"/>
                  <w:bottom w:val="nil"/>
                  <w:right w:val="nil"/>
                </w:tcBorders>
                <w:shd w:val="clear" w:color="auto" w:fill="auto"/>
                <w:noWrap/>
                <w:vAlign w:val="bottom"/>
                <w:hideMark/>
              </w:tcPr>
              <w:p w14:paraId="2B904A19"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19</w:t>
                </w:r>
              </w:p>
            </w:tc>
            <w:tc>
              <w:tcPr>
                <w:tcW w:w="4405" w:type="dxa"/>
                <w:tcBorders>
                  <w:top w:val="nil"/>
                  <w:left w:val="nil"/>
                  <w:bottom w:val="nil"/>
                  <w:right w:val="nil"/>
                </w:tcBorders>
                <w:shd w:val="clear" w:color="auto" w:fill="auto"/>
                <w:noWrap/>
                <w:vAlign w:val="bottom"/>
                <w:hideMark/>
              </w:tcPr>
              <w:p w14:paraId="5977602C"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Hennessy’s Irish Bar</w:t>
                </w:r>
              </w:p>
            </w:tc>
          </w:tr>
          <w:tr w:rsidR="00326390" w:rsidRPr="00326390" w14:paraId="24D2D12A" w14:textId="77777777" w:rsidTr="00B465C5">
            <w:trPr>
              <w:trHeight w:val="300"/>
            </w:trPr>
            <w:tc>
              <w:tcPr>
                <w:tcW w:w="674" w:type="dxa"/>
                <w:tcBorders>
                  <w:top w:val="nil"/>
                  <w:left w:val="nil"/>
                  <w:bottom w:val="nil"/>
                  <w:right w:val="nil"/>
                </w:tcBorders>
                <w:shd w:val="clear" w:color="auto" w:fill="auto"/>
                <w:noWrap/>
                <w:vAlign w:val="bottom"/>
                <w:hideMark/>
              </w:tcPr>
              <w:p w14:paraId="710AC3E3" w14:textId="77777777" w:rsidR="00326390" w:rsidRPr="00326390" w:rsidRDefault="00326390" w:rsidP="00326390">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34</w:t>
                </w:r>
              </w:p>
            </w:tc>
            <w:tc>
              <w:tcPr>
                <w:tcW w:w="4405" w:type="dxa"/>
                <w:tcBorders>
                  <w:top w:val="nil"/>
                  <w:left w:val="nil"/>
                  <w:bottom w:val="nil"/>
                  <w:right w:val="nil"/>
                </w:tcBorders>
                <w:shd w:val="clear" w:color="auto" w:fill="auto"/>
                <w:noWrap/>
                <w:vAlign w:val="bottom"/>
                <w:hideMark/>
              </w:tcPr>
              <w:p w14:paraId="4509D23A" w14:textId="77777777" w:rsidR="00326390" w:rsidRPr="00326390" w:rsidRDefault="00326390" w:rsidP="00326390">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Hospitality New Zealand</w:t>
                </w:r>
              </w:p>
            </w:tc>
          </w:tr>
          <w:tr w:rsidR="00723291" w:rsidRPr="00326390" w14:paraId="6FD70302" w14:textId="77777777" w:rsidTr="00B465C5">
            <w:trPr>
              <w:trHeight w:val="300"/>
            </w:trPr>
            <w:tc>
              <w:tcPr>
                <w:tcW w:w="674" w:type="dxa"/>
                <w:tcBorders>
                  <w:top w:val="nil"/>
                  <w:left w:val="nil"/>
                  <w:bottom w:val="nil"/>
                  <w:right w:val="nil"/>
                </w:tcBorders>
                <w:shd w:val="clear" w:color="auto" w:fill="auto"/>
                <w:noWrap/>
                <w:vAlign w:val="bottom"/>
              </w:tcPr>
              <w:p w14:paraId="49AEB70A" w14:textId="4952ACC0" w:rsidR="00723291" w:rsidRPr="00326390" w:rsidRDefault="00723291" w:rsidP="00723291">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4</w:t>
                </w:r>
              </w:p>
            </w:tc>
            <w:tc>
              <w:tcPr>
                <w:tcW w:w="4405" w:type="dxa"/>
                <w:tcBorders>
                  <w:top w:val="nil"/>
                  <w:left w:val="nil"/>
                  <w:bottom w:val="nil"/>
                  <w:right w:val="nil"/>
                </w:tcBorders>
                <w:shd w:val="clear" w:color="auto" w:fill="auto"/>
                <w:noWrap/>
                <w:vAlign w:val="bottom"/>
              </w:tcPr>
              <w:p w14:paraId="4EB0CDE1" w14:textId="03BA1F44" w:rsidR="00723291" w:rsidRPr="00293830" w:rsidRDefault="00723291" w:rsidP="00723291">
                <w:pPr>
                  <w:spacing w:after="0" w:line="240" w:lineRule="auto"/>
                  <w:jc w:val="both"/>
                  <w:rPr>
                    <w:rFonts w:ascii="Cambria" w:eastAsia="Times New Roman" w:hAnsi="Cambria" w:cs="Calibri"/>
                    <w:color w:val="000000"/>
                    <w:lang w:eastAsia="en-NZ"/>
                  </w:rPr>
                </w:pPr>
                <w:r>
                  <w:rPr>
                    <w:rFonts w:ascii="Cambria" w:eastAsia="Times New Roman" w:hAnsi="Cambria" w:cs="Calibri"/>
                    <w:color w:val="000000"/>
                    <w:lang w:eastAsia="en-NZ"/>
                  </w:rPr>
                  <w:t>Individual</w:t>
                </w:r>
              </w:p>
            </w:tc>
          </w:tr>
          <w:tr w:rsidR="00723291" w:rsidRPr="00326390" w14:paraId="69A6711F" w14:textId="77777777" w:rsidTr="00B465C5">
            <w:trPr>
              <w:trHeight w:val="300"/>
            </w:trPr>
            <w:tc>
              <w:tcPr>
                <w:tcW w:w="674" w:type="dxa"/>
                <w:tcBorders>
                  <w:top w:val="nil"/>
                  <w:left w:val="nil"/>
                  <w:bottom w:val="nil"/>
                  <w:right w:val="nil"/>
                </w:tcBorders>
                <w:shd w:val="clear" w:color="auto" w:fill="auto"/>
                <w:noWrap/>
                <w:vAlign w:val="bottom"/>
              </w:tcPr>
              <w:p w14:paraId="14CA5ABC" w14:textId="5FEC1326" w:rsidR="00723291" w:rsidRPr="00326390" w:rsidRDefault="00723291" w:rsidP="00723291">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21</w:t>
                </w:r>
              </w:p>
            </w:tc>
            <w:tc>
              <w:tcPr>
                <w:tcW w:w="4405" w:type="dxa"/>
                <w:tcBorders>
                  <w:top w:val="nil"/>
                  <w:left w:val="nil"/>
                  <w:bottom w:val="nil"/>
                  <w:right w:val="nil"/>
                </w:tcBorders>
                <w:shd w:val="clear" w:color="auto" w:fill="auto"/>
                <w:noWrap/>
                <w:vAlign w:val="bottom"/>
              </w:tcPr>
              <w:p w14:paraId="3207A089" w14:textId="7EA79362" w:rsidR="00723291" w:rsidRPr="00293830" w:rsidRDefault="00723291" w:rsidP="00723291">
                <w:pPr>
                  <w:spacing w:after="0" w:line="240" w:lineRule="auto"/>
                  <w:jc w:val="both"/>
                  <w:rPr>
                    <w:rFonts w:ascii="Cambria" w:eastAsia="Times New Roman" w:hAnsi="Cambria" w:cs="Calibri"/>
                    <w:color w:val="000000"/>
                    <w:lang w:eastAsia="en-NZ"/>
                  </w:rPr>
                </w:pPr>
                <w:r>
                  <w:rPr>
                    <w:rFonts w:ascii="Cambria" w:eastAsia="Times New Roman" w:hAnsi="Cambria" w:cs="Calibri"/>
                    <w:color w:val="000000"/>
                    <w:lang w:eastAsia="en-NZ"/>
                  </w:rPr>
                  <w:t>Individual</w:t>
                </w:r>
              </w:p>
            </w:tc>
          </w:tr>
          <w:tr w:rsidR="00FC7967" w:rsidRPr="00326390" w14:paraId="1C80F1FD" w14:textId="77777777" w:rsidTr="00B465C5">
            <w:trPr>
              <w:trHeight w:val="300"/>
            </w:trPr>
            <w:tc>
              <w:tcPr>
                <w:tcW w:w="674" w:type="dxa"/>
                <w:tcBorders>
                  <w:top w:val="nil"/>
                  <w:left w:val="nil"/>
                  <w:bottom w:val="nil"/>
                  <w:right w:val="nil"/>
                </w:tcBorders>
                <w:shd w:val="clear" w:color="auto" w:fill="auto"/>
                <w:noWrap/>
                <w:vAlign w:val="bottom"/>
              </w:tcPr>
              <w:p w14:paraId="740946CC" w14:textId="36A3232F" w:rsidR="00FC7967" w:rsidRPr="00326390" w:rsidRDefault="00FC7967" w:rsidP="00FC7967">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38</w:t>
                </w:r>
              </w:p>
            </w:tc>
            <w:tc>
              <w:tcPr>
                <w:tcW w:w="4405" w:type="dxa"/>
                <w:tcBorders>
                  <w:top w:val="nil"/>
                  <w:left w:val="nil"/>
                  <w:bottom w:val="nil"/>
                  <w:right w:val="nil"/>
                </w:tcBorders>
                <w:shd w:val="clear" w:color="auto" w:fill="auto"/>
                <w:noWrap/>
                <w:vAlign w:val="bottom"/>
              </w:tcPr>
              <w:p w14:paraId="22EDEBEF" w14:textId="2B89825D" w:rsidR="00FC7967" w:rsidRDefault="00FC7967" w:rsidP="00FC7967">
                <w:pPr>
                  <w:spacing w:after="0" w:line="240" w:lineRule="auto"/>
                  <w:jc w:val="both"/>
                  <w:rPr>
                    <w:rFonts w:ascii="Cambria" w:eastAsia="Times New Roman" w:hAnsi="Cambria" w:cs="Calibri"/>
                    <w:color w:val="000000"/>
                    <w:lang w:eastAsia="en-NZ"/>
                  </w:rPr>
                </w:pPr>
                <w:r>
                  <w:rPr>
                    <w:rFonts w:ascii="Cambria" w:eastAsia="Times New Roman" w:hAnsi="Cambria" w:cs="Calibri"/>
                    <w:color w:val="000000"/>
                    <w:lang w:eastAsia="en-NZ"/>
                  </w:rPr>
                  <w:t>Individual</w:t>
                </w:r>
              </w:p>
            </w:tc>
          </w:tr>
          <w:tr w:rsidR="00FC7967" w:rsidRPr="00326390" w14:paraId="0AC15AAD" w14:textId="77777777" w:rsidTr="00B465C5">
            <w:trPr>
              <w:trHeight w:val="300"/>
            </w:trPr>
            <w:tc>
              <w:tcPr>
                <w:tcW w:w="674" w:type="dxa"/>
                <w:tcBorders>
                  <w:top w:val="nil"/>
                  <w:left w:val="nil"/>
                  <w:bottom w:val="nil"/>
                  <w:right w:val="nil"/>
                </w:tcBorders>
                <w:shd w:val="clear" w:color="auto" w:fill="auto"/>
                <w:noWrap/>
                <w:vAlign w:val="bottom"/>
              </w:tcPr>
              <w:p w14:paraId="60874BE1" w14:textId="1CD585CA" w:rsidR="00FC7967" w:rsidRPr="00326390" w:rsidRDefault="00FC7967" w:rsidP="00FC7967">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47</w:t>
                </w:r>
              </w:p>
            </w:tc>
            <w:tc>
              <w:tcPr>
                <w:tcW w:w="4405" w:type="dxa"/>
                <w:tcBorders>
                  <w:top w:val="nil"/>
                  <w:left w:val="nil"/>
                  <w:bottom w:val="nil"/>
                  <w:right w:val="nil"/>
                </w:tcBorders>
                <w:shd w:val="clear" w:color="auto" w:fill="auto"/>
                <w:noWrap/>
                <w:vAlign w:val="bottom"/>
              </w:tcPr>
              <w:p w14:paraId="4176EF26" w14:textId="467A534D" w:rsidR="00FC7967" w:rsidRPr="00293830" w:rsidRDefault="00FC7967" w:rsidP="00FC7967">
                <w:pPr>
                  <w:spacing w:after="0" w:line="240" w:lineRule="auto"/>
                  <w:jc w:val="both"/>
                  <w:rPr>
                    <w:rFonts w:ascii="Cambria" w:eastAsia="Times New Roman" w:hAnsi="Cambria" w:cs="Calibri"/>
                    <w:color w:val="000000"/>
                    <w:lang w:eastAsia="en-NZ"/>
                  </w:rPr>
                </w:pPr>
                <w:r>
                  <w:rPr>
                    <w:rFonts w:ascii="Cambria" w:eastAsia="Times New Roman" w:hAnsi="Cambria" w:cs="Calibri"/>
                    <w:color w:val="000000"/>
                    <w:lang w:eastAsia="en-NZ"/>
                  </w:rPr>
                  <w:t>Individual</w:t>
                </w:r>
              </w:p>
            </w:tc>
          </w:tr>
          <w:tr w:rsidR="00FC7967" w:rsidRPr="00326390" w14:paraId="2D176214" w14:textId="77777777" w:rsidTr="00B465C5">
            <w:trPr>
              <w:trHeight w:val="300"/>
            </w:trPr>
            <w:tc>
              <w:tcPr>
                <w:tcW w:w="674" w:type="dxa"/>
                <w:tcBorders>
                  <w:top w:val="nil"/>
                  <w:left w:val="nil"/>
                  <w:bottom w:val="nil"/>
                  <w:right w:val="nil"/>
                </w:tcBorders>
                <w:shd w:val="clear" w:color="auto" w:fill="auto"/>
                <w:noWrap/>
                <w:vAlign w:val="bottom"/>
              </w:tcPr>
              <w:p w14:paraId="36C05878" w14:textId="49C81E9F" w:rsidR="00FC7967" w:rsidRPr="00326390" w:rsidRDefault="00FC7967" w:rsidP="00FC7967">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48</w:t>
                </w:r>
              </w:p>
            </w:tc>
            <w:tc>
              <w:tcPr>
                <w:tcW w:w="4405" w:type="dxa"/>
                <w:tcBorders>
                  <w:top w:val="nil"/>
                  <w:left w:val="nil"/>
                  <w:bottom w:val="nil"/>
                  <w:right w:val="nil"/>
                </w:tcBorders>
                <w:shd w:val="clear" w:color="auto" w:fill="auto"/>
                <w:noWrap/>
                <w:vAlign w:val="bottom"/>
              </w:tcPr>
              <w:p w14:paraId="0C0EC139" w14:textId="1D4BA18A" w:rsidR="00FC7967" w:rsidRPr="00293830" w:rsidRDefault="00FC7967" w:rsidP="00FC7967">
                <w:pPr>
                  <w:spacing w:after="0" w:line="240" w:lineRule="auto"/>
                  <w:jc w:val="both"/>
                  <w:rPr>
                    <w:rFonts w:ascii="Cambria" w:eastAsia="Times New Roman" w:hAnsi="Cambria" w:cs="Calibri"/>
                    <w:color w:val="000000"/>
                    <w:lang w:eastAsia="en-NZ"/>
                  </w:rPr>
                </w:pPr>
                <w:r>
                  <w:rPr>
                    <w:rFonts w:ascii="Cambria" w:eastAsia="Times New Roman" w:hAnsi="Cambria" w:cs="Calibri"/>
                    <w:color w:val="000000"/>
                    <w:lang w:eastAsia="en-NZ"/>
                  </w:rPr>
                  <w:t>Individual</w:t>
                </w:r>
              </w:p>
            </w:tc>
          </w:tr>
          <w:tr w:rsidR="00FC7967" w:rsidRPr="00326390" w14:paraId="4F4D6D09" w14:textId="77777777" w:rsidTr="00B465C5">
            <w:trPr>
              <w:trHeight w:val="300"/>
            </w:trPr>
            <w:tc>
              <w:tcPr>
                <w:tcW w:w="674" w:type="dxa"/>
                <w:tcBorders>
                  <w:top w:val="nil"/>
                  <w:left w:val="nil"/>
                  <w:bottom w:val="nil"/>
                  <w:right w:val="nil"/>
                </w:tcBorders>
                <w:shd w:val="clear" w:color="auto" w:fill="auto"/>
                <w:noWrap/>
                <w:vAlign w:val="bottom"/>
              </w:tcPr>
              <w:p w14:paraId="229BA150" w14:textId="31E6BE64" w:rsidR="00FC7967" w:rsidRPr="00326390" w:rsidRDefault="00FC7967" w:rsidP="00FC7967">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49</w:t>
                </w:r>
              </w:p>
            </w:tc>
            <w:tc>
              <w:tcPr>
                <w:tcW w:w="4405" w:type="dxa"/>
                <w:tcBorders>
                  <w:top w:val="nil"/>
                  <w:left w:val="nil"/>
                  <w:bottom w:val="nil"/>
                  <w:right w:val="nil"/>
                </w:tcBorders>
                <w:shd w:val="clear" w:color="auto" w:fill="auto"/>
                <w:noWrap/>
                <w:vAlign w:val="bottom"/>
              </w:tcPr>
              <w:p w14:paraId="4788345B" w14:textId="7C22E023" w:rsidR="00FC7967" w:rsidRPr="00293830" w:rsidRDefault="00FC7967" w:rsidP="00FC7967">
                <w:pPr>
                  <w:spacing w:after="0" w:line="240" w:lineRule="auto"/>
                  <w:jc w:val="both"/>
                  <w:rPr>
                    <w:rFonts w:ascii="Cambria" w:eastAsia="Times New Roman" w:hAnsi="Cambria" w:cs="Calibri"/>
                    <w:color w:val="000000"/>
                    <w:lang w:eastAsia="en-NZ"/>
                  </w:rPr>
                </w:pPr>
                <w:r>
                  <w:rPr>
                    <w:rFonts w:ascii="Cambria" w:eastAsia="Times New Roman" w:hAnsi="Cambria" w:cs="Calibri"/>
                    <w:color w:val="000000"/>
                    <w:lang w:eastAsia="en-NZ"/>
                  </w:rPr>
                  <w:t>Individual</w:t>
                </w:r>
              </w:p>
            </w:tc>
          </w:tr>
          <w:tr w:rsidR="00FC7967" w:rsidRPr="00326390" w14:paraId="15E89A00" w14:textId="77777777" w:rsidTr="00B465C5">
            <w:trPr>
              <w:trHeight w:val="300"/>
            </w:trPr>
            <w:tc>
              <w:tcPr>
                <w:tcW w:w="674" w:type="dxa"/>
                <w:tcBorders>
                  <w:top w:val="nil"/>
                  <w:left w:val="nil"/>
                  <w:bottom w:val="nil"/>
                  <w:right w:val="nil"/>
                </w:tcBorders>
                <w:shd w:val="clear" w:color="auto" w:fill="auto"/>
                <w:noWrap/>
                <w:vAlign w:val="bottom"/>
              </w:tcPr>
              <w:p w14:paraId="051B87D2" w14:textId="2AE951E4" w:rsidR="00FC7967" w:rsidRPr="00326390" w:rsidRDefault="00FC7967" w:rsidP="00FC7967">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62</w:t>
                </w:r>
              </w:p>
            </w:tc>
            <w:tc>
              <w:tcPr>
                <w:tcW w:w="4405" w:type="dxa"/>
                <w:tcBorders>
                  <w:top w:val="nil"/>
                  <w:left w:val="nil"/>
                  <w:bottom w:val="nil"/>
                  <w:right w:val="nil"/>
                </w:tcBorders>
                <w:shd w:val="clear" w:color="auto" w:fill="auto"/>
                <w:noWrap/>
                <w:vAlign w:val="bottom"/>
              </w:tcPr>
              <w:p w14:paraId="0C363053" w14:textId="53F753C5" w:rsidR="00FC7967" w:rsidRPr="00293830" w:rsidRDefault="00FC7967" w:rsidP="00FC7967">
                <w:pPr>
                  <w:spacing w:after="0" w:line="240" w:lineRule="auto"/>
                  <w:jc w:val="both"/>
                  <w:rPr>
                    <w:rFonts w:ascii="Cambria" w:eastAsia="Times New Roman" w:hAnsi="Cambria" w:cs="Calibri"/>
                    <w:color w:val="000000"/>
                    <w:lang w:eastAsia="en-NZ"/>
                  </w:rPr>
                </w:pPr>
                <w:r>
                  <w:rPr>
                    <w:rFonts w:ascii="Cambria" w:eastAsia="Times New Roman" w:hAnsi="Cambria" w:cs="Calibri"/>
                    <w:color w:val="000000"/>
                    <w:lang w:eastAsia="en-NZ"/>
                  </w:rPr>
                  <w:t>Individual</w:t>
                </w:r>
              </w:p>
            </w:tc>
          </w:tr>
          <w:tr w:rsidR="00FC7967" w:rsidRPr="00326390" w14:paraId="6B4BDBC2" w14:textId="77777777" w:rsidTr="00B465C5">
            <w:trPr>
              <w:trHeight w:val="300"/>
            </w:trPr>
            <w:tc>
              <w:tcPr>
                <w:tcW w:w="674" w:type="dxa"/>
                <w:tcBorders>
                  <w:top w:val="nil"/>
                  <w:left w:val="nil"/>
                  <w:bottom w:val="nil"/>
                  <w:right w:val="nil"/>
                </w:tcBorders>
                <w:shd w:val="clear" w:color="auto" w:fill="auto"/>
                <w:noWrap/>
                <w:vAlign w:val="bottom"/>
              </w:tcPr>
              <w:p w14:paraId="70738F91" w14:textId="460EF054" w:rsidR="00FC7967" w:rsidRPr="00326390" w:rsidRDefault="00FC7967" w:rsidP="00FC7967">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 xml:space="preserve">C01 </w:t>
                </w:r>
              </w:p>
            </w:tc>
            <w:tc>
              <w:tcPr>
                <w:tcW w:w="4405" w:type="dxa"/>
                <w:tcBorders>
                  <w:top w:val="nil"/>
                  <w:left w:val="nil"/>
                  <w:bottom w:val="nil"/>
                  <w:right w:val="nil"/>
                </w:tcBorders>
                <w:shd w:val="clear" w:color="auto" w:fill="auto"/>
                <w:noWrap/>
                <w:vAlign w:val="bottom"/>
              </w:tcPr>
              <w:p w14:paraId="1C57B1C7" w14:textId="4626938B" w:rsidR="00FC7967" w:rsidRDefault="00FC7967" w:rsidP="00FC7967">
                <w:pPr>
                  <w:spacing w:after="0" w:line="240" w:lineRule="auto"/>
                  <w:jc w:val="both"/>
                  <w:rPr>
                    <w:rFonts w:ascii="Cambria" w:eastAsia="Times New Roman" w:hAnsi="Cambria" w:cs="Calibri"/>
                    <w:color w:val="000000"/>
                    <w:lang w:eastAsia="en-NZ"/>
                  </w:rPr>
                </w:pPr>
                <w:r>
                  <w:rPr>
                    <w:rFonts w:ascii="Cambria" w:eastAsia="Times New Roman" w:hAnsi="Cambria" w:cs="Calibri"/>
                    <w:color w:val="000000"/>
                    <w:lang w:eastAsia="en-NZ"/>
                  </w:rPr>
                  <w:t>Individual</w:t>
                </w:r>
              </w:p>
            </w:tc>
          </w:tr>
          <w:tr w:rsidR="00FC7967" w:rsidRPr="00326390" w14:paraId="696C8C3F" w14:textId="77777777" w:rsidTr="00B465C5">
            <w:trPr>
              <w:trHeight w:val="300"/>
            </w:trPr>
            <w:tc>
              <w:tcPr>
                <w:tcW w:w="674" w:type="dxa"/>
                <w:tcBorders>
                  <w:top w:val="nil"/>
                  <w:left w:val="nil"/>
                  <w:bottom w:val="nil"/>
                  <w:right w:val="nil"/>
                </w:tcBorders>
                <w:shd w:val="clear" w:color="auto" w:fill="auto"/>
                <w:noWrap/>
                <w:vAlign w:val="bottom"/>
              </w:tcPr>
              <w:p w14:paraId="1D3CE2B5" w14:textId="332030C0" w:rsidR="00FC7967" w:rsidRPr="00326390" w:rsidRDefault="00FC7967" w:rsidP="00FC7967">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 xml:space="preserve">C03 </w:t>
                </w:r>
              </w:p>
            </w:tc>
            <w:tc>
              <w:tcPr>
                <w:tcW w:w="4405" w:type="dxa"/>
                <w:tcBorders>
                  <w:top w:val="nil"/>
                  <w:left w:val="nil"/>
                  <w:bottom w:val="nil"/>
                  <w:right w:val="nil"/>
                </w:tcBorders>
                <w:shd w:val="clear" w:color="auto" w:fill="auto"/>
                <w:noWrap/>
                <w:vAlign w:val="bottom"/>
              </w:tcPr>
              <w:p w14:paraId="43D1F9E5" w14:textId="74FAFCB4" w:rsidR="00FC7967" w:rsidRDefault="00FC7967" w:rsidP="00FC7967">
                <w:pPr>
                  <w:spacing w:after="0" w:line="240" w:lineRule="auto"/>
                  <w:jc w:val="both"/>
                  <w:rPr>
                    <w:rFonts w:ascii="Cambria" w:eastAsia="Times New Roman" w:hAnsi="Cambria" w:cs="Calibri"/>
                    <w:color w:val="000000"/>
                    <w:lang w:eastAsia="en-NZ"/>
                  </w:rPr>
                </w:pPr>
                <w:r>
                  <w:rPr>
                    <w:rFonts w:ascii="Cambria" w:eastAsia="Times New Roman" w:hAnsi="Cambria" w:cs="Calibri"/>
                    <w:color w:val="000000"/>
                    <w:lang w:eastAsia="en-NZ"/>
                  </w:rPr>
                  <w:t>Individual</w:t>
                </w:r>
              </w:p>
            </w:tc>
          </w:tr>
          <w:tr w:rsidR="00FC7967" w:rsidRPr="00326390" w14:paraId="1EEA58CE" w14:textId="77777777" w:rsidTr="00B465C5">
            <w:trPr>
              <w:trHeight w:val="300"/>
            </w:trPr>
            <w:tc>
              <w:tcPr>
                <w:tcW w:w="674" w:type="dxa"/>
                <w:tcBorders>
                  <w:top w:val="nil"/>
                  <w:left w:val="nil"/>
                  <w:bottom w:val="nil"/>
                  <w:right w:val="nil"/>
                </w:tcBorders>
                <w:shd w:val="clear" w:color="auto" w:fill="auto"/>
                <w:noWrap/>
                <w:vAlign w:val="bottom"/>
              </w:tcPr>
              <w:p w14:paraId="02088E40" w14:textId="52559265" w:rsidR="00FC7967" w:rsidRPr="00326390" w:rsidRDefault="00FC7967" w:rsidP="00FC7967">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 xml:space="preserve">C09 </w:t>
                </w:r>
              </w:p>
            </w:tc>
            <w:tc>
              <w:tcPr>
                <w:tcW w:w="4405" w:type="dxa"/>
                <w:tcBorders>
                  <w:top w:val="nil"/>
                  <w:left w:val="nil"/>
                  <w:bottom w:val="nil"/>
                  <w:right w:val="nil"/>
                </w:tcBorders>
                <w:shd w:val="clear" w:color="auto" w:fill="auto"/>
                <w:noWrap/>
                <w:vAlign w:val="bottom"/>
              </w:tcPr>
              <w:p w14:paraId="1D45EEE4" w14:textId="37DE00C3" w:rsidR="00FC7967" w:rsidRPr="00293830" w:rsidRDefault="00FC7967" w:rsidP="00FC7967">
                <w:pPr>
                  <w:spacing w:after="0" w:line="240" w:lineRule="auto"/>
                  <w:jc w:val="both"/>
                  <w:rPr>
                    <w:rFonts w:ascii="Cambria" w:eastAsia="Times New Roman" w:hAnsi="Cambria" w:cs="Calibri"/>
                    <w:color w:val="000000"/>
                    <w:lang w:eastAsia="en-NZ"/>
                  </w:rPr>
                </w:pPr>
                <w:r>
                  <w:rPr>
                    <w:rFonts w:ascii="Cambria" w:eastAsia="Times New Roman" w:hAnsi="Cambria" w:cs="Calibri"/>
                    <w:color w:val="000000"/>
                    <w:lang w:eastAsia="en-NZ"/>
                  </w:rPr>
                  <w:t>Individual</w:t>
                </w:r>
              </w:p>
            </w:tc>
          </w:tr>
          <w:tr w:rsidR="00CE4EFF" w:rsidRPr="00326390" w14:paraId="2B3B99BA" w14:textId="77777777" w:rsidTr="00B465C5">
            <w:trPr>
              <w:trHeight w:val="300"/>
            </w:trPr>
            <w:tc>
              <w:tcPr>
                <w:tcW w:w="674" w:type="dxa"/>
                <w:tcBorders>
                  <w:top w:val="nil"/>
                  <w:left w:val="nil"/>
                  <w:bottom w:val="nil"/>
                  <w:right w:val="nil"/>
                </w:tcBorders>
                <w:shd w:val="clear" w:color="auto" w:fill="auto"/>
                <w:noWrap/>
                <w:vAlign w:val="bottom"/>
              </w:tcPr>
              <w:p w14:paraId="1F5D9541" w14:textId="177ECFC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C14</w:t>
                </w:r>
              </w:p>
            </w:tc>
            <w:tc>
              <w:tcPr>
                <w:tcW w:w="4405" w:type="dxa"/>
                <w:tcBorders>
                  <w:top w:val="nil"/>
                  <w:left w:val="nil"/>
                  <w:bottom w:val="nil"/>
                  <w:right w:val="nil"/>
                </w:tcBorders>
                <w:shd w:val="clear" w:color="auto" w:fill="auto"/>
                <w:noWrap/>
                <w:vAlign w:val="bottom"/>
              </w:tcPr>
              <w:p w14:paraId="64339DDA" w14:textId="3309BC05" w:rsidR="00CE4EFF" w:rsidRPr="00293830" w:rsidRDefault="00CE4EFF" w:rsidP="00CE4EFF">
                <w:pPr>
                  <w:spacing w:after="0" w:line="240" w:lineRule="auto"/>
                  <w:jc w:val="both"/>
                  <w:rPr>
                    <w:rFonts w:ascii="Cambria" w:eastAsia="Times New Roman" w:hAnsi="Cambria" w:cs="Calibri"/>
                    <w:color w:val="000000"/>
                    <w:lang w:eastAsia="en-NZ"/>
                  </w:rPr>
                </w:pPr>
                <w:r>
                  <w:rPr>
                    <w:rFonts w:ascii="Cambria" w:eastAsia="Times New Roman" w:hAnsi="Cambria" w:cs="Calibri"/>
                    <w:color w:val="000000"/>
                    <w:lang w:eastAsia="en-NZ"/>
                  </w:rPr>
                  <w:t>Individual</w:t>
                </w:r>
              </w:p>
            </w:tc>
          </w:tr>
          <w:tr w:rsidR="00CE4EFF" w:rsidRPr="00326390" w14:paraId="63D1F1D7" w14:textId="77777777" w:rsidTr="00B465C5">
            <w:trPr>
              <w:trHeight w:val="300"/>
            </w:trPr>
            <w:tc>
              <w:tcPr>
                <w:tcW w:w="674" w:type="dxa"/>
                <w:tcBorders>
                  <w:top w:val="nil"/>
                  <w:left w:val="nil"/>
                  <w:bottom w:val="nil"/>
                  <w:right w:val="nil"/>
                </w:tcBorders>
                <w:shd w:val="clear" w:color="auto" w:fill="auto"/>
                <w:noWrap/>
                <w:vAlign w:val="bottom"/>
              </w:tcPr>
              <w:p w14:paraId="6D4368C3" w14:textId="4CA61242" w:rsidR="00CE4EFF" w:rsidRPr="00326390" w:rsidRDefault="00CE4EFF" w:rsidP="00CE4EFF">
                <w:pPr>
                  <w:spacing w:after="0" w:line="240" w:lineRule="auto"/>
                  <w:jc w:val="right"/>
                  <w:rPr>
                    <w:rFonts w:ascii="Calibri" w:eastAsia="Times New Roman" w:hAnsi="Calibri" w:cs="Calibri"/>
                    <w:color w:val="000000"/>
                    <w:lang w:eastAsia="en-NZ"/>
                  </w:rPr>
                </w:pPr>
              </w:p>
            </w:tc>
            <w:tc>
              <w:tcPr>
                <w:tcW w:w="4405" w:type="dxa"/>
                <w:tcBorders>
                  <w:top w:val="nil"/>
                  <w:left w:val="nil"/>
                  <w:bottom w:val="nil"/>
                  <w:right w:val="nil"/>
                </w:tcBorders>
                <w:shd w:val="clear" w:color="auto" w:fill="auto"/>
                <w:noWrap/>
                <w:vAlign w:val="bottom"/>
              </w:tcPr>
              <w:p w14:paraId="4E1702C4" w14:textId="478B78CC" w:rsidR="00CE4EFF" w:rsidRPr="00293830" w:rsidRDefault="00CE4EFF" w:rsidP="00CE4EFF">
                <w:pPr>
                  <w:spacing w:after="0" w:line="240" w:lineRule="auto"/>
                  <w:jc w:val="both"/>
                  <w:rPr>
                    <w:rFonts w:ascii="Cambria" w:eastAsia="Times New Roman" w:hAnsi="Cambria" w:cs="Calibri"/>
                    <w:color w:val="000000"/>
                    <w:lang w:eastAsia="en-NZ"/>
                  </w:rPr>
                </w:pPr>
              </w:p>
            </w:tc>
          </w:tr>
          <w:tr w:rsidR="00CE4EFF" w:rsidRPr="00326390" w14:paraId="41A41C72" w14:textId="77777777" w:rsidTr="00B465C5">
            <w:trPr>
              <w:trHeight w:val="300"/>
            </w:trPr>
            <w:tc>
              <w:tcPr>
                <w:tcW w:w="674" w:type="dxa"/>
                <w:tcBorders>
                  <w:top w:val="nil"/>
                  <w:left w:val="nil"/>
                  <w:bottom w:val="nil"/>
                  <w:right w:val="nil"/>
                </w:tcBorders>
                <w:shd w:val="clear" w:color="auto" w:fill="auto"/>
                <w:noWrap/>
                <w:vAlign w:val="bottom"/>
              </w:tcPr>
              <w:p w14:paraId="6F3B7396" w14:textId="77777777" w:rsidR="00CE4EFF" w:rsidRPr="00326390" w:rsidRDefault="00CE4EFF" w:rsidP="00CE4EFF">
                <w:pPr>
                  <w:spacing w:after="0" w:line="240" w:lineRule="auto"/>
                  <w:jc w:val="right"/>
                  <w:rPr>
                    <w:rFonts w:ascii="Calibri" w:eastAsia="Times New Roman" w:hAnsi="Calibri" w:cs="Calibri"/>
                    <w:color w:val="000000"/>
                    <w:lang w:eastAsia="en-NZ"/>
                  </w:rPr>
                </w:pPr>
              </w:p>
            </w:tc>
            <w:tc>
              <w:tcPr>
                <w:tcW w:w="4405" w:type="dxa"/>
                <w:tcBorders>
                  <w:top w:val="nil"/>
                  <w:left w:val="nil"/>
                  <w:bottom w:val="nil"/>
                  <w:right w:val="nil"/>
                </w:tcBorders>
                <w:shd w:val="clear" w:color="auto" w:fill="auto"/>
                <w:noWrap/>
                <w:vAlign w:val="bottom"/>
              </w:tcPr>
              <w:p w14:paraId="56CE4118" w14:textId="77777777" w:rsidR="00CE4EFF" w:rsidRDefault="00CE4EFF" w:rsidP="00CE4EFF">
                <w:pPr>
                  <w:spacing w:after="0" w:line="240" w:lineRule="auto"/>
                  <w:jc w:val="both"/>
                  <w:rPr>
                    <w:rFonts w:ascii="Cambria" w:eastAsia="Times New Roman" w:hAnsi="Cambria" w:cs="Calibri"/>
                    <w:color w:val="000000"/>
                    <w:lang w:eastAsia="en-NZ"/>
                  </w:rPr>
                </w:pPr>
              </w:p>
            </w:tc>
          </w:tr>
          <w:tr w:rsidR="00CE4EFF" w:rsidRPr="00326390" w14:paraId="7DC325D8" w14:textId="77777777" w:rsidTr="00B465C5">
            <w:trPr>
              <w:trHeight w:val="300"/>
            </w:trPr>
            <w:tc>
              <w:tcPr>
                <w:tcW w:w="674" w:type="dxa"/>
                <w:tcBorders>
                  <w:top w:val="nil"/>
                  <w:left w:val="nil"/>
                  <w:bottom w:val="nil"/>
                  <w:right w:val="nil"/>
                </w:tcBorders>
                <w:shd w:val="clear" w:color="auto" w:fill="auto"/>
                <w:noWrap/>
                <w:vAlign w:val="bottom"/>
              </w:tcPr>
              <w:p w14:paraId="496AD858" w14:textId="77777777" w:rsidR="00CE4EFF" w:rsidRPr="00326390" w:rsidRDefault="00CE4EFF" w:rsidP="00CE4EFF">
                <w:pPr>
                  <w:spacing w:after="0" w:line="240" w:lineRule="auto"/>
                  <w:jc w:val="right"/>
                  <w:rPr>
                    <w:rFonts w:ascii="Calibri" w:eastAsia="Times New Roman" w:hAnsi="Calibri" w:cs="Calibri"/>
                    <w:color w:val="000000"/>
                    <w:lang w:eastAsia="en-NZ"/>
                  </w:rPr>
                </w:pPr>
              </w:p>
            </w:tc>
            <w:tc>
              <w:tcPr>
                <w:tcW w:w="4405" w:type="dxa"/>
                <w:tcBorders>
                  <w:top w:val="nil"/>
                  <w:left w:val="nil"/>
                  <w:bottom w:val="nil"/>
                  <w:right w:val="nil"/>
                </w:tcBorders>
                <w:shd w:val="clear" w:color="auto" w:fill="auto"/>
                <w:noWrap/>
                <w:vAlign w:val="bottom"/>
              </w:tcPr>
              <w:p w14:paraId="22FA7765" w14:textId="77777777" w:rsidR="00CE4EFF" w:rsidRDefault="00CE4EFF" w:rsidP="00CE4EFF">
                <w:pPr>
                  <w:spacing w:after="0" w:line="240" w:lineRule="auto"/>
                  <w:jc w:val="both"/>
                  <w:rPr>
                    <w:rFonts w:ascii="Cambria" w:eastAsia="Times New Roman" w:hAnsi="Cambria" w:cs="Calibri"/>
                    <w:color w:val="000000"/>
                    <w:lang w:eastAsia="en-NZ"/>
                  </w:rPr>
                </w:pPr>
              </w:p>
            </w:tc>
          </w:tr>
          <w:tr w:rsidR="00CE4EFF" w:rsidRPr="00326390" w14:paraId="3F5D4F38" w14:textId="77777777" w:rsidTr="00B465C5">
            <w:trPr>
              <w:trHeight w:val="300"/>
            </w:trPr>
            <w:tc>
              <w:tcPr>
                <w:tcW w:w="674" w:type="dxa"/>
                <w:tcBorders>
                  <w:top w:val="nil"/>
                  <w:left w:val="nil"/>
                  <w:bottom w:val="nil"/>
                  <w:right w:val="nil"/>
                </w:tcBorders>
                <w:shd w:val="clear" w:color="auto" w:fill="auto"/>
                <w:noWrap/>
                <w:vAlign w:val="bottom"/>
              </w:tcPr>
              <w:p w14:paraId="09BC209D" w14:textId="689FB73C"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C15</w:t>
                </w:r>
              </w:p>
            </w:tc>
            <w:tc>
              <w:tcPr>
                <w:tcW w:w="4405" w:type="dxa"/>
                <w:tcBorders>
                  <w:top w:val="nil"/>
                  <w:left w:val="nil"/>
                  <w:bottom w:val="nil"/>
                  <w:right w:val="nil"/>
                </w:tcBorders>
                <w:shd w:val="clear" w:color="auto" w:fill="auto"/>
                <w:noWrap/>
                <w:vAlign w:val="bottom"/>
              </w:tcPr>
              <w:p w14:paraId="113BD4BF" w14:textId="52456D3C" w:rsidR="00CE4EFF" w:rsidRPr="00293830" w:rsidRDefault="00CE4EFF" w:rsidP="00CE4EFF">
                <w:pPr>
                  <w:spacing w:after="0" w:line="240" w:lineRule="auto"/>
                  <w:jc w:val="both"/>
                  <w:rPr>
                    <w:rFonts w:ascii="Cambria" w:eastAsia="Times New Roman" w:hAnsi="Cambria" w:cs="Calibri"/>
                    <w:color w:val="000000"/>
                    <w:lang w:eastAsia="en-NZ"/>
                  </w:rPr>
                </w:pPr>
                <w:r>
                  <w:rPr>
                    <w:rFonts w:ascii="Cambria" w:eastAsia="Times New Roman" w:hAnsi="Cambria" w:cs="Calibri"/>
                    <w:color w:val="000000"/>
                    <w:lang w:eastAsia="en-NZ"/>
                  </w:rPr>
                  <w:t>Individual</w:t>
                </w:r>
              </w:p>
            </w:tc>
          </w:tr>
          <w:tr w:rsidR="00CE4EFF" w:rsidRPr="00326390" w14:paraId="07C4C204" w14:textId="77777777" w:rsidTr="00B465C5">
            <w:trPr>
              <w:trHeight w:val="300"/>
            </w:trPr>
            <w:tc>
              <w:tcPr>
                <w:tcW w:w="674" w:type="dxa"/>
                <w:tcBorders>
                  <w:top w:val="nil"/>
                  <w:left w:val="nil"/>
                  <w:bottom w:val="nil"/>
                  <w:right w:val="nil"/>
                </w:tcBorders>
                <w:shd w:val="clear" w:color="auto" w:fill="auto"/>
                <w:noWrap/>
                <w:vAlign w:val="bottom"/>
                <w:hideMark/>
              </w:tcPr>
              <w:p w14:paraId="46AF06C8"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 xml:space="preserve">C06 </w:t>
                </w:r>
              </w:p>
            </w:tc>
            <w:tc>
              <w:tcPr>
                <w:tcW w:w="4405" w:type="dxa"/>
                <w:tcBorders>
                  <w:top w:val="nil"/>
                  <w:left w:val="nil"/>
                  <w:bottom w:val="nil"/>
                  <w:right w:val="nil"/>
                </w:tcBorders>
                <w:shd w:val="clear" w:color="auto" w:fill="auto"/>
                <w:noWrap/>
                <w:vAlign w:val="bottom"/>
                <w:hideMark/>
              </w:tcPr>
              <w:p w14:paraId="43A40E48" w14:textId="5B133D6A" w:rsidR="00CE4EFF" w:rsidRPr="00326390" w:rsidRDefault="00CE4EFF" w:rsidP="00CE4EFF">
                <w:pPr>
                  <w:spacing w:after="0" w:line="240" w:lineRule="auto"/>
                  <w:jc w:val="both"/>
                  <w:rPr>
                    <w:rFonts w:ascii="Cambria" w:eastAsia="Times New Roman" w:hAnsi="Cambria" w:cs="Calibri"/>
                    <w:color w:val="000000"/>
                    <w:lang w:eastAsia="en-NZ"/>
                  </w:rPr>
                </w:pPr>
                <w:r w:rsidRPr="00293830">
                  <w:rPr>
                    <w:rFonts w:ascii="Cambria" w:eastAsia="Times New Roman" w:hAnsi="Cambria" w:cs="Calibri"/>
                    <w:color w:val="000000"/>
                    <w:lang w:eastAsia="en-NZ"/>
                  </w:rPr>
                  <w:t>Mercer Jets under 12</w:t>
                </w:r>
              </w:p>
            </w:tc>
          </w:tr>
          <w:tr w:rsidR="00CE4EFF" w:rsidRPr="00326390" w14:paraId="50669B47" w14:textId="77777777" w:rsidTr="00B465C5">
            <w:trPr>
              <w:trHeight w:val="300"/>
            </w:trPr>
            <w:tc>
              <w:tcPr>
                <w:tcW w:w="674" w:type="dxa"/>
                <w:tcBorders>
                  <w:top w:val="nil"/>
                  <w:left w:val="nil"/>
                  <w:bottom w:val="nil"/>
                  <w:right w:val="nil"/>
                </w:tcBorders>
                <w:shd w:val="clear" w:color="auto" w:fill="auto"/>
                <w:noWrap/>
                <w:vAlign w:val="bottom"/>
                <w:hideMark/>
              </w:tcPr>
              <w:p w14:paraId="2253CF79"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 xml:space="preserve">C04 </w:t>
                </w:r>
              </w:p>
            </w:tc>
            <w:tc>
              <w:tcPr>
                <w:tcW w:w="4405" w:type="dxa"/>
                <w:tcBorders>
                  <w:top w:val="nil"/>
                  <w:left w:val="nil"/>
                  <w:bottom w:val="nil"/>
                  <w:right w:val="nil"/>
                </w:tcBorders>
                <w:shd w:val="clear" w:color="auto" w:fill="auto"/>
                <w:noWrap/>
                <w:vAlign w:val="bottom"/>
                <w:hideMark/>
              </w:tcPr>
              <w:p w14:paraId="044B1B65" w14:textId="1418986D" w:rsidR="00CE4EFF" w:rsidRPr="00326390" w:rsidRDefault="00CE4EFF" w:rsidP="00CE4EFF">
                <w:pPr>
                  <w:spacing w:after="0" w:line="240" w:lineRule="auto"/>
                  <w:jc w:val="both"/>
                  <w:rPr>
                    <w:rFonts w:ascii="Cambria" w:eastAsia="Times New Roman" w:hAnsi="Cambria" w:cs="Calibri"/>
                    <w:color w:val="000000"/>
                    <w:lang w:eastAsia="en-NZ"/>
                  </w:rPr>
                </w:pPr>
                <w:r w:rsidRPr="00A86925">
                  <w:rPr>
                    <w:rFonts w:ascii="Cambria" w:eastAsia="Times New Roman" w:hAnsi="Cambria" w:cs="Calibri"/>
                    <w:color w:val="000000"/>
                    <w:lang w:eastAsia="en-NZ"/>
                  </w:rPr>
                  <w:t>The Southern Trust</w:t>
                </w:r>
              </w:p>
            </w:tc>
          </w:tr>
          <w:tr w:rsidR="00CE4EFF" w:rsidRPr="00326390" w14:paraId="0C4FB2AE" w14:textId="77777777" w:rsidTr="00B465C5">
            <w:trPr>
              <w:trHeight w:val="300"/>
            </w:trPr>
            <w:tc>
              <w:tcPr>
                <w:tcW w:w="674" w:type="dxa"/>
                <w:tcBorders>
                  <w:top w:val="nil"/>
                  <w:left w:val="nil"/>
                  <w:bottom w:val="nil"/>
                  <w:right w:val="nil"/>
                </w:tcBorders>
                <w:shd w:val="clear" w:color="auto" w:fill="auto"/>
                <w:noWrap/>
                <w:vAlign w:val="bottom"/>
                <w:hideMark/>
              </w:tcPr>
              <w:p w14:paraId="0B5FC55E"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13</w:t>
                </w:r>
              </w:p>
            </w:tc>
            <w:tc>
              <w:tcPr>
                <w:tcW w:w="4405" w:type="dxa"/>
                <w:tcBorders>
                  <w:top w:val="nil"/>
                  <w:left w:val="nil"/>
                  <w:bottom w:val="nil"/>
                  <w:right w:val="nil"/>
                </w:tcBorders>
                <w:shd w:val="clear" w:color="auto" w:fill="auto"/>
                <w:noWrap/>
                <w:vAlign w:val="bottom"/>
                <w:hideMark/>
              </w:tcPr>
              <w:p w14:paraId="74236111"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K'aute Pasifika Trust</w:t>
                </w:r>
              </w:p>
            </w:tc>
          </w:tr>
          <w:tr w:rsidR="00CE4EFF" w:rsidRPr="00326390" w14:paraId="711213EA" w14:textId="77777777" w:rsidTr="00B465C5">
            <w:trPr>
              <w:trHeight w:val="300"/>
            </w:trPr>
            <w:tc>
              <w:tcPr>
                <w:tcW w:w="674" w:type="dxa"/>
                <w:tcBorders>
                  <w:top w:val="nil"/>
                  <w:left w:val="nil"/>
                  <w:bottom w:val="nil"/>
                  <w:right w:val="nil"/>
                </w:tcBorders>
                <w:shd w:val="clear" w:color="auto" w:fill="auto"/>
                <w:noWrap/>
                <w:vAlign w:val="bottom"/>
                <w:hideMark/>
              </w:tcPr>
              <w:p w14:paraId="63BED515"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42</w:t>
                </w:r>
              </w:p>
            </w:tc>
            <w:tc>
              <w:tcPr>
                <w:tcW w:w="4405" w:type="dxa"/>
                <w:tcBorders>
                  <w:top w:val="nil"/>
                  <w:left w:val="nil"/>
                  <w:bottom w:val="nil"/>
                  <w:right w:val="nil"/>
                </w:tcBorders>
                <w:shd w:val="clear" w:color="auto" w:fill="auto"/>
                <w:noWrap/>
                <w:vAlign w:val="bottom"/>
                <w:hideMark/>
              </w:tcPr>
              <w:p w14:paraId="2B016F28"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Lotto NZ</w:t>
                </w:r>
              </w:p>
            </w:tc>
          </w:tr>
          <w:tr w:rsidR="00CE4EFF" w:rsidRPr="00326390" w14:paraId="686C1CDC" w14:textId="77777777" w:rsidTr="00B465C5">
            <w:trPr>
              <w:trHeight w:val="300"/>
            </w:trPr>
            <w:tc>
              <w:tcPr>
                <w:tcW w:w="674" w:type="dxa"/>
                <w:tcBorders>
                  <w:top w:val="nil"/>
                  <w:left w:val="nil"/>
                  <w:bottom w:val="nil"/>
                  <w:right w:val="nil"/>
                </w:tcBorders>
                <w:shd w:val="clear" w:color="auto" w:fill="auto"/>
                <w:noWrap/>
                <w:vAlign w:val="bottom"/>
                <w:hideMark/>
              </w:tcPr>
              <w:p w14:paraId="5D92F5A9"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29</w:t>
                </w:r>
              </w:p>
            </w:tc>
            <w:tc>
              <w:tcPr>
                <w:tcW w:w="4405" w:type="dxa"/>
                <w:tcBorders>
                  <w:top w:val="nil"/>
                  <w:left w:val="nil"/>
                  <w:bottom w:val="nil"/>
                  <w:right w:val="nil"/>
                </w:tcBorders>
                <w:shd w:val="clear" w:color="auto" w:fill="auto"/>
                <w:noWrap/>
                <w:vAlign w:val="bottom"/>
                <w:hideMark/>
              </w:tcPr>
              <w:p w14:paraId="69E745C2"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Manawatu District Council</w:t>
                </w:r>
              </w:p>
            </w:tc>
          </w:tr>
          <w:tr w:rsidR="00CE4EFF" w:rsidRPr="00326390" w14:paraId="40735B8C" w14:textId="77777777" w:rsidTr="00B465C5">
            <w:trPr>
              <w:trHeight w:val="300"/>
            </w:trPr>
            <w:tc>
              <w:tcPr>
                <w:tcW w:w="674" w:type="dxa"/>
                <w:tcBorders>
                  <w:top w:val="nil"/>
                  <w:left w:val="nil"/>
                  <w:bottom w:val="nil"/>
                  <w:right w:val="nil"/>
                </w:tcBorders>
                <w:shd w:val="clear" w:color="auto" w:fill="auto"/>
                <w:noWrap/>
                <w:vAlign w:val="bottom"/>
                <w:hideMark/>
              </w:tcPr>
              <w:p w14:paraId="169C07A7"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53</w:t>
                </w:r>
              </w:p>
            </w:tc>
            <w:tc>
              <w:tcPr>
                <w:tcW w:w="4405" w:type="dxa"/>
                <w:tcBorders>
                  <w:top w:val="nil"/>
                  <w:left w:val="nil"/>
                  <w:bottom w:val="nil"/>
                  <w:right w:val="nil"/>
                </w:tcBorders>
                <w:shd w:val="clear" w:color="auto" w:fill="auto"/>
                <w:noWrap/>
                <w:vAlign w:val="bottom"/>
                <w:hideMark/>
              </w:tcPr>
              <w:p w14:paraId="7ADE6270"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Mapu Maia</w:t>
                </w:r>
              </w:p>
            </w:tc>
          </w:tr>
          <w:tr w:rsidR="00CE4EFF" w:rsidRPr="00326390" w14:paraId="1AAC0013" w14:textId="77777777" w:rsidTr="00B465C5">
            <w:trPr>
              <w:trHeight w:val="300"/>
            </w:trPr>
            <w:tc>
              <w:tcPr>
                <w:tcW w:w="674" w:type="dxa"/>
                <w:tcBorders>
                  <w:top w:val="nil"/>
                  <w:left w:val="nil"/>
                  <w:bottom w:val="nil"/>
                  <w:right w:val="nil"/>
                </w:tcBorders>
                <w:shd w:val="clear" w:color="auto" w:fill="auto"/>
                <w:noWrap/>
                <w:vAlign w:val="bottom"/>
                <w:hideMark/>
              </w:tcPr>
              <w:p w14:paraId="7A2A9B60" w14:textId="77777777" w:rsidR="00CE4EFF"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C13</w:t>
                </w:r>
              </w:p>
              <w:p w14:paraId="248BE340" w14:textId="77777777" w:rsidR="00CE4EFF" w:rsidRPr="00326390" w:rsidRDefault="00CE4EFF" w:rsidP="00CE4EFF">
                <w:pPr>
                  <w:spacing w:after="0" w:line="240" w:lineRule="auto"/>
                  <w:jc w:val="right"/>
                  <w:rPr>
                    <w:rFonts w:ascii="Calibri" w:eastAsia="Times New Roman" w:hAnsi="Calibri" w:cs="Calibri"/>
                    <w:color w:val="000000"/>
                    <w:lang w:eastAsia="en-NZ"/>
                  </w:rPr>
                </w:pPr>
              </w:p>
            </w:tc>
            <w:tc>
              <w:tcPr>
                <w:tcW w:w="4405" w:type="dxa"/>
                <w:tcBorders>
                  <w:top w:val="nil"/>
                  <w:left w:val="nil"/>
                  <w:bottom w:val="nil"/>
                  <w:right w:val="nil"/>
                </w:tcBorders>
                <w:shd w:val="clear" w:color="auto" w:fill="auto"/>
                <w:noWrap/>
                <w:vAlign w:val="bottom"/>
                <w:hideMark/>
              </w:tcPr>
              <w:p w14:paraId="2599DC7A" w14:textId="01BE3CAE" w:rsidR="00CE4EFF" w:rsidRPr="00326390" w:rsidRDefault="00CE4EFF" w:rsidP="00CE4EFF">
                <w:pPr>
                  <w:spacing w:after="0" w:line="240" w:lineRule="auto"/>
                  <w:jc w:val="both"/>
                  <w:rPr>
                    <w:rFonts w:ascii="Cambria" w:eastAsia="Times New Roman" w:hAnsi="Cambria" w:cs="Calibri"/>
                    <w:color w:val="000000"/>
                    <w:lang w:eastAsia="en-NZ"/>
                  </w:rPr>
                </w:pPr>
                <w:r w:rsidRPr="006B5D41">
                  <w:rPr>
                    <w:rFonts w:ascii="Cambria" w:eastAsia="Times New Roman" w:hAnsi="Cambria" w:cs="Calibri"/>
                    <w:color w:val="000000"/>
                    <w:lang w:eastAsia="en-NZ"/>
                  </w:rPr>
                  <w:t>Nga Manga Puriri Northland Problem Gambling Service</w:t>
                </w:r>
              </w:p>
            </w:tc>
          </w:tr>
          <w:tr w:rsidR="00CE4EFF" w:rsidRPr="00326390" w14:paraId="6C8F94E3" w14:textId="77777777" w:rsidTr="00B465C5">
            <w:trPr>
              <w:trHeight w:val="300"/>
            </w:trPr>
            <w:tc>
              <w:tcPr>
                <w:tcW w:w="674" w:type="dxa"/>
                <w:tcBorders>
                  <w:top w:val="nil"/>
                  <w:left w:val="nil"/>
                  <w:bottom w:val="nil"/>
                  <w:right w:val="nil"/>
                </w:tcBorders>
                <w:shd w:val="clear" w:color="auto" w:fill="auto"/>
                <w:noWrap/>
                <w:vAlign w:val="bottom"/>
                <w:hideMark/>
              </w:tcPr>
              <w:p w14:paraId="16B249FD"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63</w:t>
                </w:r>
              </w:p>
            </w:tc>
            <w:tc>
              <w:tcPr>
                <w:tcW w:w="4405" w:type="dxa"/>
                <w:tcBorders>
                  <w:top w:val="nil"/>
                  <w:left w:val="nil"/>
                  <w:bottom w:val="nil"/>
                  <w:right w:val="nil"/>
                </w:tcBorders>
                <w:shd w:val="clear" w:color="auto" w:fill="auto"/>
                <w:noWrap/>
                <w:vAlign w:val="bottom"/>
                <w:hideMark/>
              </w:tcPr>
              <w:p w14:paraId="50CD3C4F"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Milestone Foundation Limited</w:t>
                </w:r>
              </w:p>
            </w:tc>
          </w:tr>
          <w:tr w:rsidR="00CE4EFF" w:rsidRPr="00326390" w14:paraId="5BE92C10" w14:textId="77777777" w:rsidTr="00B465C5">
            <w:trPr>
              <w:trHeight w:val="300"/>
            </w:trPr>
            <w:tc>
              <w:tcPr>
                <w:tcW w:w="674" w:type="dxa"/>
                <w:tcBorders>
                  <w:top w:val="nil"/>
                  <w:left w:val="nil"/>
                  <w:bottom w:val="nil"/>
                  <w:right w:val="nil"/>
                </w:tcBorders>
                <w:shd w:val="clear" w:color="auto" w:fill="auto"/>
                <w:noWrap/>
                <w:vAlign w:val="bottom"/>
                <w:hideMark/>
              </w:tcPr>
              <w:p w14:paraId="5B4FC1C6"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32</w:t>
                </w:r>
              </w:p>
            </w:tc>
            <w:tc>
              <w:tcPr>
                <w:tcW w:w="4405" w:type="dxa"/>
                <w:tcBorders>
                  <w:top w:val="nil"/>
                  <w:left w:val="nil"/>
                  <w:bottom w:val="nil"/>
                  <w:right w:val="nil"/>
                </w:tcBorders>
                <w:shd w:val="clear" w:color="auto" w:fill="auto"/>
                <w:noWrap/>
                <w:vAlign w:val="bottom"/>
                <w:hideMark/>
              </w:tcPr>
              <w:p w14:paraId="1DC9A5C5"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Nelson Marlborough DHB</w:t>
                </w:r>
              </w:p>
            </w:tc>
          </w:tr>
          <w:tr w:rsidR="00CE4EFF" w:rsidRPr="00326390" w14:paraId="09A1F638" w14:textId="77777777" w:rsidTr="00B465C5">
            <w:trPr>
              <w:trHeight w:val="300"/>
            </w:trPr>
            <w:tc>
              <w:tcPr>
                <w:tcW w:w="674" w:type="dxa"/>
                <w:tcBorders>
                  <w:top w:val="nil"/>
                  <w:left w:val="nil"/>
                  <w:bottom w:val="nil"/>
                  <w:right w:val="nil"/>
                </w:tcBorders>
                <w:shd w:val="clear" w:color="auto" w:fill="auto"/>
                <w:noWrap/>
                <w:vAlign w:val="bottom"/>
              </w:tcPr>
              <w:p w14:paraId="6EC15903" w14:textId="66CA3056"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 xml:space="preserve">C02 </w:t>
                </w:r>
              </w:p>
            </w:tc>
            <w:tc>
              <w:tcPr>
                <w:tcW w:w="4405" w:type="dxa"/>
                <w:tcBorders>
                  <w:top w:val="nil"/>
                  <w:left w:val="nil"/>
                  <w:bottom w:val="nil"/>
                  <w:right w:val="nil"/>
                </w:tcBorders>
                <w:shd w:val="clear" w:color="auto" w:fill="auto"/>
                <w:noWrap/>
                <w:vAlign w:val="bottom"/>
              </w:tcPr>
              <w:p w14:paraId="0A80C8BF" w14:textId="75AD4CFF" w:rsidR="00CE4EFF" w:rsidRPr="00293830" w:rsidRDefault="00CE4EFF" w:rsidP="00CE4EFF">
                <w:pPr>
                  <w:spacing w:after="0" w:line="240" w:lineRule="auto"/>
                  <w:jc w:val="both"/>
                  <w:rPr>
                    <w:rFonts w:ascii="Cambria" w:eastAsia="Times New Roman" w:hAnsi="Cambria" w:cs="Calibri"/>
                    <w:color w:val="000000"/>
                    <w:lang w:eastAsia="en-NZ"/>
                  </w:rPr>
                </w:pPr>
                <w:r w:rsidRPr="00A86925">
                  <w:rPr>
                    <w:rFonts w:ascii="Cambria" w:eastAsia="Times New Roman" w:hAnsi="Cambria" w:cs="Calibri"/>
                    <w:color w:val="000000"/>
                    <w:lang w:eastAsia="en-NZ"/>
                  </w:rPr>
                  <w:t>Odyssey, Auckland</w:t>
                </w:r>
              </w:p>
            </w:tc>
          </w:tr>
          <w:tr w:rsidR="00CE4EFF" w:rsidRPr="00326390" w14:paraId="4EB11B4A" w14:textId="77777777" w:rsidTr="00B465C5">
            <w:trPr>
              <w:trHeight w:val="300"/>
            </w:trPr>
            <w:tc>
              <w:tcPr>
                <w:tcW w:w="674" w:type="dxa"/>
                <w:tcBorders>
                  <w:top w:val="nil"/>
                  <w:left w:val="nil"/>
                  <w:bottom w:val="nil"/>
                  <w:right w:val="nil"/>
                </w:tcBorders>
                <w:shd w:val="clear" w:color="auto" w:fill="auto"/>
                <w:noWrap/>
                <w:vAlign w:val="bottom"/>
                <w:hideMark/>
              </w:tcPr>
              <w:p w14:paraId="5F0AE575" w14:textId="77777777" w:rsidR="00CE4EFF"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C11</w:t>
                </w:r>
              </w:p>
              <w:p w14:paraId="1B4C562E" w14:textId="4011971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 xml:space="preserve"> </w:t>
                </w:r>
              </w:p>
            </w:tc>
            <w:tc>
              <w:tcPr>
                <w:tcW w:w="4405" w:type="dxa"/>
                <w:tcBorders>
                  <w:top w:val="nil"/>
                  <w:left w:val="nil"/>
                  <w:bottom w:val="nil"/>
                  <w:right w:val="nil"/>
                </w:tcBorders>
                <w:shd w:val="clear" w:color="auto" w:fill="auto"/>
                <w:noWrap/>
                <w:vAlign w:val="bottom"/>
                <w:hideMark/>
              </w:tcPr>
              <w:p w14:paraId="5A92D98F" w14:textId="291328A4" w:rsidR="00CE4EFF" w:rsidRPr="00326390" w:rsidRDefault="00CE4EFF" w:rsidP="00CE4EFF">
                <w:pPr>
                  <w:spacing w:after="0" w:line="240" w:lineRule="auto"/>
                  <w:jc w:val="both"/>
                  <w:rPr>
                    <w:rFonts w:ascii="Cambria" w:eastAsia="Times New Roman" w:hAnsi="Cambria" w:cs="Calibri"/>
                    <w:color w:val="000000"/>
                    <w:lang w:eastAsia="en-NZ"/>
                  </w:rPr>
                </w:pPr>
                <w:r w:rsidRPr="00293830">
                  <w:rPr>
                    <w:rFonts w:ascii="Cambria" w:eastAsia="Times New Roman" w:hAnsi="Cambria" w:cs="Calibri"/>
                    <w:color w:val="000000"/>
                    <w:lang w:eastAsia="en-NZ"/>
                  </w:rPr>
                  <w:t>Tupu - Pacific Alcohol &amp; Drug and Gambling Service</w:t>
                </w:r>
              </w:p>
            </w:tc>
          </w:tr>
          <w:tr w:rsidR="00CE4EFF" w:rsidRPr="00326390" w14:paraId="2EA85791" w14:textId="77777777" w:rsidTr="00B465C5">
            <w:trPr>
              <w:trHeight w:val="300"/>
            </w:trPr>
            <w:tc>
              <w:tcPr>
                <w:tcW w:w="674" w:type="dxa"/>
                <w:tcBorders>
                  <w:top w:val="nil"/>
                  <w:left w:val="nil"/>
                  <w:bottom w:val="nil"/>
                  <w:right w:val="nil"/>
                </w:tcBorders>
                <w:shd w:val="clear" w:color="auto" w:fill="auto"/>
                <w:noWrap/>
                <w:vAlign w:val="bottom"/>
                <w:hideMark/>
              </w:tcPr>
              <w:p w14:paraId="7B70C5A3"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50</w:t>
                </w:r>
              </w:p>
            </w:tc>
            <w:tc>
              <w:tcPr>
                <w:tcW w:w="4405" w:type="dxa"/>
                <w:tcBorders>
                  <w:top w:val="nil"/>
                  <w:left w:val="nil"/>
                  <w:bottom w:val="nil"/>
                  <w:right w:val="nil"/>
                </w:tcBorders>
                <w:shd w:val="clear" w:color="auto" w:fill="auto"/>
                <w:noWrap/>
                <w:vAlign w:val="bottom"/>
                <w:hideMark/>
              </w:tcPr>
              <w:p w14:paraId="305B03AA"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New Zealand Community Trust</w:t>
                </w:r>
              </w:p>
            </w:tc>
          </w:tr>
          <w:tr w:rsidR="00CE4EFF" w:rsidRPr="00326390" w14:paraId="15224517" w14:textId="77777777" w:rsidTr="00B465C5">
            <w:trPr>
              <w:trHeight w:val="300"/>
            </w:trPr>
            <w:tc>
              <w:tcPr>
                <w:tcW w:w="674" w:type="dxa"/>
                <w:tcBorders>
                  <w:top w:val="nil"/>
                  <w:left w:val="nil"/>
                  <w:bottom w:val="nil"/>
                  <w:right w:val="nil"/>
                </w:tcBorders>
                <w:shd w:val="clear" w:color="auto" w:fill="auto"/>
                <w:noWrap/>
                <w:vAlign w:val="bottom"/>
                <w:hideMark/>
              </w:tcPr>
              <w:p w14:paraId="0B34221B"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43</w:t>
                </w:r>
              </w:p>
            </w:tc>
            <w:tc>
              <w:tcPr>
                <w:tcW w:w="4405" w:type="dxa"/>
                <w:tcBorders>
                  <w:top w:val="nil"/>
                  <w:left w:val="nil"/>
                  <w:bottom w:val="nil"/>
                  <w:right w:val="nil"/>
                </w:tcBorders>
                <w:shd w:val="clear" w:color="auto" w:fill="auto"/>
                <w:noWrap/>
                <w:vAlign w:val="bottom"/>
                <w:hideMark/>
              </w:tcPr>
              <w:p w14:paraId="6A0D23C6"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New Zealand Racing Board</w:t>
                </w:r>
              </w:p>
            </w:tc>
          </w:tr>
          <w:tr w:rsidR="00CE4EFF" w:rsidRPr="00326390" w14:paraId="3FC819F5" w14:textId="77777777" w:rsidTr="00B465C5">
            <w:trPr>
              <w:trHeight w:val="300"/>
            </w:trPr>
            <w:tc>
              <w:tcPr>
                <w:tcW w:w="674" w:type="dxa"/>
                <w:tcBorders>
                  <w:top w:val="nil"/>
                  <w:left w:val="nil"/>
                  <w:bottom w:val="nil"/>
                  <w:right w:val="nil"/>
                </w:tcBorders>
                <w:shd w:val="clear" w:color="auto" w:fill="auto"/>
                <w:noWrap/>
                <w:vAlign w:val="bottom"/>
                <w:hideMark/>
              </w:tcPr>
              <w:p w14:paraId="5EC134E2"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37</w:t>
                </w:r>
              </w:p>
            </w:tc>
            <w:tc>
              <w:tcPr>
                <w:tcW w:w="4405" w:type="dxa"/>
                <w:tcBorders>
                  <w:top w:val="nil"/>
                  <w:left w:val="nil"/>
                  <w:bottom w:val="nil"/>
                  <w:right w:val="nil"/>
                </w:tcBorders>
                <w:shd w:val="clear" w:color="auto" w:fill="auto"/>
                <w:noWrap/>
                <w:vAlign w:val="bottom"/>
                <w:hideMark/>
              </w:tcPr>
              <w:p w14:paraId="35169E6A"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Ngā Tai o Te Awa</w:t>
                </w:r>
              </w:p>
            </w:tc>
          </w:tr>
          <w:tr w:rsidR="00CE4EFF" w:rsidRPr="00326390" w14:paraId="79E358B3" w14:textId="77777777" w:rsidTr="00B465C5">
            <w:trPr>
              <w:trHeight w:val="300"/>
            </w:trPr>
            <w:tc>
              <w:tcPr>
                <w:tcW w:w="674" w:type="dxa"/>
                <w:tcBorders>
                  <w:top w:val="nil"/>
                  <w:left w:val="nil"/>
                  <w:bottom w:val="nil"/>
                  <w:right w:val="nil"/>
                </w:tcBorders>
                <w:shd w:val="clear" w:color="auto" w:fill="auto"/>
                <w:noWrap/>
                <w:vAlign w:val="bottom"/>
                <w:hideMark/>
              </w:tcPr>
              <w:p w14:paraId="7A98907C"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41</w:t>
                </w:r>
              </w:p>
            </w:tc>
            <w:tc>
              <w:tcPr>
                <w:tcW w:w="4405" w:type="dxa"/>
                <w:tcBorders>
                  <w:top w:val="nil"/>
                  <w:left w:val="nil"/>
                  <w:bottom w:val="nil"/>
                  <w:right w:val="nil"/>
                </w:tcBorders>
                <w:shd w:val="clear" w:color="auto" w:fill="auto"/>
                <w:noWrap/>
                <w:vAlign w:val="bottom"/>
                <w:hideMark/>
              </w:tcPr>
              <w:p w14:paraId="49EBE600"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One Foundation</w:t>
                </w:r>
              </w:p>
            </w:tc>
          </w:tr>
          <w:tr w:rsidR="00CE4EFF" w:rsidRPr="00326390" w14:paraId="7FBD1CFC" w14:textId="77777777" w:rsidTr="00B465C5">
            <w:trPr>
              <w:trHeight w:val="300"/>
            </w:trPr>
            <w:tc>
              <w:tcPr>
                <w:tcW w:w="674" w:type="dxa"/>
                <w:tcBorders>
                  <w:top w:val="nil"/>
                  <w:left w:val="nil"/>
                  <w:bottom w:val="nil"/>
                  <w:right w:val="nil"/>
                </w:tcBorders>
                <w:shd w:val="clear" w:color="auto" w:fill="auto"/>
                <w:noWrap/>
                <w:vAlign w:val="bottom"/>
                <w:hideMark/>
              </w:tcPr>
              <w:p w14:paraId="7539A5AF"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 xml:space="preserve">C05 </w:t>
                </w:r>
              </w:p>
            </w:tc>
            <w:tc>
              <w:tcPr>
                <w:tcW w:w="4405" w:type="dxa"/>
                <w:tcBorders>
                  <w:top w:val="nil"/>
                  <w:left w:val="nil"/>
                  <w:bottom w:val="nil"/>
                  <w:right w:val="nil"/>
                </w:tcBorders>
                <w:shd w:val="clear" w:color="auto" w:fill="auto"/>
                <w:noWrap/>
                <w:vAlign w:val="bottom"/>
                <w:hideMark/>
              </w:tcPr>
              <w:p w14:paraId="3F963006" w14:textId="2362F1DD" w:rsidR="00CE4EFF" w:rsidRPr="00326390" w:rsidRDefault="00CE4EFF" w:rsidP="00CE4EFF">
                <w:pPr>
                  <w:spacing w:after="0" w:line="240" w:lineRule="auto"/>
                  <w:jc w:val="both"/>
                  <w:rPr>
                    <w:rFonts w:ascii="Cambria" w:eastAsia="Times New Roman" w:hAnsi="Cambria" w:cs="Calibri"/>
                    <w:color w:val="000000"/>
                    <w:lang w:eastAsia="en-NZ"/>
                  </w:rPr>
                </w:pPr>
                <w:r w:rsidRPr="00A86925">
                  <w:rPr>
                    <w:rFonts w:ascii="Cambria" w:eastAsia="Times New Roman" w:hAnsi="Cambria" w:cs="Calibri"/>
                    <w:color w:val="000000"/>
                    <w:lang w:eastAsia="en-NZ"/>
                  </w:rPr>
                  <w:t>Raukura Hauora O Tainui</w:t>
                </w:r>
              </w:p>
            </w:tc>
          </w:tr>
          <w:tr w:rsidR="00CE4EFF" w:rsidRPr="00326390" w14:paraId="2C532181" w14:textId="77777777" w:rsidTr="00B465C5">
            <w:trPr>
              <w:trHeight w:val="300"/>
            </w:trPr>
            <w:tc>
              <w:tcPr>
                <w:tcW w:w="674" w:type="dxa"/>
                <w:tcBorders>
                  <w:top w:val="nil"/>
                  <w:left w:val="nil"/>
                  <w:bottom w:val="nil"/>
                  <w:right w:val="nil"/>
                </w:tcBorders>
                <w:shd w:val="clear" w:color="auto" w:fill="auto"/>
                <w:noWrap/>
                <w:vAlign w:val="bottom"/>
                <w:hideMark/>
              </w:tcPr>
              <w:p w14:paraId="6FA4D60D"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51</w:t>
                </w:r>
              </w:p>
            </w:tc>
            <w:tc>
              <w:tcPr>
                <w:tcW w:w="4405" w:type="dxa"/>
                <w:tcBorders>
                  <w:top w:val="nil"/>
                  <w:left w:val="nil"/>
                  <w:bottom w:val="nil"/>
                  <w:right w:val="nil"/>
                </w:tcBorders>
                <w:shd w:val="clear" w:color="auto" w:fill="auto"/>
                <w:noWrap/>
                <w:vAlign w:val="bottom"/>
                <w:hideMark/>
              </w:tcPr>
              <w:p w14:paraId="21B4B366"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Pelorus Trust</w:t>
                </w:r>
              </w:p>
            </w:tc>
          </w:tr>
          <w:tr w:rsidR="00CE4EFF" w:rsidRPr="00326390" w14:paraId="7EE3DE5C" w14:textId="77777777" w:rsidTr="00B465C5">
            <w:trPr>
              <w:trHeight w:val="300"/>
            </w:trPr>
            <w:tc>
              <w:tcPr>
                <w:tcW w:w="674" w:type="dxa"/>
                <w:tcBorders>
                  <w:top w:val="nil"/>
                  <w:left w:val="nil"/>
                  <w:bottom w:val="nil"/>
                  <w:right w:val="nil"/>
                </w:tcBorders>
                <w:shd w:val="clear" w:color="auto" w:fill="auto"/>
                <w:noWrap/>
                <w:vAlign w:val="bottom"/>
                <w:hideMark/>
              </w:tcPr>
              <w:p w14:paraId="0C39165A"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44</w:t>
                </w:r>
              </w:p>
            </w:tc>
            <w:tc>
              <w:tcPr>
                <w:tcW w:w="4405" w:type="dxa"/>
                <w:tcBorders>
                  <w:top w:val="nil"/>
                  <w:left w:val="nil"/>
                  <w:bottom w:val="nil"/>
                  <w:right w:val="nil"/>
                </w:tcBorders>
                <w:shd w:val="clear" w:color="auto" w:fill="auto"/>
                <w:noWrap/>
                <w:vAlign w:val="bottom"/>
                <w:hideMark/>
              </w:tcPr>
              <w:p w14:paraId="051B2EED"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Problem Gambling Foundation</w:t>
                </w:r>
              </w:p>
            </w:tc>
          </w:tr>
          <w:tr w:rsidR="00CE4EFF" w:rsidRPr="00326390" w14:paraId="78E3FE2D" w14:textId="77777777" w:rsidTr="00B465C5">
            <w:trPr>
              <w:trHeight w:val="300"/>
            </w:trPr>
            <w:tc>
              <w:tcPr>
                <w:tcW w:w="674" w:type="dxa"/>
                <w:tcBorders>
                  <w:top w:val="nil"/>
                  <w:left w:val="nil"/>
                  <w:bottom w:val="nil"/>
                  <w:right w:val="nil"/>
                </w:tcBorders>
                <w:shd w:val="clear" w:color="auto" w:fill="auto"/>
                <w:noWrap/>
                <w:vAlign w:val="bottom"/>
                <w:hideMark/>
              </w:tcPr>
              <w:p w14:paraId="06D66C55"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64</w:t>
                </w:r>
              </w:p>
            </w:tc>
            <w:tc>
              <w:tcPr>
                <w:tcW w:w="4405" w:type="dxa"/>
                <w:tcBorders>
                  <w:top w:val="nil"/>
                  <w:left w:val="nil"/>
                  <w:bottom w:val="nil"/>
                  <w:right w:val="nil"/>
                </w:tcBorders>
                <w:shd w:val="clear" w:color="auto" w:fill="auto"/>
                <w:noWrap/>
                <w:vAlign w:val="bottom"/>
                <w:hideMark/>
              </w:tcPr>
              <w:p w14:paraId="6B06A48F" w14:textId="54C007FB"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Pub Charity</w:t>
                </w:r>
                <w:r>
                  <w:rPr>
                    <w:rFonts w:ascii="Cambria" w:eastAsia="Times New Roman" w:hAnsi="Cambria" w:cs="Calibri"/>
                    <w:color w:val="000000"/>
                    <w:lang w:eastAsia="en-NZ"/>
                  </w:rPr>
                  <w:t xml:space="preserve"> Limited</w:t>
                </w:r>
              </w:p>
            </w:tc>
          </w:tr>
          <w:tr w:rsidR="00CE4EFF" w:rsidRPr="00326390" w14:paraId="1C37D745" w14:textId="77777777" w:rsidTr="00B465C5">
            <w:trPr>
              <w:trHeight w:val="300"/>
            </w:trPr>
            <w:tc>
              <w:tcPr>
                <w:tcW w:w="674" w:type="dxa"/>
                <w:tcBorders>
                  <w:top w:val="nil"/>
                  <w:left w:val="nil"/>
                  <w:bottom w:val="nil"/>
                  <w:right w:val="nil"/>
                </w:tcBorders>
                <w:shd w:val="clear" w:color="auto" w:fill="auto"/>
                <w:noWrap/>
                <w:vAlign w:val="bottom"/>
                <w:hideMark/>
              </w:tcPr>
              <w:p w14:paraId="5D9B0AD8"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 xml:space="preserve">C08 </w:t>
                </w:r>
              </w:p>
            </w:tc>
            <w:tc>
              <w:tcPr>
                <w:tcW w:w="4405" w:type="dxa"/>
                <w:tcBorders>
                  <w:top w:val="nil"/>
                  <w:left w:val="nil"/>
                  <w:bottom w:val="nil"/>
                  <w:right w:val="nil"/>
                </w:tcBorders>
                <w:shd w:val="clear" w:color="auto" w:fill="auto"/>
                <w:noWrap/>
                <w:vAlign w:val="bottom"/>
                <w:hideMark/>
              </w:tcPr>
              <w:p w14:paraId="1FFBDC1C"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Rahera Hapi-Moresi</w:t>
                </w:r>
              </w:p>
            </w:tc>
          </w:tr>
          <w:tr w:rsidR="00CE4EFF" w:rsidRPr="00326390" w14:paraId="0A3B830E" w14:textId="77777777" w:rsidTr="00B465C5">
            <w:trPr>
              <w:trHeight w:val="300"/>
            </w:trPr>
            <w:tc>
              <w:tcPr>
                <w:tcW w:w="674" w:type="dxa"/>
                <w:tcBorders>
                  <w:top w:val="nil"/>
                  <w:left w:val="nil"/>
                  <w:bottom w:val="nil"/>
                  <w:right w:val="nil"/>
                </w:tcBorders>
                <w:shd w:val="clear" w:color="auto" w:fill="auto"/>
                <w:noWrap/>
                <w:vAlign w:val="bottom"/>
                <w:hideMark/>
              </w:tcPr>
              <w:p w14:paraId="254A3547"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3</w:t>
                </w:r>
              </w:p>
            </w:tc>
            <w:tc>
              <w:tcPr>
                <w:tcW w:w="4405" w:type="dxa"/>
                <w:tcBorders>
                  <w:top w:val="nil"/>
                  <w:left w:val="nil"/>
                  <w:bottom w:val="nil"/>
                  <w:right w:val="nil"/>
                </w:tcBorders>
                <w:shd w:val="clear" w:color="auto" w:fill="auto"/>
                <w:noWrap/>
                <w:vAlign w:val="bottom"/>
                <w:hideMark/>
              </w:tcPr>
              <w:p w14:paraId="2AEABC03"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Rano Community Trust</w:t>
                </w:r>
              </w:p>
            </w:tc>
          </w:tr>
          <w:tr w:rsidR="00CE4EFF" w:rsidRPr="00326390" w14:paraId="6C0A1611" w14:textId="77777777" w:rsidTr="00B465C5">
            <w:trPr>
              <w:trHeight w:val="300"/>
            </w:trPr>
            <w:tc>
              <w:tcPr>
                <w:tcW w:w="674" w:type="dxa"/>
                <w:tcBorders>
                  <w:top w:val="nil"/>
                  <w:left w:val="nil"/>
                  <w:bottom w:val="nil"/>
                  <w:right w:val="nil"/>
                </w:tcBorders>
                <w:shd w:val="clear" w:color="auto" w:fill="auto"/>
                <w:noWrap/>
                <w:vAlign w:val="bottom"/>
                <w:hideMark/>
              </w:tcPr>
              <w:p w14:paraId="0C23ED63"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15</w:t>
                </w:r>
              </w:p>
            </w:tc>
            <w:tc>
              <w:tcPr>
                <w:tcW w:w="4405" w:type="dxa"/>
                <w:tcBorders>
                  <w:top w:val="nil"/>
                  <w:left w:val="nil"/>
                  <w:bottom w:val="nil"/>
                  <w:right w:val="nil"/>
                </w:tcBorders>
                <w:shd w:val="clear" w:color="auto" w:fill="auto"/>
                <w:noWrap/>
                <w:vAlign w:val="bottom"/>
                <w:hideMark/>
              </w:tcPr>
              <w:p w14:paraId="5956A523"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Salvation Army OASIS Wellington</w:t>
                </w:r>
              </w:p>
            </w:tc>
          </w:tr>
          <w:tr w:rsidR="00CE4EFF" w:rsidRPr="00326390" w14:paraId="78AB8D1A" w14:textId="77777777" w:rsidTr="00B465C5">
            <w:trPr>
              <w:trHeight w:val="300"/>
            </w:trPr>
            <w:tc>
              <w:tcPr>
                <w:tcW w:w="674" w:type="dxa"/>
                <w:tcBorders>
                  <w:top w:val="nil"/>
                  <w:left w:val="nil"/>
                  <w:bottom w:val="nil"/>
                  <w:right w:val="nil"/>
                </w:tcBorders>
                <w:shd w:val="clear" w:color="auto" w:fill="auto"/>
                <w:noWrap/>
                <w:vAlign w:val="bottom"/>
                <w:hideMark/>
              </w:tcPr>
              <w:p w14:paraId="53633DED" w14:textId="77777777" w:rsidR="00CE4EFF"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C16</w:t>
                </w:r>
              </w:p>
              <w:p w14:paraId="59FD68A9" w14:textId="77777777" w:rsidR="00CE4EFF" w:rsidRPr="00326390" w:rsidRDefault="00CE4EFF" w:rsidP="00CE4EFF">
                <w:pPr>
                  <w:spacing w:after="0" w:line="240" w:lineRule="auto"/>
                  <w:jc w:val="right"/>
                  <w:rPr>
                    <w:rFonts w:ascii="Calibri" w:eastAsia="Times New Roman" w:hAnsi="Calibri" w:cs="Calibri"/>
                    <w:color w:val="000000"/>
                    <w:lang w:eastAsia="en-NZ"/>
                  </w:rPr>
                </w:pPr>
              </w:p>
            </w:tc>
            <w:tc>
              <w:tcPr>
                <w:tcW w:w="4405" w:type="dxa"/>
                <w:tcBorders>
                  <w:top w:val="nil"/>
                  <w:left w:val="nil"/>
                  <w:bottom w:val="nil"/>
                  <w:right w:val="nil"/>
                </w:tcBorders>
                <w:shd w:val="clear" w:color="auto" w:fill="auto"/>
                <w:noWrap/>
                <w:vAlign w:val="bottom"/>
                <w:hideMark/>
              </w:tcPr>
              <w:p w14:paraId="69A4F72E" w14:textId="303098D0" w:rsidR="00CE4EFF" w:rsidRPr="00326390" w:rsidRDefault="00CE4EFF" w:rsidP="00CE4EFF">
                <w:pPr>
                  <w:spacing w:after="0" w:line="240" w:lineRule="auto"/>
                  <w:rPr>
                    <w:rFonts w:ascii="Cambria" w:eastAsia="Times New Roman" w:hAnsi="Cambria" w:cs="Calibri"/>
                    <w:color w:val="000000"/>
                    <w:lang w:eastAsia="en-NZ"/>
                  </w:rPr>
                </w:pPr>
                <w:r w:rsidRPr="006B5D41">
                  <w:rPr>
                    <w:rFonts w:ascii="Cambria" w:eastAsia="Times New Roman" w:hAnsi="Cambria" w:cs="Calibri"/>
                    <w:color w:val="000000"/>
                    <w:lang w:eastAsia="en-NZ"/>
                  </w:rPr>
                  <w:t>Kaiawhina Workfroce Action Plan and Careerforce</w:t>
                </w:r>
                <w:r w:rsidRPr="00326390">
                  <w:rPr>
                    <w:rFonts w:ascii="Cambria" w:eastAsia="Times New Roman" w:hAnsi="Cambria" w:cs="Calibri"/>
                    <w:color w:val="000000"/>
                    <w:lang w:eastAsia="en-NZ"/>
                  </w:rPr>
                  <w:t>s</w:t>
                </w:r>
              </w:p>
            </w:tc>
          </w:tr>
          <w:tr w:rsidR="00CE4EFF" w:rsidRPr="00326390" w14:paraId="50846825" w14:textId="77777777" w:rsidTr="00B465C5">
            <w:trPr>
              <w:trHeight w:val="300"/>
            </w:trPr>
            <w:tc>
              <w:tcPr>
                <w:tcW w:w="674" w:type="dxa"/>
                <w:tcBorders>
                  <w:top w:val="nil"/>
                  <w:left w:val="nil"/>
                  <w:bottom w:val="nil"/>
                  <w:right w:val="nil"/>
                </w:tcBorders>
                <w:shd w:val="clear" w:color="auto" w:fill="auto"/>
                <w:noWrap/>
                <w:vAlign w:val="bottom"/>
                <w:hideMark/>
              </w:tcPr>
              <w:p w14:paraId="68512623"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55</w:t>
                </w:r>
              </w:p>
            </w:tc>
            <w:tc>
              <w:tcPr>
                <w:tcW w:w="4405" w:type="dxa"/>
                <w:tcBorders>
                  <w:top w:val="nil"/>
                  <w:left w:val="nil"/>
                  <w:bottom w:val="nil"/>
                  <w:right w:val="nil"/>
                </w:tcBorders>
                <w:shd w:val="clear" w:color="auto" w:fill="auto"/>
                <w:noWrap/>
                <w:vAlign w:val="bottom"/>
                <w:hideMark/>
              </w:tcPr>
              <w:p w14:paraId="0C310B1F"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SKYCITY Entertainment Group</w:t>
                </w:r>
              </w:p>
            </w:tc>
          </w:tr>
          <w:tr w:rsidR="00CE4EFF" w:rsidRPr="00326390" w14:paraId="4C5E36B3" w14:textId="77777777" w:rsidTr="00B465C5">
            <w:trPr>
              <w:trHeight w:val="300"/>
            </w:trPr>
            <w:tc>
              <w:tcPr>
                <w:tcW w:w="674" w:type="dxa"/>
                <w:tcBorders>
                  <w:top w:val="nil"/>
                  <w:left w:val="nil"/>
                  <w:bottom w:val="nil"/>
                  <w:right w:val="nil"/>
                </w:tcBorders>
                <w:shd w:val="clear" w:color="auto" w:fill="auto"/>
                <w:noWrap/>
                <w:vAlign w:val="bottom"/>
                <w:hideMark/>
              </w:tcPr>
              <w:p w14:paraId="029C4304"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33</w:t>
                </w:r>
              </w:p>
            </w:tc>
            <w:tc>
              <w:tcPr>
                <w:tcW w:w="4405" w:type="dxa"/>
                <w:tcBorders>
                  <w:top w:val="nil"/>
                  <w:left w:val="nil"/>
                  <w:bottom w:val="nil"/>
                  <w:right w:val="nil"/>
                </w:tcBorders>
                <w:shd w:val="clear" w:color="auto" w:fill="auto"/>
                <w:noWrap/>
                <w:vAlign w:val="bottom"/>
                <w:hideMark/>
              </w:tcPr>
              <w:p w14:paraId="3FC38F53"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Southern DHB</w:t>
                </w:r>
              </w:p>
            </w:tc>
          </w:tr>
          <w:tr w:rsidR="00CE4EFF" w:rsidRPr="00326390" w14:paraId="4A6B87F6" w14:textId="77777777" w:rsidTr="00B465C5">
            <w:trPr>
              <w:trHeight w:val="300"/>
            </w:trPr>
            <w:tc>
              <w:tcPr>
                <w:tcW w:w="674" w:type="dxa"/>
                <w:tcBorders>
                  <w:top w:val="nil"/>
                  <w:left w:val="nil"/>
                  <w:bottom w:val="nil"/>
                  <w:right w:val="nil"/>
                </w:tcBorders>
                <w:shd w:val="clear" w:color="auto" w:fill="auto"/>
                <w:noWrap/>
                <w:vAlign w:val="bottom"/>
                <w:hideMark/>
              </w:tcPr>
              <w:p w14:paraId="55654FD0"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60</w:t>
                </w:r>
              </w:p>
            </w:tc>
            <w:tc>
              <w:tcPr>
                <w:tcW w:w="4405" w:type="dxa"/>
                <w:tcBorders>
                  <w:top w:val="nil"/>
                  <w:left w:val="nil"/>
                  <w:bottom w:val="nil"/>
                  <w:right w:val="nil"/>
                </w:tcBorders>
                <w:shd w:val="clear" w:color="auto" w:fill="auto"/>
                <w:noWrap/>
                <w:vAlign w:val="bottom"/>
                <w:hideMark/>
              </w:tcPr>
              <w:p w14:paraId="2AB3AFC9"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Taeaomanino Trust</w:t>
                </w:r>
              </w:p>
            </w:tc>
          </w:tr>
          <w:tr w:rsidR="00CE4EFF" w:rsidRPr="00326390" w14:paraId="3A5E8C5B" w14:textId="77777777" w:rsidTr="00B465C5">
            <w:trPr>
              <w:trHeight w:val="300"/>
            </w:trPr>
            <w:tc>
              <w:tcPr>
                <w:tcW w:w="674" w:type="dxa"/>
                <w:tcBorders>
                  <w:top w:val="nil"/>
                  <w:left w:val="nil"/>
                  <w:bottom w:val="nil"/>
                  <w:right w:val="nil"/>
                </w:tcBorders>
                <w:shd w:val="clear" w:color="auto" w:fill="auto"/>
                <w:noWrap/>
                <w:vAlign w:val="bottom"/>
                <w:hideMark/>
              </w:tcPr>
              <w:p w14:paraId="1A4BCF52"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54</w:t>
                </w:r>
              </w:p>
            </w:tc>
            <w:tc>
              <w:tcPr>
                <w:tcW w:w="4405" w:type="dxa"/>
                <w:tcBorders>
                  <w:top w:val="nil"/>
                  <w:left w:val="nil"/>
                  <w:bottom w:val="nil"/>
                  <w:right w:val="nil"/>
                </w:tcBorders>
                <w:shd w:val="clear" w:color="auto" w:fill="auto"/>
                <w:noWrap/>
                <w:vAlign w:val="bottom"/>
                <w:hideMark/>
              </w:tcPr>
              <w:p w14:paraId="695D464B"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Tautoko Māori</w:t>
                </w:r>
              </w:p>
            </w:tc>
          </w:tr>
          <w:tr w:rsidR="00CE4EFF" w:rsidRPr="00326390" w14:paraId="4B0B68B3" w14:textId="77777777" w:rsidTr="00B465C5">
            <w:trPr>
              <w:trHeight w:val="300"/>
            </w:trPr>
            <w:tc>
              <w:tcPr>
                <w:tcW w:w="674" w:type="dxa"/>
                <w:tcBorders>
                  <w:top w:val="nil"/>
                  <w:left w:val="nil"/>
                  <w:bottom w:val="nil"/>
                  <w:right w:val="nil"/>
                </w:tcBorders>
                <w:shd w:val="clear" w:color="auto" w:fill="auto"/>
                <w:noWrap/>
                <w:vAlign w:val="bottom"/>
                <w:hideMark/>
              </w:tcPr>
              <w:p w14:paraId="583B421E"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9</w:t>
                </w:r>
              </w:p>
            </w:tc>
            <w:tc>
              <w:tcPr>
                <w:tcW w:w="4405" w:type="dxa"/>
                <w:tcBorders>
                  <w:top w:val="nil"/>
                  <w:left w:val="nil"/>
                  <w:bottom w:val="nil"/>
                  <w:right w:val="nil"/>
                </w:tcBorders>
                <w:shd w:val="clear" w:color="auto" w:fill="auto"/>
                <w:noWrap/>
                <w:vAlign w:val="bottom"/>
                <w:hideMark/>
              </w:tcPr>
              <w:p w14:paraId="7464688A"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Te Oranga Kaumātua Kuia and Hāpai Te Hauora</w:t>
                </w:r>
              </w:p>
            </w:tc>
          </w:tr>
          <w:tr w:rsidR="00CE4EFF" w:rsidRPr="00326390" w14:paraId="68C12044" w14:textId="77777777" w:rsidTr="00B465C5">
            <w:trPr>
              <w:trHeight w:val="300"/>
            </w:trPr>
            <w:tc>
              <w:tcPr>
                <w:tcW w:w="674" w:type="dxa"/>
                <w:tcBorders>
                  <w:top w:val="nil"/>
                  <w:left w:val="nil"/>
                  <w:bottom w:val="nil"/>
                  <w:right w:val="nil"/>
                </w:tcBorders>
                <w:shd w:val="clear" w:color="auto" w:fill="auto"/>
                <w:noWrap/>
                <w:vAlign w:val="bottom"/>
                <w:hideMark/>
              </w:tcPr>
              <w:p w14:paraId="0FBC6A88"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17</w:t>
                </w:r>
              </w:p>
            </w:tc>
            <w:tc>
              <w:tcPr>
                <w:tcW w:w="4405" w:type="dxa"/>
                <w:tcBorders>
                  <w:top w:val="nil"/>
                  <w:left w:val="nil"/>
                  <w:bottom w:val="nil"/>
                  <w:right w:val="nil"/>
                </w:tcBorders>
                <w:shd w:val="clear" w:color="auto" w:fill="auto"/>
                <w:noWrap/>
                <w:vAlign w:val="bottom"/>
                <w:hideMark/>
              </w:tcPr>
              <w:p w14:paraId="4A4F8C2B"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The Lion Foundation</w:t>
                </w:r>
              </w:p>
            </w:tc>
          </w:tr>
          <w:tr w:rsidR="00CE4EFF" w:rsidRPr="00326390" w14:paraId="1A6B1D71" w14:textId="77777777" w:rsidTr="00B465C5">
            <w:trPr>
              <w:trHeight w:val="300"/>
            </w:trPr>
            <w:tc>
              <w:tcPr>
                <w:tcW w:w="674" w:type="dxa"/>
                <w:tcBorders>
                  <w:top w:val="nil"/>
                  <w:left w:val="nil"/>
                  <w:bottom w:val="nil"/>
                  <w:right w:val="nil"/>
                </w:tcBorders>
                <w:shd w:val="clear" w:color="auto" w:fill="auto"/>
                <w:noWrap/>
                <w:vAlign w:val="bottom"/>
                <w:hideMark/>
              </w:tcPr>
              <w:p w14:paraId="53FFB7F4"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39</w:t>
                </w:r>
              </w:p>
            </w:tc>
            <w:tc>
              <w:tcPr>
                <w:tcW w:w="4405" w:type="dxa"/>
                <w:tcBorders>
                  <w:top w:val="nil"/>
                  <w:left w:val="nil"/>
                  <w:bottom w:val="nil"/>
                  <w:right w:val="nil"/>
                </w:tcBorders>
                <w:shd w:val="clear" w:color="auto" w:fill="auto"/>
                <w:noWrap/>
                <w:vAlign w:val="bottom"/>
                <w:hideMark/>
              </w:tcPr>
              <w:p w14:paraId="1440F106"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The Salvation Army Oasis</w:t>
                </w:r>
              </w:p>
            </w:tc>
          </w:tr>
          <w:tr w:rsidR="00CE4EFF" w:rsidRPr="00326390" w14:paraId="3745B3F1" w14:textId="77777777" w:rsidTr="00B465C5">
            <w:trPr>
              <w:trHeight w:val="300"/>
            </w:trPr>
            <w:tc>
              <w:tcPr>
                <w:tcW w:w="674" w:type="dxa"/>
                <w:tcBorders>
                  <w:top w:val="nil"/>
                  <w:left w:val="nil"/>
                  <w:bottom w:val="nil"/>
                  <w:right w:val="nil"/>
                </w:tcBorders>
                <w:shd w:val="clear" w:color="auto" w:fill="auto"/>
                <w:noWrap/>
                <w:vAlign w:val="bottom"/>
                <w:hideMark/>
              </w:tcPr>
              <w:p w14:paraId="1A553C9D"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59</w:t>
                </w:r>
              </w:p>
            </w:tc>
            <w:tc>
              <w:tcPr>
                <w:tcW w:w="4405" w:type="dxa"/>
                <w:tcBorders>
                  <w:top w:val="nil"/>
                  <w:left w:val="nil"/>
                  <w:bottom w:val="nil"/>
                  <w:right w:val="nil"/>
                </w:tcBorders>
                <w:shd w:val="clear" w:color="auto" w:fill="auto"/>
                <w:noWrap/>
                <w:vAlign w:val="bottom"/>
                <w:hideMark/>
              </w:tcPr>
              <w:p w14:paraId="53030E3A" w14:textId="3F9B484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Torutek</w:t>
                </w:r>
                <w:r>
                  <w:rPr>
                    <w:rFonts w:ascii="Cambria" w:eastAsia="Times New Roman" w:hAnsi="Cambria" w:cs="Calibri"/>
                    <w:color w:val="000000"/>
                    <w:lang w:eastAsia="en-NZ"/>
                  </w:rPr>
                  <w:t xml:space="preserve"> Limited</w:t>
                </w:r>
              </w:p>
            </w:tc>
          </w:tr>
          <w:tr w:rsidR="00CE4EFF" w:rsidRPr="00326390" w14:paraId="2492544D" w14:textId="77777777" w:rsidTr="00B465C5">
            <w:trPr>
              <w:trHeight w:val="300"/>
            </w:trPr>
            <w:tc>
              <w:tcPr>
                <w:tcW w:w="674" w:type="dxa"/>
                <w:tcBorders>
                  <w:top w:val="nil"/>
                  <w:left w:val="nil"/>
                  <w:bottom w:val="nil"/>
                  <w:right w:val="nil"/>
                </w:tcBorders>
                <w:shd w:val="clear" w:color="auto" w:fill="auto"/>
                <w:noWrap/>
                <w:vAlign w:val="bottom"/>
              </w:tcPr>
              <w:p w14:paraId="08AC2446" w14:textId="798FF801"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 xml:space="preserve">C10 </w:t>
                </w:r>
              </w:p>
            </w:tc>
            <w:tc>
              <w:tcPr>
                <w:tcW w:w="4405" w:type="dxa"/>
                <w:tcBorders>
                  <w:top w:val="nil"/>
                  <w:left w:val="nil"/>
                  <w:bottom w:val="nil"/>
                  <w:right w:val="nil"/>
                </w:tcBorders>
                <w:shd w:val="clear" w:color="auto" w:fill="auto"/>
                <w:noWrap/>
                <w:vAlign w:val="bottom"/>
              </w:tcPr>
              <w:p w14:paraId="4EF83EE9" w14:textId="232A477C" w:rsidR="00CE4EFF" w:rsidRPr="00326390" w:rsidRDefault="00CE4EFF" w:rsidP="00CE4EFF">
                <w:pPr>
                  <w:spacing w:after="0" w:line="240" w:lineRule="auto"/>
                  <w:jc w:val="both"/>
                  <w:rPr>
                    <w:rFonts w:ascii="Cambria" w:eastAsia="Times New Roman" w:hAnsi="Cambria" w:cs="Calibri"/>
                    <w:color w:val="000000"/>
                    <w:lang w:eastAsia="en-NZ"/>
                  </w:rPr>
                </w:pPr>
                <w:r w:rsidRPr="006B5D41">
                  <w:rPr>
                    <w:rFonts w:ascii="Cambria" w:eastAsia="Times New Roman" w:hAnsi="Cambria" w:cs="Calibri"/>
                    <w:color w:val="000000"/>
                    <w:lang w:eastAsia="en-NZ"/>
                  </w:rPr>
                  <w:t>Tui Ora</w:t>
                </w:r>
              </w:p>
            </w:tc>
          </w:tr>
          <w:tr w:rsidR="00CE4EFF" w:rsidRPr="00326390" w14:paraId="2201FBA8" w14:textId="77777777" w:rsidTr="00B465C5">
            <w:trPr>
              <w:trHeight w:val="300"/>
            </w:trPr>
            <w:tc>
              <w:tcPr>
                <w:tcW w:w="674" w:type="dxa"/>
                <w:tcBorders>
                  <w:top w:val="nil"/>
                  <w:left w:val="nil"/>
                  <w:bottom w:val="nil"/>
                  <w:right w:val="nil"/>
                </w:tcBorders>
                <w:shd w:val="clear" w:color="auto" w:fill="auto"/>
                <w:noWrap/>
                <w:vAlign w:val="bottom"/>
                <w:hideMark/>
              </w:tcPr>
              <w:p w14:paraId="0814FB79"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2</w:t>
                </w:r>
              </w:p>
            </w:tc>
            <w:tc>
              <w:tcPr>
                <w:tcW w:w="4405" w:type="dxa"/>
                <w:tcBorders>
                  <w:top w:val="nil"/>
                  <w:left w:val="nil"/>
                  <w:bottom w:val="nil"/>
                  <w:right w:val="nil"/>
                </w:tcBorders>
                <w:shd w:val="clear" w:color="auto" w:fill="auto"/>
                <w:noWrap/>
                <w:vAlign w:val="bottom"/>
                <w:hideMark/>
              </w:tcPr>
              <w:p w14:paraId="27FFF90C"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Trillian Trust</w:t>
                </w:r>
              </w:p>
            </w:tc>
          </w:tr>
          <w:tr w:rsidR="00CE4EFF" w:rsidRPr="00326390" w14:paraId="0800B63C" w14:textId="77777777" w:rsidTr="00B465C5">
            <w:trPr>
              <w:trHeight w:val="300"/>
            </w:trPr>
            <w:tc>
              <w:tcPr>
                <w:tcW w:w="674" w:type="dxa"/>
                <w:tcBorders>
                  <w:top w:val="nil"/>
                  <w:left w:val="nil"/>
                  <w:bottom w:val="nil"/>
                  <w:right w:val="nil"/>
                </w:tcBorders>
                <w:shd w:val="clear" w:color="auto" w:fill="auto"/>
                <w:noWrap/>
                <w:vAlign w:val="bottom"/>
                <w:hideMark/>
              </w:tcPr>
              <w:p w14:paraId="41201BA5"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6</w:t>
                </w:r>
              </w:p>
            </w:tc>
            <w:tc>
              <w:tcPr>
                <w:tcW w:w="4405" w:type="dxa"/>
                <w:tcBorders>
                  <w:top w:val="nil"/>
                  <w:left w:val="nil"/>
                  <w:bottom w:val="nil"/>
                  <w:right w:val="nil"/>
                </w:tcBorders>
                <w:shd w:val="clear" w:color="auto" w:fill="auto"/>
                <w:noWrap/>
                <w:vAlign w:val="bottom"/>
                <w:hideMark/>
              </w:tcPr>
              <w:p w14:paraId="07D16AF4" w14:textId="19E1711E"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 xml:space="preserve">Trust House </w:t>
                </w:r>
                <w:r>
                  <w:rPr>
                    <w:rFonts w:ascii="Cambria" w:eastAsia="Times New Roman" w:hAnsi="Cambria" w:cs="Calibri"/>
                    <w:color w:val="000000"/>
                    <w:lang w:eastAsia="en-NZ"/>
                  </w:rPr>
                  <w:t>Foundation</w:t>
                </w:r>
              </w:p>
            </w:tc>
          </w:tr>
          <w:tr w:rsidR="00CE4EFF" w:rsidRPr="00326390" w14:paraId="10801F34" w14:textId="77777777" w:rsidTr="00B465C5">
            <w:trPr>
              <w:trHeight w:val="300"/>
            </w:trPr>
            <w:tc>
              <w:tcPr>
                <w:tcW w:w="674" w:type="dxa"/>
                <w:tcBorders>
                  <w:top w:val="nil"/>
                  <w:left w:val="nil"/>
                  <w:bottom w:val="nil"/>
                  <w:right w:val="nil"/>
                </w:tcBorders>
                <w:shd w:val="clear" w:color="auto" w:fill="auto"/>
                <w:noWrap/>
                <w:vAlign w:val="bottom"/>
                <w:hideMark/>
              </w:tcPr>
              <w:p w14:paraId="1E5BD9FD"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24</w:t>
                </w:r>
              </w:p>
            </w:tc>
            <w:tc>
              <w:tcPr>
                <w:tcW w:w="4405" w:type="dxa"/>
                <w:tcBorders>
                  <w:top w:val="nil"/>
                  <w:left w:val="nil"/>
                  <w:bottom w:val="nil"/>
                  <w:right w:val="nil"/>
                </w:tcBorders>
                <w:shd w:val="clear" w:color="auto" w:fill="auto"/>
                <w:noWrap/>
                <w:vAlign w:val="bottom"/>
                <w:hideMark/>
              </w:tcPr>
              <w:p w14:paraId="44C68F9C"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Waikato DHB</w:t>
                </w:r>
              </w:p>
            </w:tc>
          </w:tr>
          <w:tr w:rsidR="00CE4EFF" w:rsidRPr="00326390" w14:paraId="7D45A06D" w14:textId="77777777" w:rsidTr="00B465C5">
            <w:trPr>
              <w:trHeight w:val="300"/>
            </w:trPr>
            <w:tc>
              <w:tcPr>
                <w:tcW w:w="674" w:type="dxa"/>
                <w:tcBorders>
                  <w:top w:val="nil"/>
                  <w:left w:val="nil"/>
                  <w:bottom w:val="nil"/>
                  <w:right w:val="nil"/>
                </w:tcBorders>
                <w:shd w:val="clear" w:color="auto" w:fill="auto"/>
                <w:noWrap/>
                <w:vAlign w:val="bottom"/>
                <w:hideMark/>
              </w:tcPr>
              <w:p w14:paraId="1E39C4F7"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23</w:t>
                </w:r>
              </w:p>
            </w:tc>
            <w:tc>
              <w:tcPr>
                <w:tcW w:w="4405" w:type="dxa"/>
                <w:tcBorders>
                  <w:top w:val="nil"/>
                  <w:left w:val="nil"/>
                  <w:bottom w:val="nil"/>
                  <w:right w:val="nil"/>
                </w:tcBorders>
                <w:shd w:val="clear" w:color="auto" w:fill="auto"/>
                <w:noWrap/>
                <w:vAlign w:val="bottom"/>
                <w:hideMark/>
              </w:tcPr>
              <w:p w14:paraId="2945FE9D"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Wellington City Council</w:t>
                </w:r>
              </w:p>
            </w:tc>
          </w:tr>
          <w:tr w:rsidR="00CE4EFF" w:rsidRPr="00326390" w14:paraId="21E58C9D" w14:textId="77777777" w:rsidTr="00B465C5">
            <w:trPr>
              <w:trHeight w:val="300"/>
            </w:trPr>
            <w:tc>
              <w:tcPr>
                <w:tcW w:w="674" w:type="dxa"/>
                <w:tcBorders>
                  <w:top w:val="nil"/>
                  <w:left w:val="nil"/>
                  <w:bottom w:val="nil"/>
                  <w:right w:val="nil"/>
                </w:tcBorders>
                <w:shd w:val="clear" w:color="auto" w:fill="auto"/>
                <w:noWrap/>
                <w:vAlign w:val="bottom"/>
                <w:hideMark/>
              </w:tcPr>
              <w:p w14:paraId="73287C2B"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25</w:t>
                </w:r>
              </w:p>
            </w:tc>
            <w:tc>
              <w:tcPr>
                <w:tcW w:w="4405" w:type="dxa"/>
                <w:tcBorders>
                  <w:top w:val="nil"/>
                  <w:left w:val="nil"/>
                  <w:bottom w:val="nil"/>
                  <w:right w:val="nil"/>
                </w:tcBorders>
                <w:shd w:val="clear" w:color="auto" w:fill="auto"/>
                <w:noWrap/>
                <w:vAlign w:val="bottom"/>
                <w:hideMark/>
              </w:tcPr>
              <w:p w14:paraId="73306026"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Whakatāne District Council</w:t>
                </w:r>
              </w:p>
            </w:tc>
          </w:tr>
          <w:tr w:rsidR="00CE4EFF" w:rsidRPr="00326390" w14:paraId="4A308115" w14:textId="77777777" w:rsidTr="00B465C5">
            <w:trPr>
              <w:trHeight w:val="300"/>
            </w:trPr>
            <w:tc>
              <w:tcPr>
                <w:tcW w:w="674" w:type="dxa"/>
                <w:tcBorders>
                  <w:top w:val="nil"/>
                  <w:left w:val="nil"/>
                  <w:bottom w:val="nil"/>
                  <w:right w:val="nil"/>
                </w:tcBorders>
                <w:shd w:val="clear" w:color="auto" w:fill="auto"/>
                <w:noWrap/>
                <w:vAlign w:val="bottom"/>
                <w:hideMark/>
              </w:tcPr>
              <w:p w14:paraId="7E5031C8"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36</w:t>
                </w:r>
              </w:p>
            </w:tc>
            <w:tc>
              <w:tcPr>
                <w:tcW w:w="4405" w:type="dxa"/>
                <w:tcBorders>
                  <w:top w:val="nil"/>
                  <w:left w:val="nil"/>
                  <w:bottom w:val="nil"/>
                  <w:right w:val="nil"/>
                </w:tcBorders>
                <w:shd w:val="clear" w:color="auto" w:fill="auto"/>
                <w:noWrap/>
                <w:vAlign w:val="bottom"/>
                <w:hideMark/>
              </w:tcPr>
              <w:p w14:paraId="6592C22F"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Whanganui DHB</w:t>
                </w:r>
              </w:p>
            </w:tc>
          </w:tr>
          <w:tr w:rsidR="00CE4EFF" w:rsidRPr="00326390" w14:paraId="2612C2A2" w14:textId="77777777" w:rsidTr="00B465C5">
            <w:trPr>
              <w:trHeight w:val="300"/>
            </w:trPr>
            <w:tc>
              <w:tcPr>
                <w:tcW w:w="674" w:type="dxa"/>
                <w:tcBorders>
                  <w:top w:val="nil"/>
                  <w:left w:val="nil"/>
                  <w:bottom w:val="nil"/>
                  <w:right w:val="nil"/>
                </w:tcBorders>
                <w:shd w:val="clear" w:color="auto" w:fill="auto"/>
                <w:noWrap/>
                <w:vAlign w:val="bottom"/>
                <w:hideMark/>
              </w:tcPr>
              <w:p w14:paraId="41D4CDB5" w14:textId="77777777" w:rsidR="00CE4EFF" w:rsidRPr="00326390" w:rsidRDefault="00CE4EFF" w:rsidP="00CE4EFF">
                <w:pPr>
                  <w:spacing w:after="0" w:line="240" w:lineRule="auto"/>
                  <w:jc w:val="right"/>
                  <w:rPr>
                    <w:rFonts w:ascii="Calibri" w:eastAsia="Times New Roman" w:hAnsi="Calibri" w:cs="Calibri"/>
                    <w:color w:val="000000"/>
                    <w:lang w:eastAsia="en-NZ"/>
                  </w:rPr>
                </w:pPr>
                <w:r w:rsidRPr="00326390">
                  <w:rPr>
                    <w:rFonts w:ascii="Calibri" w:eastAsia="Times New Roman" w:hAnsi="Calibri" w:cs="Calibri"/>
                    <w:color w:val="000000"/>
                    <w:lang w:eastAsia="en-NZ"/>
                  </w:rPr>
                  <w:t>31</w:t>
                </w:r>
              </w:p>
            </w:tc>
            <w:tc>
              <w:tcPr>
                <w:tcW w:w="4405" w:type="dxa"/>
                <w:tcBorders>
                  <w:top w:val="nil"/>
                  <w:left w:val="nil"/>
                  <w:bottom w:val="nil"/>
                  <w:right w:val="nil"/>
                </w:tcBorders>
                <w:shd w:val="clear" w:color="auto" w:fill="auto"/>
                <w:noWrap/>
                <w:vAlign w:val="bottom"/>
                <w:hideMark/>
              </w:tcPr>
              <w:p w14:paraId="1BE472BF" w14:textId="77777777" w:rsidR="00CE4EFF" w:rsidRPr="00326390" w:rsidRDefault="00CE4EFF" w:rsidP="00CE4EFF">
                <w:pPr>
                  <w:spacing w:after="0" w:line="240" w:lineRule="auto"/>
                  <w:jc w:val="both"/>
                  <w:rPr>
                    <w:rFonts w:ascii="Cambria" w:eastAsia="Times New Roman" w:hAnsi="Cambria" w:cs="Calibri"/>
                    <w:color w:val="000000"/>
                    <w:lang w:eastAsia="en-NZ"/>
                  </w:rPr>
                </w:pPr>
                <w:r w:rsidRPr="00326390">
                  <w:rPr>
                    <w:rFonts w:ascii="Cambria" w:eastAsia="Times New Roman" w:hAnsi="Cambria" w:cs="Calibri"/>
                    <w:color w:val="000000"/>
                    <w:lang w:eastAsia="en-NZ"/>
                  </w:rPr>
                  <w:t>Whanganui District Council</w:t>
                </w:r>
              </w:p>
            </w:tc>
          </w:tr>
        </w:tbl>
        <w:p w14:paraId="37711331" w14:textId="77777777" w:rsidR="001174A3" w:rsidRPr="00E83431" w:rsidRDefault="001174A3" w:rsidP="00E83431">
          <w:pPr>
            <w:pStyle w:val="BodyText"/>
          </w:pPr>
        </w:p>
        <w:p w14:paraId="1B458DB3" w14:textId="77777777" w:rsidR="001174A3" w:rsidRDefault="001174A3" w:rsidP="007B3E5F">
          <w:pPr>
            <w:pStyle w:val="Heading1"/>
            <w:sectPr w:rsidR="001174A3" w:rsidSect="008D0808">
              <w:pgSz w:w="11907" w:h="16839" w:code="9"/>
              <w:pgMar w:top="1134" w:right="1275" w:bottom="1418" w:left="1418" w:header="964" w:footer="964" w:gutter="0"/>
              <w:cols w:num="2" w:space="708"/>
              <w:docGrid w:linePitch="360"/>
            </w:sectPr>
          </w:pPr>
        </w:p>
        <w:p w14:paraId="7002F446" w14:textId="04285B5C" w:rsidR="001E7CB3" w:rsidRPr="009E7223" w:rsidRDefault="00115EDF" w:rsidP="007B3E5F">
          <w:pPr>
            <w:pStyle w:val="Heading1"/>
          </w:pPr>
          <w:bookmarkStart w:id="184" w:name="_Toc531098260"/>
          <w:r w:rsidRPr="009E7223">
            <w:lastRenderedPageBreak/>
            <w:t xml:space="preserve">Appendix B – </w:t>
          </w:r>
          <w:r w:rsidR="007B3E5F" w:rsidRPr="009E7223">
            <w:t>Consultation Questions</w:t>
          </w:r>
          <w:bookmarkEnd w:id="184"/>
        </w:p>
        <w:p w14:paraId="645F4E6D" w14:textId="586F8256" w:rsidR="001E7CB3" w:rsidRPr="009E7223" w:rsidRDefault="001E7CB3" w:rsidP="007B3E5F">
          <w:pPr>
            <w:pStyle w:val="Heading3-NOTinTOC"/>
          </w:pPr>
          <w:r w:rsidRPr="009E7223">
            <w:t>Strategic direction</w:t>
          </w:r>
        </w:p>
        <w:p w14:paraId="34D7787E" w14:textId="7422A438" w:rsidR="001C37E2" w:rsidRPr="009E7223" w:rsidRDefault="001C37E2" w:rsidP="00D87202">
          <w:pPr>
            <w:pStyle w:val="List-AlphanumericLvl1"/>
            <w:numPr>
              <w:ilvl w:val="0"/>
              <w:numId w:val="13"/>
            </w:numPr>
          </w:pPr>
          <w:r w:rsidRPr="009E7223">
            <w:t xml:space="preserve">Do you support the strategic direction outlined in the proposed strategy? </w:t>
          </w:r>
        </w:p>
        <w:p w14:paraId="218C3219" w14:textId="78E3302C" w:rsidR="001C37E2" w:rsidRPr="009E7223" w:rsidRDefault="001C37E2" w:rsidP="00D87202">
          <w:pPr>
            <w:pStyle w:val="List-AlphanumericLvl1"/>
            <w:numPr>
              <w:ilvl w:val="0"/>
              <w:numId w:val="13"/>
            </w:numPr>
          </w:pPr>
          <w:r w:rsidRPr="009E7223">
            <w:t xml:space="preserve">Does the draft strategic plan adequately reflect changes in the gambling environment? </w:t>
          </w:r>
        </w:p>
        <w:p w14:paraId="3EBBFBF9" w14:textId="35C69D06" w:rsidR="001C37E2" w:rsidRPr="009E7223" w:rsidRDefault="001C37E2" w:rsidP="00D87202">
          <w:pPr>
            <w:pStyle w:val="List-AlphanumericLvl1"/>
            <w:numPr>
              <w:ilvl w:val="0"/>
              <w:numId w:val="13"/>
            </w:numPr>
          </w:pPr>
          <w:r w:rsidRPr="009E7223">
            <w:t xml:space="preserve">Are there any objectives or priority actions that you feel are more important or less important than the others? </w:t>
          </w:r>
        </w:p>
        <w:p w14:paraId="2D6C79FC" w14:textId="598A8946" w:rsidR="001C37E2" w:rsidRPr="009E7223" w:rsidRDefault="001C37E2" w:rsidP="00D87202">
          <w:pPr>
            <w:pStyle w:val="List-AlphanumericLvl1"/>
            <w:numPr>
              <w:ilvl w:val="0"/>
              <w:numId w:val="13"/>
            </w:numPr>
          </w:pPr>
          <w:r w:rsidRPr="009E7223">
            <w:t xml:space="preserve">Do you think the inclusion of the priority actions to reduce inequality and inequity in Objectives 9 and 10 will help reduce gambling harm for the groups identified? </w:t>
          </w:r>
        </w:p>
        <w:p w14:paraId="35CA7119" w14:textId="48E7F8CE" w:rsidR="001C37E2" w:rsidRPr="009E7223" w:rsidRDefault="001E7CB3" w:rsidP="00D87202">
          <w:pPr>
            <w:pStyle w:val="List-AlphanumericLvl1"/>
            <w:numPr>
              <w:ilvl w:val="0"/>
              <w:numId w:val="13"/>
            </w:numPr>
          </w:pPr>
          <w:r w:rsidRPr="009E7223">
            <w:t xml:space="preserve">Are there other actions to prevent and minimise gambling harm that should be included as priority actions? </w:t>
          </w:r>
        </w:p>
        <w:p w14:paraId="69E7ABAC" w14:textId="421A5BBE" w:rsidR="001E7CB3" w:rsidRPr="009E7223" w:rsidRDefault="001E7CB3" w:rsidP="007B3E5F">
          <w:pPr>
            <w:pStyle w:val="Heading3-NOTinTOC"/>
          </w:pPr>
          <w:r w:rsidRPr="009E7223">
            <w:t xml:space="preserve">Service plan and funding </w:t>
          </w:r>
        </w:p>
        <w:p w14:paraId="2717A8F4" w14:textId="29C53BD5" w:rsidR="001E7CB3" w:rsidRPr="009E7223" w:rsidRDefault="001E7CB3" w:rsidP="00D87202">
          <w:pPr>
            <w:pStyle w:val="List-AlphanumericLvl1"/>
            <w:numPr>
              <w:ilvl w:val="0"/>
              <w:numId w:val="13"/>
            </w:numPr>
          </w:pPr>
          <w:r w:rsidRPr="009E7223">
            <w:t xml:space="preserve">Does the draft service plan adequately cover what it needs to cover, for example, does it include the right types of services and activities? </w:t>
          </w:r>
        </w:p>
        <w:p w14:paraId="489DD032" w14:textId="77777777" w:rsidR="001E7CB3" w:rsidRPr="009E7223" w:rsidRDefault="001E7CB3" w:rsidP="00D87202">
          <w:pPr>
            <w:pStyle w:val="List-AlphanumericLvl1"/>
            <w:numPr>
              <w:ilvl w:val="0"/>
              <w:numId w:val="13"/>
            </w:numPr>
          </w:pPr>
          <w:r w:rsidRPr="009E7223">
            <w:t>Does the draft service plan provide the right mix of activities (public health, intervention and research/evaluation) including line item activities in tables 14-17?</w:t>
          </w:r>
        </w:p>
        <w:p w14:paraId="7BC7BD63" w14:textId="77777777" w:rsidR="001E7CB3" w:rsidRPr="009E7223" w:rsidRDefault="001E7CB3" w:rsidP="00D87202">
          <w:pPr>
            <w:pStyle w:val="List-AlphanumericLvl1"/>
            <w:numPr>
              <w:ilvl w:val="0"/>
              <w:numId w:val="13"/>
            </w:numPr>
          </w:pPr>
          <w:r w:rsidRPr="009E7223">
            <w:t>Which research and evaluation areas/items listed in the proposed strategy in Section 3.7 and Appendix 1 do you consider to be a high priority or a low priority? Please explain why.</w:t>
          </w:r>
        </w:p>
        <w:p w14:paraId="7BDB1250" w14:textId="77777777" w:rsidR="001E7CB3" w:rsidRPr="009E7223" w:rsidRDefault="001E7CB3" w:rsidP="00D87202">
          <w:pPr>
            <w:pStyle w:val="List-AlphanumericLvl1"/>
            <w:numPr>
              <w:ilvl w:val="0"/>
              <w:numId w:val="13"/>
            </w:numPr>
          </w:pPr>
          <w:r w:rsidRPr="009E7223">
            <w:t xml:space="preserve">Do you think the total indicative funding appropriation ($55.339 million over three years) proposed in the draft service plan is appropriate? </w:t>
          </w:r>
        </w:p>
        <w:p w14:paraId="626434C5" w14:textId="3C10923F" w:rsidR="001E7CB3" w:rsidRPr="009E7223" w:rsidRDefault="001E7CB3" w:rsidP="00D87202">
          <w:pPr>
            <w:pStyle w:val="List-AlphanumericLvl1"/>
            <w:numPr>
              <w:ilvl w:val="0"/>
              <w:numId w:val="13"/>
            </w:numPr>
          </w:pPr>
          <w:r w:rsidRPr="009E7223">
            <w:t>Do you think that the service plan would be more effective if some funding amounts allocated in Tables 14–17 were shifted from one budget line item or service area to another? This may include proposing the Ministry stop funding some activities or should fund something not already covered in the proposals.</w:t>
          </w:r>
        </w:p>
        <w:p w14:paraId="62C75F83" w14:textId="0AB0F921" w:rsidR="001E7CB3" w:rsidRPr="009E7223" w:rsidRDefault="001E7CB3" w:rsidP="007B3E5F">
          <w:pPr>
            <w:pStyle w:val="Heading3-NOTinTOC"/>
          </w:pPr>
          <w:r w:rsidRPr="009E7223">
            <w:t>Levy formula and levy rates</w:t>
          </w:r>
        </w:p>
        <w:p w14:paraId="7B13FF94" w14:textId="77777777" w:rsidR="001E7CB3" w:rsidRPr="009E7223" w:rsidRDefault="001E7CB3" w:rsidP="00D87202">
          <w:pPr>
            <w:pStyle w:val="List-AlphanumericLvl1"/>
            <w:numPr>
              <w:ilvl w:val="0"/>
              <w:numId w:val="13"/>
            </w:numPr>
          </w:pPr>
          <w:r w:rsidRPr="009E7223">
            <w:t>Are the player expenditure forecasts for each gambling sector (D) realistic?</w:t>
          </w:r>
        </w:p>
        <w:p w14:paraId="223FE3EA" w14:textId="77777777" w:rsidR="001E7CB3" w:rsidRPr="009E7223" w:rsidRDefault="001E7CB3" w:rsidP="00D87202">
          <w:pPr>
            <w:pStyle w:val="List-AlphanumericLvl1"/>
            <w:numPr>
              <w:ilvl w:val="0"/>
              <w:numId w:val="13"/>
            </w:numPr>
          </w:pPr>
          <w:r w:rsidRPr="009E7223">
            <w:t xml:space="preserve">Are there realistic pairs of expenditure/presentation weightings (W1 and W2) other than those discussed in this consultation document? </w:t>
          </w:r>
        </w:p>
        <w:p w14:paraId="56CEF5DF" w14:textId="77777777" w:rsidR="001E7CB3" w:rsidRPr="009E7223" w:rsidRDefault="001E7CB3" w:rsidP="00D87202">
          <w:pPr>
            <w:pStyle w:val="List-AlphanumericLvl1"/>
            <w:numPr>
              <w:ilvl w:val="0"/>
              <w:numId w:val="13"/>
            </w:numPr>
          </w:pPr>
          <w:r w:rsidRPr="009E7223">
            <w:t>Which pair of weighting options for W1 and W2 do you prefer, if any, and why? Please keep in mind that the levy weighting options only affect the proportion of levy to be paid by each gambling sector and do not affect the total amount of the levy.</w:t>
          </w:r>
        </w:p>
        <w:p w14:paraId="081756FC" w14:textId="42521E49" w:rsidR="001E7CB3" w:rsidRPr="009E7223" w:rsidRDefault="001E7CB3" w:rsidP="00D87202">
          <w:pPr>
            <w:pStyle w:val="List-AlphanumericLvl1"/>
            <w:numPr>
              <w:ilvl w:val="0"/>
              <w:numId w:val="13"/>
            </w:numPr>
          </w:pPr>
          <w:r w:rsidRPr="009E7223">
            <w:t>Do you have any comment on the estimated levy rates for each sector, keeping in mind that the levy formula itself is set out in legislation and is not under consideration in this consultation?</w:t>
          </w:r>
        </w:p>
        <w:p w14:paraId="52BDB244" w14:textId="4FD557CC" w:rsidR="001E7CB3" w:rsidRPr="009E7223" w:rsidRDefault="001E7CB3" w:rsidP="007B3E5F">
          <w:pPr>
            <w:pStyle w:val="Heading3-NOTinTOC"/>
          </w:pPr>
          <w:r w:rsidRPr="009E7223">
            <w:t>Policy in relation to electronic gaming machines (NCGMs) and the levy formula</w:t>
          </w:r>
        </w:p>
        <w:p w14:paraId="1282DB1E" w14:textId="4FE355ED" w:rsidR="001E7CB3" w:rsidRPr="009E7223" w:rsidRDefault="001E7CB3" w:rsidP="00D87202">
          <w:pPr>
            <w:pStyle w:val="Number"/>
            <w:numPr>
              <w:ilvl w:val="0"/>
              <w:numId w:val="14"/>
            </w:numPr>
            <w:spacing w:before="180" w:after="120" w:line="264" w:lineRule="auto"/>
            <w:ind w:hanging="720"/>
            <w:rPr>
              <w:rFonts w:asciiTheme="minorHAnsi" w:hAnsiTheme="minorHAnsi"/>
              <w:szCs w:val="22"/>
            </w:rPr>
          </w:pPr>
          <w:r w:rsidRPr="009E7223">
            <w:rPr>
              <w:rFonts w:asciiTheme="minorHAnsi" w:hAnsiTheme="minorHAnsi"/>
              <w:szCs w:val="22"/>
            </w:rPr>
            <w:t>Do you think operators of class 4 NCGM venues should be incentivised to move from lower socioeconomic areas to higher socioeconomic areas?</w:t>
          </w:r>
        </w:p>
        <w:p w14:paraId="5F6442AE" w14:textId="46FA4552" w:rsidR="001E7CB3" w:rsidRPr="009E7223" w:rsidRDefault="001E7CB3" w:rsidP="00D87202">
          <w:pPr>
            <w:pStyle w:val="Number"/>
            <w:numPr>
              <w:ilvl w:val="0"/>
              <w:numId w:val="14"/>
            </w:numPr>
            <w:spacing w:before="180" w:after="120" w:line="264" w:lineRule="auto"/>
            <w:ind w:hanging="720"/>
            <w:rPr>
              <w:rFonts w:asciiTheme="minorHAnsi" w:hAnsiTheme="minorHAnsi"/>
              <w:szCs w:val="22"/>
            </w:rPr>
          </w:pPr>
          <w:r w:rsidRPr="009E7223">
            <w:rPr>
              <w:rFonts w:asciiTheme="minorHAnsi" w:hAnsiTheme="minorHAnsi"/>
              <w:szCs w:val="22"/>
            </w:rPr>
            <w:t>What barriers, if any, do you think currently exist to moving class 4 gambling venues out of lower socioeconomic areas?</w:t>
          </w:r>
        </w:p>
        <w:p w14:paraId="6DE30E28" w14:textId="47389EE2" w:rsidR="001E7CB3" w:rsidRPr="009E7223" w:rsidRDefault="001E7CB3" w:rsidP="00D87202">
          <w:pPr>
            <w:pStyle w:val="Number"/>
            <w:numPr>
              <w:ilvl w:val="0"/>
              <w:numId w:val="14"/>
            </w:numPr>
            <w:spacing w:before="180" w:after="120" w:line="264" w:lineRule="auto"/>
            <w:ind w:hanging="720"/>
            <w:rPr>
              <w:rFonts w:asciiTheme="minorHAnsi" w:hAnsiTheme="minorHAnsi"/>
              <w:szCs w:val="22"/>
            </w:rPr>
          </w:pPr>
          <w:r w:rsidRPr="009E7223">
            <w:rPr>
              <w:rFonts w:asciiTheme="minorHAnsi" w:hAnsiTheme="minorHAnsi"/>
              <w:szCs w:val="22"/>
            </w:rPr>
            <w:lastRenderedPageBreak/>
            <w:t>If barriers do exist, how do you think venues can be incentivised to move?</w:t>
          </w:r>
        </w:p>
        <w:p w14:paraId="23BC2F4B" w14:textId="4696073F" w:rsidR="001E7CB3" w:rsidRPr="009E7223" w:rsidRDefault="001E7CB3" w:rsidP="00D87202">
          <w:pPr>
            <w:pStyle w:val="Number"/>
            <w:numPr>
              <w:ilvl w:val="0"/>
              <w:numId w:val="14"/>
            </w:numPr>
            <w:spacing w:before="120" w:after="60" w:line="264" w:lineRule="auto"/>
            <w:ind w:hanging="720"/>
            <w:rPr>
              <w:rFonts w:asciiTheme="minorHAnsi" w:hAnsiTheme="minorHAnsi"/>
              <w:szCs w:val="22"/>
            </w:rPr>
          </w:pPr>
          <w:r w:rsidRPr="009E7223">
            <w:rPr>
              <w:rFonts w:asciiTheme="minorHAnsi" w:hAnsiTheme="minorHAnsi"/>
              <w:szCs w:val="22"/>
            </w:rPr>
            <w:t>Does the current formula provide a reasonable way to reflect the relative harm caused by each gambling sector? If no, what sort of formula would better reflect the relative harm caused by each sector? Please explain what changes should be made and indicate if there are any additional elements that you think should be included in the formula and/or whether any of the current elements should be removed from the formula.</w:t>
          </w:r>
        </w:p>
        <w:p w14:paraId="04A0E970" w14:textId="7DA0FF29" w:rsidR="001E7CB3" w:rsidRPr="009E7223" w:rsidRDefault="001E7CB3" w:rsidP="007B3E5F">
          <w:pPr>
            <w:pStyle w:val="Heading3-NOTinTOC"/>
          </w:pPr>
          <w:r w:rsidRPr="009E7223">
            <w:t>Anything else?</w:t>
          </w:r>
        </w:p>
        <w:p w14:paraId="2A2A0190" w14:textId="3D146837" w:rsidR="005B31DA" w:rsidRPr="00723291" w:rsidRDefault="001E7CB3" w:rsidP="00723291">
          <w:pPr>
            <w:pStyle w:val="List-AlphanumericLvl1"/>
            <w:numPr>
              <w:ilvl w:val="0"/>
              <w:numId w:val="0"/>
            </w:numPr>
            <w:spacing w:before="180" w:line="264" w:lineRule="auto"/>
            <w:rPr>
              <w:rFonts w:asciiTheme="majorHAnsi" w:hAnsiTheme="majorHAnsi"/>
              <w:b/>
              <w:sz w:val="28"/>
            </w:rPr>
            <w:sectPr w:rsidR="005B31DA" w:rsidRPr="00723291" w:rsidSect="008D0808">
              <w:pgSz w:w="11907" w:h="16839" w:code="9"/>
              <w:pgMar w:top="1134" w:right="1275" w:bottom="1418" w:left="1418" w:header="964" w:footer="964" w:gutter="0"/>
              <w:cols w:space="708"/>
              <w:docGrid w:linePitch="360"/>
            </w:sectPr>
          </w:pPr>
          <w:r w:rsidRPr="009E7223">
            <w:t>Is there anything else you would like to tell us about the draft strategy or preventing and minimising gambling harm more generally?</w:t>
          </w:r>
        </w:p>
      </w:sdtContent>
    </w:sdt>
    <w:p w14:paraId="288AC370" w14:textId="77777777" w:rsidR="00453470" w:rsidRPr="009E7223" w:rsidRDefault="00453470" w:rsidP="00D64DC3">
      <w:pPr>
        <w:pStyle w:val="BodyText"/>
      </w:pPr>
    </w:p>
    <w:sectPr w:rsidR="00453470" w:rsidRPr="009E7223" w:rsidSect="002836DD">
      <w:headerReference w:type="even" r:id="rId23"/>
      <w:headerReference w:type="default" r:id="rId24"/>
      <w:footerReference w:type="even" r:id="rId25"/>
      <w:headerReference w:type="first" r:id="rId26"/>
      <w:pgSz w:w="11907" w:h="16839" w:code="9"/>
      <w:pgMar w:top="1418" w:right="1418" w:bottom="1418" w:left="1418" w:header="964"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D7BEE" w14:textId="77777777" w:rsidR="00723291" w:rsidRDefault="00723291" w:rsidP="005839ED">
      <w:r>
        <w:separator/>
      </w:r>
    </w:p>
    <w:p w14:paraId="3AB82E6E" w14:textId="77777777" w:rsidR="00723291" w:rsidRDefault="00723291"/>
  </w:endnote>
  <w:endnote w:type="continuationSeparator" w:id="0">
    <w:p w14:paraId="35E6CA70" w14:textId="77777777" w:rsidR="00723291" w:rsidRDefault="00723291" w:rsidP="005839ED">
      <w:r>
        <w:continuationSeparator/>
      </w:r>
    </w:p>
    <w:p w14:paraId="71F106EC" w14:textId="77777777" w:rsidR="00723291" w:rsidRDefault="00723291"/>
  </w:endnote>
  <w:endnote w:type="continuationNotice" w:id="1">
    <w:p w14:paraId="08EF0286" w14:textId="77777777" w:rsidR="00723291" w:rsidRDefault="007232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xusMixPro-Bold">
    <w:altName w:val="Times New Roman"/>
    <w:panose1 w:val="00000000000000000000"/>
    <w:charset w:val="00"/>
    <w:family w:val="modern"/>
    <w:notTrueType/>
    <w:pitch w:val="variable"/>
    <w:sig w:usb0="A00000AF" w:usb1="4000E07B" w:usb2="00000000" w:usb3="00000000" w:csb0="00000093" w:csb1="00000000"/>
  </w:font>
  <w:font w:name="AvenirLTStd-Book">
    <w:altName w:val="Avenir LT Std 45 Book"/>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310259"/>
      <w:docPartObj>
        <w:docPartGallery w:val="Page Numbers (Bottom of Page)"/>
        <w:docPartUnique/>
      </w:docPartObj>
    </w:sdtPr>
    <w:sdtEndPr>
      <w:rPr>
        <w:noProof/>
      </w:rPr>
    </w:sdtEndPr>
    <w:sdtContent>
      <w:p w14:paraId="375761F3" w14:textId="17090631" w:rsidR="00723291" w:rsidRPr="002F3AE5" w:rsidRDefault="00723291" w:rsidP="0066715F">
        <w:pPr>
          <w:pStyle w:val="Footer"/>
          <w:jc w:val="right"/>
        </w:pPr>
        <w:r>
          <w:fldChar w:fldCharType="begin"/>
        </w:r>
        <w:r>
          <w:instrText xml:space="preserve"> PAGE   \* MERGEFORMAT </w:instrText>
        </w:r>
        <w:r>
          <w:fldChar w:fldCharType="separate"/>
        </w:r>
        <w:r>
          <w:rPr>
            <w:noProof/>
          </w:rPr>
          <w:t>72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293357"/>
      <w:docPartObj>
        <w:docPartGallery w:val="Page Numbers (Bottom of Page)"/>
        <w:docPartUnique/>
      </w:docPartObj>
    </w:sdtPr>
    <w:sdtEndPr>
      <w:rPr>
        <w:noProof/>
      </w:rPr>
    </w:sdtEndPr>
    <w:sdtContent>
      <w:p w14:paraId="06EC8D95" w14:textId="77777777" w:rsidR="00723291" w:rsidRDefault="00723291" w:rsidP="00130B64">
        <w:pPr>
          <w:pStyle w:val="Footer"/>
          <w:jc w:val="right"/>
        </w:pPr>
        <w:r>
          <w:fldChar w:fldCharType="begin"/>
        </w:r>
        <w:r>
          <w:instrText xml:space="preserve"> PAGE   \* MERGEFORMAT </w:instrText>
        </w:r>
        <w:r>
          <w:fldChar w:fldCharType="separate"/>
        </w:r>
        <w:r w:rsidR="00D16F86">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3D599" w14:textId="77777777" w:rsidR="00723291" w:rsidRDefault="007232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B95D6" w14:textId="77777777" w:rsidR="00723291" w:rsidRDefault="00723291" w:rsidP="00EC2A6D">
    <w:pPr>
      <w:pStyle w:val="Footer"/>
    </w:pPr>
  </w:p>
  <w:p w14:paraId="26102576" w14:textId="77777777" w:rsidR="00723291" w:rsidRPr="00EC2A6D" w:rsidRDefault="00723291" w:rsidP="00EC2A6D">
    <w:pPr>
      <w:pStyle w:val="Footer-EvenPg"/>
      <w:pBdr>
        <w:top w:val="single" w:sz="4" w:space="1" w:color="77B800" w:themeColor="background2"/>
      </w:pBdr>
    </w:pPr>
    <w:r w:rsidRPr="00724798">
      <w:fldChar w:fldCharType="begin"/>
    </w:r>
    <w:r w:rsidRPr="00724798">
      <w:instrText xml:space="preserve"> PAGE  \* Arabic  \* MERGEFORMAT </w:instrText>
    </w:r>
    <w:r w:rsidRPr="00724798">
      <w:fldChar w:fldCharType="separate"/>
    </w:r>
    <w:r>
      <w:rPr>
        <w:noProof/>
      </w:rPr>
      <w:t>90</w:t>
    </w:r>
    <w:r w:rsidRPr="00724798">
      <w:fldChar w:fldCharType="end"/>
    </w:r>
    <w:r w:rsidRPr="00724798">
      <w:rPr>
        <w:noProof/>
        <w:lang w:eastAsia="en-NZ"/>
      </w:rPr>
      <w:drawing>
        <wp:anchor distT="0" distB="0" distL="114300" distR="114300" simplePos="0" relativeHeight="251659264" behindDoc="1" locked="1" layoutInCell="1" allowOverlap="1" wp14:anchorId="0BFE0511" wp14:editId="2B151D77">
          <wp:simplePos x="0" y="0"/>
          <wp:positionH relativeFrom="page">
            <wp:posOffset>3060700</wp:posOffset>
          </wp:positionH>
          <wp:positionV relativeFrom="bottomMargin">
            <wp:posOffset>360045</wp:posOffset>
          </wp:positionV>
          <wp:extent cx="1443600" cy="3276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Logo.jpg"/>
                  <pic:cNvPicPr/>
                </pic:nvPicPr>
                <pic:blipFill>
                  <a:blip r:embed="rId1">
                    <a:extLst>
                      <a:ext uri="{28A0092B-C50C-407E-A947-70E740481C1C}">
                        <a14:useLocalDpi xmlns:a14="http://schemas.microsoft.com/office/drawing/2010/main" val="0"/>
                      </a:ext>
                    </a:extLst>
                  </a:blip>
                  <a:stretch>
                    <a:fillRect/>
                  </a:stretch>
                </pic:blipFill>
                <pic:spPr>
                  <a:xfrm>
                    <a:off x="0" y="0"/>
                    <a:ext cx="1443600" cy="32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7B8E1" w14:textId="77777777" w:rsidR="00723291" w:rsidRDefault="00723291" w:rsidP="005839ED">
      <w:r>
        <w:separator/>
      </w:r>
    </w:p>
  </w:footnote>
  <w:footnote w:type="continuationSeparator" w:id="0">
    <w:p w14:paraId="3CAABEC4" w14:textId="77777777" w:rsidR="00723291" w:rsidRDefault="00723291" w:rsidP="005839ED">
      <w:r>
        <w:continuationSeparator/>
      </w:r>
    </w:p>
    <w:p w14:paraId="7D652962" w14:textId="77777777" w:rsidR="00723291" w:rsidRDefault="00723291"/>
  </w:footnote>
  <w:footnote w:type="continuationNotice" w:id="1">
    <w:p w14:paraId="4C95A12F" w14:textId="77777777" w:rsidR="00723291" w:rsidRDefault="00723291">
      <w:pPr>
        <w:spacing w:after="0" w:line="240" w:lineRule="auto"/>
      </w:pPr>
    </w:p>
  </w:footnote>
  <w:footnote w:id="2">
    <w:p w14:paraId="0B932BAC" w14:textId="77777777" w:rsidR="00723291" w:rsidRDefault="00723291" w:rsidP="0053640F">
      <w:pPr>
        <w:pStyle w:val="FootnoteText"/>
      </w:pPr>
      <w:r>
        <w:rPr>
          <w:rStyle w:val="FootnoteReference"/>
        </w:rPr>
        <w:footnoteRef/>
      </w:r>
      <w:r>
        <w:t xml:space="preserve"> Also known as Class 4 electronic gaming machines</w:t>
      </w:r>
    </w:p>
  </w:footnote>
  <w:footnote w:id="3">
    <w:p w14:paraId="64379988" w14:textId="286C6B46" w:rsidR="00723291" w:rsidRPr="0090650B" w:rsidRDefault="00723291" w:rsidP="00F3284F">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01,02,03,05,06,07,08,09,10,11,12,13,14,15,16,17,18,19,20,22,23,24,25,26,27,28,29,30,31,32,33,34,35,36,37,39,40,41,42,43,44,45, 46,50,51,52,53,54,55,56,57,58,59,60,61,63,64,65,66,C02,C04,C05,C06,C07,C08,C10,C11,C12,C13,C16</w:t>
      </w:r>
    </w:p>
  </w:footnote>
  <w:footnote w:id="4">
    <w:p w14:paraId="4409F423" w14:textId="351E358A" w:rsidR="00723291" w:rsidRPr="0090650B" w:rsidRDefault="00723291" w:rsidP="00F0247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04,21,38,47,48,49,62,C01,C03,C09,C14,C15</w:t>
      </w:r>
    </w:p>
  </w:footnote>
  <w:footnote w:id="5">
    <w:p w14:paraId="5FCF095F" w14:textId="468B8327" w:rsidR="00723291" w:rsidRPr="0090650B" w:rsidRDefault="00723291">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01,08,09,13,37,44,45,46,47,53,56,62,65,C03,C05,C06,C08,C10</w:t>
      </w:r>
    </w:p>
  </w:footnote>
  <w:footnote w:id="6">
    <w:p w14:paraId="24A77760" w14:textId="023CE90D" w:rsidR="00723291" w:rsidRPr="0090650B" w:rsidRDefault="00723291" w:rsidP="002E153F">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09,56,62,C06,C08</w:t>
      </w:r>
    </w:p>
  </w:footnote>
  <w:footnote w:id="7">
    <w:p w14:paraId="47EC4A25" w14:textId="75C53C82" w:rsidR="00723291" w:rsidRPr="0090650B" w:rsidRDefault="00723291" w:rsidP="00AE6FA4">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01,08,45,46,47</w:t>
      </w:r>
    </w:p>
  </w:footnote>
  <w:footnote w:id="8">
    <w:p w14:paraId="479B6D00" w14:textId="2AAF4E8D" w:rsidR="00723291" w:rsidRPr="0090650B" w:rsidRDefault="00723291" w:rsidP="00E24F86">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13,53,65</w:t>
      </w:r>
    </w:p>
  </w:footnote>
  <w:footnote w:id="9">
    <w:p w14:paraId="71881CB7" w14:textId="2265436D" w:rsidR="00723291" w:rsidRPr="0090650B" w:rsidRDefault="00723291" w:rsidP="007D5BB6">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C03,C05,C10</w:t>
      </w:r>
    </w:p>
  </w:footnote>
  <w:footnote w:id="10">
    <w:p w14:paraId="51E14B46" w14:textId="21D87C06" w:rsidR="00723291" w:rsidRPr="0090650B" w:rsidRDefault="00723291" w:rsidP="007D5BB6">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37,44</w:t>
      </w:r>
    </w:p>
  </w:footnote>
  <w:footnote w:id="11">
    <w:p w14:paraId="5B452871" w14:textId="2B1ED3B7" w:rsidR="00723291" w:rsidRPr="0090650B" w:rsidRDefault="00723291" w:rsidP="00D47DAF">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18</w:t>
      </w:r>
    </w:p>
  </w:footnote>
  <w:footnote w:id="12">
    <w:p w14:paraId="0263425D" w14:textId="71FF03FB" w:rsidR="00723291" w:rsidRDefault="00723291">
      <w:pPr>
        <w:pStyle w:val="FootnoteText"/>
      </w:pPr>
      <w:r>
        <w:rPr>
          <w:rStyle w:val="FootnoteReference"/>
        </w:rPr>
        <w:footnoteRef/>
      </w:r>
      <w:r>
        <w:t xml:space="preserve"> </w:t>
      </w:r>
      <w:r w:rsidRPr="00411040">
        <w:rPr>
          <w:rFonts w:cstheme="majorHAnsi"/>
          <w:szCs w:val="16"/>
        </w:rPr>
        <w:t>16,28,63</w:t>
      </w:r>
    </w:p>
  </w:footnote>
  <w:footnote w:id="13">
    <w:p w14:paraId="3978F342" w14:textId="0E7CDA06" w:rsidR="00723291" w:rsidRDefault="00723291">
      <w:pPr>
        <w:pStyle w:val="FootnoteText"/>
      </w:pPr>
      <w:r w:rsidRPr="00411040">
        <w:rPr>
          <w:rStyle w:val="FootnoteReference"/>
        </w:rPr>
        <w:footnoteRef/>
      </w:r>
      <w:r w:rsidRPr="00411040">
        <w:rPr>
          <w:rFonts w:cstheme="majorHAnsi"/>
          <w:szCs w:val="16"/>
        </w:rPr>
        <w:t xml:space="preserve"> 01,03,14,50,64,C04</w:t>
      </w:r>
    </w:p>
  </w:footnote>
  <w:footnote w:id="14">
    <w:p w14:paraId="517EBDB6" w14:textId="4023ACD8" w:rsidR="00723291" w:rsidRDefault="00723291">
      <w:pPr>
        <w:pStyle w:val="FootnoteText"/>
      </w:pPr>
      <w:r>
        <w:rPr>
          <w:rStyle w:val="FootnoteReference"/>
        </w:rPr>
        <w:footnoteRef/>
      </w:r>
      <w:r>
        <w:t xml:space="preserve"> </w:t>
      </w:r>
      <w:r w:rsidRPr="00411040">
        <w:rPr>
          <w:rFonts w:cstheme="majorHAnsi"/>
          <w:szCs w:val="16"/>
        </w:rPr>
        <w:t>50,64,C04</w:t>
      </w:r>
    </w:p>
  </w:footnote>
  <w:footnote w:id="15">
    <w:p w14:paraId="0E954E07" w14:textId="04E156B5" w:rsidR="00723291" w:rsidRDefault="00723291">
      <w:pPr>
        <w:pStyle w:val="FootnoteText"/>
      </w:pPr>
      <w:r>
        <w:rPr>
          <w:rStyle w:val="FootnoteReference"/>
        </w:rPr>
        <w:footnoteRef/>
      </w:r>
      <w:r>
        <w:t xml:space="preserve"> </w:t>
      </w:r>
      <w:r w:rsidRPr="00411040">
        <w:rPr>
          <w:rFonts w:cstheme="majorHAnsi"/>
          <w:szCs w:val="16"/>
        </w:rPr>
        <w:t>02,05,06,10,17,19,26,34,41,51,C07</w:t>
      </w:r>
    </w:p>
  </w:footnote>
  <w:footnote w:id="16">
    <w:p w14:paraId="48CB79E5" w14:textId="2DC5D4C9" w:rsidR="00723291" w:rsidRPr="00411040" w:rsidRDefault="00723291">
      <w:pPr>
        <w:pStyle w:val="FootnoteText"/>
        <w:rPr>
          <w:rFonts w:cstheme="majorHAnsi"/>
          <w:szCs w:val="16"/>
        </w:rPr>
      </w:pPr>
      <w:r>
        <w:rPr>
          <w:rStyle w:val="FootnoteReference"/>
        </w:rPr>
        <w:footnoteRef/>
      </w:r>
      <w:r>
        <w:t xml:space="preserve"> </w:t>
      </w:r>
      <w:r w:rsidRPr="00411040">
        <w:rPr>
          <w:rFonts w:cstheme="majorHAnsi"/>
          <w:szCs w:val="16"/>
        </w:rPr>
        <w:t>02,06,10</w:t>
      </w:r>
      <w:r>
        <w:rPr>
          <w:rFonts w:cstheme="majorHAnsi"/>
          <w:szCs w:val="16"/>
        </w:rPr>
        <w:t>,19,26,34,41,51</w:t>
      </w:r>
    </w:p>
  </w:footnote>
  <w:footnote w:id="17">
    <w:p w14:paraId="00CDFF80" w14:textId="66C151CD" w:rsidR="00723291" w:rsidRDefault="00723291">
      <w:pPr>
        <w:pStyle w:val="FootnoteText"/>
      </w:pPr>
      <w:r>
        <w:rPr>
          <w:rStyle w:val="FootnoteReference"/>
        </w:rPr>
        <w:footnoteRef/>
      </w:r>
      <w:r>
        <w:t xml:space="preserve"> </w:t>
      </w:r>
      <w:r w:rsidRPr="00411040">
        <w:rPr>
          <w:rFonts w:cstheme="majorHAnsi"/>
          <w:szCs w:val="16"/>
        </w:rPr>
        <w:t>05,17,C07</w:t>
      </w:r>
    </w:p>
  </w:footnote>
  <w:footnote w:id="18">
    <w:p w14:paraId="5143B2FE"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15,37,44,56,60,C02,C08</w:t>
      </w:r>
    </w:p>
  </w:footnote>
  <w:footnote w:id="19">
    <w:p w14:paraId="2D3696BD"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03,27,30,32,3334,36</w:t>
      </w:r>
    </w:p>
  </w:footnote>
  <w:footnote w:id="20">
    <w:p w14:paraId="224189AF"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12,25,29</w:t>
      </w:r>
    </w:p>
  </w:footnote>
  <w:footnote w:id="21">
    <w:p w14:paraId="474BBAD1"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04,38,62</w:t>
      </w:r>
    </w:p>
  </w:footnote>
  <w:footnote w:id="22">
    <w:p w14:paraId="3F4ABF44"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42,43,55</w:t>
      </w:r>
    </w:p>
  </w:footnote>
  <w:footnote w:id="23">
    <w:p w14:paraId="3198574A"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05,14,15,54,C02,C08</w:t>
      </w:r>
    </w:p>
  </w:footnote>
  <w:footnote w:id="24">
    <w:p w14:paraId="3C598594"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25,27,36,53</w:t>
      </w:r>
    </w:p>
  </w:footnote>
  <w:footnote w:id="25">
    <w:p w14:paraId="5166547C"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15,54,C02</w:t>
      </w:r>
    </w:p>
  </w:footnote>
  <w:footnote w:id="26">
    <w:p w14:paraId="5DC3EB18"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01,14,33,38</w:t>
      </w:r>
    </w:p>
  </w:footnote>
  <w:footnote w:id="27">
    <w:p w14:paraId="401ECD96"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w:t>
      </w:r>
    </w:p>
  </w:footnote>
  <w:footnote w:id="28">
    <w:p w14:paraId="78C1D379"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04</w:t>
      </w:r>
    </w:p>
  </w:footnote>
  <w:footnote w:id="29">
    <w:p w14:paraId="3EDABCF2"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08</w:t>
      </w:r>
    </w:p>
  </w:footnote>
  <w:footnote w:id="30">
    <w:p w14:paraId="688F70A5"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32</w:t>
      </w:r>
    </w:p>
  </w:footnote>
  <w:footnote w:id="31">
    <w:p w14:paraId="61E156E3"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50</w:t>
      </w:r>
    </w:p>
  </w:footnote>
  <w:footnote w:id="32">
    <w:p w14:paraId="1CCF205A" w14:textId="1F1F7C7E"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01,02,03,10,16,18,28,41,63,64,C04</w:t>
      </w:r>
    </w:p>
  </w:footnote>
  <w:footnote w:id="33">
    <w:p w14:paraId="296A2ADF" w14:textId="02423638" w:rsidR="00723291" w:rsidRPr="0090650B" w:rsidRDefault="00723291">
      <w:pPr>
        <w:pStyle w:val="FootnoteText"/>
        <w:rPr>
          <w:szCs w:val="16"/>
        </w:rPr>
      </w:pPr>
      <w:r w:rsidRPr="0090650B">
        <w:rPr>
          <w:rStyle w:val="FootnoteReference"/>
          <w:szCs w:val="16"/>
        </w:rPr>
        <w:footnoteRef/>
      </w:r>
      <w:r w:rsidRPr="0090650B">
        <w:rPr>
          <w:szCs w:val="16"/>
        </w:rPr>
        <w:t xml:space="preserve"> 07,35,43</w:t>
      </w:r>
    </w:p>
  </w:footnote>
  <w:footnote w:id="34">
    <w:p w14:paraId="047B1017" w14:textId="415DB805" w:rsidR="00723291" w:rsidRPr="0090650B" w:rsidRDefault="00723291">
      <w:pPr>
        <w:pStyle w:val="FootnoteText"/>
        <w:rPr>
          <w:szCs w:val="16"/>
        </w:rPr>
      </w:pPr>
      <w:r w:rsidRPr="0090650B">
        <w:rPr>
          <w:rStyle w:val="FootnoteReference"/>
          <w:szCs w:val="16"/>
        </w:rPr>
        <w:footnoteRef/>
      </w:r>
      <w:r w:rsidRPr="0090650B">
        <w:rPr>
          <w:szCs w:val="16"/>
        </w:rPr>
        <w:t xml:space="preserve"> 24,27</w:t>
      </w:r>
    </w:p>
  </w:footnote>
  <w:footnote w:id="35">
    <w:p w14:paraId="14BCACAF" w14:textId="0A75C938" w:rsidR="00723291" w:rsidRPr="0090650B" w:rsidRDefault="00723291">
      <w:pPr>
        <w:pStyle w:val="FootnoteText"/>
        <w:rPr>
          <w:szCs w:val="16"/>
        </w:rPr>
      </w:pPr>
      <w:r w:rsidRPr="0090650B">
        <w:rPr>
          <w:rStyle w:val="FootnoteReference"/>
          <w:szCs w:val="16"/>
        </w:rPr>
        <w:footnoteRef/>
      </w:r>
      <w:r w:rsidRPr="0090650B">
        <w:rPr>
          <w:szCs w:val="16"/>
        </w:rPr>
        <w:t xml:space="preserve"> 40,44</w:t>
      </w:r>
    </w:p>
  </w:footnote>
  <w:footnote w:id="36">
    <w:p w14:paraId="4D8B7FC9" w14:textId="4A73D279" w:rsidR="00723291" w:rsidRPr="0090650B" w:rsidRDefault="00723291">
      <w:pPr>
        <w:pStyle w:val="FootnoteText"/>
        <w:rPr>
          <w:szCs w:val="16"/>
        </w:rPr>
      </w:pPr>
      <w:r w:rsidRPr="0090650B">
        <w:rPr>
          <w:rStyle w:val="FootnoteReference"/>
          <w:szCs w:val="16"/>
        </w:rPr>
        <w:footnoteRef/>
      </w:r>
      <w:r w:rsidRPr="0090650B">
        <w:rPr>
          <w:szCs w:val="16"/>
        </w:rPr>
        <w:t xml:space="preserve"> C03</w:t>
      </w:r>
    </w:p>
  </w:footnote>
  <w:footnote w:id="37">
    <w:p w14:paraId="5118E706"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02,10,16,18,28,63,64,C04</w:t>
      </w:r>
    </w:p>
  </w:footnote>
  <w:footnote w:id="38">
    <w:p w14:paraId="4363B236"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02</w:t>
      </w:r>
    </w:p>
  </w:footnote>
  <w:footnote w:id="39">
    <w:p w14:paraId="62B8A412"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02,03,41</w:t>
      </w:r>
    </w:p>
  </w:footnote>
  <w:footnote w:id="40">
    <w:p w14:paraId="607B3A4D"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16,18,28,63,C04</w:t>
      </w:r>
    </w:p>
  </w:footnote>
  <w:footnote w:id="41">
    <w:p w14:paraId="72788E29"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16,18,28,63,C04</w:t>
      </w:r>
    </w:p>
  </w:footnote>
  <w:footnote w:id="42">
    <w:p w14:paraId="38E6BA6F"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16,18,28,63,C04</w:t>
      </w:r>
    </w:p>
  </w:footnote>
  <w:footnote w:id="43">
    <w:p w14:paraId="068B0254"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07</w:t>
      </w:r>
    </w:p>
  </w:footnote>
  <w:footnote w:id="44">
    <w:p w14:paraId="1DE5075E"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07,35,43</w:t>
      </w:r>
    </w:p>
  </w:footnote>
  <w:footnote w:id="45">
    <w:p w14:paraId="2BC7D94F" w14:textId="77777777" w:rsidR="00723291" w:rsidRPr="0090650B" w:rsidRDefault="00723291" w:rsidP="0010405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24,27</w:t>
      </w:r>
    </w:p>
  </w:footnote>
  <w:footnote w:id="46">
    <w:p w14:paraId="1B5C1AB8" w14:textId="77777777" w:rsidR="00723291" w:rsidRPr="0090650B" w:rsidRDefault="00723291" w:rsidP="0010405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w:t>
      </w:r>
    </w:p>
  </w:footnote>
  <w:footnote w:id="47">
    <w:p w14:paraId="3779B9F8" w14:textId="77777777" w:rsidR="00723291" w:rsidRPr="0090650B" w:rsidRDefault="00723291" w:rsidP="0010405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03</w:t>
      </w:r>
    </w:p>
  </w:footnote>
  <w:footnote w:id="48">
    <w:p w14:paraId="7658531F"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35,43</w:t>
      </w:r>
    </w:p>
  </w:footnote>
  <w:footnote w:id="49">
    <w:p w14:paraId="3579D262"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35</w:t>
      </w:r>
    </w:p>
  </w:footnote>
  <w:footnote w:id="50">
    <w:p w14:paraId="1D88D8D6"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43</w:t>
      </w:r>
    </w:p>
  </w:footnote>
  <w:footnote w:id="51">
    <w:p w14:paraId="25F35E6A"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07</w:t>
      </w:r>
    </w:p>
  </w:footnote>
  <w:footnote w:id="52">
    <w:p w14:paraId="0479C5BA"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40</w:t>
      </w:r>
    </w:p>
  </w:footnote>
  <w:footnote w:id="53">
    <w:p w14:paraId="4EA33368"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40</w:t>
      </w:r>
    </w:p>
  </w:footnote>
  <w:footnote w:id="54">
    <w:p w14:paraId="65F7F784"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55">
    <w:p w14:paraId="3D868967"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27</w:t>
      </w:r>
    </w:p>
  </w:footnote>
  <w:footnote w:id="56">
    <w:p w14:paraId="6D520736"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C03</w:t>
      </w:r>
    </w:p>
  </w:footnote>
  <w:footnote w:id="57">
    <w:p w14:paraId="7EEB97CD" w14:textId="5C89CD69"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39,40,44,45,46,56,60,C13</w:t>
      </w:r>
    </w:p>
  </w:footnote>
  <w:footnote w:id="58">
    <w:p w14:paraId="062BD4F2" w14:textId="4EEFF2BE" w:rsidR="00723291" w:rsidRPr="0090650B" w:rsidRDefault="00723291">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24,27,30,33,57,66</w:t>
      </w:r>
    </w:p>
  </w:footnote>
  <w:footnote w:id="59">
    <w:p w14:paraId="55ED261C" w14:textId="3729A149" w:rsidR="00723291" w:rsidRPr="0090650B" w:rsidRDefault="00723291">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03,04,05,14,17</w:t>
      </w:r>
    </w:p>
  </w:footnote>
  <w:footnote w:id="60">
    <w:p w14:paraId="469E2898" w14:textId="68E2AFEA" w:rsidR="00723291" w:rsidRPr="0090650B" w:rsidRDefault="00723291">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31</w:t>
      </w:r>
    </w:p>
  </w:footnote>
  <w:footnote w:id="61">
    <w:p w14:paraId="34035CAC" w14:textId="1975D36F" w:rsidR="00723291" w:rsidRPr="0090650B" w:rsidRDefault="00723291">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21</w:t>
      </w:r>
    </w:p>
  </w:footnote>
  <w:footnote w:id="62">
    <w:p w14:paraId="364B9FE8"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39,44</w:t>
      </w:r>
    </w:p>
  </w:footnote>
  <w:footnote w:id="63">
    <w:p w14:paraId="0E424BC5"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56</w:t>
      </w:r>
    </w:p>
  </w:footnote>
  <w:footnote w:id="64">
    <w:p w14:paraId="206178CB"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56</w:t>
      </w:r>
    </w:p>
  </w:footnote>
  <w:footnote w:id="65">
    <w:p w14:paraId="5663CE60"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66">
    <w:p w14:paraId="4DF10F6B"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67">
    <w:p w14:paraId="33E94DD8"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68">
    <w:p w14:paraId="185C265F"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69">
    <w:p w14:paraId="2238C841"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21</w:t>
      </w:r>
    </w:p>
  </w:footnote>
  <w:footnote w:id="70">
    <w:p w14:paraId="776732DC"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71">
    <w:p w14:paraId="4D172C8A"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72">
    <w:p w14:paraId="0D148579"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44,45,46</w:t>
      </w:r>
    </w:p>
  </w:footnote>
  <w:footnote w:id="73">
    <w:p w14:paraId="6751368A"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21</w:t>
      </w:r>
    </w:p>
  </w:footnote>
  <w:footnote w:id="74">
    <w:p w14:paraId="52DF9B85"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75">
    <w:p w14:paraId="675E0F5C"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21,39,44</w:t>
      </w:r>
    </w:p>
  </w:footnote>
  <w:footnote w:id="76">
    <w:p w14:paraId="1E8038A8"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77">
    <w:p w14:paraId="04186143" w14:textId="3DF12B49" w:rsidR="00723291" w:rsidRDefault="00723291">
      <w:pPr>
        <w:pStyle w:val="FootnoteText"/>
      </w:pPr>
      <w:r>
        <w:rPr>
          <w:rStyle w:val="FootnoteReference"/>
        </w:rPr>
        <w:footnoteRef/>
      </w:r>
      <w:r>
        <w:t xml:space="preserve"> 56</w:t>
      </w:r>
    </w:p>
  </w:footnote>
  <w:footnote w:id="78">
    <w:p w14:paraId="05E5CE77" w14:textId="404204FF" w:rsidR="00723291" w:rsidRDefault="00723291">
      <w:pPr>
        <w:pStyle w:val="FootnoteText"/>
      </w:pPr>
      <w:r>
        <w:rPr>
          <w:rStyle w:val="FootnoteReference"/>
        </w:rPr>
        <w:footnoteRef/>
      </w:r>
      <w:r>
        <w:t xml:space="preserve"> 39</w:t>
      </w:r>
    </w:p>
  </w:footnote>
  <w:footnote w:id="79">
    <w:p w14:paraId="380A3EA7"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80">
    <w:p w14:paraId="7C125A4A"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56</w:t>
      </w:r>
    </w:p>
  </w:footnote>
  <w:footnote w:id="81">
    <w:p w14:paraId="671ECFFA"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17</w:t>
      </w:r>
    </w:p>
  </w:footnote>
  <w:footnote w:id="82">
    <w:p w14:paraId="241D96D8"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04</w:t>
      </w:r>
    </w:p>
  </w:footnote>
  <w:footnote w:id="83">
    <w:p w14:paraId="49B59593"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84">
    <w:p w14:paraId="563809CF"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56</w:t>
      </w:r>
    </w:p>
  </w:footnote>
  <w:footnote w:id="85">
    <w:p w14:paraId="3EDD2922"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56</w:t>
      </w:r>
    </w:p>
  </w:footnote>
  <w:footnote w:id="86">
    <w:p w14:paraId="457FDC83"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87">
    <w:p w14:paraId="553B5B4A"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40</w:t>
      </w:r>
    </w:p>
  </w:footnote>
  <w:footnote w:id="88">
    <w:p w14:paraId="612A0D95"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89">
    <w:p w14:paraId="530D1801" w14:textId="25CA692F" w:rsidR="00723291" w:rsidRPr="0090650B" w:rsidRDefault="00723291" w:rsidP="005A2834">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66</w:t>
      </w:r>
    </w:p>
  </w:footnote>
  <w:footnote w:id="90">
    <w:p w14:paraId="3A836FE7"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24</w:t>
      </w:r>
    </w:p>
  </w:footnote>
  <w:footnote w:id="91">
    <w:p w14:paraId="5F68B7B9"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31</w:t>
      </w:r>
    </w:p>
  </w:footnote>
  <w:footnote w:id="92">
    <w:p w14:paraId="4F5D26FF"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04</w:t>
      </w:r>
    </w:p>
  </w:footnote>
  <w:footnote w:id="93">
    <w:p w14:paraId="01CF2DE4"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94">
    <w:p w14:paraId="0420355C"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56</w:t>
      </w:r>
    </w:p>
  </w:footnote>
  <w:footnote w:id="95">
    <w:p w14:paraId="62ABC05F"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24</w:t>
      </w:r>
    </w:p>
  </w:footnote>
  <w:footnote w:id="96">
    <w:p w14:paraId="71FFE4F3"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31</w:t>
      </w:r>
    </w:p>
  </w:footnote>
  <w:footnote w:id="97">
    <w:p w14:paraId="00FF3724"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04</w:t>
      </w:r>
    </w:p>
  </w:footnote>
  <w:footnote w:id="98">
    <w:p w14:paraId="5D30C109"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44,56</w:t>
      </w:r>
    </w:p>
  </w:footnote>
  <w:footnote w:id="99">
    <w:p w14:paraId="326A4D7D"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44,56</w:t>
      </w:r>
    </w:p>
  </w:footnote>
  <w:footnote w:id="100">
    <w:p w14:paraId="332B785F"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39</w:t>
      </w:r>
    </w:p>
  </w:footnote>
  <w:footnote w:id="101">
    <w:p w14:paraId="25B5A4B0"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39</w:t>
      </w:r>
    </w:p>
  </w:footnote>
  <w:footnote w:id="102">
    <w:p w14:paraId="447BB50D"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39</w:t>
      </w:r>
    </w:p>
  </w:footnote>
  <w:footnote w:id="103">
    <w:p w14:paraId="58DD87A4"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104">
    <w:p w14:paraId="45A98933"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04</w:t>
      </w:r>
    </w:p>
  </w:footnote>
  <w:footnote w:id="105">
    <w:p w14:paraId="123CBF66"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05,14</w:t>
      </w:r>
    </w:p>
  </w:footnote>
  <w:footnote w:id="106">
    <w:p w14:paraId="3F875B1C"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56</w:t>
      </w:r>
    </w:p>
  </w:footnote>
  <w:footnote w:id="107">
    <w:p w14:paraId="46BF1DB5"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108">
    <w:p w14:paraId="2CE38F1C"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109">
    <w:p w14:paraId="30F5DD4B"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110">
    <w:p w14:paraId="633761F5"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56</w:t>
      </w:r>
    </w:p>
  </w:footnote>
  <w:footnote w:id="111">
    <w:p w14:paraId="5EB5DA6E"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56</w:t>
      </w:r>
    </w:p>
  </w:footnote>
  <w:footnote w:id="112">
    <w:p w14:paraId="0189936B"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60</w:t>
      </w:r>
    </w:p>
  </w:footnote>
  <w:footnote w:id="113">
    <w:p w14:paraId="15E9211A"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66</w:t>
      </w:r>
    </w:p>
  </w:footnote>
  <w:footnote w:id="114">
    <w:p w14:paraId="2BA7A2E3"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04,21</w:t>
      </w:r>
    </w:p>
  </w:footnote>
  <w:footnote w:id="115">
    <w:p w14:paraId="5920A588"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04</w:t>
      </w:r>
    </w:p>
  </w:footnote>
  <w:footnote w:id="116">
    <w:p w14:paraId="547B4A67"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21</w:t>
      </w:r>
    </w:p>
  </w:footnote>
  <w:footnote w:id="117">
    <w:p w14:paraId="39E9DA65"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56</w:t>
      </w:r>
    </w:p>
  </w:footnote>
  <w:footnote w:id="118">
    <w:p w14:paraId="5B6C357F"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119">
    <w:p w14:paraId="614D3D0D"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120">
    <w:p w14:paraId="6B2BF57C"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121">
    <w:p w14:paraId="1075871E"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30</w:t>
      </w:r>
    </w:p>
  </w:footnote>
  <w:footnote w:id="122">
    <w:p w14:paraId="07CD4120"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04,21</w:t>
      </w:r>
    </w:p>
  </w:footnote>
  <w:footnote w:id="123">
    <w:p w14:paraId="68481714"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04</w:t>
      </w:r>
    </w:p>
  </w:footnote>
  <w:footnote w:id="124">
    <w:p w14:paraId="30AA4BC9"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21</w:t>
      </w:r>
    </w:p>
  </w:footnote>
  <w:footnote w:id="125">
    <w:p w14:paraId="39FF1A86"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126">
    <w:p w14:paraId="0AA95835"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127">
    <w:p w14:paraId="1DA98E59"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44,C13</w:t>
      </w:r>
    </w:p>
  </w:footnote>
  <w:footnote w:id="128">
    <w:p w14:paraId="0CC69C70"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56</w:t>
      </w:r>
    </w:p>
  </w:footnote>
  <w:footnote w:id="129">
    <w:p w14:paraId="3A6C3FB1"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24</w:t>
      </w:r>
    </w:p>
  </w:footnote>
  <w:footnote w:id="130">
    <w:p w14:paraId="65D43C52"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30</w:t>
      </w:r>
    </w:p>
  </w:footnote>
  <w:footnote w:id="131">
    <w:p w14:paraId="1A1AF985"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24</w:t>
      </w:r>
    </w:p>
  </w:footnote>
  <w:footnote w:id="132">
    <w:p w14:paraId="17E33418"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30</w:t>
      </w:r>
    </w:p>
  </w:footnote>
  <w:footnote w:id="133">
    <w:p w14:paraId="025228DB"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33</w:t>
      </w:r>
    </w:p>
  </w:footnote>
  <w:footnote w:id="134">
    <w:p w14:paraId="24F60C83"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31</w:t>
      </w:r>
    </w:p>
  </w:footnote>
  <w:footnote w:id="135">
    <w:p w14:paraId="0E4AC4DA"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04,21</w:t>
      </w:r>
    </w:p>
  </w:footnote>
  <w:footnote w:id="136">
    <w:p w14:paraId="656E9FB5"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04</w:t>
      </w:r>
    </w:p>
  </w:footnote>
  <w:footnote w:id="137">
    <w:p w14:paraId="5FF1CBA7"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21</w:t>
      </w:r>
    </w:p>
  </w:footnote>
  <w:footnote w:id="138">
    <w:p w14:paraId="658EFC3D"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03</w:t>
      </w:r>
    </w:p>
  </w:footnote>
  <w:footnote w:id="139">
    <w:p w14:paraId="396FA353"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05</w:t>
      </w:r>
    </w:p>
  </w:footnote>
  <w:footnote w:id="140">
    <w:p w14:paraId="0AD987F7"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14</w:t>
      </w:r>
    </w:p>
  </w:footnote>
  <w:footnote w:id="141">
    <w:p w14:paraId="5641B5EB"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142">
    <w:p w14:paraId="31ECD223"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143">
    <w:p w14:paraId="6546536B"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56</w:t>
      </w:r>
    </w:p>
  </w:footnote>
  <w:footnote w:id="144">
    <w:p w14:paraId="55FB0D61"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24</w:t>
      </w:r>
    </w:p>
  </w:footnote>
  <w:footnote w:id="145">
    <w:p w14:paraId="1B3D3674"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57</w:t>
      </w:r>
    </w:p>
  </w:footnote>
  <w:footnote w:id="146">
    <w:p w14:paraId="165ECF6B"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04</w:t>
      </w:r>
    </w:p>
  </w:footnote>
  <w:footnote w:id="147">
    <w:p w14:paraId="39B8AF5E"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148">
    <w:p w14:paraId="7D2C68E9"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56</w:t>
      </w:r>
    </w:p>
  </w:footnote>
  <w:footnote w:id="149">
    <w:p w14:paraId="2BC1A297"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27,30</w:t>
      </w:r>
    </w:p>
  </w:footnote>
  <w:footnote w:id="150">
    <w:p w14:paraId="3E873CB8"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30</w:t>
      </w:r>
    </w:p>
  </w:footnote>
  <w:footnote w:id="151">
    <w:p w14:paraId="65312BB8"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04</w:t>
      </w:r>
    </w:p>
  </w:footnote>
  <w:footnote w:id="152">
    <w:p w14:paraId="504EB231"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44,56</w:t>
      </w:r>
    </w:p>
  </w:footnote>
  <w:footnote w:id="153">
    <w:p w14:paraId="7616DBF0"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154">
    <w:p w14:paraId="660073BB"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56</w:t>
      </w:r>
    </w:p>
  </w:footnote>
  <w:footnote w:id="155">
    <w:p w14:paraId="3A64BC5A"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24</w:t>
      </w:r>
    </w:p>
  </w:footnote>
  <w:footnote w:id="156">
    <w:p w14:paraId="459AA65B"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04</w:t>
      </w:r>
    </w:p>
  </w:footnote>
  <w:footnote w:id="157">
    <w:p w14:paraId="58ECCCD8"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21</w:t>
      </w:r>
    </w:p>
  </w:footnote>
  <w:footnote w:id="158">
    <w:p w14:paraId="0F7B67DE"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12</w:t>
      </w:r>
    </w:p>
  </w:footnote>
  <w:footnote w:id="159">
    <w:p w14:paraId="0C4C6A9F"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29</w:t>
      </w:r>
    </w:p>
  </w:footnote>
  <w:footnote w:id="160">
    <w:p w14:paraId="6AA3075D"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37</w:t>
      </w:r>
    </w:p>
  </w:footnote>
  <w:footnote w:id="161">
    <w:p w14:paraId="0B5E5E12"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C08</w:t>
      </w:r>
    </w:p>
  </w:footnote>
  <w:footnote w:id="162">
    <w:p w14:paraId="3E4B7F81"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50</w:t>
      </w:r>
    </w:p>
  </w:footnote>
  <w:footnote w:id="163">
    <w:p w14:paraId="71673CB8"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40,44</w:t>
      </w:r>
    </w:p>
  </w:footnote>
  <w:footnote w:id="164">
    <w:p w14:paraId="20915C47"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37</w:t>
      </w:r>
    </w:p>
  </w:footnote>
  <w:footnote w:id="165">
    <w:p w14:paraId="038DC5F8"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57</w:t>
      </w:r>
    </w:p>
  </w:footnote>
  <w:footnote w:id="166">
    <w:p w14:paraId="70F07B14"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17</w:t>
      </w:r>
    </w:p>
  </w:footnote>
  <w:footnote w:id="167">
    <w:p w14:paraId="54AEB31D"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51</w:t>
      </w:r>
    </w:p>
  </w:footnote>
  <w:footnote w:id="168">
    <w:p w14:paraId="4D1A3B52"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43</w:t>
      </w:r>
    </w:p>
  </w:footnote>
  <w:footnote w:id="169">
    <w:p w14:paraId="0262A630"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17,36</w:t>
      </w:r>
    </w:p>
  </w:footnote>
  <w:footnote w:id="170">
    <w:p w14:paraId="1D8E3A69"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39,44,45</w:t>
      </w:r>
    </w:p>
  </w:footnote>
  <w:footnote w:id="171">
    <w:p w14:paraId="74637FBF"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11,39,44</w:t>
      </w:r>
    </w:p>
  </w:footnote>
  <w:footnote w:id="172">
    <w:p w14:paraId="2828BCAC"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03,05,14,16,26,35,50</w:t>
      </w:r>
    </w:p>
  </w:footnote>
  <w:footnote w:id="173">
    <w:p w14:paraId="3DDAD6BF"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08,50,C04</w:t>
      </w:r>
    </w:p>
  </w:footnote>
  <w:footnote w:id="174">
    <w:p w14:paraId="0F6D2313"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26</w:t>
      </w:r>
    </w:p>
  </w:footnote>
  <w:footnote w:id="175">
    <w:p w14:paraId="68E74087"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02,16,43,51,63,C04</w:t>
      </w:r>
    </w:p>
  </w:footnote>
  <w:footnote w:id="176">
    <w:p w14:paraId="0AA376D4"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C03</w:t>
      </w:r>
    </w:p>
  </w:footnote>
  <w:footnote w:id="177">
    <w:p w14:paraId="3C125930"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53</w:t>
      </w:r>
    </w:p>
  </w:footnote>
  <w:footnote w:id="178">
    <w:p w14:paraId="26F46CCB"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13,65</w:t>
      </w:r>
    </w:p>
  </w:footnote>
  <w:footnote w:id="179">
    <w:p w14:paraId="09FE5FDF"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C13</w:t>
      </w:r>
    </w:p>
  </w:footnote>
  <w:footnote w:id="180">
    <w:p w14:paraId="7EB0A35B"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181">
    <w:p w14:paraId="5977E6D9"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20,37,39,45,46,C10,C11,C12,C13</w:t>
      </w:r>
    </w:p>
  </w:footnote>
  <w:footnote w:id="182">
    <w:p w14:paraId="67DFF85C"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02,05,14,17,26,50,C04</w:t>
      </w:r>
    </w:p>
  </w:footnote>
  <w:footnote w:id="183">
    <w:p w14:paraId="1647BFFC"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12,25,29</w:t>
      </w:r>
    </w:p>
  </w:footnote>
  <w:footnote w:id="184">
    <w:p w14:paraId="599CE2DD"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21,38,62</w:t>
      </w:r>
    </w:p>
  </w:footnote>
  <w:footnote w:id="185">
    <w:p w14:paraId="72B81A97"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27,33</w:t>
      </w:r>
    </w:p>
  </w:footnote>
  <w:footnote w:id="186">
    <w:p w14:paraId="1BE0F8B0"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42</w:t>
      </w:r>
    </w:p>
  </w:footnote>
  <w:footnote w:id="187">
    <w:p w14:paraId="20B125B9"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45,46</w:t>
      </w:r>
    </w:p>
  </w:footnote>
  <w:footnote w:id="188">
    <w:p w14:paraId="4700DD02"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45</w:t>
      </w:r>
    </w:p>
  </w:footnote>
  <w:footnote w:id="189">
    <w:p w14:paraId="072B756A"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25</w:t>
      </w:r>
    </w:p>
  </w:footnote>
  <w:footnote w:id="190">
    <w:p w14:paraId="29441543"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C10</w:t>
      </w:r>
    </w:p>
  </w:footnote>
  <w:footnote w:id="191">
    <w:p w14:paraId="33F07632"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27</w:t>
      </w:r>
    </w:p>
  </w:footnote>
  <w:footnote w:id="192">
    <w:p w14:paraId="2AF32140"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25</w:t>
      </w:r>
    </w:p>
  </w:footnote>
  <w:footnote w:id="193">
    <w:p w14:paraId="4C4F59DC"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62</w:t>
      </w:r>
    </w:p>
  </w:footnote>
  <w:footnote w:id="194">
    <w:p w14:paraId="1B371CF3"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33</w:t>
      </w:r>
    </w:p>
  </w:footnote>
  <w:footnote w:id="195">
    <w:p w14:paraId="2C5E4974"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29</w:t>
      </w:r>
    </w:p>
  </w:footnote>
  <w:footnote w:id="196">
    <w:p w14:paraId="3834C34E"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12,29</w:t>
      </w:r>
    </w:p>
  </w:footnote>
  <w:footnote w:id="197">
    <w:p w14:paraId="5B354AD8"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39</w:t>
      </w:r>
    </w:p>
  </w:footnote>
  <w:footnote w:id="198">
    <w:p w14:paraId="2685338F"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12,29</w:t>
      </w:r>
    </w:p>
  </w:footnote>
  <w:footnote w:id="199">
    <w:p w14:paraId="5F17CEC9"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39</w:t>
      </w:r>
    </w:p>
  </w:footnote>
  <w:footnote w:id="200">
    <w:p w14:paraId="2F64ED0E"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05,26</w:t>
      </w:r>
    </w:p>
  </w:footnote>
  <w:footnote w:id="201">
    <w:p w14:paraId="4DE70B7A"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21,38</w:t>
      </w:r>
    </w:p>
  </w:footnote>
  <w:footnote w:id="202">
    <w:p w14:paraId="33B0158C"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25</w:t>
      </w:r>
    </w:p>
  </w:footnote>
  <w:footnote w:id="203">
    <w:p w14:paraId="0537679E"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37</w:t>
      </w:r>
    </w:p>
  </w:footnote>
  <w:footnote w:id="204">
    <w:p w14:paraId="398EBE03"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46,C11</w:t>
      </w:r>
    </w:p>
  </w:footnote>
  <w:footnote w:id="205">
    <w:p w14:paraId="341C59F9"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38</w:t>
      </w:r>
    </w:p>
  </w:footnote>
  <w:footnote w:id="206">
    <w:p w14:paraId="3EB479FA"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02,14,17,50,C04</w:t>
      </w:r>
    </w:p>
  </w:footnote>
  <w:footnote w:id="207">
    <w:p w14:paraId="2CB84177"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37,C12,C13</w:t>
      </w:r>
    </w:p>
  </w:footnote>
  <w:footnote w:id="208">
    <w:p w14:paraId="33B43D4F"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39</w:t>
      </w:r>
    </w:p>
  </w:footnote>
  <w:footnote w:id="209">
    <w:p w14:paraId="24A0D9B1"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33</w:t>
      </w:r>
    </w:p>
  </w:footnote>
  <w:footnote w:id="210">
    <w:p w14:paraId="49CC148C"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46</w:t>
      </w:r>
    </w:p>
  </w:footnote>
  <w:footnote w:id="211">
    <w:p w14:paraId="353D1002"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39</w:t>
      </w:r>
    </w:p>
  </w:footnote>
  <w:footnote w:id="212">
    <w:p w14:paraId="30E1B786" w14:textId="77777777" w:rsidR="00723291" w:rsidRPr="0090650B" w:rsidRDefault="00723291" w:rsidP="00213BA7">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25</w:t>
      </w:r>
    </w:p>
  </w:footnote>
  <w:footnote w:id="213">
    <w:p w14:paraId="32AE1D1A"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20</w:t>
      </w:r>
    </w:p>
  </w:footnote>
  <w:footnote w:id="214">
    <w:p w14:paraId="5C9F3794"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17</w:t>
      </w:r>
    </w:p>
  </w:footnote>
  <w:footnote w:id="215">
    <w:p w14:paraId="6323FE08"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42</w:t>
      </w:r>
    </w:p>
  </w:footnote>
  <w:footnote w:id="216">
    <w:p w14:paraId="76D56DDE"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12</w:t>
      </w:r>
    </w:p>
  </w:footnote>
  <w:footnote w:id="217">
    <w:p w14:paraId="74E4CC3D"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11,37,39,44,45,46,53,54,60,C05,C08,C10,C11,C12</w:t>
      </w:r>
    </w:p>
  </w:footnote>
  <w:footnote w:id="218">
    <w:p w14:paraId="087C4443"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04,38,47,48,C15</w:t>
      </w:r>
    </w:p>
  </w:footnote>
  <w:footnote w:id="219">
    <w:p w14:paraId="22537ACF"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13,24,65,C16</w:t>
      </w:r>
    </w:p>
  </w:footnote>
  <w:footnote w:id="220">
    <w:p w14:paraId="779B2113"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17,C04,C07</w:t>
      </w:r>
    </w:p>
  </w:footnote>
  <w:footnote w:id="221">
    <w:p w14:paraId="1550D9DB"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12,25,29</w:t>
      </w:r>
    </w:p>
  </w:footnote>
  <w:footnote w:id="222">
    <w:p w14:paraId="6C7653C2" w14:textId="77777777" w:rsidR="00723291" w:rsidRPr="0090650B" w:rsidRDefault="00723291" w:rsidP="005D7D36">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37,39,C12</w:t>
      </w:r>
    </w:p>
  </w:footnote>
  <w:footnote w:id="223">
    <w:p w14:paraId="12783A48" w14:textId="77777777" w:rsidR="00723291" w:rsidRPr="0090650B" w:rsidRDefault="00723291" w:rsidP="005D7D36">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29</w:t>
      </w:r>
    </w:p>
  </w:footnote>
  <w:footnote w:id="224">
    <w:p w14:paraId="296098ED" w14:textId="77777777" w:rsidR="00723291" w:rsidRPr="0090650B" w:rsidRDefault="00723291" w:rsidP="005D7D36">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04</w:t>
      </w:r>
    </w:p>
  </w:footnote>
  <w:footnote w:id="225">
    <w:p w14:paraId="79D77B7C" w14:textId="77777777" w:rsidR="00723291" w:rsidRPr="0090650B" w:rsidRDefault="00723291" w:rsidP="005D7D36">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37,39</w:t>
      </w:r>
    </w:p>
  </w:footnote>
  <w:footnote w:id="226">
    <w:p w14:paraId="37152AA0" w14:textId="77777777" w:rsidR="00723291" w:rsidRPr="0090650B" w:rsidRDefault="00723291" w:rsidP="005D7D36">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25</w:t>
      </w:r>
    </w:p>
  </w:footnote>
  <w:footnote w:id="227">
    <w:p w14:paraId="0128AB84"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17</w:t>
      </w:r>
    </w:p>
  </w:footnote>
  <w:footnote w:id="228">
    <w:p w14:paraId="5626B082" w14:textId="2B5497F5" w:rsidR="00723291" w:rsidRPr="00A70D17" w:rsidRDefault="00723291">
      <w:pPr>
        <w:pStyle w:val="FootnoteText"/>
        <w:rPr>
          <w:rFonts w:cstheme="majorHAnsi"/>
          <w:szCs w:val="16"/>
        </w:rPr>
      </w:pPr>
      <w:r>
        <w:rPr>
          <w:rStyle w:val="FootnoteReference"/>
        </w:rPr>
        <w:footnoteRef/>
      </w:r>
      <w:r>
        <w:t xml:space="preserve"> </w:t>
      </w:r>
      <w:r w:rsidRPr="00A70D17">
        <w:rPr>
          <w:rFonts w:cstheme="majorHAnsi"/>
          <w:szCs w:val="16"/>
        </w:rPr>
        <w:t>13,44,</w:t>
      </w:r>
      <w:r>
        <w:rPr>
          <w:rFonts w:cstheme="majorHAnsi"/>
          <w:szCs w:val="16"/>
        </w:rPr>
        <w:t>45,46,47,48,53,60,65,C05,C07,C10,C11,C16</w:t>
      </w:r>
    </w:p>
  </w:footnote>
  <w:footnote w:id="229">
    <w:p w14:paraId="104898F0"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44,45</w:t>
      </w:r>
    </w:p>
  </w:footnote>
  <w:footnote w:id="230">
    <w:p w14:paraId="4C1FD937"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231">
    <w:p w14:paraId="7CDCFC3C"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44,45,60</w:t>
      </w:r>
    </w:p>
  </w:footnote>
  <w:footnote w:id="232">
    <w:p w14:paraId="44C5735F"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C10</w:t>
      </w:r>
    </w:p>
  </w:footnote>
  <w:footnote w:id="233">
    <w:p w14:paraId="65E7DACD"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12</w:t>
      </w:r>
    </w:p>
  </w:footnote>
  <w:footnote w:id="234">
    <w:p w14:paraId="0AC1DBC5"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C07</w:t>
      </w:r>
    </w:p>
  </w:footnote>
  <w:footnote w:id="235">
    <w:p w14:paraId="4A18BA41"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13</w:t>
      </w:r>
    </w:p>
  </w:footnote>
  <w:footnote w:id="236">
    <w:p w14:paraId="31AE3777"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237">
    <w:p w14:paraId="446D8679" w14:textId="77777777" w:rsidR="00723291" w:rsidRPr="0090650B" w:rsidRDefault="00723291" w:rsidP="00632A34">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C05</w:t>
      </w:r>
    </w:p>
  </w:footnote>
  <w:footnote w:id="238">
    <w:p w14:paraId="2B291682"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C10</w:t>
      </w:r>
    </w:p>
  </w:footnote>
  <w:footnote w:id="239">
    <w:p w14:paraId="7B93B87D" w14:textId="77777777" w:rsidR="00723291" w:rsidRPr="0090650B" w:rsidRDefault="00723291" w:rsidP="00632A34">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C16</w:t>
      </w:r>
    </w:p>
  </w:footnote>
  <w:footnote w:id="240">
    <w:p w14:paraId="622F2467"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38</w:t>
      </w:r>
    </w:p>
  </w:footnote>
  <w:footnote w:id="241">
    <w:p w14:paraId="459464E6"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54</w:t>
      </w:r>
    </w:p>
  </w:footnote>
  <w:footnote w:id="242">
    <w:p w14:paraId="68EFB174"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C05,C08,C10</w:t>
      </w:r>
    </w:p>
  </w:footnote>
  <w:footnote w:id="243">
    <w:p w14:paraId="4E77B08B"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C05</w:t>
      </w:r>
    </w:p>
  </w:footnote>
  <w:footnote w:id="244">
    <w:p w14:paraId="60BC9292"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C10</w:t>
      </w:r>
    </w:p>
  </w:footnote>
  <w:footnote w:id="245">
    <w:p w14:paraId="3D4FCF38"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C05</w:t>
      </w:r>
    </w:p>
  </w:footnote>
  <w:footnote w:id="246">
    <w:p w14:paraId="39CD6B90"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53,65</w:t>
      </w:r>
    </w:p>
  </w:footnote>
  <w:footnote w:id="247">
    <w:p w14:paraId="18A45373"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13,53,60</w:t>
      </w:r>
    </w:p>
  </w:footnote>
  <w:footnote w:id="248">
    <w:p w14:paraId="732217F9"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C11</w:t>
      </w:r>
    </w:p>
  </w:footnote>
  <w:footnote w:id="249">
    <w:p w14:paraId="5473B62E" w14:textId="77777777" w:rsidR="00723291" w:rsidRPr="0090650B" w:rsidRDefault="00723291" w:rsidP="00752179">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C15</w:t>
      </w:r>
    </w:p>
  </w:footnote>
  <w:footnote w:id="250">
    <w:p w14:paraId="2DD88678"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45</w:t>
      </w:r>
    </w:p>
  </w:footnote>
  <w:footnote w:id="251">
    <w:p w14:paraId="66AB877A"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44,46</w:t>
      </w:r>
    </w:p>
  </w:footnote>
  <w:footnote w:id="252">
    <w:p w14:paraId="5D794403"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46</w:t>
      </w:r>
    </w:p>
  </w:footnote>
  <w:footnote w:id="253">
    <w:p w14:paraId="10330820"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45,47,48</w:t>
      </w:r>
    </w:p>
  </w:footnote>
  <w:footnote w:id="254">
    <w:p w14:paraId="7BBA6973" w14:textId="2E945B56" w:rsidR="00723291" w:rsidRDefault="00723291">
      <w:pPr>
        <w:pStyle w:val="FootnoteText"/>
      </w:pPr>
      <w:r>
        <w:rPr>
          <w:rStyle w:val="FootnoteReference"/>
        </w:rPr>
        <w:footnoteRef/>
      </w:r>
      <w:r>
        <w:t xml:space="preserve"> </w:t>
      </w:r>
      <w:r w:rsidRPr="00307AC1">
        <w:rPr>
          <w:rFonts w:cstheme="majorHAnsi"/>
          <w:szCs w:val="16"/>
        </w:rPr>
        <w:t>45,46</w:t>
      </w:r>
    </w:p>
  </w:footnote>
  <w:footnote w:id="255">
    <w:p w14:paraId="10CB6FB8"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45,46</w:t>
      </w:r>
    </w:p>
  </w:footnote>
  <w:footnote w:id="256">
    <w:p w14:paraId="6789B33E"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45,46</w:t>
      </w:r>
    </w:p>
  </w:footnote>
  <w:footnote w:id="257">
    <w:p w14:paraId="28AE43B7"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46</w:t>
      </w:r>
    </w:p>
  </w:footnote>
  <w:footnote w:id="258">
    <w:p w14:paraId="67AD64BB" w14:textId="6E533BDD" w:rsidR="00723291" w:rsidRDefault="00723291">
      <w:pPr>
        <w:pStyle w:val="FootnoteText"/>
      </w:pPr>
      <w:r>
        <w:rPr>
          <w:rStyle w:val="FootnoteReference"/>
        </w:rPr>
        <w:footnoteRef/>
      </w:r>
      <w:r>
        <w:t xml:space="preserve"> </w:t>
      </w:r>
      <w:r w:rsidRPr="005A4B9F">
        <w:rPr>
          <w:rFonts w:cstheme="majorHAnsi"/>
          <w:szCs w:val="16"/>
        </w:rPr>
        <w:t>45</w:t>
      </w:r>
    </w:p>
  </w:footnote>
  <w:footnote w:id="259">
    <w:p w14:paraId="4068966D"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46</w:t>
      </w:r>
    </w:p>
  </w:footnote>
  <w:footnote w:id="260">
    <w:p w14:paraId="15BC2AA8" w14:textId="2DB12E26" w:rsidR="00723291" w:rsidRDefault="00723291">
      <w:pPr>
        <w:pStyle w:val="FootnoteText"/>
      </w:pPr>
      <w:r>
        <w:rPr>
          <w:rStyle w:val="FootnoteReference"/>
        </w:rPr>
        <w:footnoteRef/>
      </w:r>
      <w:r>
        <w:t xml:space="preserve"> </w:t>
      </w:r>
      <w:r w:rsidRPr="005A4B9F">
        <w:rPr>
          <w:rFonts w:cstheme="majorHAnsi"/>
          <w:szCs w:val="16"/>
        </w:rPr>
        <w:t>46</w:t>
      </w:r>
    </w:p>
  </w:footnote>
  <w:footnote w:id="261">
    <w:p w14:paraId="5B30C8E6" w14:textId="6C86F85C" w:rsidR="00723291" w:rsidRDefault="00723291">
      <w:pPr>
        <w:pStyle w:val="FootnoteText"/>
      </w:pPr>
      <w:r>
        <w:rPr>
          <w:rStyle w:val="FootnoteReference"/>
        </w:rPr>
        <w:footnoteRef/>
      </w:r>
      <w:r>
        <w:t xml:space="preserve"> 11,13</w:t>
      </w:r>
    </w:p>
  </w:footnote>
  <w:footnote w:id="262">
    <w:p w14:paraId="075FB05D"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11</w:t>
      </w:r>
    </w:p>
  </w:footnote>
  <w:footnote w:id="263">
    <w:p w14:paraId="7CFD8E50"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13</w:t>
      </w:r>
    </w:p>
  </w:footnote>
  <w:footnote w:id="264">
    <w:p w14:paraId="7C320F99" w14:textId="51F36197" w:rsidR="00723291" w:rsidRDefault="00723291">
      <w:pPr>
        <w:pStyle w:val="FootnoteText"/>
      </w:pPr>
      <w:r>
        <w:rPr>
          <w:rStyle w:val="FootnoteReference"/>
        </w:rPr>
        <w:footnoteRef/>
      </w:r>
      <w:r>
        <w:t xml:space="preserve"> C10</w:t>
      </w:r>
    </w:p>
  </w:footnote>
  <w:footnote w:id="265">
    <w:p w14:paraId="164D7C78" w14:textId="5999B90C" w:rsidR="00723291" w:rsidRDefault="00723291">
      <w:pPr>
        <w:pStyle w:val="FootnoteText"/>
      </w:pPr>
      <w:r>
        <w:rPr>
          <w:rStyle w:val="FootnoteReference"/>
        </w:rPr>
        <w:footnoteRef/>
      </w:r>
      <w:r>
        <w:t xml:space="preserve"> C04</w:t>
      </w:r>
    </w:p>
  </w:footnote>
  <w:footnote w:id="266">
    <w:p w14:paraId="26498B8D"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C04</w:t>
      </w:r>
    </w:p>
  </w:footnote>
  <w:footnote w:id="267">
    <w:p w14:paraId="6E7B56B1"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C10</w:t>
      </w:r>
    </w:p>
  </w:footnote>
  <w:footnote w:id="268">
    <w:p w14:paraId="502C5791" w14:textId="77777777" w:rsidR="00723291" w:rsidRPr="0090650B" w:rsidRDefault="00723291" w:rsidP="0055581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24</w:t>
      </w:r>
    </w:p>
  </w:footnote>
  <w:footnote w:id="269">
    <w:p w14:paraId="4E01F731"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11,20,37,39,40,44,45,46,53,60,C05,C10,C12,C13</w:t>
      </w:r>
    </w:p>
  </w:footnote>
  <w:footnote w:id="270">
    <w:p w14:paraId="3C74FDF3"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05,16,18,50,51,C07</w:t>
      </w:r>
    </w:p>
  </w:footnote>
  <w:footnote w:id="271">
    <w:p w14:paraId="6F3F2360"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47,49,62,C03,C09,C14</w:t>
      </w:r>
    </w:p>
  </w:footnote>
  <w:footnote w:id="272">
    <w:p w14:paraId="643CFA61"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13,65,C16</w:t>
      </w:r>
    </w:p>
  </w:footnote>
  <w:footnote w:id="273">
    <w:p w14:paraId="125E59A5"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07</w:t>
      </w:r>
    </w:p>
  </w:footnote>
  <w:footnote w:id="274">
    <w:p w14:paraId="48A1D2D4"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11,44,45,C12,C13</w:t>
      </w:r>
    </w:p>
  </w:footnote>
  <w:footnote w:id="275">
    <w:p w14:paraId="0321D839"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05,16,18,50,C04</w:t>
      </w:r>
    </w:p>
  </w:footnote>
  <w:footnote w:id="276">
    <w:p w14:paraId="4470C7F1"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C03,C14</w:t>
      </w:r>
    </w:p>
  </w:footnote>
  <w:footnote w:id="277">
    <w:p w14:paraId="35B33C19" w14:textId="5F1257E1"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07</w:t>
      </w:r>
    </w:p>
  </w:footnote>
  <w:footnote w:id="278">
    <w:p w14:paraId="381569DE"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05,16,18</w:t>
      </w:r>
    </w:p>
  </w:footnote>
  <w:footnote w:id="279">
    <w:p w14:paraId="288B3ADF"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07</w:t>
      </w:r>
    </w:p>
  </w:footnote>
  <w:footnote w:id="280">
    <w:p w14:paraId="005E52F5"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16</w:t>
      </w:r>
    </w:p>
  </w:footnote>
  <w:footnote w:id="281">
    <w:p w14:paraId="3DA14198"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20</w:t>
      </w:r>
    </w:p>
  </w:footnote>
  <w:footnote w:id="282">
    <w:p w14:paraId="6E5E2DB9"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37</w:t>
      </w:r>
    </w:p>
  </w:footnote>
  <w:footnote w:id="283">
    <w:p w14:paraId="2E0D01B4"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C05</w:t>
      </w:r>
    </w:p>
  </w:footnote>
  <w:footnote w:id="284">
    <w:p w14:paraId="440714A8"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51</w:t>
      </w:r>
    </w:p>
  </w:footnote>
  <w:footnote w:id="285">
    <w:p w14:paraId="5EB048B2"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C09</w:t>
      </w:r>
    </w:p>
  </w:footnote>
  <w:footnote w:id="286">
    <w:p w14:paraId="2BE1C270"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39,44,C10</w:t>
      </w:r>
    </w:p>
  </w:footnote>
  <w:footnote w:id="287">
    <w:p w14:paraId="0EECFA23"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62</w:t>
      </w:r>
    </w:p>
  </w:footnote>
  <w:footnote w:id="288">
    <w:p w14:paraId="3444D414"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289">
    <w:p w14:paraId="4F88C20E"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C10</w:t>
      </w:r>
    </w:p>
  </w:footnote>
  <w:footnote w:id="290">
    <w:p w14:paraId="4C89752B"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291">
    <w:p w14:paraId="5060C38B"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20</w:t>
      </w:r>
    </w:p>
  </w:footnote>
  <w:footnote w:id="292">
    <w:p w14:paraId="2B3A8BEE"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37,44,C05</w:t>
      </w:r>
    </w:p>
  </w:footnote>
  <w:footnote w:id="293">
    <w:p w14:paraId="0016FA8A"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45</w:t>
      </w:r>
    </w:p>
  </w:footnote>
  <w:footnote w:id="294">
    <w:p w14:paraId="0C9621C7"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20</w:t>
      </w:r>
    </w:p>
  </w:footnote>
  <w:footnote w:id="295">
    <w:p w14:paraId="769A981F"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11</w:t>
      </w:r>
    </w:p>
  </w:footnote>
  <w:footnote w:id="296">
    <w:p w14:paraId="23CADA0A"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20,40</w:t>
      </w:r>
    </w:p>
  </w:footnote>
  <w:footnote w:id="297">
    <w:p w14:paraId="381B6DF3"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51</w:t>
      </w:r>
    </w:p>
  </w:footnote>
  <w:footnote w:id="298">
    <w:p w14:paraId="02C92FFC" w14:textId="0EE0B478" w:rsidR="00723291" w:rsidRDefault="00723291">
      <w:pPr>
        <w:pStyle w:val="FootnoteText"/>
      </w:pPr>
      <w:r>
        <w:rPr>
          <w:rStyle w:val="FootnoteReference"/>
        </w:rPr>
        <w:footnoteRef/>
      </w:r>
      <w:r>
        <w:t xml:space="preserve"> 39,45,46,53,C10</w:t>
      </w:r>
    </w:p>
  </w:footnote>
  <w:footnote w:id="299">
    <w:p w14:paraId="48ACCD86" w14:textId="0ACE8E9E" w:rsidR="00723291" w:rsidRDefault="00723291">
      <w:pPr>
        <w:pStyle w:val="FootnoteText"/>
      </w:pPr>
      <w:r>
        <w:rPr>
          <w:rStyle w:val="FootnoteReference"/>
        </w:rPr>
        <w:footnoteRef/>
      </w:r>
      <w:r>
        <w:t xml:space="preserve"> 13,65</w:t>
      </w:r>
    </w:p>
  </w:footnote>
  <w:footnote w:id="300">
    <w:p w14:paraId="2881AE19" w14:textId="0BBC2CAB" w:rsidR="00723291" w:rsidRDefault="00723291">
      <w:pPr>
        <w:pStyle w:val="FootnoteText"/>
      </w:pPr>
      <w:r>
        <w:rPr>
          <w:rStyle w:val="FootnoteReference"/>
        </w:rPr>
        <w:footnoteRef/>
      </w:r>
      <w:r>
        <w:t xml:space="preserve"> C07</w:t>
      </w:r>
    </w:p>
  </w:footnote>
  <w:footnote w:id="301">
    <w:p w14:paraId="1131F3FF" w14:textId="77A53171" w:rsidR="00723291" w:rsidRDefault="00723291">
      <w:pPr>
        <w:pStyle w:val="FootnoteText"/>
      </w:pPr>
      <w:r>
        <w:rPr>
          <w:rStyle w:val="FootnoteReference"/>
        </w:rPr>
        <w:footnoteRef/>
      </w:r>
      <w:r>
        <w:t xml:space="preserve"> 47</w:t>
      </w:r>
    </w:p>
  </w:footnote>
  <w:footnote w:id="302">
    <w:p w14:paraId="6D556AF4" w14:textId="77777777" w:rsidR="00723291" w:rsidRPr="0090650B" w:rsidRDefault="00723291" w:rsidP="00C86DA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45,47,49,60,C16</w:t>
      </w:r>
    </w:p>
  </w:footnote>
  <w:footnote w:id="303">
    <w:p w14:paraId="1B40C721" w14:textId="2F131D64" w:rsidR="00723291" w:rsidRDefault="00723291">
      <w:pPr>
        <w:pStyle w:val="FootnoteText"/>
      </w:pPr>
      <w:r>
        <w:rPr>
          <w:rStyle w:val="FootnoteReference"/>
        </w:rPr>
        <w:footnoteRef/>
      </w:r>
      <w:r>
        <w:t xml:space="preserve"> </w:t>
      </w:r>
      <w:r w:rsidRPr="00A268D8">
        <w:rPr>
          <w:sz w:val="18"/>
        </w:rPr>
        <w:t>This information was access</w:t>
      </w:r>
      <w:r>
        <w:rPr>
          <w:sz w:val="18"/>
        </w:rPr>
        <w:t>ed</w:t>
      </w:r>
      <w:r w:rsidRPr="00A268D8">
        <w:rPr>
          <w:sz w:val="18"/>
        </w:rPr>
        <w:t xml:space="preserve"> from </w:t>
      </w:r>
      <w:hyperlink r:id="rId1" w:history="1">
        <w:r w:rsidRPr="00A268D8">
          <w:rPr>
            <w:rStyle w:val="Hyperlink"/>
            <w:sz w:val="18"/>
          </w:rPr>
          <w:t>https://www.health.govt.nz/publication/strategy-prevent-and-minimise-gambling-harm-2019-20-2021-22-consultation-document</w:t>
        </w:r>
      </w:hyperlink>
      <w:r w:rsidRPr="00A268D8">
        <w:t xml:space="preserve"> </w:t>
      </w:r>
    </w:p>
  </w:footnote>
  <w:footnote w:id="304">
    <w:p w14:paraId="34145D64"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25</w:t>
      </w:r>
    </w:p>
  </w:footnote>
  <w:footnote w:id="305">
    <w:p w14:paraId="0C4F9774"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01,03,05,06,14,16,18,26,28,50,63</w:t>
      </w:r>
    </w:p>
  </w:footnote>
  <w:footnote w:id="306">
    <w:p w14:paraId="6471F39D"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16,18,28,C03,C04,C07</w:t>
      </w:r>
    </w:p>
  </w:footnote>
  <w:footnote w:id="307">
    <w:p w14:paraId="4CCEE982" w14:textId="717E0D02" w:rsidR="00723291" w:rsidRDefault="00723291">
      <w:pPr>
        <w:pStyle w:val="FootnoteText"/>
      </w:pPr>
      <w:r w:rsidRPr="00C462D1">
        <w:rPr>
          <w:rStyle w:val="FootnoteReference"/>
          <w:rFonts w:cstheme="majorHAnsi"/>
          <w:szCs w:val="16"/>
        </w:rPr>
        <w:footnoteRef/>
      </w:r>
      <w:r w:rsidRPr="00C462D1">
        <w:rPr>
          <w:rStyle w:val="FootnoteReference"/>
          <w:rFonts w:cstheme="majorHAnsi"/>
          <w:szCs w:val="16"/>
        </w:rPr>
        <w:t xml:space="preserve"> </w:t>
      </w:r>
      <w:r w:rsidRPr="00C462D1">
        <w:rPr>
          <w:rFonts w:cstheme="majorHAnsi"/>
          <w:szCs w:val="16"/>
        </w:rPr>
        <w:t>C03</w:t>
      </w:r>
    </w:p>
  </w:footnote>
  <w:footnote w:id="308">
    <w:p w14:paraId="029BA9E7"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14,18</w:t>
      </w:r>
    </w:p>
  </w:footnote>
  <w:footnote w:id="309">
    <w:p w14:paraId="28D1AA8F"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C04</w:t>
      </w:r>
    </w:p>
  </w:footnote>
  <w:footnote w:id="310">
    <w:p w14:paraId="2FED9D97" w14:textId="58276F13" w:rsidR="00723291" w:rsidRDefault="00723291">
      <w:pPr>
        <w:pStyle w:val="FootnoteText"/>
      </w:pPr>
      <w:r>
        <w:rPr>
          <w:rStyle w:val="FootnoteReference"/>
        </w:rPr>
        <w:footnoteRef/>
      </w:r>
      <w:r>
        <w:t xml:space="preserve"> 11,37,C05</w:t>
      </w:r>
    </w:p>
  </w:footnote>
  <w:footnote w:id="311">
    <w:p w14:paraId="0E88E6CD" w14:textId="6AE47EA6"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21</w:t>
      </w:r>
    </w:p>
  </w:footnote>
  <w:footnote w:id="312">
    <w:p w14:paraId="350B0F74"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37</w:t>
      </w:r>
    </w:p>
  </w:footnote>
  <w:footnote w:id="313">
    <w:p w14:paraId="35C0CFDF" w14:textId="7C4A2E27" w:rsidR="00723291" w:rsidRDefault="00723291">
      <w:pPr>
        <w:pStyle w:val="FootnoteText"/>
      </w:pPr>
      <w:r>
        <w:rPr>
          <w:rStyle w:val="FootnoteReference"/>
        </w:rPr>
        <w:footnoteRef/>
      </w:r>
      <w:r>
        <w:t xml:space="preserve"> 12</w:t>
      </w:r>
    </w:p>
  </w:footnote>
  <w:footnote w:id="314">
    <w:p w14:paraId="6AA4B3E8" w14:textId="3AE166CF" w:rsidR="00723291" w:rsidRDefault="00723291">
      <w:pPr>
        <w:pStyle w:val="FootnoteText"/>
      </w:pPr>
      <w:r>
        <w:rPr>
          <w:rStyle w:val="FootnoteReference"/>
        </w:rPr>
        <w:footnoteRef/>
      </w:r>
      <w:r>
        <w:t xml:space="preserve"> 36</w:t>
      </w:r>
    </w:p>
  </w:footnote>
  <w:footnote w:id="315">
    <w:p w14:paraId="74457CC0" w14:textId="7EDC6CAB" w:rsidR="00723291" w:rsidRPr="0090650B" w:rsidRDefault="00723291" w:rsidP="006C7B56">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56,C08</w:t>
      </w:r>
    </w:p>
  </w:footnote>
  <w:footnote w:id="316">
    <w:p w14:paraId="2DA8DE4C" w14:textId="77777777" w:rsidR="00723291" w:rsidRPr="0090650B" w:rsidRDefault="00723291" w:rsidP="006C7B56">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59</w:t>
      </w:r>
    </w:p>
  </w:footnote>
  <w:footnote w:id="317">
    <w:p w14:paraId="4264CD45" w14:textId="77777777" w:rsidR="00723291" w:rsidRPr="0090650B" w:rsidRDefault="00723291" w:rsidP="006C7B56">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C11</w:t>
      </w:r>
    </w:p>
  </w:footnote>
  <w:footnote w:id="318">
    <w:p w14:paraId="3023AABB" w14:textId="77777777" w:rsidR="00723291" w:rsidRPr="0090650B" w:rsidRDefault="00723291" w:rsidP="006C7B56">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40</w:t>
      </w:r>
    </w:p>
  </w:footnote>
  <w:footnote w:id="319">
    <w:p w14:paraId="1CE7C9B5" w14:textId="6BBB2375" w:rsidR="00723291" w:rsidRDefault="00723291">
      <w:pPr>
        <w:pStyle w:val="FootnoteText"/>
      </w:pPr>
      <w:r>
        <w:rPr>
          <w:rStyle w:val="FootnoteReference"/>
        </w:rPr>
        <w:footnoteRef/>
      </w:r>
      <w:r>
        <w:t xml:space="preserve"> 01,05,06,14,16,17,18,28,41,51,63,64,C04</w:t>
      </w:r>
    </w:p>
  </w:footnote>
  <w:footnote w:id="320">
    <w:p w14:paraId="045CABD6" w14:textId="091B07C8"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43</w:t>
      </w:r>
    </w:p>
  </w:footnote>
  <w:footnote w:id="321">
    <w:p w14:paraId="33502182" w14:textId="05B689AE" w:rsidR="00723291" w:rsidRDefault="00723291">
      <w:pPr>
        <w:pStyle w:val="FootnoteText"/>
      </w:pPr>
      <w:r>
        <w:rPr>
          <w:rStyle w:val="FootnoteReference"/>
        </w:rPr>
        <w:footnoteRef/>
      </w:r>
      <w:r>
        <w:t xml:space="preserve"> 06</w:t>
      </w:r>
    </w:p>
  </w:footnote>
  <w:footnote w:id="322">
    <w:p w14:paraId="7238EA49"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18,41,64</w:t>
      </w:r>
    </w:p>
  </w:footnote>
  <w:footnote w:id="323">
    <w:p w14:paraId="0C80DF8B"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14,18</w:t>
      </w:r>
    </w:p>
  </w:footnote>
  <w:footnote w:id="324">
    <w:p w14:paraId="470C9610"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01,16,18</w:t>
      </w:r>
    </w:p>
  </w:footnote>
  <w:footnote w:id="325">
    <w:p w14:paraId="48E5B0FD" w14:textId="48909495"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02,41</w:t>
      </w:r>
    </w:p>
  </w:footnote>
  <w:footnote w:id="326">
    <w:p w14:paraId="687898DF" w14:textId="730964BE" w:rsidR="00723291" w:rsidRDefault="00723291">
      <w:pPr>
        <w:pStyle w:val="FootnoteText"/>
      </w:pPr>
      <w:r>
        <w:rPr>
          <w:rStyle w:val="FootnoteReference"/>
        </w:rPr>
        <w:footnoteRef/>
      </w:r>
      <w:r>
        <w:t xml:space="preserve"> 24</w:t>
      </w:r>
    </w:p>
  </w:footnote>
  <w:footnote w:id="327">
    <w:p w14:paraId="2557D87A"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10,41</w:t>
      </w:r>
    </w:p>
  </w:footnote>
  <w:footnote w:id="328">
    <w:p w14:paraId="36187598"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41</w:t>
      </w:r>
    </w:p>
  </w:footnote>
  <w:footnote w:id="329">
    <w:p w14:paraId="636427AD"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03,41</w:t>
      </w:r>
    </w:p>
  </w:footnote>
  <w:footnote w:id="330">
    <w:p w14:paraId="1453016D"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41</w:t>
      </w:r>
    </w:p>
  </w:footnote>
  <w:footnote w:id="331">
    <w:p w14:paraId="4F6A6373"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50</w:t>
      </w:r>
    </w:p>
  </w:footnote>
  <w:footnote w:id="332">
    <w:p w14:paraId="3F761D1A"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51</w:t>
      </w:r>
    </w:p>
  </w:footnote>
  <w:footnote w:id="333">
    <w:p w14:paraId="4BD5E70F" w14:textId="1EA655B6" w:rsidR="00723291" w:rsidRDefault="00723291">
      <w:pPr>
        <w:pStyle w:val="FootnoteText"/>
      </w:pPr>
      <w:r>
        <w:rPr>
          <w:rStyle w:val="FootnoteReference"/>
        </w:rPr>
        <w:footnoteRef/>
      </w:r>
      <w:r>
        <w:t xml:space="preserve"> 54</w:t>
      </w:r>
    </w:p>
  </w:footnote>
  <w:footnote w:id="334">
    <w:p w14:paraId="2B4E0542" w14:textId="77777777" w:rsidR="00723291" w:rsidRPr="0090650B" w:rsidRDefault="00723291" w:rsidP="006F1C17">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01,02,06,14,18,28,63,64</w:t>
      </w:r>
    </w:p>
  </w:footnote>
  <w:footnote w:id="335">
    <w:p w14:paraId="32FB283B" w14:textId="32785C43" w:rsidR="00723291" w:rsidRDefault="00723291">
      <w:pPr>
        <w:pStyle w:val="FootnoteText"/>
      </w:pPr>
      <w:r>
        <w:rPr>
          <w:rStyle w:val="FootnoteReference"/>
        </w:rPr>
        <w:footnoteRef/>
      </w:r>
      <w:r>
        <w:t xml:space="preserve"> 11,20,37,40,45,C05,C10,C11,C13</w:t>
      </w:r>
    </w:p>
  </w:footnote>
  <w:footnote w:id="336">
    <w:p w14:paraId="37EE9F21" w14:textId="354FE1A1" w:rsidR="00723291" w:rsidRDefault="00723291">
      <w:pPr>
        <w:pStyle w:val="FootnoteText"/>
      </w:pPr>
      <w:r>
        <w:rPr>
          <w:rStyle w:val="FootnoteReference"/>
        </w:rPr>
        <w:footnoteRef/>
      </w:r>
      <w:r>
        <w:t xml:space="preserve"> 27</w:t>
      </w:r>
    </w:p>
  </w:footnote>
  <w:footnote w:id="337">
    <w:p w14:paraId="4A1E7754" w14:textId="515DB875" w:rsidR="00723291" w:rsidRDefault="00723291">
      <w:pPr>
        <w:pStyle w:val="FootnoteText"/>
      </w:pPr>
      <w:r>
        <w:rPr>
          <w:rStyle w:val="FootnoteReference"/>
        </w:rPr>
        <w:footnoteRef/>
      </w:r>
      <w:r>
        <w:t xml:space="preserve"> 12</w:t>
      </w:r>
    </w:p>
  </w:footnote>
  <w:footnote w:id="338">
    <w:p w14:paraId="6B2C8F3A" w14:textId="5BED2FCE" w:rsidR="00723291" w:rsidRPr="0090650B" w:rsidRDefault="00723291" w:rsidP="006F1C17">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21,C01</w:t>
      </w:r>
    </w:p>
  </w:footnote>
  <w:footnote w:id="339">
    <w:p w14:paraId="5E6917A2" w14:textId="77777777" w:rsidR="00723291" w:rsidRPr="0090650B" w:rsidRDefault="00723291" w:rsidP="00070866">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30</w:t>
      </w:r>
    </w:p>
  </w:footnote>
  <w:footnote w:id="340">
    <w:p w14:paraId="62B34268" w14:textId="77777777" w:rsidR="00723291" w:rsidRPr="0090650B" w:rsidRDefault="00723291" w:rsidP="006F1C17">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45</w:t>
      </w:r>
    </w:p>
  </w:footnote>
  <w:footnote w:id="341">
    <w:p w14:paraId="69FDCF84"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27</w:t>
      </w:r>
    </w:p>
  </w:footnote>
  <w:footnote w:id="342">
    <w:p w14:paraId="490EDDC9"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39</w:t>
      </w:r>
    </w:p>
  </w:footnote>
  <w:footnote w:id="343">
    <w:p w14:paraId="6FEB811D" w14:textId="3C4A1FBD" w:rsidR="00723291" w:rsidRDefault="00723291">
      <w:pPr>
        <w:pStyle w:val="FootnoteText"/>
      </w:pPr>
      <w:r>
        <w:rPr>
          <w:rStyle w:val="FootnoteReference"/>
        </w:rPr>
        <w:footnoteRef/>
      </w:r>
      <w:r>
        <w:t xml:space="preserve"> 42,43,</w:t>
      </w:r>
    </w:p>
  </w:footnote>
  <w:footnote w:id="344">
    <w:p w14:paraId="7ED91138" w14:textId="65D61070" w:rsidR="00723291" w:rsidRDefault="00723291">
      <w:pPr>
        <w:pStyle w:val="FootnoteText"/>
      </w:pPr>
      <w:r>
        <w:rPr>
          <w:rStyle w:val="FootnoteReference"/>
        </w:rPr>
        <w:footnoteRef/>
      </w:r>
      <w:r>
        <w:t xml:space="preserve"> 44,45,C02,C08</w:t>
      </w:r>
    </w:p>
  </w:footnote>
  <w:footnote w:id="345">
    <w:p w14:paraId="1E760A62" w14:textId="5773AF9F" w:rsidR="00723291" w:rsidRDefault="00723291">
      <w:pPr>
        <w:pStyle w:val="FootnoteText"/>
      </w:pPr>
      <w:r>
        <w:rPr>
          <w:rStyle w:val="FootnoteReference"/>
        </w:rPr>
        <w:footnoteRef/>
      </w:r>
      <w:r>
        <w:t xml:space="preserve"> 32,33,36,57</w:t>
      </w:r>
    </w:p>
  </w:footnote>
  <w:footnote w:id="346">
    <w:p w14:paraId="014565B7" w14:textId="3ED3BC2A"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29</w:t>
      </w:r>
    </w:p>
  </w:footnote>
  <w:footnote w:id="347">
    <w:p w14:paraId="2F1565B8" w14:textId="24B6D2D6" w:rsidR="00723291" w:rsidRDefault="00723291">
      <w:pPr>
        <w:pStyle w:val="FootnoteText"/>
      </w:pPr>
      <w:r>
        <w:rPr>
          <w:rStyle w:val="FootnoteReference"/>
        </w:rPr>
        <w:footnoteRef/>
      </w:r>
      <w:r>
        <w:t xml:space="preserve"> 55</w:t>
      </w:r>
    </w:p>
  </w:footnote>
  <w:footnote w:id="348">
    <w:p w14:paraId="01504310" w14:textId="7B338DBF" w:rsidR="00723291" w:rsidRDefault="00723291">
      <w:pPr>
        <w:pStyle w:val="FootnoteText"/>
      </w:pPr>
      <w:r>
        <w:rPr>
          <w:rStyle w:val="FootnoteReference"/>
        </w:rPr>
        <w:footnoteRef/>
      </w:r>
      <w:r>
        <w:t xml:space="preserve"> 44</w:t>
      </w:r>
    </w:p>
  </w:footnote>
  <w:footnote w:id="349">
    <w:p w14:paraId="5A0D2302" w14:textId="4B88AC93" w:rsidR="00723291" w:rsidRDefault="00723291">
      <w:pPr>
        <w:pStyle w:val="FootnoteText"/>
      </w:pPr>
      <w:r>
        <w:rPr>
          <w:rStyle w:val="FootnoteReference"/>
        </w:rPr>
        <w:footnoteRef/>
      </w:r>
      <w:r>
        <w:t xml:space="preserve"> 36</w:t>
      </w:r>
    </w:p>
  </w:footnote>
  <w:footnote w:id="350">
    <w:p w14:paraId="5E5BD29A" w14:textId="458105A8"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21,38</w:t>
      </w:r>
    </w:p>
  </w:footnote>
  <w:footnote w:id="351">
    <w:p w14:paraId="2B47D308" w14:textId="5AACD777" w:rsidR="00723291" w:rsidRDefault="00723291">
      <w:pPr>
        <w:pStyle w:val="FootnoteText"/>
      </w:pPr>
      <w:r>
        <w:rPr>
          <w:rStyle w:val="FootnoteReference"/>
        </w:rPr>
        <w:footnoteRef/>
      </w:r>
      <w:r>
        <w:t xml:space="preserve"> 55</w:t>
      </w:r>
    </w:p>
  </w:footnote>
  <w:footnote w:id="352">
    <w:p w14:paraId="03AB55D6" w14:textId="03156F60"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33,36</w:t>
      </w:r>
    </w:p>
  </w:footnote>
  <w:footnote w:id="353">
    <w:p w14:paraId="5F08A34B"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21</w:t>
      </w:r>
    </w:p>
  </w:footnote>
  <w:footnote w:id="354">
    <w:p w14:paraId="696D690F"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21</w:t>
      </w:r>
    </w:p>
  </w:footnote>
  <w:footnote w:id="355">
    <w:p w14:paraId="08EE1405" w14:textId="51D2750B" w:rsidR="00723291" w:rsidRDefault="00723291">
      <w:pPr>
        <w:pStyle w:val="FootnoteText"/>
      </w:pPr>
      <w:r>
        <w:rPr>
          <w:rStyle w:val="FootnoteReference"/>
        </w:rPr>
        <w:footnoteRef/>
      </w:r>
      <w:r>
        <w:t xml:space="preserve"> 36</w:t>
      </w:r>
    </w:p>
  </w:footnote>
  <w:footnote w:id="356">
    <w:p w14:paraId="2564451C" w14:textId="60AAE874"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25</w:t>
      </w:r>
    </w:p>
  </w:footnote>
  <w:footnote w:id="357">
    <w:p w14:paraId="12BC02CA"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36</w:t>
      </w:r>
    </w:p>
  </w:footnote>
  <w:footnote w:id="358">
    <w:p w14:paraId="6E32E3F5" w14:textId="77777777" w:rsidR="00723291" w:rsidRPr="0090650B" w:rsidRDefault="00723291" w:rsidP="0003309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45</w:t>
      </w:r>
    </w:p>
  </w:footnote>
  <w:footnote w:id="359">
    <w:p w14:paraId="705E6B2B" w14:textId="77777777" w:rsidR="00723291" w:rsidRPr="0090650B" w:rsidRDefault="00723291" w:rsidP="0003309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29 </w:t>
      </w:r>
    </w:p>
  </w:footnote>
  <w:footnote w:id="360">
    <w:p w14:paraId="35A77DB1"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57</w:t>
      </w:r>
    </w:p>
  </w:footnote>
  <w:footnote w:id="361">
    <w:p w14:paraId="758DBFFF"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32</w:t>
      </w:r>
    </w:p>
  </w:footnote>
  <w:footnote w:id="362">
    <w:p w14:paraId="0AAD0A7D" w14:textId="203A0129" w:rsidR="00723291" w:rsidRDefault="00723291">
      <w:pPr>
        <w:pStyle w:val="FootnoteText"/>
      </w:pPr>
      <w:r>
        <w:rPr>
          <w:rStyle w:val="FootnoteReference"/>
        </w:rPr>
        <w:footnoteRef/>
      </w:r>
      <w:r>
        <w:t xml:space="preserve"> 50</w:t>
      </w:r>
    </w:p>
  </w:footnote>
  <w:footnote w:id="363">
    <w:p w14:paraId="575A7DD5" w14:textId="010A3F93" w:rsidR="00723291" w:rsidRDefault="00723291">
      <w:pPr>
        <w:pStyle w:val="FootnoteText"/>
      </w:pPr>
      <w:r>
        <w:rPr>
          <w:rStyle w:val="FootnoteReference"/>
        </w:rPr>
        <w:footnoteRef/>
      </w:r>
      <w:r>
        <w:t xml:space="preserve"> C16</w:t>
      </w:r>
    </w:p>
  </w:footnote>
  <w:footnote w:id="364">
    <w:p w14:paraId="6CBA5AA8" w14:textId="44D9E570" w:rsidR="00723291" w:rsidRDefault="00723291">
      <w:pPr>
        <w:pStyle w:val="FootnoteText"/>
      </w:pPr>
      <w:r>
        <w:rPr>
          <w:rStyle w:val="FootnoteReference"/>
        </w:rPr>
        <w:footnoteRef/>
      </w:r>
      <w:r>
        <w:t xml:space="preserve"> 44,60</w:t>
      </w:r>
    </w:p>
  </w:footnote>
  <w:footnote w:id="365">
    <w:p w14:paraId="130618AB" w14:textId="71B59D2F" w:rsidR="00723291" w:rsidRDefault="00723291">
      <w:pPr>
        <w:pStyle w:val="FootnoteText"/>
      </w:pPr>
      <w:r>
        <w:rPr>
          <w:rStyle w:val="FootnoteReference"/>
        </w:rPr>
        <w:footnoteRef/>
      </w:r>
      <w:r>
        <w:t xml:space="preserve"> C03</w:t>
      </w:r>
    </w:p>
  </w:footnote>
  <w:footnote w:id="366">
    <w:p w14:paraId="07F4977B"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367">
    <w:p w14:paraId="4D641091"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C03</w:t>
      </w:r>
    </w:p>
  </w:footnote>
  <w:footnote w:id="368">
    <w:p w14:paraId="12DC5E13"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17</w:t>
      </w:r>
    </w:p>
  </w:footnote>
  <w:footnote w:id="369">
    <w:p w14:paraId="2B11B8C0"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370">
    <w:p w14:paraId="61E959EA"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20,65</w:t>
      </w:r>
    </w:p>
  </w:footnote>
  <w:footnote w:id="371">
    <w:p w14:paraId="502B60BD"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372">
    <w:p w14:paraId="416B58A1" w14:textId="77777777" w:rsidR="00723291" w:rsidRPr="0090650B" w:rsidRDefault="00723291" w:rsidP="00A37DDF">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13</w:t>
      </w:r>
    </w:p>
  </w:footnote>
  <w:footnote w:id="373">
    <w:p w14:paraId="3B48C227" w14:textId="562DC45D" w:rsidR="00723291" w:rsidRDefault="00723291">
      <w:pPr>
        <w:pStyle w:val="FootnoteText"/>
      </w:pPr>
      <w:r>
        <w:rPr>
          <w:rStyle w:val="FootnoteReference"/>
        </w:rPr>
        <w:footnoteRef/>
      </w:r>
      <w:r>
        <w:t xml:space="preserve"> 11,37,39,44,60,C05</w:t>
      </w:r>
    </w:p>
  </w:footnote>
  <w:footnote w:id="374">
    <w:p w14:paraId="0409652C" w14:textId="5A8E38E8" w:rsidR="00723291" w:rsidRDefault="00723291">
      <w:pPr>
        <w:pStyle w:val="FootnoteText"/>
      </w:pPr>
      <w:r>
        <w:rPr>
          <w:rStyle w:val="FootnoteReference"/>
        </w:rPr>
        <w:footnoteRef/>
      </w:r>
      <w:r>
        <w:t xml:space="preserve"> 13</w:t>
      </w:r>
    </w:p>
  </w:footnote>
  <w:footnote w:id="375">
    <w:p w14:paraId="30937941" w14:textId="6F90B36A"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12</w:t>
      </w:r>
    </w:p>
  </w:footnote>
  <w:footnote w:id="376">
    <w:p w14:paraId="249F8BDB"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11</w:t>
      </w:r>
    </w:p>
  </w:footnote>
  <w:footnote w:id="377">
    <w:p w14:paraId="38A7F4D9" w14:textId="23310499" w:rsidR="00723291" w:rsidRDefault="00723291">
      <w:pPr>
        <w:pStyle w:val="FootnoteText"/>
      </w:pPr>
      <w:r>
        <w:rPr>
          <w:rStyle w:val="FootnoteReference"/>
        </w:rPr>
        <w:footnoteRef/>
      </w:r>
      <w:r>
        <w:t xml:space="preserve"> 12</w:t>
      </w:r>
    </w:p>
  </w:footnote>
  <w:footnote w:id="378">
    <w:p w14:paraId="17C510DA" w14:textId="36FF210D"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12,20,39</w:t>
      </w:r>
    </w:p>
  </w:footnote>
  <w:footnote w:id="379">
    <w:p w14:paraId="1F639B82" w14:textId="0982480C" w:rsidR="00723291" w:rsidRDefault="00723291">
      <w:pPr>
        <w:pStyle w:val="FootnoteText"/>
      </w:pPr>
      <w:r>
        <w:rPr>
          <w:rStyle w:val="FootnoteReference"/>
        </w:rPr>
        <w:footnoteRef/>
      </w:r>
      <w:r>
        <w:t xml:space="preserve"> 62</w:t>
      </w:r>
    </w:p>
  </w:footnote>
  <w:footnote w:id="380">
    <w:p w14:paraId="7E2428D3"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12</w:t>
      </w:r>
    </w:p>
  </w:footnote>
  <w:footnote w:id="381">
    <w:p w14:paraId="41792A9F" w14:textId="467EE7C3" w:rsidR="00723291" w:rsidRDefault="00723291">
      <w:pPr>
        <w:pStyle w:val="FootnoteText"/>
      </w:pPr>
      <w:r>
        <w:rPr>
          <w:rStyle w:val="FootnoteReference"/>
        </w:rPr>
        <w:footnoteRef/>
      </w:r>
      <w:r>
        <w:t xml:space="preserve"> 12,29</w:t>
      </w:r>
    </w:p>
  </w:footnote>
  <w:footnote w:id="382">
    <w:p w14:paraId="4C3F183E"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13</w:t>
      </w:r>
    </w:p>
  </w:footnote>
  <w:footnote w:id="383">
    <w:p w14:paraId="6A04DB4A" w14:textId="77777777" w:rsidR="00723291" w:rsidRPr="0090650B" w:rsidRDefault="00723291" w:rsidP="00A37DDF">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44,45</w:t>
      </w:r>
    </w:p>
  </w:footnote>
  <w:footnote w:id="384">
    <w:p w14:paraId="50FED49A" w14:textId="77777777" w:rsidR="00723291" w:rsidRPr="0090650B" w:rsidRDefault="00723291" w:rsidP="00A37DDF">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45</w:t>
      </w:r>
    </w:p>
  </w:footnote>
  <w:footnote w:id="385">
    <w:p w14:paraId="7123FE56"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386">
    <w:p w14:paraId="0CE1178A"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57</w:t>
      </w:r>
    </w:p>
  </w:footnote>
  <w:footnote w:id="387">
    <w:p w14:paraId="3250CAFF"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20</w:t>
      </w:r>
    </w:p>
  </w:footnote>
  <w:footnote w:id="388">
    <w:p w14:paraId="60886583"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C05</w:t>
      </w:r>
    </w:p>
  </w:footnote>
  <w:footnote w:id="389">
    <w:p w14:paraId="6BAB3A5D"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45</w:t>
      </w:r>
    </w:p>
  </w:footnote>
  <w:footnote w:id="390">
    <w:p w14:paraId="22EAF195"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20</w:t>
      </w:r>
    </w:p>
  </w:footnote>
  <w:footnote w:id="391">
    <w:p w14:paraId="2A4294E8"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51</w:t>
      </w:r>
    </w:p>
  </w:footnote>
  <w:footnote w:id="392">
    <w:p w14:paraId="57574F76"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393">
    <w:p w14:paraId="4B905123"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Since it seems unlikely that such advertising would be funded through the appropriation, it seems likely that the submitter intends that a public health initiative should be included to investigate, report on and make recommendations about the practices in order to influence policy change.</w:t>
      </w:r>
    </w:p>
  </w:footnote>
  <w:footnote w:id="394">
    <w:p w14:paraId="7A857B6F"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40,44</w:t>
      </w:r>
    </w:p>
  </w:footnote>
  <w:footnote w:id="395">
    <w:p w14:paraId="6DDD5BB7"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11</w:t>
      </w:r>
    </w:p>
  </w:footnote>
  <w:footnote w:id="396">
    <w:p w14:paraId="60146833"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39</w:t>
      </w:r>
    </w:p>
  </w:footnote>
  <w:footnote w:id="397">
    <w:p w14:paraId="184A3094"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10</w:t>
      </w:r>
    </w:p>
  </w:footnote>
  <w:footnote w:id="398">
    <w:p w14:paraId="3543BBBB" w14:textId="57CA4502" w:rsidR="00723291" w:rsidRDefault="00723291">
      <w:pPr>
        <w:pStyle w:val="FootnoteText"/>
      </w:pPr>
      <w:r>
        <w:rPr>
          <w:rStyle w:val="FootnoteReference"/>
        </w:rPr>
        <w:footnoteRef/>
      </w:r>
      <w:r>
        <w:t xml:space="preserve"> 11,20,39,44,60,C05</w:t>
      </w:r>
    </w:p>
  </w:footnote>
  <w:footnote w:id="399">
    <w:p w14:paraId="608771A6" w14:textId="48979454" w:rsidR="00723291" w:rsidRDefault="00723291">
      <w:pPr>
        <w:pStyle w:val="FootnoteText"/>
      </w:pPr>
      <w:r>
        <w:rPr>
          <w:rStyle w:val="FootnoteReference"/>
        </w:rPr>
        <w:footnoteRef/>
      </w:r>
      <w:r>
        <w:t xml:space="preserve"> 33,37,C16</w:t>
      </w:r>
    </w:p>
  </w:footnote>
  <w:footnote w:id="400">
    <w:p w14:paraId="3403434E" w14:textId="04A5B4C0" w:rsidR="00723291" w:rsidRDefault="00723291">
      <w:pPr>
        <w:pStyle w:val="FootnoteText"/>
      </w:pPr>
      <w:r>
        <w:rPr>
          <w:rStyle w:val="FootnoteReference"/>
        </w:rPr>
        <w:footnoteRef/>
      </w:r>
      <w:r>
        <w:t xml:space="preserve"> 47</w:t>
      </w:r>
    </w:p>
  </w:footnote>
  <w:footnote w:id="401">
    <w:p w14:paraId="08E6B329" w14:textId="1131CBA1" w:rsidR="00723291" w:rsidRDefault="00723291">
      <w:pPr>
        <w:pStyle w:val="FootnoteText"/>
      </w:pPr>
      <w:r>
        <w:rPr>
          <w:rStyle w:val="FootnoteReference"/>
        </w:rPr>
        <w:footnoteRef/>
      </w:r>
      <w:r>
        <w:t xml:space="preserve"> 47</w:t>
      </w:r>
    </w:p>
  </w:footnote>
  <w:footnote w:id="402">
    <w:p w14:paraId="11815B95" w14:textId="75EBB5E1" w:rsidR="00723291" w:rsidRDefault="00723291">
      <w:pPr>
        <w:pStyle w:val="FootnoteText"/>
      </w:pPr>
      <w:r>
        <w:rPr>
          <w:rStyle w:val="FootnoteReference"/>
        </w:rPr>
        <w:footnoteRef/>
      </w:r>
      <w:r>
        <w:t xml:space="preserve"> 11,20,39,44,60,C05</w:t>
      </w:r>
    </w:p>
  </w:footnote>
  <w:footnote w:id="403">
    <w:p w14:paraId="4C2245D5"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60</w:t>
      </w:r>
    </w:p>
  </w:footnote>
  <w:footnote w:id="404">
    <w:p w14:paraId="3BCC2FFF" w14:textId="71CB33F9" w:rsidR="00723291" w:rsidRDefault="00723291">
      <w:pPr>
        <w:pStyle w:val="FootnoteText"/>
      </w:pPr>
      <w:r>
        <w:rPr>
          <w:rStyle w:val="FootnoteReference"/>
        </w:rPr>
        <w:footnoteRef/>
      </w:r>
      <w:r>
        <w:t xml:space="preserve"> 08,18,26,28,C04</w:t>
      </w:r>
    </w:p>
  </w:footnote>
  <w:footnote w:id="405">
    <w:p w14:paraId="59DDDDB6" w14:textId="1EEB6FEF"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33</w:t>
      </w:r>
    </w:p>
  </w:footnote>
  <w:footnote w:id="406">
    <w:p w14:paraId="2F8F6716" w14:textId="51DF766A"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11,39,44</w:t>
      </w:r>
    </w:p>
  </w:footnote>
  <w:footnote w:id="407">
    <w:p w14:paraId="2B7273E9"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45</w:t>
      </w:r>
    </w:p>
  </w:footnote>
  <w:footnote w:id="408">
    <w:p w14:paraId="7974DB50"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39</w:t>
      </w:r>
    </w:p>
  </w:footnote>
  <w:footnote w:id="409">
    <w:p w14:paraId="130E897F"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36</w:t>
      </w:r>
    </w:p>
  </w:footnote>
  <w:footnote w:id="410">
    <w:p w14:paraId="2FBD8350"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62</w:t>
      </w:r>
    </w:p>
  </w:footnote>
  <w:footnote w:id="411">
    <w:p w14:paraId="1463540E"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37</w:t>
      </w:r>
    </w:p>
  </w:footnote>
  <w:footnote w:id="412">
    <w:p w14:paraId="257DADF8"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C16</w:t>
      </w:r>
    </w:p>
  </w:footnote>
  <w:footnote w:id="413">
    <w:p w14:paraId="6187C328"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41</w:t>
      </w:r>
    </w:p>
  </w:footnote>
  <w:footnote w:id="414">
    <w:p w14:paraId="10BA1849" w14:textId="77777777" w:rsidR="00723291" w:rsidRPr="0090650B" w:rsidRDefault="00723291" w:rsidP="00DB2BB7">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44</w:t>
      </w:r>
    </w:p>
  </w:footnote>
  <w:footnote w:id="415">
    <w:p w14:paraId="7F626FE1"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45</w:t>
      </w:r>
    </w:p>
  </w:footnote>
  <w:footnote w:id="416">
    <w:p w14:paraId="7E6B1A73"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11</w:t>
      </w:r>
    </w:p>
  </w:footnote>
  <w:footnote w:id="417">
    <w:p w14:paraId="6DE29699"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C05</w:t>
      </w:r>
    </w:p>
  </w:footnote>
  <w:footnote w:id="418">
    <w:p w14:paraId="57FCFCF6" w14:textId="77777777" w:rsidR="00723291" w:rsidRPr="0090650B" w:rsidRDefault="00723291" w:rsidP="002136C4">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03,05,16,18,26,28,41,50,63,C04</w:t>
      </w:r>
    </w:p>
  </w:footnote>
  <w:footnote w:id="419">
    <w:p w14:paraId="46B84802"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03</w:t>
      </w:r>
    </w:p>
  </w:footnote>
  <w:footnote w:id="420">
    <w:p w14:paraId="2EA733EC" w14:textId="14706846" w:rsidR="00723291" w:rsidRDefault="00723291">
      <w:pPr>
        <w:pStyle w:val="FootnoteText"/>
      </w:pPr>
      <w:r>
        <w:rPr>
          <w:rStyle w:val="FootnoteReference"/>
        </w:rPr>
        <w:footnoteRef/>
      </w:r>
      <w:r>
        <w:t xml:space="preserve"> 03,05,14,26,50</w:t>
      </w:r>
    </w:p>
  </w:footnote>
  <w:footnote w:id="421">
    <w:p w14:paraId="5A5B884A" w14:textId="77777777" w:rsidR="00723291" w:rsidRPr="0090650B" w:rsidRDefault="00723291" w:rsidP="007A35A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35</w:t>
      </w:r>
    </w:p>
  </w:footnote>
  <w:footnote w:id="422">
    <w:p w14:paraId="1E418155" w14:textId="72BF7DE9" w:rsidR="00723291" w:rsidRDefault="00723291">
      <w:pPr>
        <w:pStyle w:val="FootnoteText"/>
      </w:pPr>
      <w:r>
        <w:rPr>
          <w:rStyle w:val="FootnoteReference"/>
        </w:rPr>
        <w:footnoteRef/>
      </w:r>
      <w:r>
        <w:t xml:space="preserve"> </w:t>
      </w:r>
      <w:r w:rsidRPr="0090650B">
        <w:rPr>
          <w:rFonts w:cstheme="majorHAnsi"/>
          <w:szCs w:val="16"/>
        </w:rPr>
        <w:t>05,14,17,26,50</w:t>
      </w:r>
    </w:p>
  </w:footnote>
  <w:footnote w:id="423">
    <w:p w14:paraId="70116C7B" w14:textId="77777777" w:rsidR="00723291" w:rsidRPr="0090650B" w:rsidRDefault="00723291" w:rsidP="007A35A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16,18,26</w:t>
      </w:r>
    </w:p>
  </w:footnote>
  <w:footnote w:id="424">
    <w:p w14:paraId="4975DFD8"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16,18,28</w:t>
      </w:r>
    </w:p>
  </w:footnote>
  <w:footnote w:id="425">
    <w:p w14:paraId="15E52129" w14:textId="77777777" w:rsidR="00723291" w:rsidRPr="0090650B" w:rsidRDefault="00723291" w:rsidP="007A35A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35</w:t>
      </w:r>
    </w:p>
  </w:footnote>
  <w:footnote w:id="426">
    <w:p w14:paraId="43E168F5" w14:textId="77777777" w:rsidR="00723291" w:rsidRPr="0090650B" w:rsidRDefault="00723291" w:rsidP="007A35A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50</w:t>
      </w:r>
    </w:p>
  </w:footnote>
  <w:footnote w:id="427">
    <w:p w14:paraId="75AEAEA0"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50</w:t>
      </w:r>
    </w:p>
  </w:footnote>
  <w:footnote w:id="428">
    <w:p w14:paraId="496E2024"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45</w:t>
      </w:r>
    </w:p>
  </w:footnote>
  <w:footnote w:id="429">
    <w:p w14:paraId="20D3F433"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36</w:t>
      </w:r>
    </w:p>
  </w:footnote>
  <w:footnote w:id="430">
    <w:p w14:paraId="7E4C0A50"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42,43,50</w:t>
      </w:r>
    </w:p>
  </w:footnote>
  <w:footnote w:id="431">
    <w:p w14:paraId="46348B55"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43</w:t>
      </w:r>
    </w:p>
  </w:footnote>
  <w:footnote w:id="432">
    <w:p w14:paraId="614FA638"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42</w:t>
      </w:r>
    </w:p>
  </w:footnote>
  <w:footnote w:id="433">
    <w:p w14:paraId="47A88BE2"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25</w:t>
      </w:r>
    </w:p>
  </w:footnote>
  <w:footnote w:id="434">
    <w:p w14:paraId="64A0F4C0" w14:textId="77777777" w:rsidR="00723291" w:rsidRPr="0090650B" w:rsidRDefault="00723291" w:rsidP="00E62D0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21</w:t>
      </w:r>
    </w:p>
  </w:footnote>
  <w:footnote w:id="435">
    <w:p w14:paraId="527F446F" w14:textId="2394A259" w:rsidR="00723291" w:rsidRDefault="00723291">
      <w:pPr>
        <w:pStyle w:val="FootnoteText"/>
      </w:pPr>
      <w:r>
        <w:rPr>
          <w:rStyle w:val="FootnoteReference"/>
        </w:rPr>
        <w:footnoteRef/>
      </w:r>
      <w:r>
        <w:t xml:space="preserve"> </w:t>
      </w:r>
      <w:r w:rsidRPr="0090650B">
        <w:rPr>
          <w:rFonts w:cstheme="majorHAnsi"/>
          <w:szCs w:val="16"/>
        </w:rPr>
        <w:t>02,14,16,18,26,28,51,63,C04</w:t>
      </w:r>
    </w:p>
  </w:footnote>
  <w:footnote w:id="436">
    <w:p w14:paraId="368CC703" w14:textId="4A7442C9" w:rsidR="00723291" w:rsidRDefault="00723291">
      <w:pPr>
        <w:pStyle w:val="FootnoteText"/>
      </w:pPr>
      <w:r>
        <w:rPr>
          <w:rStyle w:val="FootnoteReference"/>
        </w:rPr>
        <w:footnoteRef/>
      </w:r>
      <w:r>
        <w:t xml:space="preserve"> 43</w:t>
      </w:r>
    </w:p>
  </w:footnote>
  <w:footnote w:id="437">
    <w:p w14:paraId="280B3944" w14:textId="69703B06"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C03</w:t>
      </w:r>
    </w:p>
  </w:footnote>
  <w:footnote w:id="438">
    <w:p w14:paraId="51A0A936"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18,28,63,C04</w:t>
      </w:r>
    </w:p>
  </w:footnote>
  <w:footnote w:id="439">
    <w:p w14:paraId="1B886FB6"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02</w:t>
      </w:r>
    </w:p>
  </w:footnote>
  <w:footnote w:id="440">
    <w:p w14:paraId="750ADA59" w14:textId="77777777" w:rsidR="00723291" w:rsidRDefault="00723291" w:rsidP="003D24C5">
      <w:pPr>
        <w:pStyle w:val="FootnoteText"/>
      </w:pPr>
      <w:r>
        <w:rPr>
          <w:rStyle w:val="FootnoteReference"/>
        </w:rPr>
        <w:footnoteRef/>
      </w:r>
      <w:r>
        <w:t xml:space="preserve"> 37,39,44,45,53,C02,C05,C08</w:t>
      </w:r>
    </w:p>
  </w:footnote>
  <w:footnote w:id="441">
    <w:p w14:paraId="6457F4E0" w14:textId="0CB87FB8" w:rsidR="00723291" w:rsidRDefault="00723291">
      <w:pPr>
        <w:pStyle w:val="FootnoteText"/>
      </w:pPr>
      <w:r>
        <w:rPr>
          <w:rStyle w:val="FootnoteReference"/>
        </w:rPr>
        <w:footnoteRef/>
      </w:r>
      <w:r>
        <w:t xml:space="preserve"> 05,50,C04</w:t>
      </w:r>
    </w:p>
  </w:footnote>
  <w:footnote w:id="442">
    <w:p w14:paraId="19E545B3" w14:textId="2797E9BD" w:rsidR="00723291" w:rsidRDefault="00723291">
      <w:pPr>
        <w:pStyle w:val="FootnoteText"/>
      </w:pPr>
      <w:r>
        <w:rPr>
          <w:rStyle w:val="FootnoteReference"/>
        </w:rPr>
        <w:footnoteRef/>
      </w:r>
      <w:r>
        <w:t xml:space="preserve"> 42,55</w:t>
      </w:r>
    </w:p>
  </w:footnote>
  <w:footnote w:id="443">
    <w:p w14:paraId="6B72ADF6" w14:textId="6B65116C" w:rsidR="00723291" w:rsidRDefault="00723291">
      <w:pPr>
        <w:pStyle w:val="FootnoteText"/>
      </w:pPr>
      <w:r>
        <w:rPr>
          <w:rStyle w:val="FootnoteReference"/>
        </w:rPr>
        <w:footnoteRef/>
      </w:r>
      <w:r>
        <w:t xml:space="preserve"> 36,57</w:t>
      </w:r>
    </w:p>
  </w:footnote>
  <w:footnote w:id="444">
    <w:p w14:paraId="1E14FA4F" w14:textId="77777777" w:rsidR="00723291" w:rsidRDefault="00723291" w:rsidP="003D24C5">
      <w:pPr>
        <w:pStyle w:val="FootnoteText"/>
      </w:pPr>
      <w:r>
        <w:rPr>
          <w:rStyle w:val="FootnoteReference"/>
        </w:rPr>
        <w:footnoteRef/>
      </w:r>
      <w:r>
        <w:t xml:space="preserve"> 25</w:t>
      </w:r>
    </w:p>
  </w:footnote>
  <w:footnote w:id="445">
    <w:p w14:paraId="7FB7B8D1" w14:textId="36BDC0BF" w:rsidR="00723291" w:rsidRDefault="00723291">
      <w:pPr>
        <w:pStyle w:val="FootnoteText"/>
      </w:pPr>
      <w:r>
        <w:rPr>
          <w:rStyle w:val="FootnoteReference"/>
        </w:rPr>
        <w:footnoteRef/>
      </w:r>
      <w:r>
        <w:t xml:space="preserve"> C09</w:t>
      </w:r>
    </w:p>
  </w:footnote>
  <w:footnote w:id="446">
    <w:p w14:paraId="387B6067" w14:textId="77777777" w:rsidR="00723291" w:rsidRPr="0090650B" w:rsidRDefault="00723291" w:rsidP="000A1458">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C02,C05,C08</w:t>
      </w:r>
    </w:p>
  </w:footnote>
  <w:footnote w:id="447">
    <w:p w14:paraId="702E1D31" w14:textId="77777777" w:rsidR="00723291" w:rsidRPr="0090650B" w:rsidRDefault="00723291" w:rsidP="000A1458">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16</w:t>
      </w:r>
    </w:p>
  </w:footnote>
  <w:footnote w:id="448">
    <w:p w14:paraId="5C324C97" w14:textId="77777777" w:rsidR="00723291" w:rsidRPr="0090650B" w:rsidRDefault="00723291" w:rsidP="0094303A">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C10</w:t>
      </w:r>
    </w:p>
  </w:footnote>
  <w:footnote w:id="449">
    <w:p w14:paraId="6A05C6D5"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11,20,42,C01,C02,C03,C05,C09,C11,C13</w:t>
      </w:r>
    </w:p>
  </w:footnote>
  <w:footnote w:id="450">
    <w:p w14:paraId="7AA9CA25"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11,20,C01,C02,C03,C05,C09,C11,C13</w:t>
      </w:r>
    </w:p>
  </w:footnote>
  <w:footnote w:id="451">
    <w:p w14:paraId="5EBCD571"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C02,C13</w:t>
      </w:r>
    </w:p>
  </w:footnote>
  <w:footnote w:id="452">
    <w:p w14:paraId="0D552E64"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C01,C03</w:t>
      </w:r>
    </w:p>
  </w:footnote>
  <w:footnote w:id="453">
    <w:p w14:paraId="17E159BE"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C05,C13</w:t>
      </w:r>
    </w:p>
  </w:footnote>
  <w:footnote w:id="454">
    <w:p w14:paraId="3B3C9654"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C09</w:t>
      </w:r>
    </w:p>
  </w:footnote>
  <w:footnote w:id="455">
    <w:p w14:paraId="1E5FF939"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11</w:t>
      </w:r>
    </w:p>
  </w:footnote>
  <w:footnote w:id="456">
    <w:p w14:paraId="62E8B7FA"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42</w:t>
      </w:r>
    </w:p>
  </w:footnote>
  <w:footnote w:id="457">
    <w:p w14:paraId="2D1B84CF" w14:textId="5143D497" w:rsidR="00723291" w:rsidRDefault="00723291">
      <w:pPr>
        <w:pStyle w:val="FootnoteText"/>
      </w:pPr>
      <w:r>
        <w:rPr>
          <w:rStyle w:val="FootnoteReference"/>
        </w:rPr>
        <w:footnoteRef/>
      </w:r>
      <w:r>
        <w:t xml:space="preserve"> </w:t>
      </w:r>
      <w:r w:rsidRPr="0090650B">
        <w:rPr>
          <w:rFonts w:cstheme="majorHAnsi"/>
          <w:szCs w:val="16"/>
        </w:rPr>
        <w:t>01,02,03,05,06,08,10,14,16,18,26,28,34,41,50,51,63,64,C04,</w:t>
      </w:r>
    </w:p>
  </w:footnote>
  <w:footnote w:id="458">
    <w:p w14:paraId="48CCD6EC" w14:textId="4EFA76BF" w:rsidR="00723291" w:rsidRDefault="00723291">
      <w:pPr>
        <w:pStyle w:val="FootnoteText"/>
      </w:pPr>
      <w:r>
        <w:rPr>
          <w:rStyle w:val="FootnoteReference"/>
        </w:rPr>
        <w:footnoteRef/>
      </w:r>
      <w:r>
        <w:t xml:space="preserve"> 20,39,40,C10</w:t>
      </w:r>
    </w:p>
  </w:footnote>
  <w:footnote w:id="459">
    <w:p w14:paraId="6F6A3BFC" w14:textId="0C29B7FB" w:rsidR="00723291" w:rsidRDefault="00723291">
      <w:pPr>
        <w:pStyle w:val="FootnoteText"/>
      </w:pPr>
      <w:r>
        <w:rPr>
          <w:rStyle w:val="FootnoteReference"/>
        </w:rPr>
        <w:footnoteRef/>
      </w:r>
      <w:r>
        <w:t xml:space="preserve"> 12,25</w:t>
      </w:r>
    </w:p>
  </w:footnote>
  <w:footnote w:id="460">
    <w:p w14:paraId="04B52689" w14:textId="20A79332" w:rsidR="00723291" w:rsidRDefault="00723291">
      <w:pPr>
        <w:pStyle w:val="FootnoteText"/>
      </w:pPr>
      <w:r>
        <w:rPr>
          <w:rStyle w:val="FootnoteReference"/>
        </w:rPr>
        <w:footnoteRef/>
      </w:r>
      <w:r>
        <w:t xml:space="preserve"> 33</w:t>
      </w:r>
    </w:p>
  </w:footnote>
  <w:footnote w:id="461">
    <w:p w14:paraId="4741EA24" w14:textId="6C41C121" w:rsidR="00723291" w:rsidRDefault="00723291">
      <w:pPr>
        <w:pStyle w:val="FootnoteText"/>
      </w:pPr>
      <w:r>
        <w:rPr>
          <w:rStyle w:val="FootnoteReference"/>
        </w:rPr>
        <w:footnoteRef/>
      </w:r>
      <w:r>
        <w:t xml:space="preserve"> 42,43,55,61</w:t>
      </w:r>
    </w:p>
  </w:footnote>
  <w:footnote w:id="462">
    <w:p w14:paraId="777E68C7"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01,02,03,06,08,10,14,16,18,28,34,40,50,51,63,64,C04</w:t>
      </w:r>
    </w:p>
  </w:footnote>
  <w:footnote w:id="463">
    <w:p w14:paraId="4786807F"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12,42,43,55,61</w:t>
      </w:r>
    </w:p>
  </w:footnote>
  <w:footnote w:id="464">
    <w:p w14:paraId="0DFC58B0"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w:t>
      </w:r>
      <w:r>
        <w:rPr>
          <w:rFonts w:cstheme="majorHAnsi"/>
          <w:szCs w:val="16"/>
        </w:rPr>
        <w:t>5</w:t>
      </w:r>
    </w:p>
  </w:footnote>
  <w:footnote w:id="465">
    <w:p w14:paraId="24E31588"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39</w:t>
      </w:r>
    </w:p>
  </w:footnote>
  <w:footnote w:id="466">
    <w:p w14:paraId="36BDC1B9"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33</w:t>
      </w:r>
    </w:p>
  </w:footnote>
  <w:footnote w:id="467">
    <w:p w14:paraId="28BD9C57"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26,41</w:t>
      </w:r>
    </w:p>
  </w:footnote>
  <w:footnote w:id="468">
    <w:p w14:paraId="0D23900C"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05</w:t>
      </w:r>
    </w:p>
  </w:footnote>
  <w:footnote w:id="469">
    <w:p w14:paraId="2859D90E"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20,C10</w:t>
      </w:r>
    </w:p>
  </w:footnote>
  <w:footnote w:id="470">
    <w:p w14:paraId="19E8A682"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01,02,03,06,08,10,14,16,18,28,34,40,50,51,63,64,C04</w:t>
      </w:r>
    </w:p>
  </w:footnote>
  <w:footnote w:id="471">
    <w:p w14:paraId="0D489A74"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03,08,10,16,18,28,34,51,63</w:t>
      </w:r>
    </w:p>
  </w:footnote>
  <w:footnote w:id="472">
    <w:p w14:paraId="355A03B9"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01,06,34,50,63</w:t>
      </w:r>
    </w:p>
  </w:footnote>
  <w:footnote w:id="473">
    <w:p w14:paraId="594D90CB"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01,06,34,50,63</w:t>
      </w:r>
    </w:p>
  </w:footnote>
  <w:footnote w:id="474">
    <w:p w14:paraId="0FB8AB9E"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01,03,08,10,16,18,28,34,51,63</w:t>
      </w:r>
    </w:p>
  </w:footnote>
  <w:footnote w:id="475">
    <w:p w14:paraId="3A9C8725" w14:textId="60926CBB"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01,08,10,16</w:t>
      </w:r>
      <w:r>
        <w:rPr>
          <w:rFonts w:cstheme="majorHAnsi"/>
          <w:szCs w:val="16"/>
        </w:rPr>
        <w:t>,</w:t>
      </w:r>
      <w:r w:rsidRPr="0090650B">
        <w:rPr>
          <w:rFonts w:cstheme="majorHAnsi"/>
          <w:szCs w:val="16"/>
        </w:rPr>
        <w:t>18,28,63</w:t>
      </w:r>
    </w:p>
  </w:footnote>
  <w:footnote w:id="476">
    <w:p w14:paraId="21F95981"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w:t>
      </w:r>
    </w:p>
  </w:footnote>
  <w:footnote w:id="477">
    <w:p w14:paraId="75EB7324"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10</w:t>
      </w:r>
    </w:p>
  </w:footnote>
  <w:footnote w:id="478">
    <w:p w14:paraId="64AD1EA4"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16,18,28,34,63</w:t>
      </w:r>
    </w:p>
  </w:footnote>
  <w:footnote w:id="479">
    <w:p w14:paraId="607D6F70"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16,28,63,C04</w:t>
      </w:r>
    </w:p>
  </w:footnote>
  <w:footnote w:id="480">
    <w:p w14:paraId="4729112D"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w:t>
      </w:r>
    </w:p>
  </w:footnote>
  <w:footnote w:id="481">
    <w:p w14:paraId="0D84BDFF"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08,34,50</w:t>
      </w:r>
    </w:p>
  </w:footnote>
  <w:footnote w:id="482">
    <w:p w14:paraId="3879A087"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08</w:t>
      </w:r>
    </w:p>
  </w:footnote>
  <w:footnote w:id="483">
    <w:p w14:paraId="2D101A0F"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02,06</w:t>
      </w:r>
    </w:p>
  </w:footnote>
  <w:footnote w:id="484">
    <w:p w14:paraId="5DC48212"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Pr>
          <w:rFonts w:cstheme="majorHAnsi"/>
          <w:szCs w:val="16"/>
        </w:rPr>
        <w:t xml:space="preserve"> </w:t>
      </w:r>
      <w:r w:rsidRPr="0090650B">
        <w:rPr>
          <w:rFonts w:cstheme="majorHAnsi"/>
          <w:szCs w:val="16"/>
        </w:rPr>
        <w:t>0</w:t>
      </w:r>
      <w:r>
        <w:rPr>
          <w:rFonts w:cstheme="majorHAnsi"/>
          <w:szCs w:val="16"/>
        </w:rPr>
        <w:t>6</w:t>
      </w:r>
    </w:p>
  </w:footnote>
  <w:footnote w:id="485">
    <w:p w14:paraId="56BED776"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55,61</w:t>
      </w:r>
    </w:p>
  </w:footnote>
  <w:footnote w:id="486">
    <w:p w14:paraId="725CAB6C"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42</w:t>
      </w:r>
    </w:p>
  </w:footnote>
  <w:footnote w:id="487">
    <w:p w14:paraId="68293B1A"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43</w:t>
      </w:r>
    </w:p>
  </w:footnote>
  <w:footnote w:id="488">
    <w:p w14:paraId="10CD51CE"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12</w:t>
      </w:r>
    </w:p>
  </w:footnote>
  <w:footnote w:id="489">
    <w:p w14:paraId="2FC7FAE4" w14:textId="77777777" w:rsidR="00723291" w:rsidRDefault="00723291" w:rsidP="00D76ACB">
      <w:pPr>
        <w:pStyle w:val="FootnoteText"/>
      </w:pPr>
      <w:r>
        <w:rPr>
          <w:rStyle w:val="FootnoteReference"/>
        </w:rPr>
        <w:footnoteRef/>
      </w:r>
      <w:r>
        <w:t xml:space="preserve"> 42,43,55</w:t>
      </w:r>
    </w:p>
  </w:footnote>
  <w:footnote w:id="490">
    <w:p w14:paraId="25F0D95E"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12</w:t>
      </w:r>
    </w:p>
  </w:footnote>
  <w:footnote w:id="491">
    <w:p w14:paraId="70E53C32"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55</w:t>
      </w:r>
    </w:p>
  </w:footnote>
  <w:footnote w:id="492">
    <w:p w14:paraId="25434C3E"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43,55,61</w:t>
      </w:r>
    </w:p>
  </w:footnote>
  <w:footnote w:id="493">
    <w:p w14:paraId="21D0A697"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43</w:t>
      </w:r>
    </w:p>
  </w:footnote>
  <w:footnote w:id="494">
    <w:p w14:paraId="5C93ADF2"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26</w:t>
      </w:r>
    </w:p>
  </w:footnote>
  <w:footnote w:id="495">
    <w:p w14:paraId="2884F482"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43</w:t>
      </w:r>
    </w:p>
  </w:footnote>
  <w:footnote w:id="496">
    <w:p w14:paraId="0FA4DFAB"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43,61</w:t>
      </w:r>
    </w:p>
  </w:footnote>
  <w:footnote w:id="497">
    <w:p w14:paraId="43255EB0"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43</w:t>
      </w:r>
    </w:p>
  </w:footnote>
  <w:footnote w:id="498">
    <w:p w14:paraId="0BAE6F4A"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43</w:t>
      </w:r>
    </w:p>
  </w:footnote>
  <w:footnote w:id="499">
    <w:p w14:paraId="3DF02C32"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42</w:t>
      </w:r>
    </w:p>
  </w:footnote>
  <w:footnote w:id="500">
    <w:p w14:paraId="41DC4A7D"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33</w:t>
      </w:r>
    </w:p>
  </w:footnote>
  <w:footnote w:id="501">
    <w:p w14:paraId="3B226C76"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39</w:t>
      </w:r>
    </w:p>
  </w:footnote>
  <w:footnote w:id="502">
    <w:p w14:paraId="32A7B68C"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25</w:t>
      </w:r>
    </w:p>
  </w:footnote>
  <w:footnote w:id="503">
    <w:p w14:paraId="6712DDDE" w14:textId="04CE994D"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05,26,41</w:t>
      </w:r>
    </w:p>
  </w:footnote>
  <w:footnote w:id="504">
    <w:p w14:paraId="59D672A7"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26,41</w:t>
      </w:r>
    </w:p>
  </w:footnote>
  <w:footnote w:id="505">
    <w:p w14:paraId="12F944D1"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05</w:t>
      </w:r>
    </w:p>
  </w:footnote>
  <w:footnote w:id="506">
    <w:p w14:paraId="7FD1B8B9"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C10</w:t>
      </w:r>
    </w:p>
  </w:footnote>
  <w:footnote w:id="507">
    <w:p w14:paraId="2BA89741"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20</w:t>
      </w:r>
    </w:p>
  </w:footnote>
  <w:footnote w:id="508">
    <w:p w14:paraId="7DBF70CD"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w:t>
      </w:r>
      <w:r>
        <w:rPr>
          <w:rFonts w:cstheme="majorHAnsi"/>
          <w:szCs w:val="16"/>
        </w:rPr>
        <w:t>40</w:t>
      </w:r>
    </w:p>
  </w:footnote>
  <w:footnote w:id="509">
    <w:p w14:paraId="345760A9"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01,02,06,08,14,31,33,41,42,44,55,56,C04,C10,C11</w:t>
      </w:r>
    </w:p>
  </w:footnote>
  <w:footnote w:id="510">
    <w:p w14:paraId="1723F45C"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02,06,08,14,31,33,41,44,55,56,C04,C10,C11</w:t>
      </w:r>
    </w:p>
  </w:footnote>
  <w:footnote w:id="511">
    <w:p w14:paraId="59623367"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33,C11</w:t>
      </w:r>
    </w:p>
  </w:footnote>
  <w:footnote w:id="512">
    <w:p w14:paraId="275AE949"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02,06,14,C04</w:t>
      </w:r>
    </w:p>
  </w:footnote>
  <w:footnote w:id="513">
    <w:p w14:paraId="65B45A74"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56</w:t>
      </w:r>
    </w:p>
  </w:footnote>
  <w:footnote w:id="514">
    <w:p w14:paraId="199D809E"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14</w:t>
      </w:r>
    </w:p>
  </w:footnote>
  <w:footnote w:id="515">
    <w:p w14:paraId="4A5BDFD3"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08</w:t>
      </w:r>
    </w:p>
  </w:footnote>
  <w:footnote w:id="516">
    <w:p w14:paraId="41A684DC"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41</w:t>
      </w:r>
    </w:p>
  </w:footnote>
  <w:footnote w:id="517">
    <w:p w14:paraId="2C43B248"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08</w:t>
      </w:r>
    </w:p>
  </w:footnote>
  <w:footnote w:id="518">
    <w:p w14:paraId="3C1B3D23"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31</w:t>
      </w:r>
    </w:p>
  </w:footnote>
  <w:footnote w:id="519">
    <w:p w14:paraId="7C053E67"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C11</w:t>
      </w:r>
    </w:p>
  </w:footnote>
  <w:footnote w:id="520">
    <w:p w14:paraId="7037FBB0" w14:textId="77777777" w:rsidR="00723291" w:rsidRPr="00766A85" w:rsidRDefault="00723291" w:rsidP="00D76ACB">
      <w:pPr>
        <w:pStyle w:val="FootnoteText"/>
        <w:rPr>
          <w:rFonts w:cstheme="majorHAnsi"/>
          <w:szCs w:val="16"/>
        </w:rPr>
      </w:pPr>
      <w:r w:rsidRPr="00766A85">
        <w:rPr>
          <w:rStyle w:val="FootnoteReference"/>
          <w:rFonts w:cstheme="majorHAnsi"/>
          <w:szCs w:val="16"/>
        </w:rPr>
        <w:footnoteRef/>
      </w:r>
      <w:r w:rsidRPr="00766A85">
        <w:rPr>
          <w:rFonts w:cstheme="majorHAnsi"/>
          <w:szCs w:val="16"/>
        </w:rPr>
        <w:t xml:space="preserve"> 55</w:t>
      </w:r>
    </w:p>
  </w:footnote>
  <w:footnote w:id="521">
    <w:p w14:paraId="2EBF7BF6" w14:textId="77777777" w:rsidR="00723291" w:rsidRPr="00766A85" w:rsidRDefault="00723291" w:rsidP="00D76ACB">
      <w:pPr>
        <w:pStyle w:val="FootnoteText"/>
        <w:rPr>
          <w:rFonts w:cstheme="majorHAnsi"/>
          <w:szCs w:val="16"/>
        </w:rPr>
      </w:pPr>
      <w:r w:rsidRPr="00766A85">
        <w:rPr>
          <w:rStyle w:val="FootnoteReference"/>
          <w:rFonts w:cstheme="majorHAnsi"/>
          <w:szCs w:val="16"/>
        </w:rPr>
        <w:footnoteRef/>
      </w:r>
      <w:r w:rsidRPr="00766A85">
        <w:rPr>
          <w:rFonts w:cstheme="majorHAnsi"/>
          <w:szCs w:val="16"/>
        </w:rPr>
        <w:t xml:space="preserve"> 44</w:t>
      </w:r>
    </w:p>
  </w:footnote>
  <w:footnote w:id="522">
    <w:p w14:paraId="03034AF0" w14:textId="77777777" w:rsidR="00723291" w:rsidRPr="00766A85" w:rsidRDefault="00723291" w:rsidP="00D76ACB">
      <w:pPr>
        <w:pStyle w:val="FootnoteText"/>
        <w:rPr>
          <w:rFonts w:cstheme="majorHAnsi"/>
          <w:szCs w:val="16"/>
        </w:rPr>
      </w:pPr>
      <w:r w:rsidRPr="00766A85">
        <w:rPr>
          <w:rStyle w:val="FootnoteReference"/>
          <w:rFonts w:cstheme="majorHAnsi"/>
          <w:szCs w:val="16"/>
        </w:rPr>
        <w:footnoteRef/>
      </w:r>
      <w:r w:rsidRPr="00766A85">
        <w:rPr>
          <w:rFonts w:cstheme="majorHAnsi"/>
          <w:szCs w:val="16"/>
        </w:rPr>
        <w:t xml:space="preserve"> 42</w:t>
      </w:r>
    </w:p>
  </w:footnote>
  <w:footnote w:id="523">
    <w:p w14:paraId="305E8000" w14:textId="77777777" w:rsidR="00723291" w:rsidRPr="00766A85" w:rsidRDefault="00723291" w:rsidP="00D76ACB">
      <w:pPr>
        <w:pStyle w:val="FootnoteText"/>
        <w:rPr>
          <w:rFonts w:cstheme="majorHAnsi"/>
          <w:szCs w:val="16"/>
        </w:rPr>
      </w:pPr>
      <w:r w:rsidRPr="00766A85">
        <w:rPr>
          <w:rStyle w:val="FootnoteReference"/>
          <w:rFonts w:cstheme="majorHAnsi"/>
          <w:szCs w:val="16"/>
        </w:rPr>
        <w:footnoteRef/>
      </w:r>
      <w:r w:rsidRPr="00766A85">
        <w:rPr>
          <w:rFonts w:cstheme="majorHAnsi"/>
          <w:szCs w:val="16"/>
        </w:rPr>
        <w:t xml:space="preserve"> 44</w:t>
      </w:r>
    </w:p>
  </w:footnote>
  <w:footnote w:id="524">
    <w:p w14:paraId="34615D4A" w14:textId="77777777" w:rsidR="00723291" w:rsidRPr="00766A85" w:rsidRDefault="00723291" w:rsidP="00D76ACB">
      <w:pPr>
        <w:pStyle w:val="FootnoteText"/>
        <w:rPr>
          <w:rFonts w:cstheme="majorHAnsi"/>
          <w:szCs w:val="16"/>
        </w:rPr>
      </w:pPr>
      <w:r w:rsidRPr="00766A85">
        <w:rPr>
          <w:rStyle w:val="FootnoteReference"/>
          <w:rFonts w:cstheme="majorHAnsi"/>
          <w:szCs w:val="16"/>
        </w:rPr>
        <w:footnoteRef/>
      </w:r>
      <w:r w:rsidRPr="00766A85">
        <w:rPr>
          <w:rFonts w:cstheme="majorHAnsi"/>
          <w:szCs w:val="16"/>
        </w:rPr>
        <w:t xml:space="preserve"> 42</w:t>
      </w:r>
    </w:p>
  </w:footnote>
  <w:footnote w:id="525">
    <w:p w14:paraId="1644AFD6" w14:textId="77777777" w:rsidR="00723291" w:rsidRPr="00766A85" w:rsidRDefault="00723291" w:rsidP="00D76ACB">
      <w:pPr>
        <w:pStyle w:val="FootnoteText"/>
        <w:rPr>
          <w:rFonts w:cstheme="majorHAnsi"/>
          <w:szCs w:val="16"/>
        </w:rPr>
      </w:pPr>
      <w:r w:rsidRPr="00766A85">
        <w:rPr>
          <w:rStyle w:val="FootnoteReference"/>
          <w:rFonts w:cstheme="majorHAnsi"/>
          <w:szCs w:val="16"/>
        </w:rPr>
        <w:footnoteRef/>
      </w:r>
      <w:r w:rsidRPr="00766A85">
        <w:rPr>
          <w:rFonts w:cstheme="majorHAnsi"/>
          <w:szCs w:val="16"/>
        </w:rPr>
        <w:t xml:space="preserve"> 44</w:t>
      </w:r>
    </w:p>
  </w:footnote>
  <w:footnote w:id="526">
    <w:p w14:paraId="641A50F3" w14:textId="77777777" w:rsidR="00723291" w:rsidRPr="0090650B" w:rsidRDefault="00723291" w:rsidP="00D76ACB">
      <w:pPr>
        <w:pStyle w:val="FootnoteText"/>
        <w:rPr>
          <w:rFonts w:cstheme="majorHAnsi"/>
          <w:szCs w:val="16"/>
        </w:rPr>
      </w:pPr>
      <w:r w:rsidRPr="00766A85">
        <w:rPr>
          <w:rStyle w:val="FootnoteReference"/>
          <w:rFonts w:cstheme="majorHAnsi"/>
          <w:szCs w:val="16"/>
        </w:rPr>
        <w:footnoteRef/>
      </w:r>
      <w:r w:rsidRPr="00766A85">
        <w:rPr>
          <w:rFonts w:cstheme="majorHAnsi"/>
          <w:szCs w:val="16"/>
        </w:rPr>
        <w:t xml:space="preserve"> 42</w:t>
      </w:r>
    </w:p>
  </w:footnote>
  <w:footnote w:id="527">
    <w:p w14:paraId="60A05A8F" w14:textId="77777777"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01,06</w:t>
      </w:r>
    </w:p>
  </w:footnote>
  <w:footnote w:id="528">
    <w:p w14:paraId="42C04923"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39,40,C08</w:t>
      </w:r>
    </w:p>
  </w:footnote>
  <w:footnote w:id="529">
    <w:p w14:paraId="65C29C94"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24,32,36</w:t>
      </w:r>
    </w:p>
  </w:footnote>
  <w:footnote w:id="530">
    <w:p w14:paraId="75FDC3F0"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23</w:t>
      </w:r>
    </w:p>
  </w:footnote>
  <w:footnote w:id="531">
    <w:p w14:paraId="2352B6CA"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w:t>
      </w:r>
    </w:p>
  </w:footnote>
  <w:footnote w:id="532">
    <w:p w14:paraId="373B2CBD"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40,45,C11,C13</w:t>
      </w:r>
    </w:p>
  </w:footnote>
  <w:footnote w:id="533">
    <w:p w14:paraId="743021D4"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24,27,30,33</w:t>
      </w:r>
    </w:p>
  </w:footnote>
  <w:footnote w:id="534">
    <w:p w14:paraId="758EB3AE"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04</w:t>
      </w:r>
    </w:p>
  </w:footnote>
  <w:footnote w:id="535">
    <w:p w14:paraId="7E90092D"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34</w:t>
      </w:r>
    </w:p>
  </w:footnote>
  <w:footnote w:id="536">
    <w:p w14:paraId="76BD03FF"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C11</w:t>
      </w:r>
    </w:p>
  </w:footnote>
  <w:footnote w:id="537">
    <w:p w14:paraId="4C4F4931"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12</w:t>
      </w:r>
    </w:p>
  </w:footnote>
  <w:footnote w:id="538">
    <w:p w14:paraId="18B7CAE0"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21</w:t>
      </w:r>
    </w:p>
  </w:footnote>
  <w:footnote w:id="539">
    <w:p w14:paraId="5DEEA055"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27</w:t>
      </w:r>
    </w:p>
  </w:footnote>
  <w:footnote w:id="540">
    <w:p w14:paraId="2689B61F"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40,C11</w:t>
      </w:r>
    </w:p>
  </w:footnote>
  <w:footnote w:id="541">
    <w:p w14:paraId="0C1C838E"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24,37</w:t>
      </w:r>
    </w:p>
  </w:footnote>
  <w:footnote w:id="542">
    <w:p w14:paraId="3CEF8C38"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24,36</w:t>
      </w:r>
    </w:p>
  </w:footnote>
  <w:footnote w:id="543">
    <w:p w14:paraId="4CE30B92"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45</w:t>
      </w:r>
    </w:p>
  </w:footnote>
  <w:footnote w:id="544">
    <w:p w14:paraId="3D3FC7F7"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27</w:t>
      </w:r>
    </w:p>
  </w:footnote>
  <w:footnote w:id="545">
    <w:p w14:paraId="570A8597" w14:textId="0B818347" w:rsidR="00723291" w:rsidRDefault="00723291">
      <w:pPr>
        <w:pStyle w:val="FootnoteText"/>
      </w:pPr>
      <w:r>
        <w:rPr>
          <w:rStyle w:val="FootnoteReference"/>
        </w:rPr>
        <w:footnoteRef/>
      </w:r>
      <w:r>
        <w:t xml:space="preserve"> 24,27,32,33</w:t>
      </w:r>
    </w:p>
  </w:footnote>
  <w:footnote w:id="546">
    <w:p w14:paraId="1E878A3F" w14:textId="46D7B410" w:rsidR="00723291" w:rsidRDefault="00723291">
      <w:pPr>
        <w:pStyle w:val="FootnoteText"/>
      </w:pPr>
      <w:r>
        <w:rPr>
          <w:rStyle w:val="FootnoteReference"/>
        </w:rPr>
        <w:footnoteRef/>
      </w:r>
      <w:r>
        <w:t xml:space="preserve"> 29</w:t>
      </w:r>
    </w:p>
  </w:footnote>
  <w:footnote w:id="547">
    <w:p w14:paraId="7E73FF43" w14:textId="15ABB12A" w:rsidR="00723291" w:rsidRDefault="00723291">
      <w:pPr>
        <w:pStyle w:val="FootnoteText"/>
      </w:pPr>
      <w:r>
        <w:rPr>
          <w:rStyle w:val="FootnoteReference"/>
        </w:rPr>
        <w:footnoteRef/>
      </w:r>
      <w:r>
        <w:t xml:space="preserve"> 62</w:t>
      </w:r>
    </w:p>
  </w:footnote>
  <w:footnote w:id="548">
    <w:p w14:paraId="52E72619"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24,27,29,32,33,62</w:t>
      </w:r>
    </w:p>
  </w:footnote>
  <w:footnote w:id="549">
    <w:p w14:paraId="08AD5EFB"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24</w:t>
      </w:r>
    </w:p>
  </w:footnote>
  <w:footnote w:id="550">
    <w:p w14:paraId="5136AD2F" w14:textId="2E490672"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41</w:t>
      </w:r>
    </w:p>
  </w:footnote>
  <w:footnote w:id="551">
    <w:p w14:paraId="173C6BFE" w14:textId="45E49CEB" w:rsidR="00723291" w:rsidRPr="0090650B" w:rsidRDefault="00723291" w:rsidP="00D76ACB">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w:t>
      </w:r>
      <w:r>
        <w:rPr>
          <w:rFonts w:cstheme="majorHAnsi"/>
          <w:szCs w:val="16"/>
        </w:rPr>
        <w:t>C05</w:t>
      </w:r>
    </w:p>
  </w:footnote>
  <w:footnote w:id="552">
    <w:p w14:paraId="67E2BFC2"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04</w:t>
      </w:r>
    </w:p>
  </w:footnote>
  <w:footnote w:id="553">
    <w:p w14:paraId="00E368CC"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41</w:t>
      </w:r>
    </w:p>
  </w:footnote>
  <w:footnote w:id="554">
    <w:p w14:paraId="2F37FC21"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12</w:t>
      </w:r>
    </w:p>
  </w:footnote>
  <w:footnote w:id="555">
    <w:p w14:paraId="11D0434D"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13,30,40,C08,C13</w:t>
      </w:r>
    </w:p>
  </w:footnote>
  <w:footnote w:id="556">
    <w:p w14:paraId="7DB2A09F"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C10</w:t>
      </w:r>
    </w:p>
  </w:footnote>
  <w:footnote w:id="557">
    <w:p w14:paraId="48C8EC6F"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11,21</w:t>
      </w:r>
    </w:p>
  </w:footnote>
  <w:footnote w:id="558">
    <w:p w14:paraId="5F233983"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01,05,06,14,16,17,18,26,28,34,41,50,63,C04</w:t>
      </w:r>
    </w:p>
  </w:footnote>
  <w:footnote w:id="559">
    <w:p w14:paraId="6562329A"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12,23,25,29,52</w:t>
      </w:r>
    </w:p>
  </w:footnote>
  <w:footnote w:id="560">
    <w:p w14:paraId="033C19E3"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11,C05,C10,C12</w:t>
      </w:r>
    </w:p>
  </w:footnote>
  <w:footnote w:id="561">
    <w:p w14:paraId="33B9C812"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13,33,58</w:t>
      </w:r>
    </w:p>
  </w:footnote>
  <w:footnote w:id="562">
    <w:p w14:paraId="793D33A1"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35,43</w:t>
      </w:r>
    </w:p>
  </w:footnote>
  <w:footnote w:id="563">
    <w:p w14:paraId="3BF29735"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C01,C03</w:t>
      </w:r>
    </w:p>
  </w:footnote>
  <w:footnote w:id="564">
    <w:p w14:paraId="5A3F774A" w14:textId="68F8FE6A" w:rsidR="00723291" w:rsidRDefault="00723291">
      <w:pPr>
        <w:pStyle w:val="FootnoteText"/>
      </w:pPr>
      <w:r>
        <w:rPr>
          <w:rStyle w:val="FootnoteReference"/>
        </w:rPr>
        <w:footnoteRef/>
      </w:r>
      <w:r>
        <w:t xml:space="preserve"> 01,05,06,16,17,18,26,28,34,41,50,63,64</w:t>
      </w:r>
    </w:p>
  </w:footnote>
  <w:footnote w:id="565">
    <w:p w14:paraId="649F9F7F" w14:textId="20B7EF4C"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35,43</w:t>
      </w:r>
    </w:p>
  </w:footnote>
  <w:footnote w:id="566">
    <w:p w14:paraId="32CF40E1" w14:textId="0F98FF9E" w:rsidR="00723291" w:rsidRDefault="00723291">
      <w:pPr>
        <w:pStyle w:val="FootnoteText"/>
      </w:pPr>
      <w:r>
        <w:rPr>
          <w:rStyle w:val="FootnoteReference"/>
        </w:rPr>
        <w:footnoteRef/>
      </w:r>
      <w:r>
        <w:t xml:space="preserve"> 25,29,</w:t>
      </w:r>
    </w:p>
  </w:footnote>
  <w:footnote w:id="567">
    <w:p w14:paraId="07FDF684" w14:textId="090629F1" w:rsidR="00723291" w:rsidRDefault="00723291">
      <w:pPr>
        <w:pStyle w:val="FootnoteText"/>
      </w:pPr>
      <w:r>
        <w:rPr>
          <w:rStyle w:val="FootnoteReference"/>
        </w:rPr>
        <w:footnoteRef/>
      </w:r>
      <w:r>
        <w:t xml:space="preserve"> 33</w:t>
      </w:r>
    </w:p>
  </w:footnote>
  <w:footnote w:id="568">
    <w:p w14:paraId="7D03A962" w14:textId="729E79B7" w:rsidR="00723291" w:rsidRDefault="00723291">
      <w:pPr>
        <w:pStyle w:val="FootnoteText"/>
      </w:pPr>
      <w:r>
        <w:rPr>
          <w:rStyle w:val="FootnoteReference"/>
        </w:rPr>
        <w:footnoteRef/>
      </w:r>
      <w:r>
        <w:t xml:space="preserve"> C04</w:t>
      </w:r>
    </w:p>
  </w:footnote>
  <w:footnote w:id="569">
    <w:p w14:paraId="246870D4" w14:textId="379E628E" w:rsidR="00723291" w:rsidRDefault="00723291">
      <w:pPr>
        <w:pStyle w:val="FootnoteText"/>
      </w:pPr>
      <w:r>
        <w:rPr>
          <w:rStyle w:val="FootnoteReference"/>
        </w:rPr>
        <w:footnoteRef/>
      </w:r>
      <w:r>
        <w:t xml:space="preserve"> C05</w:t>
      </w:r>
    </w:p>
  </w:footnote>
  <w:footnote w:id="570">
    <w:p w14:paraId="5AB6C3C5" w14:textId="5D1063A5"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C03,C05</w:t>
      </w:r>
    </w:p>
  </w:footnote>
  <w:footnote w:id="571">
    <w:p w14:paraId="66D4EAFB" w14:textId="3AF6BDFF" w:rsidR="00723291" w:rsidRDefault="00723291">
      <w:pPr>
        <w:pStyle w:val="FootnoteText"/>
      </w:pPr>
      <w:r>
        <w:rPr>
          <w:rStyle w:val="FootnoteReference"/>
        </w:rPr>
        <w:footnoteRef/>
      </w:r>
      <w:r>
        <w:t xml:space="preserve"> 14,16,18,28,34,41,63</w:t>
      </w:r>
    </w:p>
  </w:footnote>
  <w:footnote w:id="572">
    <w:p w14:paraId="146922DC" w14:textId="77777777" w:rsidR="00723291" w:rsidRPr="0090650B" w:rsidRDefault="00723291" w:rsidP="00197182">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35,43</w:t>
      </w:r>
    </w:p>
  </w:footnote>
  <w:footnote w:id="573">
    <w:p w14:paraId="6A9AA839"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23</w:t>
      </w:r>
    </w:p>
  </w:footnote>
  <w:footnote w:id="574">
    <w:p w14:paraId="4A3487D2"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29</w:t>
      </w:r>
    </w:p>
  </w:footnote>
  <w:footnote w:id="575">
    <w:p w14:paraId="5C4B5975"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26,52</w:t>
      </w:r>
    </w:p>
  </w:footnote>
  <w:footnote w:id="576">
    <w:p w14:paraId="51B3B2FF"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52</w:t>
      </w:r>
    </w:p>
  </w:footnote>
  <w:footnote w:id="577">
    <w:p w14:paraId="75E6C423"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01,05,14,16,18,28,41,63</w:t>
      </w:r>
    </w:p>
  </w:footnote>
  <w:footnote w:id="578">
    <w:p w14:paraId="30FF7B4F"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12,23,25,C03,C10</w:t>
      </w:r>
    </w:p>
  </w:footnote>
  <w:footnote w:id="579">
    <w:p w14:paraId="542A64A2"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34,35</w:t>
      </w:r>
    </w:p>
  </w:footnote>
  <w:footnote w:id="580">
    <w:p w14:paraId="59E31B56" w14:textId="759D670E" w:rsidR="00723291" w:rsidRDefault="00723291">
      <w:pPr>
        <w:pStyle w:val="FootnoteText"/>
      </w:pPr>
      <w:r>
        <w:rPr>
          <w:rStyle w:val="FootnoteReference"/>
        </w:rPr>
        <w:footnoteRef/>
      </w:r>
      <w:r>
        <w:t xml:space="preserve"> 11,C12</w:t>
      </w:r>
    </w:p>
  </w:footnote>
  <w:footnote w:id="581">
    <w:p w14:paraId="08E73AB2" w14:textId="48C3DF47" w:rsidR="00723291" w:rsidRDefault="00723291">
      <w:pPr>
        <w:pStyle w:val="FootnoteText"/>
      </w:pPr>
      <w:r>
        <w:rPr>
          <w:rStyle w:val="FootnoteReference"/>
        </w:rPr>
        <w:footnoteRef/>
      </w:r>
      <w:r>
        <w:t xml:space="preserve"> 13,58</w:t>
      </w:r>
    </w:p>
  </w:footnote>
  <w:footnote w:id="582">
    <w:p w14:paraId="3ADEDE9C" w14:textId="77777777" w:rsidR="00723291" w:rsidRPr="0090650B" w:rsidRDefault="00723291" w:rsidP="00C55EA7">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C01</w:t>
      </w:r>
    </w:p>
  </w:footnote>
  <w:footnote w:id="583">
    <w:p w14:paraId="784C92CA"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17,37,40,58,C11</w:t>
      </w:r>
    </w:p>
  </w:footnote>
  <w:footnote w:id="584">
    <w:p w14:paraId="2CA83729"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34,43</w:t>
      </w:r>
    </w:p>
  </w:footnote>
  <w:footnote w:id="585">
    <w:p w14:paraId="4C58E966"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25,52</w:t>
      </w:r>
    </w:p>
  </w:footnote>
  <w:footnote w:id="586">
    <w:p w14:paraId="09FECF2A"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C03</w:t>
      </w:r>
    </w:p>
  </w:footnote>
  <w:footnote w:id="587">
    <w:p w14:paraId="0F5E4152"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41</w:t>
      </w:r>
    </w:p>
  </w:footnote>
  <w:footnote w:id="588">
    <w:p w14:paraId="2DFCB012"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25</w:t>
      </w:r>
    </w:p>
  </w:footnote>
  <w:footnote w:id="589">
    <w:p w14:paraId="51FB6EBE"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01,02,03,05,06,10,14,16,17,18,19,26,28,34,41,50,51,63,C04,C07</w:t>
      </w:r>
    </w:p>
  </w:footnote>
  <w:footnote w:id="590">
    <w:p w14:paraId="35D43E73"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11,40,C08,C11,C12,C13</w:t>
      </w:r>
    </w:p>
  </w:footnote>
  <w:footnote w:id="591">
    <w:p w14:paraId="2A6C89EF"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12,23,25,52</w:t>
      </w:r>
    </w:p>
  </w:footnote>
  <w:footnote w:id="592">
    <w:p w14:paraId="20F46C98"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13,33,C06</w:t>
      </w:r>
    </w:p>
  </w:footnote>
  <w:footnote w:id="593">
    <w:p w14:paraId="5BF6C3BB"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04,62,C03</w:t>
      </w:r>
    </w:p>
  </w:footnote>
  <w:footnote w:id="594">
    <w:p w14:paraId="24BFC5D6"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07,35</w:t>
      </w:r>
    </w:p>
  </w:footnote>
  <w:footnote w:id="595">
    <w:p w14:paraId="6C15619B"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03,07,10,19,26,35,C04</w:t>
      </w:r>
    </w:p>
  </w:footnote>
  <w:footnote w:id="596">
    <w:p w14:paraId="0B4E605D"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23,25,35</w:t>
      </w:r>
    </w:p>
  </w:footnote>
  <w:footnote w:id="597">
    <w:p w14:paraId="58D3765F"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07</w:t>
      </w:r>
    </w:p>
  </w:footnote>
  <w:footnote w:id="598">
    <w:p w14:paraId="43710941"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34</w:t>
      </w:r>
    </w:p>
  </w:footnote>
  <w:footnote w:id="599">
    <w:p w14:paraId="627CEE49"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05,41</w:t>
      </w:r>
    </w:p>
  </w:footnote>
  <w:footnote w:id="600">
    <w:p w14:paraId="6DCE4108"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19</w:t>
      </w:r>
    </w:p>
  </w:footnote>
  <w:footnote w:id="601">
    <w:p w14:paraId="1CA1B9EF"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41</w:t>
      </w:r>
    </w:p>
  </w:footnote>
  <w:footnote w:id="602">
    <w:p w14:paraId="0366BA34"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12</w:t>
      </w:r>
    </w:p>
  </w:footnote>
  <w:footnote w:id="603">
    <w:p w14:paraId="17020F18"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33,C12,C14</w:t>
      </w:r>
    </w:p>
  </w:footnote>
  <w:footnote w:id="604">
    <w:p w14:paraId="4509DA05"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23,52</w:t>
      </w:r>
    </w:p>
  </w:footnote>
  <w:footnote w:id="605">
    <w:p w14:paraId="752752FC" w14:textId="153B86E2" w:rsidR="00723291" w:rsidRDefault="00723291">
      <w:pPr>
        <w:pStyle w:val="FootnoteText"/>
      </w:pPr>
      <w:r>
        <w:rPr>
          <w:rStyle w:val="FootnoteReference"/>
        </w:rPr>
        <w:footnoteRef/>
      </w:r>
      <w:r>
        <w:t xml:space="preserve"> 01,02,03,10,14,17,26,41,C07</w:t>
      </w:r>
    </w:p>
  </w:footnote>
  <w:footnote w:id="606">
    <w:p w14:paraId="30588FD8" w14:textId="77777777" w:rsidR="00723291" w:rsidRPr="0090650B" w:rsidRDefault="00723291" w:rsidP="00C55EA7">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04,C03,</w:t>
      </w:r>
    </w:p>
  </w:footnote>
  <w:footnote w:id="607">
    <w:p w14:paraId="1BB21A31" w14:textId="5256E86B" w:rsidR="00723291" w:rsidRDefault="00723291">
      <w:pPr>
        <w:pStyle w:val="FootnoteText"/>
      </w:pPr>
      <w:r>
        <w:rPr>
          <w:rStyle w:val="FootnoteReference"/>
        </w:rPr>
        <w:footnoteRef/>
      </w:r>
      <w:r>
        <w:t xml:space="preserve"> 35</w:t>
      </w:r>
    </w:p>
  </w:footnote>
  <w:footnote w:id="608">
    <w:p w14:paraId="1369A9FE"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02,03,05,06,26,50,51</w:t>
      </w:r>
    </w:p>
  </w:footnote>
  <w:footnote w:id="609">
    <w:p w14:paraId="57AB302A"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02,03,05,06,26,50,51</w:t>
      </w:r>
    </w:p>
  </w:footnote>
  <w:footnote w:id="610">
    <w:p w14:paraId="39EED7AE" w14:textId="77777777" w:rsidR="00723291" w:rsidRPr="0090650B" w:rsidRDefault="00723291" w:rsidP="00C55EA7">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17</w:t>
      </w:r>
    </w:p>
  </w:footnote>
  <w:footnote w:id="611">
    <w:p w14:paraId="57E0FE11" w14:textId="77777777" w:rsidR="00723291" w:rsidRPr="0090650B" w:rsidRDefault="00723291" w:rsidP="00C55EA7">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C03</w:t>
      </w:r>
    </w:p>
  </w:footnote>
  <w:footnote w:id="612">
    <w:p w14:paraId="211E0B6D"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14,16,17,18,28,34,50,63</w:t>
      </w:r>
    </w:p>
  </w:footnote>
  <w:footnote w:id="613">
    <w:p w14:paraId="18A91CFB"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02,03</w:t>
      </w:r>
    </w:p>
  </w:footnote>
  <w:footnote w:id="614">
    <w:p w14:paraId="2AC98E7E"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17,C07</w:t>
      </w:r>
    </w:p>
  </w:footnote>
  <w:footnote w:id="615">
    <w:p w14:paraId="116C524A"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02,05,06,26</w:t>
      </w:r>
    </w:p>
  </w:footnote>
  <w:footnote w:id="616">
    <w:p w14:paraId="039DA48C"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19</w:t>
      </w:r>
    </w:p>
  </w:footnote>
  <w:footnote w:id="617">
    <w:p w14:paraId="51BE4329"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23</w:t>
      </w:r>
    </w:p>
  </w:footnote>
  <w:footnote w:id="618">
    <w:p w14:paraId="0B234D7F" w14:textId="77777777"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13,23,C11,C13</w:t>
      </w:r>
    </w:p>
  </w:footnote>
  <w:footnote w:id="619">
    <w:p w14:paraId="076DFC03" w14:textId="2110C4E9" w:rsidR="00723291" w:rsidRDefault="00723291">
      <w:pPr>
        <w:pStyle w:val="FootnoteText"/>
      </w:pPr>
      <w:r>
        <w:rPr>
          <w:rStyle w:val="FootnoteReference"/>
        </w:rPr>
        <w:footnoteRef/>
      </w:r>
      <w:r>
        <w:t xml:space="preserve"> 11,40,C08</w:t>
      </w:r>
    </w:p>
  </w:footnote>
  <w:footnote w:id="620">
    <w:p w14:paraId="1828DCCA" w14:textId="77777777" w:rsidR="00723291" w:rsidRDefault="00723291" w:rsidP="00860DCC">
      <w:pPr>
        <w:pStyle w:val="FootnoteText"/>
      </w:pPr>
      <w:r>
        <w:rPr>
          <w:rStyle w:val="FootnoteReference"/>
        </w:rPr>
        <w:footnoteRef/>
      </w:r>
      <w:r>
        <w:t xml:space="preserve"> C06</w:t>
      </w:r>
    </w:p>
  </w:footnote>
  <w:footnote w:id="621">
    <w:p w14:paraId="6460AD31" w14:textId="65AC47F0" w:rsidR="00723291" w:rsidRPr="0090650B" w:rsidRDefault="00723291" w:rsidP="00903FE3">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62</w:t>
      </w:r>
    </w:p>
  </w:footnote>
  <w:footnote w:id="622">
    <w:p w14:paraId="31C3D8FC" w14:textId="4BC99B07" w:rsidR="00723291" w:rsidRPr="0090650B" w:rsidRDefault="00723291" w:rsidP="00F7699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02,03,05,11,12,14,16,18,20,28,34,39,41,42,43,50,51,52,60,63,64,C04,C05,C08,C09</w:t>
      </w:r>
    </w:p>
  </w:footnote>
  <w:footnote w:id="623">
    <w:p w14:paraId="41681550" w14:textId="104D274C" w:rsidR="00723291" w:rsidRPr="0090650B" w:rsidRDefault="00723291" w:rsidP="00F7699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C05,C08</w:t>
      </w:r>
    </w:p>
  </w:footnote>
  <w:footnote w:id="624">
    <w:p w14:paraId="510668C4" w14:textId="7AE95A95" w:rsidR="00723291" w:rsidRPr="0090650B" w:rsidRDefault="00723291" w:rsidP="00F7699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w:t>
      </w:r>
      <w:bookmarkStart w:id="125" w:name="_Hlk527219081"/>
      <w:r w:rsidRPr="0090650B">
        <w:rPr>
          <w:rFonts w:cstheme="majorHAnsi"/>
          <w:szCs w:val="16"/>
        </w:rPr>
        <w:t>03,14,16,28,34,42,43,50,51,63,64,C04,C09</w:t>
      </w:r>
      <w:bookmarkEnd w:id="125"/>
    </w:p>
  </w:footnote>
  <w:footnote w:id="625">
    <w:p w14:paraId="7DEE04B6" w14:textId="65450D5F" w:rsidR="00723291" w:rsidRPr="0090650B" w:rsidRDefault="00723291" w:rsidP="00F7699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w:t>
      </w:r>
      <w:bookmarkStart w:id="126" w:name="_Hlk527219360"/>
      <w:r w:rsidRPr="0090650B">
        <w:rPr>
          <w:rFonts w:cstheme="majorHAnsi"/>
          <w:szCs w:val="16"/>
        </w:rPr>
        <w:t>03,14,16,28,34,51,63,64,C04</w:t>
      </w:r>
      <w:bookmarkEnd w:id="126"/>
    </w:p>
  </w:footnote>
  <w:footnote w:id="626">
    <w:p w14:paraId="2F37AE55" w14:textId="251EF079" w:rsidR="00723291" w:rsidRPr="0090650B" w:rsidRDefault="00723291" w:rsidP="00F7699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14</w:t>
      </w:r>
    </w:p>
  </w:footnote>
  <w:footnote w:id="627">
    <w:p w14:paraId="0627C23B" w14:textId="2EFC0835" w:rsidR="00723291" w:rsidRPr="0090650B" w:rsidRDefault="00723291" w:rsidP="00F7699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43</w:t>
      </w:r>
    </w:p>
  </w:footnote>
  <w:footnote w:id="628">
    <w:p w14:paraId="3E53129F" w14:textId="15D3A037" w:rsidR="00723291" w:rsidRPr="0090650B" w:rsidRDefault="00723291" w:rsidP="00F7699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C09</w:t>
      </w:r>
    </w:p>
  </w:footnote>
  <w:footnote w:id="629">
    <w:p w14:paraId="13FE38A7" w14:textId="77777777" w:rsidR="00723291" w:rsidRPr="0090650B" w:rsidRDefault="00723291" w:rsidP="00F7699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02,03,05,16,18,28,41,</w:t>
      </w:r>
      <w:r>
        <w:rPr>
          <w:rFonts w:cstheme="majorHAnsi"/>
          <w:szCs w:val="16"/>
        </w:rPr>
        <w:t>43,</w:t>
      </w:r>
      <w:r w:rsidRPr="0090650B">
        <w:rPr>
          <w:rFonts w:cstheme="majorHAnsi"/>
          <w:szCs w:val="16"/>
        </w:rPr>
        <w:t>50,63,64</w:t>
      </w:r>
    </w:p>
  </w:footnote>
  <w:footnote w:id="630">
    <w:p w14:paraId="1AD01ECF" w14:textId="77777777" w:rsidR="00723291" w:rsidRPr="0090650B" w:rsidRDefault="00723291" w:rsidP="00F7699C">
      <w:pPr>
        <w:pStyle w:val="FootnoteText"/>
        <w:rPr>
          <w:rFonts w:cstheme="majorHAnsi"/>
          <w:szCs w:val="16"/>
        </w:rPr>
      </w:pPr>
      <w:r w:rsidRPr="0090650B">
        <w:rPr>
          <w:rStyle w:val="FootnoteReference"/>
          <w:rFonts w:cstheme="majorHAnsi"/>
          <w:szCs w:val="16"/>
        </w:rPr>
        <w:footnoteRef/>
      </w:r>
      <w:r>
        <w:rPr>
          <w:rFonts w:cstheme="majorHAnsi"/>
          <w:szCs w:val="16"/>
        </w:rPr>
        <w:t xml:space="preserve"> </w:t>
      </w:r>
      <w:r w:rsidRPr="0090650B">
        <w:rPr>
          <w:rFonts w:cstheme="majorHAnsi"/>
          <w:szCs w:val="16"/>
        </w:rPr>
        <w:t>42,43</w:t>
      </w:r>
    </w:p>
  </w:footnote>
  <w:footnote w:id="631">
    <w:p w14:paraId="3D3AB142" w14:textId="77777777" w:rsidR="00723291" w:rsidRPr="0090650B" w:rsidRDefault="00723291" w:rsidP="00F7699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w:t>
      </w:r>
      <w:bookmarkStart w:id="127" w:name="_Hlk527219538"/>
      <w:r w:rsidRPr="0090650B">
        <w:rPr>
          <w:rFonts w:cstheme="majorHAnsi"/>
          <w:szCs w:val="16"/>
        </w:rPr>
        <w:t>02,03,05,16,18,28,41,</w:t>
      </w:r>
      <w:r>
        <w:rPr>
          <w:rFonts w:cstheme="majorHAnsi"/>
          <w:szCs w:val="16"/>
        </w:rPr>
        <w:t>43,</w:t>
      </w:r>
      <w:r w:rsidRPr="0090650B">
        <w:rPr>
          <w:rFonts w:cstheme="majorHAnsi"/>
          <w:szCs w:val="16"/>
        </w:rPr>
        <w:t>50,63,64</w:t>
      </w:r>
      <w:bookmarkEnd w:id="127"/>
    </w:p>
  </w:footnote>
  <w:footnote w:id="632">
    <w:p w14:paraId="0FAF0473" w14:textId="40255AD5" w:rsidR="00723291" w:rsidRPr="0090650B" w:rsidRDefault="00723291" w:rsidP="00F7699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18</w:t>
      </w:r>
    </w:p>
  </w:footnote>
  <w:footnote w:id="633">
    <w:p w14:paraId="484A7097" w14:textId="77777777" w:rsidR="00723291" w:rsidRPr="0090650B" w:rsidRDefault="00723291" w:rsidP="00F7699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41</w:t>
      </w:r>
    </w:p>
  </w:footnote>
  <w:footnote w:id="634">
    <w:p w14:paraId="6ACE2F43" w14:textId="77777777" w:rsidR="00723291" w:rsidRPr="0090650B" w:rsidRDefault="00723291" w:rsidP="00F7699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05</w:t>
      </w:r>
    </w:p>
  </w:footnote>
  <w:footnote w:id="635">
    <w:p w14:paraId="02F81873" w14:textId="10D000F3" w:rsidR="00723291" w:rsidRPr="0090650B" w:rsidRDefault="00723291" w:rsidP="00F7699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42,43</w:t>
      </w:r>
    </w:p>
  </w:footnote>
  <w:footnote w:id="636">
    <w:p w14:paraId="02CEB80B" w14:textId="16C111FE" w:rsidR="00723291" w:rsidRPr="0090650B" w:rsidRDefault="00723291" w:rsidP="00F7699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11</w:t>
      </w:r>
    </w:p>
  </w:footnote>
  <w:footnote w:id="637">
    <w:p w14:paraId="4F771D51" w14:textId="07DBFB18" w:rsidR="00723291" w:rsidRPr="0090650B" w:rsidRDefault="00723291" w:rsidP="00F7699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12</w:t>
      </w:r>
    </w:p>
  </w:footnote>
  <w:footnote w:id="638">
    <w:p w14:paraId="27AC9A6B" w14:textId="1D3C7594" w:rsidR="00723291" w:rsidRPr="0090650B" w:rsidRDefault="00723291" w:rsidP="00F7699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42</w:t>
      </w:r>
    </w:p>
  </w:footnote>
  <w:footnote w:id="639">
    <w:p w14:paraId="23ACBF95" w14:textId="33776889" w:rsidR="00723291" w:rsidRPr="0090650B" w:rsidRDefault="00723291" w:rsidP="00F7699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20</w:t>
      </w:r>
    </w:p>
  </w:footnote>
  <w:footnote w:id="640">
    <w:p w14:paraId="353E8043" w14:textId="74B9648B" w:rsidR="00723291" w:rsidRPr="0090650B" w:rsidRDefault="00723291" w:rsidP="00F7699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39</w:t>
      </w:r>
    </w:p>
  </w:footnote>
  <w:footnote w:id="641">
    <w:p w14:paraId="39CB489B" w14:textId="07530D47" w:rsidR="00723291" w:rsidRPr="0090650B" w:rsidRDefault="00723291" w:rsidP="00F7699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60</w:t>
      </w:r>
    </w:p>
  </w:footnote>
  <w:footnote w:id="642">
    <w:p w14:paraId="46AD39FA" w14:textId="18311C1C" w:rsidR="00723291" w:rsidRPr="0090650B" w:rsidRDefault="00723291" w:rsidP="00F7699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52</w:t>
      </w:r>
    </w:p>
  </w:footnote>
  <w:footnote w:id="643">
    <w:p w14:paraId="7E95F339" w14:textId="2F10244E" w:rsidR="00723291" w:rsidRPr="0090650B" w:rsidRDefault="00723291" w:rsidP="00F7699C">
      <w:pPr>
        <w:pStyle w:val="FootnoteText"/>
        <w:rPr>
          <w:rFonts w:cstheme="majorHAnsi"/>
          <w:szCs w:val="16"/>
        </w:rPr>
      </w:pPr>
      <w:r w:rsidRPr="0090650B">
        <w:rPr>
          <w:rStyle w:val="FootnoteReference"/>
          <w:rFonts w:cstheme="majorHAnsi"/>
          <w:szCs w:val="16"/>
        </w:rPr>
        <w:footnoteRef/>
      </w:r>
      <w:r w:rsidRPr="0090650B">
        <w:rPr>
          <w:rFonts w:cstheme="majorHAnsi"/>
          <w:szCs w:val="16"/>
        </w:rPr>
        <w:t xml:space="preserve"> C05,C08</w:t>
      </w:r>
    </w:p>
  </w:footnote>
  <w:footnote w:id="644">
    <w:p w14:paraId="4372BD6A" w14:textId="2A0AA45B" w:rsidR="00723291" w:rsidRDefault="00723291">
      <w:pPr>
        <w:pStyle w:val="FootnoteText"/>
      </w:pPr>
      <w:r>
        <w:rPr>
          <w:rStyle w:val="FootnoteReference"/>
        </w:rPr>
        <w:footnoteRef/>
      </w:r>
      <w:r>
        <w:t xml:space="preserve"> </w:t>
      </w:r>
      <w:r w:rsidRPr="009B75B3">
        <w:t>07,08,09,10,14,17,18,19,23,24,27,28,29,30,32,33,34,35,36,43,44,46,50,51,53,55,58,59,60,63,64</w:t>
      </w:r>
    </w:p>
  </w:footnote>
  <w:footnote w:id="645">
    <w:p w14:paraId="014A6177" w14:textId="4783B303" w:rsidR="00723291" w:rsidRDefault="00723291">
      <w:pPr>
        <w:pStyle w:val="FootnoteText"/>
      </w:pPr>
      <w:r>
        <w:rPr>
          <w:rStyle w:val="FootnoteReference"/>
        </w:rPr>
        <w:footnoteRef/>
      </w:r>
      <w:r w:rsidRPr="009B75B3">
        <w:t xml:space="preserve"> 01,02,03,05,06,16,18,28,44,50,61,63,64,C04</w:t>
      </w:r>
    </w:p>
  </w:footnote>
  <w:footnote w:id="646">
    <w:p w14:paraId="543DE144" w14:textId="3C283AF8" w:rsidR="00723291" w:rsidRDefault="00723291">
      <w:pPr>
        <w:pStyle w:val="FootnoteText"/>
      </w:pPr>
      <w:r>
        <w:rPr>
          <w:rStyle w:val="FootnoteReference"/>
        </w:rPr>
        <w:footnoteRef/>
      </w:r>
      <w:r>
        <w:t xml:space="preserve"> </w:t>
      </w:r>
      <w:r w:rsidRPr="009B75B3">
        <w:t>04,29,47,48,49,60,C01,C02</w:t>
      </w:r>
    </w:p>
  </w:footnote>
  <w:footnote w:id="647">
    <w:p w14:paraId="1C9CEA5A" w14:textId="2DA043F0" w:rsidR="00723291" w:rsidRDefault="00723291">
      <w:pPr>
        <w:pStyle w:val="FootnoteText"/>
      </w:pPr>
      <w:r>
        <w:rPr>
          <w:rStyle w:val="FootnoteReference"/>
        </w:rPr>
        <w:footnoteRef/>
      </w:r>
      <w:r>
        <w:t xml:space="preserve"> </w:t>
      </w:r>
      <w:r w:rsidRPr="009B75B3">
        <w:t>03,11,36,41,43,64</w:t>
      </w:r>
    </w:p>
  </w:footnote>
  <w:footnote w:id="648">
    <w:p w14:paraId="5A566C03" w14:textId="63D1D5A4" w:rsidR="00723291" w:rsidRDefault="00723291">
      <w:pPr>
        <w:pStyle w:val="FootnoteText"/>
      </w:pPr>
      <w:r>
        <w:rPr>
          <w:rStyle w:val="FootnoteReference"/>
        </w:rPr>
        <w:footnoteRef/>
      </w:r>
      <w:r>
        <w:t xml:space="preserve"> </w:t>
      </w:r>
      <w:r w:rsidRPr="009B75B3">
        <w:t>05,36,</w:t>
      </w:r>
      <w:r>
        <w:t>44,</w:t>
      </w:r>
      <w:r w:rsidRPr="009B75B3">
        <w:t>50,64</w:t>
      </w:r>
    </w:p>
  </w:footnote>
  <w:footnote w:id="649">
    <w:p w14:paraId="13358322" w14:textId="1988AFB9" w:rsidR="00723291" w:rsidRDefault="00723291">
      <w:pPr>
        <w:pStyle w:val="FootnoteText"/>
      </w:pPr>
      <w:r>
        <w:rPr>
          <w:rStyle w:val="FootnoteReference"/>
        </w:rPr>
        <w:footnoteRef/>
      </w:r>
      <w:r>
        <w:t xml:space="preserve"> </w:t>
      </w:r>
      <w:r w:rsidRPr="009B75B3">
        <w:t>44,55</w:t>
      </w:r>
    </w:p>
  </w:footnote>
  <w:footnote w:id="650">
    <w:p w14:paraId="02A448BF" w14:textId="67CD040F" w:rsidR="00723291" w:rsidRDefault="00723291">
      <w:pPr>
        <w:pStyle w:val="FootnoteText"/>
      </w:pPr>
      <w:r>
        <w:rPr>
          <w:rStyle w:val="FootnoteReference"/>
        </w:rPr>
        <w:footnoteRef/>
      </w:r>
      <w:r>
        <w:t xml:space="preserve"> </w:t>
      </w:r>
      <w:r w:rsidRPr="009B75B3">
        <w:t>44,56</w:t>
      </w:r>
    </w:p>
  </w:footnote>
  <w:footnote w:id="651">
    <w:p w14:paraId="08FED5FA" w14:textId="36C34922" w:rsidR="00723291" w:rsidRDefault="00723291">
      <w:pPr>
        <w:pStyle w:val="FootnoteText"/>
      </w:pPr>
      <w:r>
        <w:rPr>
          <w:rStyle w:val="FootnoteReference"/>
        </w:rPr>
        <w:footnoteRef/>
      </w:r>
      <w:r>
        <w:t xml:space="preserve"> </w:t>
      </w:r>
      <w:r w:rsidRPr="009B75B3">
        <w:t>17,64</w:t>
      </w:r>
    </w:p>
  </w:footnote>
  <w:footnote w:id="652">
    <w:p w14:paraId="185F91E9" w14:textId="4C9482DB" w:rsidR="00723291" w:rsidRDefault="00723291">
      <w:pPr>
        <w:pStyle w:val="FootnoteText"/>
      </w:pPr>
      <w:r>
        <w:rPr>
          <w:rStyle w:val="FootnoteReference"/>
        </w:rPr>
        <w:footnoteRef/>
      </w:r>
      <w:r>
        <w:t xml:space="preserve"> </w:t>
      </w:r>
      <w:r w:rsidRPr="009B75B3">
        <w:t>21</w:t>
      </w:r>
    </w:p>
  </w:footnote>
  <w:footnote w:id="653">
    <w:p w14:paraId="3706FBC5" w14:textId="7E7069BB" w:rsidR="00723291" w:rsidRDefault="00723291">
      <w:pPr>
        <w:pStyle w:val="FootnoteText"/>
      </w:pPr>
      <w:r>
        <w:rPr>
          <w:rStyle w:val="FootnoteReference"/>
        </w:rPr>
        <w:footnoteRef/>
      </w:r>
      <w:r>
        <w:t xml:space="preserve"> </w:t>
      </w:r>
      <w:r w:rsidRPr="009B75B3">
        <w:t>39</w:t>
      </w:r>
    </w:p>
  </w:footnote>
  <w:footnote w:id="654">
    <w:p w14:paraId="153A2F60" w14:textId="3AF3C183" w:rsidR="00723291" w:rsidRDefault="00723291">
      <w:pPr>
        <w:pStyle w:val="FootnoteText"/>
      </w:pPr>
      <w:r>
        <w:rPr>
          <w:rStyle w:val="FootnoteReference"/>
        </w:rPr>
        <w:footnoteRef/>
      </w:r>
      <w:r>
        <w:t xml:space="preserve"> </w:t>
      </w:r>
      <w:r w:rsidRPr="009B75B3">
        <w:t>42</w:t>
      </w:r>
    </w:p>
  </w:footnote>
  <w:footnote w:id="655">
    <w:p w14:paraId="0303688E" w14:textId="630CC266" w:rsidR="00723291" w:rsidRDefault="00723291">
      <w:pPr>
        <w:pStyle w:val="FootnoteText"/>
      </w:pPr>
      <w:r>
        <w:rPr>
          <w:rStyle w:val="FootnoteReference"/>
        </w:rPr>
        <w:footnoteRef/>
      </w:r>
      <w:r>
        <w:t xml:space="preserve"> </w:t>
      </w:r>
      <w:r w:rsidRPr="009B75B3">
        <w:t>45</w:t>
      </w:r>
    </w:p>
  </w:footnote>
  <w:footnote w:id="656">
    <w:p w14:paraId="62662722" w14:textId="03F836D2" w:rsidR="00723291" w:rsidRDefault="00723291">
      <w:pPr>
        <w:pStyle w:val="FootnoteText"/>
      </w:pPr>
      <w:r>
        <w:rPr>
          <w:rStyle w:val="FootnoteReference"/>
        </w:rPr>
        <w:footnoteRef/>
      </w:r>
      <w:r>
        <w:t xml:space="preserve"> </w:t>
      </w:r>
      <w:r w:rsidRPr="009B75B3">
        <w:t>45</w:t>
      </w:r>
    </w:p>
  </w:footnote>
  <w:footnote w:id="657">
    <w:p w14:paraId="4236A3F8" w14:textId="60BBFC3D" w:rsidR="00723291" w:rsidRDefault="00723291">
      <w:pPr>
        <w:pStyle w:val="FootnoteText"/>
      </w:pPr>
      <w:r>
        <w:rPr>
          <w:rStyle w:val="FootnoteReference"/>
        </w:rPr>
        <w:footnoteRef/>
      </w:r>
      <w:r>
        <w:t xml:space="preserve"> </w:t>
      </w:r>
      <w:r w:rsidRPr="009B75B3">
        <w:t>45</w:t>
      </w:r>
    </w:p>
  </w:footnote>
  <w:footnote w:id="658">
    <w:p w14:paraId="3DA286FF" w14:textId="640CE95D" w:rsidR="00723291" w:rsidRDefault="00723291">
      <w:pPr>
        <w:pStyle w:val="FootnoteText"/>
      </w:pPr>
      <w:r>
        <w:rPr>
          <w:rStyle w:val="FootnoteReference"/>
        </w:rPr>
        <w:footnoteRef/>
      </w:r>
      <w:r>
        <w:t xml:space="preserve"> </w:t>
      </w:r>
      <w:r w:rsidRPr="009B75B3">
        <w:t>55</w:t>
      </w:r>
    </w:p>
  </w:footnote>
  <w:footnote w:id="659">
    <w:p w14:paraId="6030447F" w14:textId="1417CE16" w:rsidR="00723291" w:rsidRDefault="00723291">
      <w:pPr>
        <w:pStyle w:val="FootnoteText"/>
      </w:pPr>
      <w:r>
        <w:rPr>
          <w:rStyle w:val="FootnoteReference"/>
        </w:rPr>
        <w:footnoteRef/>
      </w:r>
      <w:r>
        <w:t xml:space="preserve"> </w:t>
      </w:r>
      <w:r w:rsidRPr="009B75B3">
        <w:t>57</w:t>
      </w:r>
    </w:p>
  </w:footnote>
  <w:footnote w:id="660">
    <w:p w14:paraId="5B38F225" w14:textId="1E0EDDE8" w:rsidR="00723291" w:rsidRDefault="00723291">
      <w:pPr>
        <w:pStyle w:val="FootnoteText"/>
      </w:pPr>
      <w:r>
        <w:rPr>
          <w:rStyle w:val="FootnoteReference"/>
        </w:rPr>
        <w:footnoteRef/>
      </w:r>
      <w:r>
        <w:t xml:space="preserve"> </w:t>
      </w:r>
      <w:r w:rsidRPr="009B75B3">
        <w:t>58</w:t>
      </w:r>
    </w:p>
  </w:footnote>
  <w:footnote w:id="661">
    <w:p w14:paraId="01087490" w14:textId="74D7DA63" w:rsidR="00723291" w:rsidRDefault="00723291">
      <w:pPr>
        <w:pStyle w:val="FootnoteText"/>
      </w:pPr>
      <w:r>
        <w:rPr>
          <w:rStyle w:val="FootnoteReference"/>
        </w:rPr>
        <w:footnoteRef/>
      </w:r>
      <w:r>
        <w:t xml:space="preserve"> </w:t>
      </w:r>
      <w:r w:rsidRPr="009B75B3">
        <w:t>61</w:t>
      </w:r>
    </w:p>
  </w:footnote>
  <w:footnote w:id="662">
    <w:p w14:paraId="5E96A2FB" w14:textId="5FC938D2" w:rsidR="00723291" w:rsidRDefault="00723291">
      <w:pPr>
        <w:pStyle w:val="FootnoteText"/>
      </w:pPr>
      <w:r>
        <w:rPr>
          <w:rStyle w:val="FootnoteReference"/>
        </w:rPr>
        <w:footnoteRef/>
      </w:r>
      <w:r>
        <w:t xml:space="preserve"> </w:t>
      </w:r>
      <w:r w:rsidRPr="009B75B3">
        <w:t>C01</w:t>
      </w:r>
    </w:p>
  </w:footnote>
  <w:footnote w:id="663">
    <w:p w14:paraId="7870E8D6" w14:textId="3AF56BF7" w:rsidR="00723291" w:rsidRDefault="00723291">
      <w:pPr>
        <w:pStyle w:val="FootnoteText"/>
      </w:pPr>
      <w:r>
        <w:rPr>
          <w:rStyle w:val="FootnoteReference"/>
        </w:rPr>
        <w:footnoteRef/>
      </w:r>
      <w:r>
        <w:t xml:space="preserve"> </w:t>
      </w:r>
      <w:r w:rsidRPr="009B75B3">
        <w:t>C07</w:t>
      </w:r>
    </w:p>
  </w:footnote>
  <w:footnote w:id="664">
    <w:p w14:paraId="3200473F" w14:textId="235F8850" w:rsidR="00723291" w:rsidRDefault="00723291">
      <w:pPr>
        <w:pStyle w:val="FootnoteText"/>
      </w:pPr>
      <w:r>
        <w:rPr>
          <w:rStyle w:val="FootnoteReference"/>
        </w:rPr>
        <w:footnoteRef/>
      </w:r>
      <w:r>
        <w:t xml:space="preserve"> </w:t>
      </w:r>
      <w:r w:rsidRPr="009B75B3">
        <w:t>C11</w:t>
      </w:r>
    </w:p>
  </w:footnote>
  <w:footnote w:id="665">
    <w:p w14:paraId="01591C22"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39,44,56</w:t>
      </w:r>
    </w:p>
  </w:footnote>
  <w:footnote w:id="666">
    <w:p w14:paraId="5298F787"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w:t>
      </w:r>
      <w:r w:rsidRPr="00A8456C">
        <w:rPr>
          <w:rFonts w:cstheme="majorHAnsi"/>
          <w:szCs w:val="16"/>
        </w:rPr>
        <w:t>01,03,05,06,14,16,18,26,28,50,63</w:t>
      </w:r>
    </w:p>
  </w:footnote>
  <w:footnote w:id="667">
    <w:p w14:paraId="515CD235"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w:t>
      </w:r>
      <w:r w:rsidRPr="00A8456C">
        <w:rPr>
          <w:rFonts w:cstheme="majorHAnsi"/>
          <w:szCs w:val="16"/>
        </w:rPr>
        <w:t>01,03,08,10,16,18,28,34,51,63</w:t>
      </w:r>
    </w:p>
  </w:footnote>
  <w:footnote w:id="668">
    <w:p w14:paraId="70F90A3A"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26,41</w:t>
      </w:r>
    </w:p>
  </w:footnote>
  <w:footnote w:id="669">
    <w:p w14:paraId="1D0A3E25"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01,06,16,18,28,34,40,50,63,C04</w:t>
      </w:r>
    </w:p>
  </w:footnote>
  <w:footnote w:id="670">
    <w:p w14:paraId="2CFEDAA6"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02,06,14,C04</w:t>
      </w:r>
    </w:p>
  </w:footnote>
  <w:footnote w:id="671">
    <w:p w14:paraId="4816D78A"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42,43,55</w:t>
      </w:r>
    </w:p>
  </w:footnote>
  <w:footnote w:id="672">
    <w:p w14:paraId="2F579CAE"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43</w:t>
      </w:r>
    </w:p>
  </w:footnote>
  <w:footnote w:id="673">
    <w:p w14:paraId="4F2286FE"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43,61</w:t>
      </w:r>
    </w:p>
  </w:footnote>
  <w:footnote w:id="674">
    <w:p w14:paraId="7AA1988F"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12</w:t>
      </w:r>
    </w:p>
  </w:footnote>
  <w:footnote w:id="675">
    <w:p w14:paraId="2466A16F"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11,C02,C05,C13</w:t>
      </w:r>
    </w:p>
  </w:footnote>
  <w:footnote w:id="676">
    <w:p w14:paraId="104BDFFE"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C01,C03,C09</w:t>
      </w:r>
    </w:p>
  </w:footnote>
  <w:footnote w:id="677">
    <w:p w14:paraId="49DCBD62"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42</w:t>
      </w:r>
    </w:p>
  </w:footnote>
  <w:footnote w:id="678">
    <w:p w14:paraId="345A3597"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44,54,C05,C08,C10</w:t>
      </w:r>
    </w:p>
  </w:footnote>
  <w:footnote w:id="679">
    <w:p w14:paraId="03C6A54C"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C16</w:t>
      </w:r>
    </w:p>
  </w:footnote>
  <w:footnote w:id="680">
    <w:p w14:paraId="76BFF400"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38</w:t>
      </w:r>
    </w:p>
  </w:footnote>
  <w:footnote w:id="681">
    <w:p w14:paraId="3D00A853"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52,60,C11</w:t>
      </w:r>
    </w:p>
  </w:footnote>
  <w:footnote w:id="682">
    <w:p w14:paraId="5D464999"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13,65 </w:t>
      </w:r>
    </w:p>
  </w:footnote>
  <w:footnote w:id="683">
    <w:p w14:paraId="6C825D6D"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C15</w:t>
      </w:r>
    </w:p>
  </w:footnote>
  <w:footnote w:id="684">
    <w:p w14:paraId="60471F8C"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44,45,46</w:t>
      </w:r>
    </w:p>
  </w:footnote>
  <w:footnote w:id="685">
    <w:p w14:paraId="23922EEE"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44,45,46</w:t>
      </w:r>
    </w:p>
  </w:footnote>
  <w:footnote w:id="686">
    <w:p w14:paraId="3A1F179C"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47,48</w:t>
      </w:r>
    </w:p>
  </w:footnote>
  <w:footnote w:id="687">
    <w:p w14:paraId="55D98985"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44,45,46</w:t>
      </w:r>
    </w:p>
  </w:footnote>
  <w:footnote w:id="688">
    <w:p w14:paraId="157DA8F5"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20</w:t>
      </w:r>
    </w:p>
  </w:footnote>
  <w:footnote w:id="689">
    <w:p w14:paraId="10C7793A"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37</w:t>
      </w:r>
    </w:p>
  </w:footnote>
  <w:footnote w:id="690">
    <w:p w14:paraId="4F825EB7"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45</w:t>
      </w:r>
    </w:p>
  </w:footnote>
  <w:footnote w:id="691">
    <w:p w14:paraId="5778789B"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C05,C13</w:t>
      </w:r>
    </w:p>
  </w:footnote>
  <w:footnote w:id="692">
    <w:p w14:paraId="43B7C240"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12,29</w:t>
      </w:r>
    </w:p>
  </w:footnote>
  <w:footnote w:id="693">
    <w:p w14:paraId="7BA3F952"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50</w:t>
      </w:r>
    </w:p>
  </w:footnote>
  <w:footnote w:id="694">
    <w:p w14:paraId="5CA0CA74"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17</w:t>
      </w:r>
    </w:p>
  </w:footnote>
  <w:footnote w:id="695">
    <w:p w14:paraId="1F83B429"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51</w:t>
      </w:r>
    </w:p>
  </w:footnote>
  <w:footnote w:id="696">
    <w:p w14:paraId="1AA35194"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10</w:t>
      </w:r>
    </w:p>
  </w:footnote>
  <w:footnote w:id="697">
    <w:p w14:paraId="067D5597"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42</w:t>
      </w:r>
    </w:p>
  </w:footnote>
  <w:footnote w:id="698">
    <w:p w14:paraId="11492586"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36</w:t>
      </w:r>
    </w:p>
  </w:footnote>
  <w:footnote w:id="699">
    <w:p w14:paraId="3E314AD7"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C09</w:t>
      </w:r>
    </w:p>
  </w:footnote>
  <w:footnote w:id="700">
    <w:p w14:paraId="0410E6B0"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C05</w:t>
      </w:r>
    </w:p>
  </w:footnote>
  <w:footnote w:id="701">
    <w:p w14:paraId="176E937B"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37,44,C05</w:t>
      </w:r>
    </w:p>
  </w:footnote>
  <w:footnote w:id="702">
    <w:p w14:paraId="081C893D"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37</w:t>
      </w:r>
    </w:p>
  </w:footnote>
  <w:footnote w:id="703">
    <w:p w14:paraId="49C99B70"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44</w:t>
      </w:r>
    </w:p>
  </w:footnote>
  <w:footnote w:id="704">
    <w:p w14:paraId="565CECF4"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44</w:t>
      </w:r>
    </w:p>
  </w:footnote>
  <w:footnote w:id="705">
    <w:p w14:paraId="45FB419B"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44</w:t>
      </w:r>
    </w:p>
  </w:footnote>
  <w:footnote w:id="706">
    <w:p w14:paraId="53109F8A"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37</w:t>
      </w:r>
    </w:p>
  </w:footnote>
  <w:footnote w:id="707">
    <w:p w14:paraId="3FC54EDE"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20</w:t>
      </w:r>
    </w:p>
  </w:footnote>
  <w:footnote w:id="708">
    <w:p w14:paraId="0F6F7D68"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20</w:t>
      </w:r>
    </w:p>
  </w:footnote>
  <w:footnote w:id="709">
    <w:p w14:paraId="432AC1B1"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45</w:t>
      </w:r>
    </w:p>
  </w:footnote>
  <w:footnote w:id="710">
    <w:p w14:paraId="5A558502"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50</w:t>
      </w:r>
    </w:p>
  </w:footnote>
  <w:footnote w:id="711">
    <w:p w14:paraId="1DDC722C"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20</w:t>
      </w:r>
    </w:p>
  </w:footnote>
  <w:footnote w:id="712">
    <w:p w14:paraId="2D14D0A9"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57</w:t>
      </w:r>
    </w:p>
  </w:footnote>
  <w:footnote w:id="713">
    <w:p w14:paraId="1295B299"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04</w:t>
      </w:r>
    </w:p>
  </w:footnote>
  <w:footnote w:id="714">
    <w:p w14:paraId="13F14AD6"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47</w:t>
      </w:r>
    </w:p>
  </w:footnote>
  <w:footnote w:id="715">
    <w:p w14:paraId="3CB05C4B" w14:textId="77777777" w:rsidR="00723291" w:rsidRPr="00A8456C" w:rsidRDefault="00723291" w:rsidP="00345350">
      <w:pPr>
        <w:pStyle w:val="FootnoteText"/>
        <w:rPr>
          <w:szCs w:val="16"/>
        </w:rPr>
      </w:pPr>
      <w:r w:rsidRPr="00A8456C">
        <w:rPr>
          <w:rStyle w:val="FootnoteReference"/>
          <w:szCs w:val="16"/>
        </w:rPr>
        <w:footnoteRef/>
      </w:r>
      <w:r w:rsidRPr="00A8456C">
        <w:rPr>
          <w:szCs w:val="16"/>
        </w:rPr>
        <w:t xml:space="preserve"> 44,54,55</w:t>
      </w:r>
    </w:p>
  </w:footnote>
  <w:footnote w:id="716">
    <w:p w14:paraId="54D17CCA" w14:textId="77777777" w:rsidR="00723291" w:rsidRPr="00A8456C" w:rsidRDefault="00723291" w:rsidP="00345350">
      <w:pPr>
        <w:pStyle w:val="FootnoteText"/>
        <w:rPr>
          <w:szCs w:val="16"/>
        </w:rPr>
      </w:pPr>
      <w:r w:rsidRPr="00A8456C">
        <w:rPr>
          <w:rStyle w:val="FootnoteReference"/>
          <w:szCs w:val="16"/>
        </w:rPr>
        <w:footnoteRef/>
      </w:r>
      <w:r w:rsidRPr="00A8456C">
        <w:rPr>
          <w:szCs w:val="16"/>
        </w:rPr>
        <w:t xml:space="preserve"> 44</w:t>
      </w:r>
    </w:p>
  </w:footnote>
  <w:footnote w:id="717">
    <w:p w14:paraId="03AD3F88" w14:textId="77777777" w:rsidR="00723291" w:rsidRPr="00A8456C" w:rsidRDefault="00723291" w:rsidP="00345350">
      <w:pPr>
        <w:pStyle w:val="FootnoteText"/>
        <w:rPr>
          <w:szCs w:val="16"/>
        </w:rPr>
      </w:pPr>
      <w:r w:rsidRPr="00A8456C">
        <w:rPr>
          <w:rStyle w:val="FootnoteReference"/>
          <w:szCs w:val="16"/>
        </w:rPr>
        <w:footnoteRef/>
      </w:r>
      <w:r w:rsidRPr="00A8456C">
        <w:rPr>
          <w:szCs w:val="16"/>
        </w:rPr>
        <w:t xml:space="preserve"> C05</w:t>
      </w:r>
    </w:p>
  </w:footnote>
  <w:footnote w:id="718">
    <w:p w14:paraId="286AF855" w14:textId="77777777" w:rsidR="00723291" w:rsidRPr="00A8456C" w:rsidRDefault="00723291" w:rsidP="00345350">
      <w:pPr>
        <w:pStyle w:val="FootnoteText"/>
        <w:rPr>
          <w:szCs w:val="16"/>
        </w:rPr>
      </w:pPr>
      <w:r w:rsidRPr="00A8456C">
        <w:rPr>
          <w:rStyle w:val="FootnoteReference"/>
          <w:szCs w:val="16"/>
        </w:rPr>
        <w:footnoteRef/>
      </w:r>
      <w:r w:rsidRPr="00A8456C">
        <w:rPr>
          <w:szCs w:val="16"/>
        </w:rPr>
        <w:t xml:space="preserve"> 15,54,C02</w:t>
      </w:r>
    </w:p>
  </w:footnote>
  <w:footnote w:id="719">
    <w:p w14:paraId="2AD0B083"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05,26</w:t>
      </w:r>
    </w:p>
  </w:footnote>
  <w:footnote w:id="720">
    <w:p w14:paraId="231050FB"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05,14</w:t>
      </w:r>
    </w:p>
  </w:footnote>
  <w:footnote w:id="721">
    <w:p w14:paraId="43FF7A49"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03,41</w:t>
      </w:r>
    </w:p>
  </w:footnote>
  <w:footnote w:id="722">
    <w:p w14:paraId="3B0318D6"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05,14,17,26,50</w:t>
      </w:r>
    </w:p>
  </w:footnote>
  <w:footnote w:id="723">
    <w:p w14:paraId="00DCAD2D"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21,38</w:t>
      </w:r>
    </w:p>
  </w:footnote>
  <w:footnote w:id="724">
    <w:p w14:paraId="2CEC4C40"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04</w:t>
      </w:r>
    </w:p>
  </w:footnote>
  <w:footnote w:id="725">
    <w:p w14:paraId="0035EFDF"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21</w:t>
      </w:r>
    </w:p>
  </w:footnote>
  <w:footnote w:id="726">
    <w:p w14:paraId="601B97EF"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36</w:t>
      </w:r>
    </w:p>
  </w:footnote>
  <w:footnote w:id="727">
    <w:p w14:paraId="1DA08853"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33,36</w:t>
      </w:r>
    </w:p>
  </w:footnote>
  <w:footnote w:id="728">
    <w:p w14:paraId="329AA7E1"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42,55</w:t>
      </w:r>
    </w:p>
  </w:footnote>
  <w:footnote w:id="729">
    <w:p w14:paraId="72272067" w14:textId="77777777" w:rsidR="00723291" w:rsidRPr="00A8456C" w:rsidRDefault="00723291" w:rsidP="00CC7043">
      <w:pPr>
        <w:pStyle w:val="FootnoteText"/>
        <w:rPr>
          <w:rFonts w:cstheme="majorHAnsi"/>
          <w:szCs w:val="16"/>
        </w:rPr>
      </w:pPr>
      <w:r w:rsidRPr="00A8456C">
        <w:rPr>
          <w:rStyle w:val="FootnoteReference"/>
          <w:rFonts w:cstheme="majorHAnsi"/>
          <w:szCs w:val="16"/>
        </w:rPr>
        <w:footnoteRef/>
      </w:r>
      <w:r w:rsidRPr="00A8456C">
        <w:rPr>
          <w:rFonts w:cstheme="majorHAnsi"/>
          <w:szCs w:val="16"/>
        </w:rPr>
        <w:t xml:space="preserve"> 39,40,C08</w:t>
      </w:r>
    </w:p>
  </w:footnote>
  <w:footnote w:id="730">
    <w:p w14:paraId="6212FC10" w14:textId="77777777" w:rsidR="00723291" w:rsidRPr="00A8456C" w:rsidRDefault="00723291" w:rsidP="00CC7043">
      <w:pPr>
        <w:pStyle w:val="FootnoteText"/>
        <w:rPr>
          <w:rFonts w:cstheme="majorHAnsi"/>
          <w:szCs w:val="16"/>
        </w:rPr>
      </w:pPr>
      <w:r w:rsidRPr="00A8456C">
        <w:rPr>
          <w:rStyle w:val="FootnoteReference"/>
          <w:rFonts w:cstheme="majorHAnsi"/>
          <w:szCs w:val="16"/>
        </w:rPr>
        <w:footnoteRef/>
      </w:r>
      <w:r w:rsidRPr="00A8456C">
        <w:rPr>
          <w:rFonts w:cstheme="majorHAnsi"/>
          <w:szCs w:val="16"/>
        </w:rPr>
        <w:t xml:space="preserve"> 40,45,C11,C13</w:t>
      </w:r>
    </w:p>
  </w:footnote>
  <w:footnote w:id="731">
    <w:p w14:paraId="0D5CDA57" w14:textId="77777777" w:rsidR="00723291" w:rsidRPr="00A8456C" w:rsidRDefault="00723291" w:rsidP="00CC7043">
      <w:pPr>
        <w:pStyle w:val="FootnoteText"/>
        <w:rPr>
          <w:rFonts w:cstheme="majorHAnsi"/>
          <w:szCs w:val="16"/>
        </w:rPr>
      </w:pPr>
      <w:r w:rsidRPr="00A8456C">
        <w:rPr>
          <w:rStyle w:val="FootnoteReference"/>
          <w:rFonts w:cstheme="majorHAnsi"/>
          <w:szCs w:val="16"/>
        </w:rPr>
        <w:footnoteRef/>
      </w:r>
      <w:r w:rsidRPr="00A8456C">
        <w:rPr>
          <w:rFonts w:cstheme="majorHAnsi"/>
          <w:szCs w:val="16"/>
        </w:rPr>
        <w:t xml:space="preserve"> 45</w:t>
      </w:r>
    </w:p>
  </w:footnote>
  <w:footnote w:id="732">
    <w:p w14:paraId="3E30FDFE" w14:textId="77777777" w:rsidR="00723291" w:rsidRPr="00A8456C" w:rsidRDefault="00723291" w:rsidP="00CC7043">
      <w:pPr>
        <w:pStyle w:val="FootnoteText"/>
        <w:rPr>
          <w:rFonts w:cstheme="majorHAnsi"/>
          <w:szCs w:val="16"/>
        </w:rPr>
      </w:pPr>
      <w:r w:rsidRPr="00A8456C">
        <w:rPr>
          <w:rStyle w:val="FootnoteReference"/>
          <w:rFonts w:cstheme="majorHAnsi"/>
          <w:szCs w:val="16"/>
        </w:rPr>
        <w:footnoteRef/>
      </w:r>
      <w:r w:rsidRPr="00A8456C">
        <w:rPr>
          <w:rFonts w:cstheme="majorHAnsi"/>
          <w:szCs w:val="16"/>
        </w:rPr>
        <w:t xml:space="preserve"> C11</w:t>
      </w:r>
    </w:p>
  </w:footnote>
  <w:footnote w:id="733">
    <w:p w14:paraId="788CD090" w14:textId="77777777" w:rsidR="00723291" w:rsidRPr="00A8456C" w:rsidRDefault="00723291" w:rsidP="00CC7043">
      <w:pPr>
        <w:pStyle w:val="FootnoteText"/>
        <w:rPr>
          <w:rFonts w:cstheme="majorHAnsi"/>
          <w:szCs w:val="16"/>
        </w:rPr>
      </w:pPr>
      <w:r w:rsidRPr="00A8456C">
        <w:rPr>
          <w:rStyle w:val="FootnoteReference"/>
          <w:rFonts w:cstheme="majorHAnsi"/>
          <w:szCs w:val="16"/>
        </w:rPr>
        <w:footnoteRef/>
      </w:r>
      <w:r w:rsidRPr="00A8456C">
        <w:rPr>
          <w:rFonts w:cstheme="majorHAnsi"/>
          <w:szCs w:val="16"/>
        </w:rPr>
        <w:t xml:space="preserve"> C05</w:t>
      </w:r>
    </w:p>
  </w:footnote>
  <w:footnote w:id="734">
    <w:p w14:paraId="4D2A159B"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C10,C12</w:t>
      </w:r>
    </w:p>
  </w:footnote>
  <w:footnote w:id="735">
    <w:p w14:paraId="628BA75C" w14:textId="77777777" w:rsidR="00723291" w:rsidRPr="00A8456C" w:rsidRDefault="00723291" w:rsidP="00CC7043">
      <w:pPr>
        <w:pStyle w:val="FootnoteText"/>
        <w:rPr>
          <w:rFonts w:cstheme="majorHAnsi"/>
          <w:szCs w:val="16"/>
        </w:rPr>
      </w:pPr>
      <w:r w:rsidRPr="00A8456C">
        <w:rPr>
          <w:rStyle w:val="FootnoteReference"/>
          <w:rFonts w:cstheme="majorHAnsi"/>
          <w:szCs w:val="16"/>
        </w:rPr>
        <w:footnoteRef/>
      </w:r>
      <w:r w:rsidRPr="00A8456C">
        <w:rPr>
          <w:rFonts w:cstheme="majorHAnsi"/>
          <w:szCs w:val="16"/>
        </w:rPr>
        <w:t xml:space="preserve"> 11,C08,C10,C13</w:t>
      </w:r>
    </w:p>
  </w:footnote>
  <w:footnote w:id="736">
    <w:p w14:paraId="22A05C46"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37</w:t>
      </w:r>
    </w:p>
  </w:footnote>
  <w:footnote w:id="737">
    <w:p w14:paraId="7D00B9D3"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11,40,C08</w:t>
      </w:r>
    </w:p>
  </w:footnote>
  <w:footnote w:id="738">
    <w:p w14:paraId="1FE5D009"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19</w:t>
      </w:r>
    </w:p>
  </w:footnote>
  <w:footnote w:id="739">
    <w:p w14:paraId="4E6AB0D3"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01</w:t>
      </w:r>
    </w:p>
  </w:footnote>
  <w:footnote w:id="740">
    <w:p w14:paraId="6E0E7A66"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34</w:t>
      </w:r>
    </w:p>
  </w:footnote>
  <w:footnote w:id="741">
    <w:p w14:paraId="3C7A7C89" w14:textId="77777777" w:rsidR="00723291" w:rsidRPr="00A8456C" w:rsidRDefault="00723291" w:rsidP="00CC7043">
      <w:pPr>
        <w:pStyle w:val="FootnoteText"/>
        <w:rPr>
          <w:rFonts w:cstheme="majorHAnsi"/>
          <w:szCs w:val="16"/>
        </w:rPr>
      </w:pPr>
      <w:r w:rsidRPr="00A8456C">
        <w:rPr>
          <w:rStyle w:val="FootnoteReference"/>
          <w:rFonts w:cstheme="majorHAnsi"/>
          <w:szCs w:val="16"/>
        </w:rPr>
        <w:footnoteRef/>
      </w:r>
      <w:r w:rsidRPr="00A8456C">
        <w:rPr>
          <w:rFonts w:cstheme="majorHAnsi"/>
          <w:szCs w:val="16"/>
        </w:rPr>
        <w:t xml:space="preserve"> 41</w:t>
      </w:r>
    </w:p>
  </w:footnote>
  <w:footnote w:id="742">
    <w:p w14:paraId="420879BF"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01,05,06,16,17,18,26.28,34,41,50,63,64</w:t>
      </w:r>
    </w:p>
  </w:footnote>
  <w:footnote w:id="743">
    <w:p w14:paraId="5A337664"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14,16,18,28,34,41,63</w:t>
      </w:r>
    </w:p>
  </w:footnote>
  <w:footnote w:id="744">
    <w:p w14:paraId="0351CAA6" w14:textId="77777777" w:rsidR="00723291" w:rsidRPr="00A8456C" w:rsidRDefault="00723291" w:rsidP="00CC7043">
      <w:pPr>
        <w:pStyle w:val="FootnoteText"/>
        <w:rPr>
          <w:rFonts w:cstheme="majorHAnsi"/>
          <w:szCs w:val="16"/>
        </w:rPr>
      </w:pPr>
      <w:r w:rsidRPr="00A8456C">
        <w:rPr>
          <w:rStyle w:val="FootnoteReference"/>
          <w:rFonts w:cstheme="majorHAnsi"/>
          <w:szCs w:val="16"/>
        </w:rPr>
        <w:footnoteRef/>
      </w:r>
      <w:r w:rsidRPr="00A8456C">
        <w:rPr>
          <w:rFonts w:cstheme="majorHAnsi"/>
          <w:szCs w:val="16"/>
        </w:rPr>
        <w:t xml:space="preserve"> 01,05,14,16,18,28,41,63</w:t>
      </w:r>
    </w:p>
  </w:footnote>
  <w:footnote w:id="745">
    <w:p w14:paraId="73D8007E"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17,34</w:t>
      </w:r>
    </w:p>
  </w:footnote>
  <w:footnote w:id="746">
    <w:p w14:paraId="4097D8D6"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03,10,19,26,C04</w:t>
      </w:r>
    </w:p>
  </w:footnote>
  <w:footnote w:id="747">
    <w:p w14:paraId="1C666C46"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34</w:t>
      </w:r>
    </w:p>
  </w:footnote>
  <w:footnote w:id="748">
    <w:p w14:paraId="20548DCD"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05,41</w:t>
      </w:r>
    </w:p>
  </w:footnote>
  <w:footnote w:id="749">
    <w:p w14:paraId="66D0B92D"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19</w:t>
      </w:r>
    </w:p>
  </w:footnote>
  <w:footnote w:id="750">
    <w:p w14:paraId="705CED07"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41</w:t>
      </w:r>
    </w:p>
  </w:footnote>
  <w:footnote w:id="751">
    <w:p w14:paraId="37FE2526"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17</w:t>
      </w:r>
    </w:p>
  </w:footnote>
  <w:footnote w:id="752">
    <w:p w14:paraId="2BE3E32B"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02,03,05,06,26,50,51</w:t>
      </w:r>
    </w:p>
  </w:footnote>
  <w:footnote w:id="753">
    <w:p w14:paraId="608EC395"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02,03,05,06,26,50,51</w:t>
      </w:r>
    </w:p>
  </w:footnote>
  <w:footnote w:id="754">
    <w:p w14:paraId="5FF21899" w14:textId="77777777" w:rsidR="00723291" w:rsidRPr="00A8456C" w:rsidRDefault="00723291" w:rsidP="00CC7043">
      <w:pPr>
        <w:pStyle w:val="FootnoteText"/>
        <w:rPr>
          <w:rFonts w:cstheme="majorHAnsi"/>
          <w:szCs w:val="16"/>
        </w:rPr>
      </w:pPr>
      <w:r w:rsidRPr="00A8456C">
        <w:rPr>
          <w:rStyle w:val="FootnoteReference"/>
          <w:szCs w:val="16"/>
        </w:rPr>
        <w:footnoteRef/>
      </w:r>
      <w:r w:rsidRPr="00A8456C">
        <w:rPr>
          <w:szCs w:val="16"/>
        </w:rPr>
        <w:t xml:space="preserve"> </w:t>
      </w:r>
      <w:r w:rsidRPr="00A8456C">
        <w:rPr>
          <w:rFonts w:cstheme="majorHAnsi"/>
          <w:szCs w:val="16"/>
        </w:rPr>
        <w:t>14,16,17,18,28,34,50,63</w:t>
      </w:r>
    </w:p>
  </w:footnote>
  <w:footnote w:id="755">
    <w:p w14:paraId="65A68DE1" w14:textId="77777777" w:rsidR="00723291" w:rsidRPr="00A8456C" w:rsidRDefault="00723291" w:rsidP="00CC7043">
      <w:pPr>
        <w:pStyle w:val="FootnoteText"/>
        <w:rPr>
          <w:rFonts w:cstheme="majorHAnsi"/>
          <w:szCs w:val="16"/>
        </w:rPr>
      </w:pPr>
      <w:r w:rsidRPr="00A8456C">
        <w:rPr>
          <w:rStyle w:val="FootnoteReference"/>
          <w:rFonts w:cstheme="majorHAnsi"/>
          <w:szCs w:val="16"/>
        </w:rPr>
        <w:footnoteRef/>
      </w:r>
      <w:r w:rsidRPr="00A8456C">
        <w:rPr>
          <w:rFonts w:cstheme="majorHAnsi"/>
          <w:szCs w:val="16"/>
        </w:rPr>
        <w:t xml:space="preserve"> 24,32,36</w:t>
      </w:r>
    </w:p>
  </w:footnote>
  <w:footnote w:id="756">
    <w:p w14:paraId="419DEAF2" w14:textId="77777777" w:rsidR="00723291" w:rsidRPr="00A8456C" w:rsidRDefault="00723291" w:rsidP="00CC7043">
      <w:pPr>
        <w:pStyle w:val="FootnoteText"/>
        <w:rPr>
          <w:rFonts w:cstheme="majorHAnsi"/>
          <w:szCs w:val="16"/>
        </w:rPr>
      </w:pPr>
      <w:r w:rsidRPr="00A8456C">
        <w:rPr>
          <w:rStyle w:val="FootnoteReference"/>
          <w:rFonts w:cstheme="majorHAnsi"/>
          <w:szCs w:val="16"/>
        </w:rPr>
        <w:footnoteRef/>
      </w:r>
      <w:r w:rsidRPr="00A8456C">
        <w:rPr>
          <w:rFonts w:cstheme="majorHAnsi"/>
          <w:szCs w:val="16"/>
        </w:rPr>
        <w:t xml:space="preserve"> 24,27,30,33</w:t>
      </w:r>
    </w:p>
  </w:footnote>
  <w:footnote w:id="757">
    <w:p w14:paraId="624B2991" w14:textId="77777777" w:rsidR="00723291" w:rsidRPr="00A8456C" w:rsidRDefault="00723291" w:rsidP="00CC7043">
      <w:pPr>
        <w:pStyle w:val="FootnoteText"/>
        <w:rPr>
          <w:rFonts w:cstheme="majorHAnsi"/>
          <w:szCs w:val="16"/>
        </w:rPr>
      </w:pPr>
      <w:r w:rsidRPr="00A8456C">
        <w:rPr>
          <w:rStyle w:val="FootnoteReference"/>
          <w:rFonts w:cstheme="majorHAnsi"/>
          <w:szCs w:val="16"/>
        </w:rPr>
        <w:footnoteRef/>
      </w:r>
      <w:r w:rsidRPr="00A8456C">
        <w:rPr>
          <w:rFonts w:cstheme="majorHAnsi"/>
          <w:szCs w:val="16"/>
        </w:rPr>
        <w:t xml:space="preserve"> 24,36</w:t>
      </w:r>
    </w:p>
  </w:footnote>
  <w:footnote w:id="758">
    <w:p w14:paraId="78868FD7" w14:textId="77777777" w:rsidR="00723291" w:rsidRPr="00A8456C" w:rsidRDefault="00723291" w:rsidP="00CC7043">
      <w:pPr>
        <w:pStyle w:val="FootnoteText"/>
        <w:rPr>
          <w:rFonts w:cstheme="majorHAnsi"/>
          <w:szCs w:val="16"/>
        </w:rPr>
      </w:pPr>
      <w:r w:rsidRPr="00A8456C">
        <w:rPr>
          <w:rStyle w:val="FootnoteReference"/>
          <w:rFonts w:cstheme="majorHAnsi"/>
          <w:szCs w:val="16"/>
        </w:rPr>
        <w:footnoteRef/>
      </w:r>
      <w:r w:rsidRPr="00A8456C">
        <w:rPr>
          <w:rFonts w:cstheme="majorHAnsi"/>
          <w:szCs w:val="16"/>
        </w:rPr>
        <w:t xml:space="preserve"> 24,27,32,33</w:t>
      </w:r>
    </w:p>
  </w:footnote>
  <w:footnote w:id="759">
    <w:p w14:paraId="5D492816" w14:textId="77777777" w:rsidR="00723291" w:rsidRPr="00A8456C" w:rsidRDefault="00723291" w:rsidP="00CC7043">
      <w:pPr>
        <w:pStyle w:val="FootnoteText"/>
        <w:rPr>
          <w:rFonts w:cstheme="majorHAnsi"/>
          <w:szCs w:val="16"/>
        </w:rPr>
      </w:pPr>
      <w:r w:rsidRPr="00A8456C">
        <w:rPr>
          <w:rStyle w:val="FootnoteReference"/>
          <w:rFonts w:cstheme="majorHAnsi"/>
          <w:szCs w:val="16"/>
        </w:rPr>
        <w:footnoteRef/>
      </w:r>
      <w:r w:rsidRPr="00A8456C">
        <w:rPr>
          <w:rFonts w:cstheme="majorHAnsi"/>
          <w:szCs w:val="16"/>
        </w:rPr>
        <w:t xml:space="preserve"> 13</w:t>
      </w:r>
    </w:p>
  </w:footnote>
  <w:footnote w:id="760">
    <w:p w14:paraId="5A93ACEE"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C06</w:t>
      </w:r>
    </w:p>
  </w:footnote>
  <w:footnote w:id="761">
    <w:p w14:paraId="6E5E179A"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29</w:t>
      </w:r>
    </w:p>
  </w:footnote>
  <w:footnote w:id="762">
    <w:p w14:paraId="2ABC536D" w14:textId="77777777" w:rsidR="00723291" w:rsidRPr="00A8456C" w:rsidRDefault="00723291" w:rsidP="00CC7043">
      <w:pPr>
        <w:pStyle w:val="FootnoteText"/>
        <w:rPr>
          <w:rFonts w:cstheme="majorHAnsi"/>
          <w:szCs w:val="16"/>
        </w:rPr>
      </w:pPr>
      <w:r w:rsidRPr="00A8456C">
        <w:rPr>
          <w:rStyle w:val="FootnoteReference"/>
          <w:rFonts w:cstheme="majorHAnsi"/>
          <w:szCs w:val="16"/>
        </w:rPr>
        <w:footnoteRef/>
      </w:r>
      <w:r w:rsidRPr="00A8456C">
        <w:rPr>
          <w:rFonts w:cstheme="majorHAnsi"/>
          <w:szCs w:val="16"/>
        </w:rPr>
        <w:t xml:space="preserve"> 12</w:t>
      </w:r>
    </w:p>
  </w:footnote>
  <w:footnote w:id="763">
    <w:p w14:paraId="15D94668"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25,29</w:t>
      </w:r>
    </w:p>
  </w:footnote>
  <w:footnote w:id="764">
    <w:p w14:paraId="4B6EB409"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23</w:t>
      </w:r>
    </w:p>
  </w:footnote>
  <w:footnote w:id="765">
    <w:p w14:paraId="70FD9635"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52</w:t>
      </w:r>
    </w:p>
  </w:footnote>
  <w:footnote w:id="766">
    <w:p w14:paraId="4B786065"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12,23,25</w:t>
      </w:r>
    </w:p>
  </w:footnote>
  <w:footnote w:id="767">
    <w:p w14:paraId="6416E751"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12,52</w:t>
      </w:r>
    </w:p>
  </w:footnote>
  <w:footnote w:id="768">
    <w:p w14:paraId="5DB50C74"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35,43</w:t>
      </w:r>
    </w:p>
  </w:footnote>
  <w:footnote w:id="769">
    <w:p w14:paraId="05ABABEA"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62</w:t>
      </w:r>
    </w:p>
  </w:footnote>
  <w:footnote w:id="770">
    <w:p w14:paraId="25EEE775"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04</w:t>
      </w:r>
    </w:p>
  </w:footnote>
  <w:footnote w:id="771">
    <w:p w14:paraId="593236DD" w14:textId="77777777" w:rsidR="00723291" w:rsidRPr="00A8456C" w:rsidRDefault="00723291" w:rsidP="00CC7043">
      <w:pPr>
        <w:pStyle w:val="FootnoteText"/>
        <w:rPr>
          <w:szCs w:val="16"/>
        </w:rPr>
      </w:pPr>
      <w:r w:rsidRPr="00A8456C">
        <w:rPr>
          <w:rStyle w:val="FootnoteReference"/>
          <w:szCs w:val="16"/>
        </w:rPr>
        <w:footnoteRef/>
      </w:r>
      <w:r w:rsidRPr="00A8456C">
        <w:rPr>
          <w:szCs w:val="16"/>
        </w:rPr>
        <w:t xml:space="preserve"> C03</w:t>
      </w:r>
    </w:p>
  </w:footnote>
  <w:footnote w:id="772">
    <w:p w14:paraId="766FA16F" w14:textId="77777777" w:rsidR="00723291" w:rsidRPr="00A8456C" w:rsidRDefault="00723291" w:rsidP="00CC7043">
      <w:pPr>
        <w:pStyle w:val="FootnoteText"/>
        <w:rPr>
          <w:rFonts w:cstheme="majorHAnsi"/>
          <w:szCs w:val="16"/>
        </w:rPr>
      </w:pPr>
      <w:r w:rsidRPr="00A8456C">
        <w:rPr>
          <w:rStyle w:val="FootnoteReference"/>
          <w:rFonts w:cstheme="majorHAnsi"/>
          <w:szCs w:val="16"/>
        </w:rPr>
        <w:footnoteRef/>
      </w:r>
      <w:r w:rsidRPr="00A8456C">
        <w:rPr>
          <w:rFonts w:cstheme="majorHAnsi"/>
          <w:szCs w:val="16"/>
        </w:rPr>
        <w:t xml:space="preserve">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721E6" w14:textId="561B4228" w:rsidR="00723291" w:rsidRDefault="007232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58132" w14:textId="6EC5DF68" w:rsidR="00723291" w:rsidRDefault="007232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2FDED" w14:textId="46661AB4" w:rsidR="00723291" w:rsidRDefault="00723291">
    <w:pPr>
      <w:pStyle w:val="Header"/>
      <w:rPr>
        <w:noProof/>
        <w:lang w:eastAsia="en-NZ"/>
      </w:rPr>
    </w:pPr>
  </w:p>
  <w:p w14:paraId="61F42032" w14:textId="7EA3B191" w:rsidR="00723291" w:rsidRDefault="007232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BCF2A" w14:textId="1F33D571" w:rsidR="00723291" w:rsidRDefault="0072329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DD68B" w14:textId="229012BD" w:rsidR="00723291" w:rsidRDefault="0072329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0D4F5" w14:textId="381881AF" w:rsidR="00723291" w:rsidRDefault="007232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A60EB"/>
    <w:multiLevelType w:val="multilevel"/>
    <w:tmpl w:val="D1F2E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6B27D2"/>
    <w:multiLevelType w:val="hybridMultilevel"/>
    <w:tmpl w:val="D144AC22"/>
    <w:lvl w:ilvl="0" w:tplc="7C8C65A6">
      <w:start w:val="1"/>
      <w:numFmt w:val="decimal"/>
      <w:pStyle w:val="Number"/>
      <w:lvlText w:val="%1."/>
      <w:lvlJc w:val="left"/>
      <w:pPr>
        <w:tabs>
          <w:tab w:val="num" w:pos="567"/>
        </w:tabs>
        <w:ind w:left="567"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A7B4C22"/>
    <w:multiLevelType w:val="hybridMultilevel"/>
    <w:tmpl w:val="D7CC42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4E7FF2"/>
    <w:multiLevelType w:val="hybridMultilevel"/>
    <w:tmpl w:val="680E65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ED7453"/>
    <w:multiLevelType w:val="hybridMultilevel"/>
    <w:tmpl w:val="336870D6"/>
    <w:lvl w:ilvl="0" w:tplc="6004DA00">
      <w:start w:val="1"/>
      <w:numFmt w:val="bullet"/>
      <w:pStyle w:val="Table-bullet"/>
      <w:lvlText w:val=""/>
      <w:lvlJc w:val="left"/>
      <w:pPr>
        <w:ind w:left="720" w:hanging="360"/>
      </w:pPr>
      <w:rPr>
        <w:rFonts w:ascii="Symbol" w:hAnsi="Symbol" w:hint="default"/>
      </w:rPr>
    </w:lvl>
    <w:lvl w:ilvl="1" w:tplc="F1EEEB36">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570FE"/>
    <w:multiLevelType w:val="multilevel"/>
    <w:tmpl w:val="03F66E6A"/>
    <w:lvl w:ilvl="0">
      <w:start w:val="1"/>
      <w:numFmt w:val="bullet"/>
      <w:lvlText w:val=""/>
      <w:lvlJc w:val="left"/>
      <w:pPr>
        <w:ind w:left="720" w:hanging="360"/>
      </w:pPr>
      <w:rPr>
        <w:rFonts w:ascii="Symbol" w:hAnsi="Symbol" w:hint="default"/>
        <w:color w:val="36424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EC7272"/>
    <w:multiLevelType w:val="multilevel"/>
    <w:tmpl w:val="3D86AAC2"/>
    <w:lvl w:ilvl="0">
      <w:start w:val="1"/>
      <w:numFmt w:val="decimal"/>
      <w:pStyle w:val="List-AlphanumericLvl1"/>
      <w:lvlText w:val="%1."/>
      <w:lvlJc w:val="left"/>
      <w:pPr>
        <w:ind w:left="993"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lphanumericLvl2"/>
      <w:lvlText w:val="%2."/>
      <w:lvlJc w:val="left"/>
      <w:pPr>
        <w:ind w:left="1560"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AlphanumericLvl3"/>
      <w:lvlText w:val="%3."/>
      <w:lvlJc w:val="left"/>
      <w:pPr>
        <w:ind w:left="212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694" w:hanging="567"/>
      </w:pPr>
      <w:rPr>
        <w:rFonts w:hint="default"/>
      </w:rPr>
    </w:lvl>
    <w:lvl w:ilvl="4">
      <w:start w:val="1"/>
      <w:numFmt w:val="lowerLetter"/>
      <w:lvlText w:val="(%5)"/>
      <w:lvlJc w:val="left"/>
      <w:pPr>
        <w:ind w:left="3261" w:hanging="567"/>
      </w:pPr>
      <w:rPr>
        <w:rFonts w:hint="default"/>
      </w:rPr>
    </w:lvl>
    <w:lvl w:ilvl="5">
      <w:start w:val="1"/>
      <w:numFmt w:val="lowerRoman"/>
      <w:lvlText w:val="(%6)"/>
      <w:lvlJc w:val="left"/>
      <w:pPr>
        <w:ind w:left="3828" w:hanging="567"/>
      </w:pPr>
      <w:rPr>
        <w:rFonts w:hint="default"/>
      </w:rPr>
    </w:lvl>
    <w:lvl w:ilvl="6">
      <w:start w:val="1"/>
      <w:numFmt w:val="decimal"/>
      <w:lvlText w:val="%7."/>
      <w:lvlJc w:val="left"/>
      <w:pPr>
        <w:ind w:left="4395" w:hanging="567"/>
      </w:pPr>
      <w:rPr>
        <w:rFonts w:hint="default"/>
      </w:rPr>
    </w:lvl>
    <w:lvl w:ilvl="7">
      <w:start w:val="1"/>
      <w:numFmt w:val="lowerLetter"/>
      <w:lvlText w:val="%8."/>
      <w:lvlJc w:val="left"/>
      <w:pPr>
        <w:ind w:left="4962" w:hanging="567"/>
      </w:pPr>
      <w:rPr>
        <w:rFonts w:hint="default"/>
      </w:rPr>
    </w:lvl>
    <w:lvl w:ilvl="8">
      <w:start w:val="1"/>
      <w:numFmt w:val="lowerRoman"/>
      <w:lvlText w:val="%9."/>
      <w:lvlJc w:val="left"/>
      <w:pPr>
        <w:ind w:left="5529" w:hanging="567"/>
      </w:pPr>
      <w:rPr>
        <w:rFonts w:hint="default"/>
      </w:rPr>
    </w:lvl>
  </w:abstractNum>
  <w:abstractNum w:abstractNumId="7" w15:restartNumberingAfterBreak="0">
    <w:nsid w:val="255034B7"/>
    <w:multiLevelType w:val="multilevel"/>
    <w:tmpl w:val="03F66E6A"/>
    <w:lvl w:ilvl="0">
      <w:start w:val="1"/>
      <w:numFmt w:val="bullet"/>
      <w:lvlText w:val=""/>
      <w:lvlJc w:val="left"/>
      <w:pPr>
        <w:ind w:left="720" w:hanging="360"/>
      </w:pPr>
      <w:rPr>
        <w:rFonts w:ascii="Symbol" w:hAnsi="Symbol" w:hint="default"/>
        <w:color w:val="36424A" w:themeColor="tex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743DFB"/>
    <w:multiLevelType w:val="multilevel"/>
    <w:tmpl w:val="164E1640"/>
    <w:lvl w:ilvl="0">
      <w:start w:val="1"/>
      <w:numFmt w:val="decimal"/>
      <w:pStyle w:val="NumberedHeading1"/>
      <w:lvlText w:val="%1."/>
      <w:lvlJc w:val="left"/>
      <w:pPr>
        <w:ind w:left="680" w:hanging="680"/>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851" w:hanging="851"/>
      </w:pPr>
      <w:rPr>
        <w:rFonts w:hint="default"/>
      </w:rPr>
    </w:lvl>
    <w:lvl w:ilvl="3">
      <w:start w:val="1"/>
      <w:numFmt w:val="decimal"/>
      <w:pStyle w:val="NumberedHeading4"/>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B242DB0"/>
    <w:multiLevelType w:val="hybridMultilevel"/>
    <w:tmpl w:val="FE7EAD04"/>
    <w:lvl w:ilvl="0" w:tplc="7AEC2E56">
      <w:start w:val="1"/>
      <w:numFmt w:val="bullet"/>
      <w:lvlText w:val=""/>
      <w:lvlJc w:val="left"/>
      <w:pPr>
        <w:ind w:left="720" w:hanging="360"/>
      </w:pPr>
      <w:rPr>
        <w:rFonts w:ascii="Symbol" w:hAnsi="Symbol" w:hint="default"/>
        <w:color w:val="36424A" w:themeColor="text2"/>
      </w:rPr>
    </w:lvl>
    <w:lvl w:ilvl="1" w:tplc="D6F643EE">
      <w:start w:val="1"/>
      <w:numFmt w:val="bullet"/>
      <w:lvlText w:val="‐"/>
      <w:lvlJc w:val="left"/>
      <w:pPr>
        <w:ind w:left="1440" w:hanging="360"/>
      </w:pPr>
      <w:rPr>
        <w:rFonts w:ascii="Cambria" w:hAnsi="Cambria" w:hint="default"/>
        <w:color w:val="36424A"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55077"/>
    <w:multiLevelType w:val="multilevel"/>
    <w:tmpl w:val="03F66E6A"/>
    <w:styleLink w:val="ACBulletLvl1"/>
    <w:lvl w:ilvl="0">
      <w:start w:val="1"/>
      <w:numFmt w:val="bullet"/>
      <w:lvlText w:val=""/>
      <w:lvlJc w:val="left"/>
      <w:pPr>
        <w:ind w:left="720" w:hanging="360"/>
      </w:pPr>
      <w:rPr>
        <w:rFonts w:ascii="Symbol" w:hAnsi="Symbol" w:hint="default"/>
        <w:color w:val="36424A" w:themeColor="tex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9603CC"/>
    <w:multiLevelType w:val="hybridMultilevel"/>
    <w:tmpl w:val="1324D0AE"/>
    <w:lvl w:ilvl="0" w:tplc="D0780B68">
      <w:start w:val="1"/>
      <w:numFmt w:val="bullet"/>
      <w:lvlText w:val=""/>
      <w:lvlJc w:val="left"/>
      <w:pPr>
        <w:ind w:left="720" w:hanging="360"/>
      </w:pPr>
      <w:rPr>
        <w:rFonts w:ascii="Symbol" w:hAnsi="Symbol" w:hint="default"/>
        <w:color w:val="36424A" w:themeColor="text2"/>
      </w:rPr>
    </w:lvl>
    <w:lvl w:ilvl="1" w:tplc="6BE80622">
      <w:start w:val="1"/>
      <w:numFmt w:val="bullet"/>
      <w:lvlText w:val="-"/>
      <w:lvlJc w:val="left"/>
      <w:pPr>
        <w:ind w:left="1440" w:hanging="360"/>
      </w:pPr>
      <w:rPr>
        <w:rFonts w:ascii="Calibri" w:hAnsi="Calibri" w:hint="default"/>
        <w:color w:val="36424A" w:themeColor="text2"/>
      </w:rPr>
    </w:lvl>
    <w:lvl w:ilvl="2" w:tplc="493A8C84">
      <w:start w:val="1"/>
      <w:numFmt w:val="bullet"/>
      <w:lvlText w:val=""/>
      <w:lvlJc w:val="left"/>
      <w:pPr>
        <w:ind w:left="2160" w:hanging="360"/>
      </w:pPr>
      <w:rPr>
        <w:rFonts w:ascii="Symbol" w:hAnsi="Symbol" w:hint="default"/>
        <w:color w:val="36424A" w:themeColor="text2"/>
        <w:sz w:val="1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84CAC"/>
    <w:multiLevelType w:val="hybridMultilevel"/>
    <w:tmpl w:val="3B5E1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BAB48E7"/>
    <w:multiLevelType w:val="hybridMultilevel"/>
    <w:tmpl w:val="2B409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F96BE2"/>
    <w:multiLevelType w:val="hybridMultilevel"/>
    <w:tmpl w:val="0B74CD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24516C0"/>
    <w:multiLevelType w:val="multilevel"/>
    <w:tmpl w:val="1409001D"/>
    <w:styleLink w:val="AC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EB5AFF"/>
    <w:multiLevelType w:val="hybridMultilevel"/>
    <w:tmpl w:val="7D7675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9B97372"/>
    <w:multiLevelType w:val="multilevel"/>
    <w:tmpl w:val="803297E0"/>
    <w:lvl w:ilvl="0">
      <w:start w:val="1"/>
      <w:numFmt w:val="decimal"/>
      <w:lvlText w:val="%1."/>
      <w:lvlJc w:val="left"/>
      <w:pPr>
        <w:tabs>
          <w:tab w:val="num" w:pos="2921"/>
        </w:tabs>
        <w:ind w:left="2921" w:hanging="794"/>
      </w:pPr>
      <w:rPr>
        <w:rFonts w:hint="default"/>
      </w:rPr>
    </w:lvl>
    <w:lvl w:ilvl="1">
      <w:start w:val="1"/>
      <w:numFmt w:val="decimal"/>
      <w:lvlRestart w:val="0"/>
      <w:lvlText w:val="%1.%2."/>
      <w:lvlJc w:val="left"/>
      <w:pPr>
        <w:ind w:left="792" w:hanging="792"/>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pStyle w:val="Numbered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D040C8"/>
    <w:multiLevelType w:val="hybridMultilevel"/>
    <w:tmpl w:val="09AEA0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B216F70"/>
    <w:multiLevelType w:val="hybridMultilevel"/>
    <w:tmpl w:val="6F4C17DA"/>
    <w:lvl w:ilvl="0" w:tplc="525AE02E">
      <w:start w:val="1"/>
      <w:numFmt w:val="bullet"/>
      <w:lvlText w:val=""/>
      <w:lvlJc w:val="left"/>
      <w:pPr>
        <w:ind w:left="1004" w:hanging="360"/>
      </w:pPr>
      <w:rPr>
        <w:rFonts w:ascii="Symbol" w:hAnsi="Symbol" w:hint="default"/>
        <w:color w:val="36424A" w:themeColor="accent3"/>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DA03DF0"/>
    <w:multiLevelType w:val="hybridMultilevel"/>
    <w:tmpl w:val="DA9C1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E6E0996"/>
    <w:multiLevelType w:val="multilevel"/>
    <w:tmpl w:val="7B167C1A"/>
    <w:lvl w:ilvl="0">
      <w:start w:val="1"/>
      <w:numFmt w:val="bullet"/>
      <w:pStyle w:val="List-BulletLvl1"/>
      <w:lvlText w:val=""/>
      <w:lvlJc w:val="left"/>
      <w:pPr>
        <w:ind w:left="851" w:hanging="567"/>
      </w:pPr>
      <w:rPr>
        <w:rFonts w:ascii="Symbol" w:hAnsi="Symbol" w:hint="default"/>
        <w:color w:val="36424A" w:themeColor="text2"/>
        <w:sz w:val="22"/>
      </w:rPr>
    </w:lvl>
    <w:lvl w:ilvl="1">
      <w:start w:val="1"/>
      <w:numFmt w:val="bullet"/>
      <w:pStyle w:val="List-BulletLvl2"/>
      <w:lvlText w:val="-"/>
      <w:lvlJc w:val="left"/>
      <w:pPr>
        <w:ind w:left="1418" w:hanging="567"/>
      </w:pPr>
      <w:rPr>
        <w:rFonts w:ascii="Calibri" w:hAnsi="Calibri" w:hint="default"/>
        <w:color w:val="36424A" w:themeColor="text2"/>
        <w:sz w:val="24"/>
      </w:rPr>
    </w:lvl>
    <w:lvl w:ilvl="2">
      <w:start w:val="1"/>
      <w:numFmt w:val="bullet"/>
      <w:pStyle w:val="List-BulletLvl3"/>
      <w:lvlText w:val=""/>
      <w:lvlJc w:val="left"/>
      <w:pPr>
        <w:ind w:left="1985" w:hanging="567"/>
      </w:pPr>
      <w:rPr>
        <w:rFonts w:ascii="Symbol" w:hAnsi="Symbol" w:hint="default"/>
        <w:color w:val="36424A" w:themeColor="text2"/>
        <w:sz w:val="18"/>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22" w15:restartNumberingAfterBreak="0">
    <w:nsid w:val="5AD27B66"/>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182C63"/>
    <w:multiLevelType w:val="hybridMultilevel"/>
    <w:tmpl w:val="FEB656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44A4A37"/>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65D1B0C"/>
    <w:multiLevelType w:val="multilevel"/>
    <w:tmpl w:val="03F66E6A"/>
    <w:lvl w:ilvl="0">
      <w:start w:val="1"/>
      <w:numFmt w:val="bullet"/>
      <w:lvlText w:val=""/>
      <w:lvlJc w:val="left"/>
      <w:pPr>
        <w:ind w:left="720" w:hanging="360"/>
      </w:pPr>
      <w:rPr>
        <w:rFonts w:ascii="Symbol" w:hAnsi="Symbol" w:hint="default"/>
        <w:color w:val="36424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DE398D"/>
    <w:multiLevelType w:val="hybridMultilevel"/>
    <w:tmpl w:val="3702AE4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91F7545"/>
    <w:multiLevelType w:val="multilevel"/>
    <w:tmpl w:val="CF42D4B8"/>
    <w:lvl w:ilvl="0">
      <w:start w:val="1"/>
      <w:numFmt w:val="decimal"/>
      <w:lvlText w:val="%1."/>
      <w:lvlJc w:val="left"/>
      <w:pPr>
        <w:ind w:left="851" w:hanging="567"/>
      </w:pPr>
      <w:rPr>
        <w:rFonts w:hint="default"/>
      </w:rPr>
    </w:lvl>
    <w:lvl w:ilvl="1">
      <w:start w:val="1"/>
      <w:numFmt w:val="lowerLetter"/>
      <w:lvlText w:val="%2."/>
      <w:lvlJc w:val="left"/>
      <w:pPr>
        <w:ind w:left="1418" w:hanging="567"/>
      </w:pPr>
      <w:rPr>
        <w:rFonts w:hint="default"/>
      </w:rPr>
    </w:lvl>
    <w:lvl w:ilvl="2">
      <w:start w:val="1"/>
      <w:numFmt w:val="lowerRoman"/>
      <w:lvlText w:val="%3."/>
      <w:lvlJc w:val="left"/>
      <w:pPr>
        <w:ind w:left="1985" w:hanging="567"/>
      </w:pPr>
      <w:rPr>
        <w:rFonts w:hint="default"/>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28" w15:restartNumberingAfterBreak="0">
    <w:nsid w:val="795B776D"/>
    <w:multiLevelType w:val="hybridMultilevel"/>
    <w:tmpl w:val="638A0FF4"/>
    <w:lvl w:ilvl="0" w:tplc="C61CC438">
      <w:start w:val="1"/>
      <w:numFmt w:val="bullet"/>
      <w:pStyle w:val="ListBullet3"/>
      <w:lvlText w:val=""/>
      <w:lvlJc w:val="left"/>
      <w:pPr>
        <w:ind w:left="1920" w:hanging="360"/>
      </w:pPr>
      <w:rPr>
        <w:rFonts w:ascii="Symbol" w:hAnsi="Symbol" w:hint="default"/>
        <w:color w:val="36424A" w:themeColor="text2"/>
        <w:sz w:val="18"/>
      </w:rPr>
    </w:lvl>
    <w:lvl w:ilvl="1" w:tplc="42CCDA4C">
      <w:start w:val="1"/>
      <w:numFmt w:val="bullet"/>
      <w:lvlText w:val="o"/>
      <w:lvlJc w:val="left"/>
      <w:pPr>
        <w:ind w:left="2640" w:hanging="360"/>
      </w:pPr>
      <w:rPr>
        <w:rFonts w:ascii="Courier New" w:hAnsi="Courier New" w:cs="Courier New" w:hint="default"/>
      </w:rPr>
    </w:lvl>
    <w:lvl w:ilvl="2" w:tplc="DE422694">
      <w:start w:val="1"/>
      <w:numFmt w:val="bullet"/>
      <w:lvlText w:val="•"/>
      <w:lvlJc w:val="left"/>
      <w:pPr>
        <w:ind w:left="3360" w:hanging="360"/>
      </w:pPr>
      <w:rPr>
        <w:rFonts w:ascii="Cambria" w:hAnsi="Cambria" w:hint="default"/>
        <w:color w:val="36424A" w:themeColor="text2"/>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9" w15:restartNumberingAfterBreak="0">
    <w:nsid w:val="7C8967EE"/>
    <w:multiLevelType w:val="hybridMultilevel"/>
    <w:tmpl w:val="B65EA5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7"/>
  </w:num>
  <w:num w:numId="4">
    <w:abstractNumId w:val="28"/>
  </w:num>
  <w:num w:numId="5">
    <w:abstractNumId w:val="10"/>
  </w:num>
  <w:num w:numId="6">
    <w:abstractNumId w:val="21"/>
  </w:num>
  <w:num w:numId="7">
    <w:abstractNumId w:val="1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6"/>
  </w:num>
  <w:num w:numId="19">
    <w:abstractNumId w:val="7"/>
  </w:num>
  <w:num w:numId="20">
    <w:abstractNumId w:val="5"/>
  </w:num>
  <w:num w:numId="21">
    <w:abstractNumId w:val="2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24"/>
  </w:num>
  <w:num w:numId="26">
    <w:abstractNumId w:val="3"/>
  </w:num>
  <w:num w:numId="27">
    <w:abstractNumId w:val="16"/>
  </w:num>
  <w:num w:numId="28">
    <w:abstractNumId w:val="13"/>
  </w:num>
  <w:num w:numId="29">
    <w:abstractNumId w:val="19"/>
  </w:num>
  <w:num w:numId="30">
    <w:abstractNumId w:val="23"/>
  </w:num>
  <w:num w:numId="31">
    <w:abstractNumId w:val="12"/>
  </w:num>
  <w:num w:numId="32">
    <w:abstractNumId w:val="1"/>
  </w:num>
  <w:num w:numId="33">
    <w:abstractNumId w:val="1"/>
    <w:lvlOverride w:ilvl="0">
      <w:startOverride w:val="1"/>
    </w:lvlOverride>
  </w:num>
  <w:num w:numId="34">
    <w:abstractNumId w:val="20"/>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9"/>
  </w:num>
  <w:num w:numId="39">
    <w:abstractNumId w:val="21"/>
  </w:num>
  <w:num w:numId="40">
    <w:abstractNumId w:val="8"/>
  </w:num>
  <w:num w:numId="4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defaultTabStop w:val="720"/>
  <w:drawingGridHorizontalSpacing w:val="110"/>
  <w:displayHorizontalDrawingGridEvery w:val="2"/>
  <w:characterSpacingControl w:val="doNotCompress"/>
  <w:hdrShapeDefaults>
    <o:shapedefaults v:ext="edit" spidmax="67585" style="mso-position-horizontal:center;mso-position-horizontal-relative:page;mso-position-vertical-relative:page" fillcolor="none [671]" stroke="f">
      <v:fill color="none [671]" opacity=".75"/>
      <v:stroke on="f"/>
      <o:colormru v:ext="edit" colors="#a6b4be,#d2d9d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3B"/>
    <w:rsid w:val="000005D6"/>
    <w:rsid w:val="00001721"/>
    <w:rsid w:val="00001F84"/>
    <w:rsid w:val="0000248E"/>
    <w:rsid w:val="00006361"/>
    <w:rsid w:val="00006693"/>
    <w:rsid w:val="0000710D"/>
    <w:rsid w:val="00010E3D"/>
    <w:rsid w:val="00011DFA"/>
    <w:rsid w:val="0001359A"/>
    <w:rsid w:val="0001454B"/>
    <w:rsid w:val="00014C36"/>
    <w:rsid w:val="00014F2D"/>
    <w:rsid w:val="00015842"/>
    <w:rsid w:val="00015B0D"/>
    <w:rsid w:val="00015FA2"/>
    <w:rsid w:val="000165B5"/>
    <w:rsid w:val="00016DBE"/>
    <w:rsid w:val="00017491"/>
    <w:rsid w:val="0001796D"/>
    <w:rsid w:val="000202CD"/>
    <w:rsid w:val="000208E6"/>
    <w:rsid w:val="00022FC8"/>
    <w:rsid w:val="00025FCE"/>
    <w:rsid w:val="0002688A"/>
    <w:rsid w:val="000273FE"/>
    <w:rsid w:val="00030F54"/>
    <w:rsid w:val="00031316"/>
    <w:rsid w:val="0003133C"/>
    <w:rsid w:val="00032257"/>
    <w:rsid w:val="00032509"/>
    <w:rsid w:val="00033093"/>
    <w:rsid w:val="00033688"/>
    <w:rsid w:val="000344AA"/>
    <w:rsid w:val="00034B58"/>
    <w:rsid w:val="00034C7B"/>
    <w:rsid w:val="00035D33"/>
    <w:rsid w:val="00035DF7"/>
    <w:rsid w:val="00036ED9"/>
    <w:rsid w:val="00037620"/>
    <w:rsid w:val="0003771B"/>
    <w:rsid w:val="00040E9B"/>
    <w:rsid w:val="000411DB"/>
    <w:rsid w:val="0004172D"/>
    <w:rsid w:val="00041C62"/>
    <w:rsid w:val="000429F7"/>
    <w:rsid w:val="00042A29"/>
    <w:rsid w:val="00043F79"/>
    <w:rsid w:val="00043FF7"/>
    <w:rsid w:val="00044ED1"/>
    <w:rsid w:val="00045010"/>
    <w:rsid w:val="00045491"/>
    <w:rsid w:val="0004554B"/>
    <w:rsid w:val="0004677A"/>
    <w:rsid w:val="00047909"/>
    <w:rsid w:val="000543CC"/>
    <w:rsid w:val="00055224"/>
    <w:rsid w:val="00055711"/>
    <w:rsid w:val="00056E45"/>
    <w:rsid w:val="00060545"/>
    <w:rsid w:val="0006171C"/>
    <w:rsid w:val="0006222E"/>
    <w:rsid w:val="000622E0"/>
    <w:rsid w:val="00062B32"/>
    <w:rsid w:val="00063157"/>
    <w:rsid w:val="00064849"/>
    <w:rsid w:val="0007030C"/>
    <w:rsid w:val="0007051E"/>
    <w:rsid w:val="00070866"/>
    <w:rsid w:val="0007095E"/>
    <w:rsid w:val="000716F1"/>
    <w:rsid w:val="00071A56"/>
    <w:rsid w:val="000734D0"/>
    <w:rsid w:val="00074B22"/>
    <w:rsid w:val="00074CFC"/>
    <w:rsid w:val="0007509A"/>
    <w:rsid w:val="00075111"/>
    <w:rsid w:val="0007587C"/>
    <w:rsid w:val="00075AEB"/>
    <w:rsid w:val="00076336"/>
    <w:rsid w:val="00076F1F"/>
    <w:rsid w:val="0007798D"/>
    <w:rsid w:val="00080368"/>
    <w:rsid w:val="00080665"/>
    <w:rsid w:val="0008154D"/>
    <w:rsid w:val="00081D38"/>
    <w:rsid w:val="000838A9"/>
    <w:rsid w:val="00083BD2"/>
    <w:rsid w:val="00083DD7"/>
    <w:rsid w:val="000844A5"/>
    <w:rsid w:val="00084A7D"/>
    <w:rsid w:val="00084D2C"/>
    <w:rsid w:val="00084F67"/>
    <w:rsid w:val="000851C4"/>
    <w:rsid w:val="00085B10"/>
    <w:rsid w:val="00085C8A"/>
    <w:rsid w:val="00085D5A"/>
    <w:rsid w:val="000860FD"/>
    <w:rsid w:val="00087CFB"/>
    <w:rsid w:val="00092DE1"/>
    <w:rsid w:val="000933A2"/>
    <w:rsid w:val="000939D4"/>
    <w:rsid w:val="00093C86"/>
    <w:rsid w:val="00093F9C"/>
    <w:rsid w:val="00094010"/>
    <w:rsid w:val="00094240"/>
    <w:rsid w:val="00094CDF"/>
    <w:rsid w:val="00095385"/>
    <w:rsid w:val="0009641C"/>
    <w:rsid w:val="000968A5"/>
    <w:rsid w:val="00096AE1"/>
    <w:rsid w:val="000970A7"/>
    <w:rsid w:val="00097BB4"/>
    <w:rsid w:val="000A1458"/>
    <w:rsid w:val="000A15A7"/>
    <w:rsid w:val="000A1CB8"/>
    <w:rsid w:val="000A2818"/>
    <w:rsid w:val="000A29A0"/>
    <w:rsid w:val="000A4221"/>
    <w:rsid w:val="000A4C54"/>
    <w:rsid w:val="000A4DEF"/>
    <w:rsid w:val="000A5965"/>
    <w:rsid w:val="000A7A3D"/>
    <w:rsid w:val="000A7F42"/>
    <w:rsid w:val="000B059B"/>
    <w:rsid w:val="000B0671"/>
    <w:rsid w:val="000B2111"/>
    <w:rsid w:val="000B2286"/>
    <w:rsid w:val="000B2AFF"/>
    <w:rsid w:val="000B2BA1"/>
    <w:rsid w:val="000B31AD"/>
    <w:rsid w:val="000B4721"/>
    <w:rsid w:val="000B48EE"/>
    <w:rsid w:val="000B4DF0"/>
    <w:rsid w:val="000B51E0"/>
    <w:rsid w:val="000B6940"/>
    <w:rsid w:val="000B6A19"/>
    <w:rsid w:val="000B70B4"/>
    <w:rsid w:val="000B7121"/>
    <w:rsid w:val="000B71EF"/>
    <w:rsid w:val="000B78B4"/>
    <w:rsid w:val="000C054B"/>
    <w:rsid w:val="000C0EA8"/>
    <w:rsid w:val="000C125B"/>
    <w:rsid w:val="000C2167"/>
    <w:rsid w:val="000C28E4"/>
    <w:rsid w:val="000C37D9"/>
    <w:rsid w:val="000C3CF9"/>
    <w:rsid w:val="000C52B9"/>
    <w:rsid w:val="000C614A"/>
    <w:rsid w:val="000C6D09"/>
    <w:rsid w:val="000C7D5E"/>
    <w:rsid w:val="000D02CC"/>
    <w:rsid w:val="000D0578"/>
    <w:rsid w:val="000D13A7"/>
    <w:rsid w:val="000D2164"/>
    <w:rsid w:val="000D3786"/>
    <w:rsid w:val="000D381D"/>
    <w:rsid w:val="000D3A6F"/>
    <w:rsid w:val="000D5013"/>
    <w:rsid w:val="000D7F3A"/>
    <w:rsid w:val="000E12CE"/>
    <w:rsid w:val="000E183C"/>
    <w:rsid w:val="000E1956"/>
    <w:rsid w:val="000E2E1E"/>
    <w:rsid w:val="000E378F"/>
    <w:rsid w:val="000E441E"/>
    <w:rsid w:val="000E45D4"/>
    <w:rsid w:val="000E4822"/>
    <w:rsid w:val="000E5478"/>
    <w:rsid w:val="000E57AB"/>
    <w:rsid w:val="000E5B0F"/>
    <w:rsid w:val="000E5B4F"/>
    <w:rsid w:val="000E7B82"/>
    <w:rsid w:val="000F0D01"/>
    <w:rsid w:val="000F15F6"/>
    <w:rsid w:val="000F1A5B"/>
    <w:rsid w:val="000F296B"/>
    <w:rsid w:val="000F2B41"/>
    <w:rsid w:val="000F2E6E"/>
    <w:rsid w:val="000F429F"/>
    <w:rsid w:val="000F432C"/>
    <w:rsid w:val="000F45CF"/>
    <w:rsid w:val="000F4D99"/>
    <w:rsid w:val="000F64FA"/>
    <w:rsid w:val="000F6EB1"/>
    <w:rsid w:val="000F7655"/>
    <w:rsid w:val="000F765E"/>
    <w:rsid w:val="001006F7"/>
    <w:rsid w:val="00100B20"/>
    <w:rsid w:val="00100F6F"/>
    <w:rsid w:val="0010175A"/>
    <w:rsid w:val="00101A59"/>
    <w:rsid w:val="00101EFF"/>
    <w:rsid w:val="0010405C"/>
    <w:rsid w:val="001056B3"/>
    <w:rsid w:val="00105F6D"/>
    <w:rsid w:val="00106AFA"/>
    <w:rsid w:val="00106F45"/>
    <w:rsid w:val="00106F85"/>
    <w:rsid w:val="00111723"/>
    <w:rsid w:val="00111759"/>
    <w:rsid w:val="0011185A"/>
    <w:rsid w:val="00111E7A"/>
    <w:rsid w:val="001123C6"/>
    <w:rsid w:val="001139FA"/>
    <w:rsid w:val="00114B10"/>
    <w:rsid w:val="00114E2D"/>
    <w:rsid w:val="00115C6D"/>
    <w:rsid w:val="00115EDF"/>
    <w:rsid w:val="001160EC"/>
    <w:rsid w:val="001163F8"/>
    <w:rsid w:val="00116D0C"/>
    <w:rsid w:val="001174A3"/>
    <w:rsid w:val="00117E3C"/>
    <w:rsid w:val="00122BD7"/>
    <w:rsid w:val="00122E57"/>
    <w:rsid w:val="00123920"/>
    <w:rsid w:val="00124403"/>
    <w:rsid w:val="00124D5B"/>
    <w:rsid w:val="00124DB7"/>
    <w:rsid w:val="00125D29"/>
    <w:rsid w:val="00126002"/>
    <w:rsid w:val="00126EE5"/>
    <w:rsid w:val="00127465"/>
    <w:rsid w:val="00127946"/>
    <w:rsid w:val="00130407"/>
    <w:rsid w:val="00130683"/>
    <w:rsid w:val="0013076B"/>
    <w:rsid w:val="00130780"/>
    <w:rsid w:val="00130B64"/>
    <w:rsid w:val="0013133F"/>
    <w:rsid w:val="001329A0"/>
    <w:rsid w:val="0013389A"/>
    <w:rsid w:val="00133E49"/>
    <w:rsid w:val="00134A62"/>
    <w:rsid w:val="00135726"/>
    <w:rsid w:val="001358B8"/>
    <w:rsid w:val="00136987"/>
    <w:rsid w:val="00136E3A"/>
    <w:rsid w:val="00137D82"/>
    <w:rsid w:val="001406C6"/>
    <w:rsid w:val="0014132D"/>
    <w:rsid w:val="0014216E"/>
    <w:rsid w:val="00143DB2"/>
    <w:rsid w:val="00144107"/>
    <w:rsid w:val="001457F9"/>
    <w:rsid w:val="00145849"/>
    <w:rsid w:val="00145CAE"/>
    <w:rsid w:val="00146BFC"/>
    <w:rsid w:val="00147B61"/>
    <w:rsid w:val="00147FFE"/>
    <w:rsid w:val="001500AE"/>
    <w:rsid w:val="00150FF1"/>
    <w:rsid w:val="00152298"/>
    <w:rsid w:val="00152700"/>
    <w:rsid w:val="00152F0B"/>
    <w:rsid w:val="0015467D"/>
    <w:rsid w:val="0015587C"/>
    <w:rsid w:val="00155D2A"/>
    <w:rsid w:val="00161422"/>
    <w:rsid w:val="0016215A"/>
    <w:rsid w:val="00162471"/>
    <w:rsid w:val="001639B8"/>
    <w:rsid w:val="00163C6F"/>
    <w:rsid w:val="001656CE"/>
    <w:rsid w:val="0016675D"/>
    <w:rsid w:val="00166CE5"/>
    <w:rsid w:val="00167584"/>
    <w:rsid w:val="00170A80"/>
    <w:rsid w:val="00170BAA"/>
    <w:rsid w:val="00170C57"/>
    <w:rsid w:val="00170CBB"/>
    <w:rsid w:val="00172284"/>
    <w:rsid w:val="00172581"/>
    <w:rsid w:val="001730E7"/>
    <w:rsid w:val="00173AC1"/>
    <w:rsid w:val="0017439E"/>
    <w:rsid w:val="001744FA"/>
    <w:rsid w:val="0017472A"/>
    <w:rsid w:val="00174DBD"/>
    <w:rsid w:val="0017574D"/>
    <w:rsid w:val="001758D9"/>
    <w:rsid w:val="00175A70"/>
    <w:rsid w:val="00175B69"/>
    <w:rsid w:val="00175D40"/>
    <w:rsid w:val="00175E83"/>
    <w:rsid w:val="001764E0"/>
    <w:rsid w:val="00176B40"/>
    <w:rsid w:val="00176DA7"/>
    <w:rsid w:val="001807B7"/>
    <w:rsid w:val="00180E95"/>
    <w:rsid w:val="001813EB"/>
    <w:rsid w:val="00182537"/>
    <w:rsid w:val="001840DF"/>
    <w:rsid w:val="00184A23"/>
    <w:rsid w:val="00187361"/>
    <w:rsid w:val="00187CE4"/>
    <w:rsid w:val="00187D04"/>
    <w:rsid w:val="001903E5"/>
    <w:rsid w:val="00190A6D"/>
    <w:rsid w:val="001919A6"/>
    <w:rsid w:val="00191D8D"/>
    <w:rsid w:val="00192847"/>
    <w:rsid w:val="00193892"/>
    <w:rsid w:val="00193B92"/>
    <w:rsid w:val="00194A63"/>
    <w:rsid w:val="001952BA"/>
    <w:rsid w:val="001961AD"/>
    <w:rsid w:val="001963DB"/>
    <w:rsid w:val="00197182"/>
    <w:rsid w:val="001A0C6F"/>
    <w:rsid w:val="001A1334"/>
    <w:rsid w:val="001A1F9A"/>
    <w:rsid w:val="001A22DD"/>
    <w:rsid w:val="001A28F2"/>
    <w:rsid w:val="001A3822"/>
    <w:rsid w:val="001A38F7"/>
    <w:rsid w:val="001A3914"/>
    <w:rsid w:val="001A45E4"/>
    <w:rsid w:val="001A4654"/>
    <w:rsid w:val="001A4764"/>
    <w:rsid w:val="001A6314"/>
    <w:rsid w:val="001A6317"/>
    <w:rsid w:val="001A68BF"/>
    <w:rsid w:val="001A6A00"/>
    <w:rsid w:val="001A7017"/>
    <w:rsid w:val="001B02CA"/>
    <w:rsid w:val="001B1BA9"/>
    <w:rsid w:val="001B2508"/>
    <w:rsid w:val="001B2535"/>
    <w:rsid w:val="001B3853"/>
    <w:rsid w:val="001B4AF6"/>
    <w:rsid w:val="001B6FB0"/>
    <w:rsid w:val="001B7AF9"/>
    <w:rsid w:val="001B7DCD"/>
    <w:rsid w:val="001C37E2"/>
    <w:rsid w:val="001C3B58"/>
    <w:rsid w:val="001C3B9F"/>
    <w:rsid w:val="001C3EDC"/>
    <w:rsid w:val="001C4A90"/>
    <w:rsid w:val="001C4A95"/>
    <w:rsid w:val="001C4F72"/>
    <w:rsid w:val="001C50E7"/>
    <w:rsid w:val="001C5FAB"/>
    <w:rsid w:val="001D0827"/>
    <w:rsid w:val="001D114E"/>
    <w:rsid w:val="001D11F4"/>
    <w:rsid w:val="001D1539"/>
    <w:rsid w:val="001D17D2"/>
    <w:rsid w:val="001D206F"/>
    <w:rsid w:val="001D280F"/>
    <w:rsid w:val="001D2B4B"/>
    <w:rsid w:val="001D2FC9"/>
    <w:rsid w:val="001D3410"/>
    <w:rsid w:val="001D39FF"/>
    <w:rsid w:val="001D3C10"/>
    <w:rsid w:val="001D65CB"/>
    <w:rsid w:val="001D7944"/>
    <w:rsid w:val="001E021F"/>
    <w:rsid w:val="001E0363"/>
    <w:rsid w:val="001E0A63"/>
    <w:rsid w:val="001E1DB8"/>
    <w:rsid w:val="001E341A"/>
    <w:rsid w:val="001E4545"/>
    <w:rsid w:val="001E48B7"/>
    <w:rsid w:val="001E571C"/>
    <w:rsid w:val="001E6D57"/>
    <w:rsid w:val="001E7163"/>
    <w:rsid w:val="001E7A08"/>
    <w:rsid w:val="001E7CB3"/>
    <w:rsid w:val="001F1CFB"/>
    <w:rsid w:val="001F1FA5"/>
    <w:rsid w:val="001F21D8"/>
    <w:rsid w:val="001F2469"/>
    <w:rsid w:val="001F268A"/>
    <w:rsid w:val="001F2DC2"/>
    <w:rsid w:val="001F2F7B"/>
    <w:rsid w:val="001F44A4"/>
    <w:rsid w:val="001F50BD"/>
    <w:rsid w:val="001F6231"/>
    <w:rsid w:val="00200518"/>
    <w:rsid w:val="00200F56"/>
    <w:rsid w:val="00201A16"/>
    <w:rsid w:val="002029BB"/>
    <w:rsid w:val="00202B64"/>
    <w:rsid w:val="00202BE6"/>
    <w:rsid w:val="00203199"/>
    <w:rsid w:val="00205273"/>
    <w:rsid w:val="002054F0"/>
    <w:rsid w:val="002067D8"/>
    <w:rsid w:val="00210BA2"/>
    <w:rsid w:val="0021218F"/>
    <w:rsid w:val="00212512"/>
    <w:rsid w:val="00212710"/>
    <w:rsid w:val="00213182"/>
    <w:rsid w:val="002136C4"/>
    <w:rsid w:val="00213A86"/>
    <w:rsid w:val="00213BA7"/>
    <w:rsid w:val="00214041"/>
    <w:rsid w:val="00215FAC"/>
    <w:rsid w:val="0021611E"/>
    <w:rsid w:val="00216C9D"/>
    <w:rsid w:val="002172A2"/>
    <w:rsid w:val="00217A98"/>
    <w:rsid w:val="00217E60"/>
    <w:rsid w:val="0022064B"/>
    <w:rsid w:val="002208CA"/>
    <w:rsid w:val="00220F2D"/>
    <w:rsid w:val="00221D83"/>
    <w:rsid w:val="00221FBC"/>
    <w:rsid w:val="002229A0"/>
    <w:rsid w:val="00223381"/>
    <w:rsid w:val="00223D5C"/>
    <w:rsid w:val="00224BE3"/>
    <w:rsid w:val="00224DD9"/>
    <w:rsid w:val="00225892"/>
    <w:rsid w:val="00225C30"/>
    <w:rsid w:val="00226148"/>
    <w:rsid w:val="00227845"/>
    <w:rsid w:val="0023065E"/>
    <w:rsid w:val="002306E8"/>
    <w:rsid w:val="00230C0F"/>
    <w:rsid w:val="00230FAD"/>
    <w:rsid w:val="00231000"/>
    <w:rsid w:val="00231688"/>
    <w:rsid w:val="00232B8E"/>
    <w:rsid w:val="0023471F"/>
    <w:rsid w:val="00234833"/>
    <w:rsid w:val="00235146"/>
    <w:rsid w:val="002358D3"/>
    <w:rsid w:val="00235AEA"/>
    <w:rsid w:val="0023636C"/>
    <w:rsid w:val="00237219"/>
    <w:rsid w:val="0023774D"/>
    <w:rsid w:val="00237F7F"/>
    <w:rsid w:val="00240E40"/>
    <w:rsid w:val="00240F48"/>
    <w:rsid w:val="0024151D"/>
    <w:rsid w:val="002427B6"/>
    <w:rsid w:val="002430A0"/>
    <w:rsid w:val="0024330D"/>
    <w:rsid w:val="002434C4"/>
    <w:rsid w:val="00243CDA"/>
    <w:rsid w:val="002450FC"/>
    <w:rsid w:val="0024513B"/>
    <w:rsid w:val="0024555D"/>
    <w:rsid w:val="0024587F"/>
    <w:rsid w:val="002468CC"/>
    <w:rsid w:val="00247DDE"/>
    <w:rsid w:val="00247FCB"/>
    <w:rsid w:val="00250168"/>
    <w:rsid w:val="00250E5C"/>
    <w:rsid w:val="00253EBA"/>
    <w:rsid w:val="00254E02"/>
    <w:rsid w:val="00255168"/>
    <w:rsid w:val="00261E96"/>
    <w:rsid w:val="00261F30"/>
    <w:rsid w:val="00262105"/>
    <w:rsid w:val="00262BE0"/>
    <w:rsid w:val="00262CAB"/>
    <w:rsid w:val="00262D5B"/>
    <w:rsid w:val="00262FF6"/>
    <w:rsid w:val="00264608"/>
    <w:rsid w:val="0026545D"/>
    <w:rsid w:val="002654B3"/>
    <w:rsid w:val="00266739"/>
    <w:rsid w:val="0026774E"/>
    <w:rsid w:val="00267F7C"/>
    <w:rsid w:val="00267FB5"/>
    <w:rsid w:val="002700D5"/>
    <w:rsid w:val="0027038B"/>
    <w:rsid w:val="00271AD1"/>
    <w:rsid w:val="00272986"/>
    <w:rsid w:val="00272D35"/>
    <w:rsid w:val="002738C0"/>
    <w:rsid w:val="00275458"/>
    <w:rsid w:val="00275695"/>
    <w:rsid w:val="00275A77"/>
    <w:rsid w:val="00275D51"/>
    <w:rsid w:val="00276A43"/>
    <w:rsid w:val="00277812"/>
    <w:rsid w:val="002801C4"/>
    <w:rsid w:val="002804BD"/>
    <w:rsid w:val="00280692"/>
    <w:rsid w:val="00280AB1"/>
    <w:rsid w:val="00280DF5"/>
    <w:rsid w:val="00281BDE"/>
    <w:rsid w:val="00282FBA"/>
    <w:rsid w:val="00283533"/>
    <w:rsid w:val="00283685"/>
    <w:rsid w:val="002836DD"/>
    <w:rsid w:val="00284CB1"/>
    <w:rsid w:val="00285EDF"/>
    <w:rsid w:val="00286B22"/>
    <w:rsid w:val="00286EEB"/>
    <w:rsid w:val="00287C3A"/>
    <w:rsid w:val="00290030"/>
    <w:rsid w:val="002919D6"/>
    <w:rsid w:val="00291C37"/>
    <w:rsid w:val="002920F9"/>
    <w:rsid w:val="002922BC"/>
    <w:rsid w:val="002929B3"/>
    <w:rsid w:val="00292C1B"/>
    <w:rsid w:val="0029346A"/>
    <w:rsid w:val="00293589"/>
    <w:rsid w:val="002935FE"/>
    <w:rsid w:val="00293830"/>
    <w:rsid w:val="0029387B"/>
    <w:rsid w:val="00294C5E"/>
    <w:rsid w:val="00296190"/>
    <w:rsid w:val="0029657D"/>
    <w:rsid w:val="002A1A75"/>
    <w:rsid w:val="002A1C7F"/>
    <w:rsid w:val="002A1D19"/>
    <w:rsid w:val="002A270E"/>
    <w:rsid w:val="002A317D"/>
    <w:rsid w:val="002A31BB"/>
    <w:rsid w:val="002A3DCF"/>
    <w:rsid w:val="002A40E4"/>
    <w:rsid w:val="002A476A"/>
    <w:rsid w:val="002A5235"/>
    <w:rsid w:val="002A55C3"/>
    <w:rsid w:val="002A56FE"/>
    <w:rsid w:val="002A5C5C"/>
    <w:rsid w:val="002A6C2E"/>
    <w:rsid w:val="002A6CB1"/>
    <w:rsid w:val="002A6D69"/>
    <w:rsid w:val="002A7113"/>
    <w:rsid w:val="002A78C5"/>
    <w:rsid w:val="002B23B4"/>
    <w:rsid w:val="002B2F7B"/>
    <w:rsid w:val="002B3984"/>
    <w:rsid w:val="002B405A"/>
    <w:rsid w:val="002B42C0"/>
    <w:rsid w:val="002B49D7"/>
    <w:rsid w:val="002B4CEF"/>
    <w:rsid w:val="002B5E6E"/>
    <w:rsid w:val="002B6280"/>
    <w:rsid w:val="002B67F2"/>
    <w:rsid w:val="002B6F73"/>
    <w:rsid w:val="002B74B0"/>
    <w:rsid w:val="002B7A82"/>
    <w:rsid w:val="002C021D"/>
    <w:rsid w:val="002C0A5C"/>
    <w:rsid w:val="002C441F"/>
    <w:rsid w:val="002C488C"/>
    <w:rsid w:val="002C4B23"/>
    <w:rsid w:val="002C7040"/>
    <w:rsid w:val="002D076C"/>
    <w:rsid w:val="002D0FD4"/>
    <w:rsid w:val="002D12EE"/>
    <w:rsid w:val="002D17EB"/>
    <w:rsid w:val="002D1FC7"/>
    <w:rsid w:val="002D2A2E"/>
    <w:rsid w:val="002D3006"/>
    <w:rsid w:val="002D32B1"/>
    <w:rsid w:val="002D3D7A"/>
    <w:rsid w:val="002D4254"/>
    <w:rsid w:val="002D58DC"/>
    <w:rsid w:val="002D5DBB"/>
    <w:rsid w:val="002D6989"/>
    <w:rsid w:val="002D6F83"/>
    <w:rsid w:val="002D6FF4"/>
    <w:rsid w:val="002D790B"/>
    <w:rsid w:val="002D7D64"/>
    <w:rsid w:val="002D7F3E"/>
    <w:rsid w:val="002E0E7F"/>
    <w:rsid w:val="002E153F"/>
    <w:rsid w:val="002E1DC2"/>
    <w:rsid w:val="002E290A"/>
    <w:rsid w:val="002E31A0"/>
    <w:rsid w:val="002E446A"/>
    <w:rsid w:val="002E4D37"/>
    <w:rsid w:val="002E57C2"/>
    <w:rsid w:val="002E5FB8"/>
    <w:rsid w:val="002E6214"/>
    <w:rsid w:val="002E661D"/>
    <w:rsid w:val="002E7C69"/>
    <w:rsid w:val="002F169E"/>
    <w:rsid w:val="002F19C0"/>
    <w:rsid w:val="002F2B99"/>
    <w:rsid w:val="002F2E27"/>
    <w:rsid w:val="002F3398"/>
    <w:rsid w:val="002F3AE5"/>
    <w:rsid w:val="002F4B8B"/>
    <w:rsid w:val="002F5079"/>
    <w:rsid w:val="002F50F4"/>
    <w:rsid w:val="002F593B"/>
    <w:rsid w:val="002F5CE8"/>
    <w:rsid w:val="002F6108"/>
    <w:rsid w:val="002F67D7"/>
    <w:rsid w:val="002F6E8C"/>
    <w:rsid w:val="002F7246"/>
    <w:rsid w:val="002F7A3E"/>
    <w:rsid w:val="0030036D"/>
    <w:rsid w:val="00300DD7"/>
    <w:rsid w:val="0030126E"/>
    <w:rsid w:val="00302124"/>
    <w:rsid w:val="00302D15"/>
    <w:rsid w:val="0030372F"/>
    <w:rsid w:val="00303F40"/>
    <w:rsid w:val="00304DD6"/>
    <w:rsid w:val="00304E65"/>
    <w:rsid w:val="003050B5"/>
    <w:rsid w:val="003052F1"/>
    <w:rsid w:val="00305AC1"/>
    <w:rsid w:val="003073D7"/>
    <w:rsid w:val="003076F5"/>
    <w:rsid w:val="00307AC1"/>
    <w:rsid w:val="0031085B"/>
    <w:rsid w:val="00313B3C"/>
    <w:rsid w:val="00314A48"/>
    <w:rsid w:val="00314F4C"/>
    <w:rsid w:val="00317899"/>
    <w:rsid w:val="00317EFF"/>
    <w:rsid w:val="0032181D"/>
    <w:rsid w:val="00321C86"/>
    <w:rsid w:val="003221AB"/>
    <w:rsid w:val="003241F0"/>
    <w:rsid w:val="00324867"/>
    <w:rsid w:val="00324906"/>
    <w:rsid w:val="00324972"/>
    <w:rsid w:val="00325C73"/>
    <w:rsid w:val="00326390"/>
    <w:rsid w:val="003265FD"/>
    <w:rsid w:val="00326DEC"/>
    <w:rsid w:val="00326FDF"/>
    <w:rsid w:val="00330E88"/>
    <w:rsid w:val="0033178D"/>
    <w:rsid w:val="00331BC0"/>
    <w:rsid w:val="00331BDC"/>
    <w:rsid w:val="00332D91"/>
    <w:rsid w:val="0033347D"/>
    <w:rsid w:val="00333689"/>
    <w:rsid w:val="00333BEE"/>
    <w:rsid w:val="00336D27"/>
    <w:rsid w:val="00336D76"/>
    <w:rsid w:val="00337373"/>
    <w:rsid w:val="00337E05"/>
    <w:rsid w:val="0034026B"/>
    <w:rsid w:val="003418A9"/>
    <w:rsid w:val="00341AD8"/>
    <w:rsid w:val="0034282D"/>
    <w:rsid w:val="00344319"/>
    <w:rsid w:val="00345332"/>
    <w:rsid w:val="00345350"/>
    <w:rsid w:val="00346BA5"/>
    <w:rsid w:val="0035078F"/>
    <w:rsid w:val="003517C5"/>
    <w:rsid w:val="00351CE6"/>
    <w:rsid w:val="00351FCA"/>
    <w:rsid w:val="003524C1"/>
    <w:rsid w:val="003527F4"/>
    <w:rsid w:val="00352909"/>
    <w:rsid w:val="00355323"/>
    <w:rsid w:val="0035551A"/>
    <w:rsid w:val="0035557E"/>
    <w:rsid w:val="00355646"/>
    <w:rsid w:val="003559F5"/>
    <w:rsid w:val="00356D8E"/>
    <w:rsid w:val="003578BE"/>
    <w:rsid w:val="003603CE"/>
    <w:rsid w:val="003604FA"/>
    <w:rsid w:val="00360F78"/>
    <w:rsid w:val="00360F8D"/>
    <w:rsid w:val="00361592"/>
    <w:rsid w:val="003616B7"/>
    <w:rsid w:val="00361797"/>
    <w:rsid w:val="00361F42"/>
    <w:rsid w:val="00363443"/>
    <w:rsid w:val="00364F41"/>
    <w:rsid w:val="00365240"/>
    <w:rsid w:val="00366F52"/>
    <w:rsid w:val="003673C4"/>
    <w:rsid w:val="003678F9"/>
    <w:rsid w:val="00370099"/>
    <w:rsid w:val="00370232"/>
    <w:rsid w:val="00370756"/>
    <w:rsid w:val="003712E5"/>
    <w:rsid w:val="0037269E"/>
    <w:rsid w:val="003727B7"/>
    <w:rsid w:val="00372ACB"/>
    <w:rsid w:val="00372BBE"/>
    <w:rsid w:val="00372DCC"/>
    <w:rsid w:val="00372FD9"/>
    <w:rsid w:val="00373EAE"/>
    <w:rsid w:val="003743F7"/>
    <w:rsid w:val="00375A4D"/>
    <w:rsid w:val="003763CC"/>
    <w:rsid w:val="00376D21"/>
    <w:rsid w:val="003773EB"/>
    <w:rsid w:val="003803D1"/>
    <w:rsid w:val="0038133A"/>
    <w:rsid w:val="00381B7E"/>
    <w:rsid w:val="00381CD7"/>
    <w:rsid w:val="00383A04"/>
    <w:rsid w:val="00384763"/>
    <w:rsid w:val="00384EF5"/>
    <w:rsid w:val="003862E3"/>
    <w:rsid w:val="0038664D"/>
    <w:rsid w:val="003866F4"/>
    <w:rsid w:val="00386BD7"/>
    <w:rsid w:val="00386DBD"/>
    <w:rsid w:val="00387B14"/>
    <w:rsid w:val="0039024A"/>
    <w:rsid w:val="00391440"/>
    <w:rsid w:val="003914A3"/>
    <w:rsid w:val="0039215D"/>
    <w:rsid w:val="00392614"/>
    <w:rsid w:val="003926BC"/>
    <w:rsid w:val="00394850"/>
    <w:rsid w:val="00394E94"/>
    <w:rsid w:val="00395AFA"/>
    <w:rsid w:val="00395B60"/>
    <w:rsid w:val="00395DA1"/>
    <w:rsid w:val="003A18A9"/>
    <w:rsid w:val="003A23F3"/>
    <w:rsid w:val="003A2497"/>
    <w:rsid w:val="003A2E9B"/>
    <w:rsid w:val="003A3762"/>
    <w:rsid w:val="003A4358"/>
    <w:rsid w:val="003A47BA"/>
    <w:rsid w:val="003A4D43"/>
    <w:rsid w:val="003A58DA"/>
    <w:rsid w:val="003A5CF3"/>
    <w:rsid w:val="003A6A32"/>
    <w:rsid w:val="003A711D"/>
    <w:rsid w:val="003B0D32"/>
    <w:rsid w:val="003B13A7"/>
    <w:rsid w:val="003B1BDF"/>
    <w:rsid w:val="003B2FCD"/>
    <w:rsid w:val="003B3806"/>
    <w:rsid w:val="003B4C94"/>
    <w:rsid w:val="003B6573"/>
    <w:rsid w:val="003B6F7E"/>
    <w:rsid w:val="003B7BF5"/>
    <w:rsid w:val="003C07CA"/>
    <w:rsid w:val="003C0E45"/>
    <w:rsid w:val="003C155A"/>
    <w:rsid w:val="003C2FBB"/>
    <w:rsid w:val="003C2FEF"/>
    <w:rsid w:val="003C3B26"/>
    <w:rsid w:val="003C4551"/>
    <w:rsid w:val="003C7191"/>
    <w:rsid w:val="003D0471"/>
    <w:rsid w:val="003D0C6E"/>
    <w:rsid w:val="003D1715"/>
    <w:rsid w:val="003D22A5"/>
    <w:rsid w:val="003D24C5"/>
    <w:rsid w:val="003D3E66"/>
    <w:rsid w:val="003D40E9"/>
    <w:rsid w:val="003D44C5"/>
    <w:rsid w:val="003D4A81"/>
    <w:rsid w:val="003D7B18"/>
    <w:rsid w:val="003E08CE"/>
    <w:rsid w:val="003E13EA"/>
    <w:rsid w:val="003E1618"/>
    <w:rsid w:val="003E1C7C"/>
    <w:rsid w:val="003E2538"/>
    <w:rsid w:val="003E25D7"/>
    <w:rsid w:val="003E4314"/>
    <w:rsid w:val="003E4807"/>
    <w:rsid w:val="003E481C"/>
    <w:rsid w:val="003E4BF4"/>
    <w:rsid w:val="003E59F2"/>
    <w:rsid w:val="003E674D"/>
    <w:rsid w:val="003E6D3C"/>
    <w:rsid w:val="003E71AF"/>
    <w:rsid w:val="003E74AC"/>
    <w:rsid w:val="003E7B19"/>
    <w:rsid w:val="003E7DFD"/>
    <w:rsid w:val="003F1F72"/>
    <w:rsid w:val="003F53D6"/>
    <w:rsid w:val="003F6270"/>
    <w:rsid w:val="003F7C98"/>
    <w:rsid w:val="004003D5"/>
    <w:rsid w:val="0040055D"/>
    <w:rsid w:val="004005A4"/>
    <w:rsid w:val="00400812"/>
    <w:rsid w:val="00401FB5"/>
    <w:rsid w:val="004021BA"/>
    <w:rsid w:val="00405D5A"/>
    <w:rsid w:val="00406849"/>
    <w:rsid w:val="00410602"/>
    <w:rsid w:val="00411040"/>
    <w:rsid w:val="0041356A"/>
    <w:rsid w:val="00413CC4"/>
    <w:rsid w:val="00413E05"/>
    <w:rsid w:val="00415149"/>
    <w:rsid w:val="00415782"/>
    <w:rsid w:val="00415EC0"/>
    <w:rsid w:val="00417505"/>
    <w:rsid w:val="00417F12"/>
    <w:rsid w:val="00417F48"/>
    <w:rsid w:val="00420F98"/>
    <w:rsid w:val="00422741"/>
    <w:rsid w:val="00422841"/>
    <w:rsid w:val="004228A9"/>
    <w:rsid w:val="00422906"/>
    <w:rsid w:val="00422A49"/>
    <w:rsid w:val="00422C7D"/>
    <w:rsid w:val="00422EE5"/>
    <w:rsid w:val="004230D8"/>
    <w:rsid w:val="00424BB4"/>
    <w:rsid w:val="00424DD7"/>
    <w:rsid w:val="00424FD0"/>
    <w:rsid w:val="00425B77"/>
    <w:rsid w:val="00426097"/>
    <w:rsid w:val="00426839"/>
    <w:rsid w:val="00426FD9"/>
    <w:rsid w:val="00427B46"/>
    <w:rsid w:val="0043046D"/>
    <w:rsid w:val="00430738"/>
    <w:rsid w:val="00431FDF"/>
    <w:rsid w:val="004328CE"/>
    <w:rsid w:val="00432C7C"/>
    <w:rsid w:val="00432D0F"/>
    <w:rsid w:val="00432E7D"/>
    <w:rsid w:val="00433265"/>
    <w:rsid w:val="00433620"/>
    <w:rsid w:val="0043399A"/>
    <w:rsid w:val="00433BC2"/>
    <w:rsid w:val="0043489A"/>
    <w:rsid w:val="00434ABC"/>
    <w:rsid w:val="00434EAA"/>
    <w:rsid w:val="00434F63"/>
    <w:rsid w:val="00435521"/>
    <w:rsid w:val="004358A5"/>
    <w:rsid w:val="00435989"/>
    <w:rsid w:val="004366A2"/>
    <w:rsid w:val="00436CFE"/>
    <w:rsid w:val="004378EB"/>
    <w:rsid w:val="004379C0"/>
    <w:rsid w:val="00440A04"/>
    <w:rsid w:val="00441205"/>
    <w:rsid w:val="00442087"/>
    <w:rsid w:val="00442B43"/>
    <w:rsid w:val="00443E34"/>
    <w:rsid w:val="00444335"/>
    <w:rsid w:val="004445C5"/>
    <w:rsid w:val="0044475F"/>
    <w:rsid w:val="004451B4"/>
    <w:rsid w:val="00445DBB"/>
    <w:rsid w:val="004464EF"/>
    <w:rsid w:val="00447CEB"/>
    <w:rsid w:val="00447E3C"/>
    <w:rsid w:val="004502AB"/>
    <w:rsid w:val="004502CC"/>
    <w:rsid w:val="00451379"/>
    <w:rsid w:val="00451CA4"/>
    <w:rsid w:val="004527DE"/>
    <w:rsid w:val="00452C37"/>
    <w:rsid w:val="00453470"/>
    <w:rsid w:val="004545CE"/>
    <w:rsid w:val="00454EF8"/>
    <w:rsid w:val="00455959"/>
    <w:rsid w:val="00455D3E"/>
    <w:rsid w:val="004575A8"/>
    <w:rsid w:val="0046048B"/>
    <w:rsid w:val="00461E95"/>
    <w:rsid w:val="004660C4"/>
    <w:rsid w:val="0046731A"/>
    <w:rsid w:val="004708B4"/>
    <w:rsid w:val="00472D5F"/>
    <w:rsid w:val="00473100"/>
    <w:rsid w:val="0047345C"/>
    <w:rsid w:val="00473588"/>
    <w:rsid w:val="00473D15"/>
    <w:rsid w:val="00474882"/>
    <w:rsid w:val="00474C2B"/>
    <w:rsid w:val="00474FC9"/>
    <w:rsid w:val="0047667C"/>
    <w:rsid w:val="004769C5"/>
    <w:rsid w:val="00476B0B"/>
    <w:rsid w:val="00476D65"/>
    <w:rsid w:val="004774E2"/>
    <w:rsid w:val="00477711"/>
    <w:rsid w:val="00477D48"/>
    <w:rsid w:val="0048044F"/>
    <w:rsid w:val="004817DD"/>
    <w:rsid w:val="00481C87"/>
    <w:rsid w:val="004827C9"/>
    <w:rsid w:val="00482C52"/>
    <w:rsid w:val="00483ADE"/>
    <w:rsid w:val="00484ECB"/>
    <w:rsid w:val="00491473"/>
    <w:rsid w:val="00491501"/>
    <w:rsid w:val="00491F2A"/>
    <w:rsid w:val="00492585"/>
    <w:rsid w:val="00492B10"/>
    <w:rsid w:val="00492E74"/>
    <w:rsid w:val="00494A91"/>
    <w:rsid w:val="00494F11"/>
    <w:rsid w:val="00496638"/>
    <w:rsid w:val="004A221D"/>
    <w:rsid w:val="004A2243"/>
    <w:rsid w:val="004A42A2"/>
    <w:rsid w:val="004A42D1"/>
    <w:rsid w:val="004A4BE1"/>
    <w:rsid w:val="004A5449"/>
    <w:rsid w:val="004A6388"/>
    <w:rsid w:val="004A6F21"/>
    <w:rsid w:val="004A74F2"/>
    <w:rsid w:val="004A7578"/>
    <w:rsid w:val="004A799D"/>
    <w:rsid w:val="004A7FFB"/>
    <w:rsid w:val="004B042F"/>
    <w:rsid w:val="004B089D"/>
    <w:rsid w:val="004B11D2"/>
    <w:rsid w:val="004B13C8"/>
    <w:rsid w:val="004B2442"/>
    <w:rsid w:val="004B2A7C"/>
    <w:rsid w:val="004B3A2D"/>
    <w:rsid w:val="004B3F17"/>
    <w:rsid w:val="004B527E"/>
    <w:rsid w:val="004B5399"/>
    <w:rsid w:val="004B594D"/>
    <w:rsid w:val="004B5C0B"/>
    <w:rsid w:val="004B5FDD"/>
    <w:rsid w:val="004B7D60"/>
    <w:rsid w:val="004C0F09"/>
    <w:rsid w:val="004C26A2"/>
    <w:rsid w:val="004C3BD7"/>
    <w:rsid w:val="004C4D0D"/>
    <w:rsid w:val="004C5500"/>
    <w:rsid w:val="004C5E35"/>
    <w:rsid w:val="004C66B0"/>
    <w:rsid w:val="004C6C3D"/>
    <w:rsid w:val="004D04DF"/>
    <w:rsid w:val="004D23A9"/>
    <w:rsid w:val="004D27C3"/>
    <w:rsid w:val="004D33B4"/>
    <w:rsid w:val="004D36CB"/>
    <w:rsid w:val="004D38B9"/>
    <w:rsid w:val="004D3D31"/>
    <w:rsid w:val="004D6E6F"/>
    <w:rsid w:val="004E00AE"/>
    <w:rsid w:val="004E147E"/>
    <w:rsid w:val="004E16D2"/>
    <w:rsid w:val="004E2F83"/>
    <w:rsid w:val="004E303F"/>
    <w:rsid w:val="004E44BE"/>
    <w:rsid w:val="004E4BAA"/>
    <w:rsid w:val="004E61BE"/>
    <w:rsid w:val="004E628C"/>
    <w:rsid w:val="004E7B4B"/>
    <w:rsid w:val="004F03BF"/>
    <w:rsid w:val="004F08F4"/>
    <w:rsid w:val="004F0B05"/>
    <w:rsid w:val="004F0F9D"/>
    <w:rsid w:val="004F1FE2"/>
    <w:rsid w:val="004F2581"/>
    <w:rsid w:val="004F2BC5"/>
    <w:rsid w:val="004F3044"/>
    <w:rsid w:val="004F4577"/>
    <w:rsid w:val="004F5519"/>
    <w:rsid w:val="004F58CD"/>
    <w:rsid w:val="004F5963"/>
    <w:rsid w:val="004F64A3"/>
    <w:rsid w:val="004F696C"/>
    <w:rsid w:val="004F6AFA"/>
    <w:rsid w:val="004F74C0"/>
    <w:rsid w:val="004F7B4A"/>
    <w:rsid w:val="004F7E17"/>
    <w:rsid w:val="005017E3"/>
    <w:rsid w:val="00501AAE"/>
    <w:rsid w:val="005026F7"/>
    <w:rsid w:val="005050FA"/>
    <w:rsid w:val="00505430"/>
    <w:rsid w:val="0050557D"/>
    <w:rsid w:val="005058C0"/>
    <w:rsid w:val="00505AFC"/>
    <w:rsid w:val="00506989"/>
    <w:rsid w:val="0050698E"/>
    <w:rsid w:val="00506F29"/>
    <w:rsid w:val="0051032C"/>
    <w:rsid w:val="00510D9A"/>
    <w:rsid w:val="00511D61"/>
    <w:rsid w:val="00512272"/>
    <w:rsid w:val="0051253F"/>
    <w:rsid w:val="0051287E"/>
    <w:rsid w:val="00512F0F"/>
    <w:rsid w:val="0051338A"/>
    <w:rsid w:val="00513395"/>
    <w:rsid w:val="00513F42"/>
    <w:rsid w:val="005142CB"/>
    <w:rsid w:val="005146FE"/>
    <w:rsid w:val="0051526A"/>
    <w:rsid w:val="00515700"/>
    <w:rsid w:val="00515F93"/>
    <w:rsid w:val="005173BA"/>
    <w:rsid w:val="00517AAC"/>
    <w:rsid w:val="00520134"/>
    <w:rsid w:val="00520897"/>
    <w:rsid w:val="00520FD5"/>
    <w:rsid w:val="00521341"/>
    <w:rsid w:val="00522A62"/>
    <w:rsid w:val="0052394E"/>
    <w:rsid w:val="00524142"/>
    <w:rsid w:val="0052552E"/>
    <w:rsid w:val="005259C5"/>
    <w:rsid w:val="00527037"/>
    <w:rsid w:val="00527054"/>
    <w:rsid w:val="00527519"/>
    <w:rsid w:val="00527532"/>
    <w:rsid w:val="00527BB2"/>
    <w:rsid w:val="00527C71"/>
    <w:rsid w:val="00527D02"/>
    <w:rsid w:val="00530BA7"/>
    <w:rsid w:val="00531A00"/>
    <w:rsid w:val="0053436A"/>
    <w:rsid w:val="00534994"/>
    <w:rsid w:val="0053640F"/>
    <w:rsid w:val="00536A33"/>
    <w:rsid w:val="005374BC"/>
    <w:rsid w:val="005378A5"/>
    <w:rsid w:val="005379C1"/>
    <w:rsid w:val="00537EE9"/>
    <w:rsid w:val="00540F93"/>
    <w:rsid w:val="00541274"/>
    <w:rsid w:val="00541607"/>
    <w:rsid w:val="00541900"/>
    <w:rsid w:val="00542564"/>
    <w:rsid w:val="00543D81"/>
    <w:rsid w:val="00543EFF"/>
    <w:rsid w:val="00543F1A"/>
    <w:rsid w:val="00544384"/>
    <w:rsid w:val="0054533D"/>
    <w:rsid w:val="00546B06"/>
    <w:rsid w:val="0054708F"/>
    <w:rsid w:val="005474C2"/>
    <w:rsid w:val="00547B13"/>
    <w:rsid w:val="00547C3B"/>
    <w:rsid w:val="005504FB"/>
    <w:rsid w:val="00552773"/>
    <w:rsid w:val="005530E0"/>
    <w:rsid w:val="00555813"/>
    <w:rsid w:val="00556885"/>
    <w:rsid w:val="0055763C"/>
    <w:rsid w:val="00557BF9"/>
    <w:rsid w:val="005608FB"/>
    <w:rsid w:val="0056241C"/>
    <w:rsid w:val="00563462"/>
    <w:rsid w:val="00563E8F"/>
    <w:rsid w:val="00565486"/>
    <w:rsid w:val="00567297"/>
    <w:rsid w:val="00567A92"/>
    <w:rsid w:val="00570C69"/>
    <w:rsid w:val="00571F98"/>
    <w:rsid w:val="005727BA"/>
    <w:rsid w:val="005728F7"/>
    <w:rsid w:val="00572AE4"/>
    <w:rsid w:val="0057329C"/>
    <w:rsid w:val="005745FD"/>
    <w:rsid w:val="005757CC"/>
    <w:rsid w:val="00576837"/>
    <w:rsid w:val="00580266"/>
    <w:rsid w:val="0058061A"/>
    <w:rsid w:val="00581209"/>
    <w:rsid w:val="00582560"/>
    <w:rsid w:val="005828C2"/>
    <w:rsid w:val="005839ED"/>
    <w:rsid w:val="00584990"/>
    <w:rsid w:val="00584D52"/>
    <w:rsid w:val="00585130"/>
    <w:rsid w:val="00585AC5"/>
    <w:rsid w:val="005860DE"/>
    <w:rsid w:val="0058745E"/>
    <w:rsid w:val="00587F85"/>
    <w:rsid w:val="005903EF"/>
    <w:rsid w:val="00590A16"/>
    <w:rsid w:val="00592287"/>
    <w:rsid w:val="00592914"/>
    <w:rsid w:val="0059320E"/>
    <w:rsid w:val="00594A25"/>
    <w:rsid w:val="00595120"/>
    <w:rsid w:val="005966E4"/>
    <w:rsid w:val="00596B38"/>
    <w:rsid w:val="0059769D"/>
    <w:rsid w:val="005977A2"/>
    <w:rsid w:val="00597EFA"/>
    <w:rsid w:val="005A0283"/>
    <w:rsid w:val="005A13A5"/>
    <w:rsid w:val="005A13DC"/>
    <w:rsid w:val="005A2834"/>
    <w:rsid w:val="005A39A2"/>
    <w:rsid w:val="005A4629"/>
    <w:rsid w:val="005A485C"/>
    <w:rsid w:val="005A4B9F"/>
    <w:rsid w:val="005A57B9"/>
    <w:rsid w:val="005A5B01"/>
    <w:rsid w:val="005A6448"/>
    <w:rsid w:val="005A7BD7"/>
    <w:rsid w:val="005A7D08"/>
    <w:rsid w:val="005B0142"/>
    <w:rsid w:val="005B0163"/>
    <w:rsid w:val="005B038A"/>
    <w:rsid w:val="005B0590"/>
    <w:rsid w:val="005B0668"/>
    <w:rsid w:val="005B0B5D"/>
    <w:rsid w:val="005B17A2"/>
    <w:rsid w:val="005B18CF"/>
    <w:rsid w:val="005B2E0E"/>
    <w:rsid w:val="005B31DA"/>
    <w:rsid w:val="005B320F"/>
    <w:rsid w:val="005B327D"/>
    <w:rsid w:val="005B3803"/>
    <w:rsid w:val="005B3ACE"/>
    <w:rsid w:val="005B624B"/>
    <w:rsid w:val="005B6846"/>
    <w:rsid w:val="005C14CA"/>
    <w:rsid w:val="005C2143"/>
    <w:rsid w:val="005C24EB"/>
    <w:rsid w:val="005C3ED1"/>
    <w:rsid w:val="005C44E9"/>
    <w:rsid w:val="005C45DB"/>
    <w:rsid w:val="005C509F"/>
    <w:rsid w:val="005C6912"/>
    <w:rsid w:val="005D030E"/>
    <w:rsid w:val="005D0B12"/>
    <w:rsid w:val="005D1321"/>
    <w:rsid w:val="005D39C5"/>
    <w:rsid w:val="005D3EE7"/>
    <w:rsid w:val="005D3FCC"/>
    <w:rsid w:val="005D4B3F"/>
    <w:rsid w:val="005D5D14"/>
    <w:rsid w:val="005D5E22"/>
    <w:rsid w:val="005D5EA8"/>
    <w:rsid w:val="005D6058"/>
    <w:rsid w:val="005D6A0D"/>
    <w:rsid w:val="005D74ED"/>
    <w:rsid w:val="005D7D36"/>
    <w:rsid w:val="005E06A9"/>
    <w:rsid w:val="005E141F"/>
    <w:rsid w:val="005E1A59"/>
    <w:rsid w:val="005E1ACB"/>
    <w:rsid w:val="005E25DD"/>
    <w:rsid w:val="005E26FE"/>
    <w:rsid w:val="005E2FFC"/>
    <w:rsid w:val="005E3AD3"/>
    <w:rsid w:val="005E40FF"/>
    <w:rsid w:val="005E48FE"/>
    <w:rsid w:val="005E4F78"/>
    <w:rsid w:val="005E56A2"/>
    <w:rsid w:val="005E5A77"/>
    <w:rsid w:val="005E74F4"/>
    <w:rsid w:val="005E7897"/>
    <w:rsid w:val="005E7C46"/>
    <w:rsid w:val="005E7F16"/>
    <w:rsid w:val="005F094D"/>
    <w:rsid w:val="005F0B68"/>
    <w:rsid w:val="005F1058"/>
    <w:rsid w:val="005F2354"/>
    <w:rsid w:val="005F5461"/>
    <w:rsid w:val="005F5C2E"/>
    <w:rsid w:val="005F64EF"/>
    <w:rsid w:val="005F6549"/>
    <w:rsid w:val="005F6997"/>
    <w:rsid w:val="005F6F0F"/>
    <w:rsid w:val="005F7F89"/>
    <w:rsid w:val="00600318"/>
    <w:rsid w:val="006010F8"/>
    <w:rsid w:val="0060137C"/>
    <w:rsid w:val="00601431"/>
    <w:rsid w:val="00602E12"/>
    <w:rsid w:val="00604459"/>
    <w:rsid w:val="00604467"/>
    <w:rsid w:val="00604B51"/>
    <w:rsid w:val="00604C1E"/>
    <w:rsid w:val="006060DA"/>
    <w:rsid w:val="00606EAC"/>
    <w:rsid w:val="00607625"/>
    <w:rsid w:val="00611309"/>
    <w:rsid w:val="00612CEE"/>
    <w:rsid w:val="00612D89"/>
    <w:rsid w:val="006159A7"/>
    <w:rsid w:val="00615E2E"/>
    <w:rsid w:val="00617931"/>
    <w:rsid w:val="00617FA1"/>
    <w:rsid w:val="006200BF"/>
    <w:rsid w:val="00622161"/>
    <w:rsid w:val="00624213"/>
    <w:rsid w:val="0062425E"/>
    <w:rsid w:val="006253AF"/>
    <w:rsid w:val="00625AFD"/>
    <w:rsid w:val="0063041A"/>
    <w:rsid w:val="00630C95"/>
    <w:rsid w:val="00631CC0"/>
    <w:rsid w:val="00632569"/>
    <w:rsid w:val="00632A34"/>
    <w:rsid w:val="00632C98"/>
    <w:rsid w:val="00633AC1"/>
    <w:rsid w:val="00634457"/>
    <w:rsid w:val="00635C36"/>
    <w:rsid w:val="0063633E"/>
    <w:rsid w:val="00637509"/>
    <w:rsid w:val="00643F93"/>
    <w:rsid w:val="00644402"/>
    <w:rsid w:val="00644752"/>
    <w:rsid w:val="00644E5C"/>
    <w:rsid w:val="006459E6"/>
    <w:rsid w:val="00645E59"/>
    <w:rsid w:val="00646805"/>
    <w:rsid w:val="00646FBF"/>
    <w:rsid w:val="00647982"/>
    <w:rsid w:val="00647F06"/>
    <w:rsid w:val="00651388"/>
    <w:rsid w:val="0065142E"/>
    <w:rsid w:val="0065189B"/>
    <w:rsid w:val="00651AD3"/>
    <w:rsid w:val="00652864"/>
    <w:rsid w:val="00652CBF"/>
    <w:rsid w:val="00652E45"/>
    <w:rsid w:val="00653A5D"/>
    <w:rsid w:val="00654115"/>
    <w:rsid w:val="006541F9"/>
    <w:rsid w:val="00656C05"/>
    <w:rsid w:val="00657148"/>
    <w:rsid w:val="0065722E"/>
    <w:rsid w:val="006620EB"/>
    <w:rsid w:val="0066261B"/>
    <w:rsid w:val="00662E82"/>
    <w:rsid w:val="00664404"/>
    <w:rsid w:val="00664A55"/>
    <w:rsid w:val="00664CA8"/>
    <w:rsid w:val="00665021"/>
    <w:rsid w:val="0066529B"/>
    <w:rsid w:val="00665A28"/>
    <w:rsid w:val="0066715F"/>
    <w:rsid w:val="00671911"/>
    <w:rsid w:val="00672AE5"/>
    <w:rsid w:val="00672BD6"/>
    <w:rsid w:val="00673464"/>
    <w:rsid w:val="006735EE"/>
    <w:rsid w:val="00673B70"/>
    <w:rsid w:val="006742A6"/>
    <w:rsid w:val="00680051"/>
    <w:rsid w:val="0068025B"/>
    <w:rsid w:val="006817F8"/>
    <w:rsid w:val="00682072"/>
    <w:rsid w:val="006821D3"/>
    <w:rsid w:val="00682ABF"/>
    <w:rsid w:val="0068316F"/>
    <w:rsid w:val="00683DF1"/>
    <w:rsid w:val="00686151"/>
    <w:rsid w:val="0068672E"/>
    <w:rsid w:val="00687710"/>
    <w:rsid w:val="00687A2E"/>
    <w:rsid w:val="00687ADF"/>
    <w:rsid w:val="00693FE3"/>
    <w:rsid w:val="00694647"/>
    <w:rsid w:val="0069553F"/>
    <w:rsid w:val="00695B30"/>
    <w:rsid w:val="00695D24"/>
    <w:rsid w:val="00696597"/>
    <w:rsid w:val="00696B02"/>
    <w:rsid w:val="00697286"/>
    <w:rsid w:val="00697339"/>
    <w:rsid w:val="006A0185"/>
    <w:rsid w:val="006A1AA2"/>
    <w:rsid w:val="006A1E76"/>
    <w:rsid w:val="006A1ED3"/>
    <w:rsid w:val="006A2AF3"/>
    <w:rsid w:val="006A33C8"/>
    <w:rsid w:val="006A33CC"/>
    <w:rsid w:val="006A3806"/>
    <w:rsid w:val="006A3C41"/>
    <w:rsid w:val="006A5C6B"/>
    <w:rsid w:val="006A66D7"/>
    <w:rsid w:val="006A6EA1"/>
    <w:rsid w:val="006B000A"/>
    <w:rsid w:val="006B148A"/>
    <w:rsid w:val="006B1BD4"/>
    <w:rsid w:val="006B210D"/>
    <w:rsid w:val="006B2B49"/>
    <w:rsid w:val="006B3269"/>
    <w:rsid w:val="006B5D41"/>
    <w:rsid w:val="006B5F5E"/>
    <w:rsid w:val="006B68E5"/>
    <w:rsid w:val="006B71F3"/>
    <w:rsid w:val="006B75D8"/>
    <w:rsid w:val="006B75EE"/>
    <w:rsid w:val="006C095D"/>
    <w:rsid w:val="006C1282"/>
    <w:rsid w:val="006C1810"/>
    <w:rsid w:val="006C2DD6"/>
    <w:rsid w:val="006C308C"/>
    <w:rsid w:val="006C3582"/>
    <w:rsid w:val="006C364C"/>
    <w:rsid w:val="006C70C4"/>
    <w:rsid w:val="006C7B56"/>
    <w:rsid w:val="006D1458"/>
    <w:rsid w:val="006D1B71"/>
    <w:rsid w:val="006D1F8A"/>
    <w:rsid w:val="006D2157"/>
    <w:rsid w:val="006D34B7"/>
    <w:rsid w:val="006D3B84"/>
    <w:rsid w:val="006D4A78"/>
    <w:rsid w:val="006D55A3"/>
    <w:rsid w:val="006D5ED2"/>
    <w:rsid w:val="006D6F07"/>
    <w:rsid w:val="006D7F36"/>
    <w:rsid w:val="006E01F6"/>
    <w:rsid w:val="006E0D83"/>
    <w:rsid w:val="006E11C9"/>
    <w:rsid w:val="006E12B2"/>
    <w:rsid w:val="006E1A98"/>
    <w:rsid w:val="006E22E8"/>
    <w:rsid w:val="006E25C7"/>
    <w:rsid w:val="006E2695"/>
    <w:rsid w:val="006E2780"/>
    <w:rsid w:val="006E2D0C"/>
    <w:rsid w:val="006E3CDE"/>
    <w:rsid w:val="006E3DAD"/>
    <w:rsid w:val="006E593E"/>
    <w:rsid w:val="006E5E64"/>
    <w:rsid w:val="006F1467"/>
    <w:rsid w:val="006F1A02"/>
    <w:rsid w:val="006F1C17"/>
    <w:rsid w:val="006F2B3D"/>
    <w:rsid w:val="006F2C70"/>
    <w:rsid w:val="006F572A"/>
    <w:rsid w:val="006F5967"/>
    <w:rsid w:val="007015D9"/>
    <w:rsid w:val="00702B44"/>
    <w:rsid w:val="00703D1F"/>
    <w:rsid w:val="007068B5"/>
    <w:rsid w:val="00707313"/>
    <w:rsid w:val="00707C88"/>
    <w:rsid w:val="00710109"/>
    <w:rsid w:val="0071064F"/>
    <w:rsid w:val="0071174A"/>
    <w:rsid w:val="007122A0"/>
    <w:rsid w:val="0071261A"/>
    <w:rsid w:val="00713806"/>
    <w:rsid w:val="00713DEB"/>
    <w:rsid w:val="00714BB3"/>
    <w:rsid w:val="00714CC1"/>
    <w:rsid w:val="00715F3E"/>
    <w:rsid w:val="007179B4"/>
    <w:rsid w:val="00720447"/>
    <w:rsid w:val="00720C05"/>
    <w:rsid w:val="00721CAA"/>
    <w:rsid w:val="007228B2"/>
    <w:rsid w:val="00723291"/>
    <w:rsid w:val="00723410"/>
    <w:rsid w:val="00723C8B"/>
    <w:rsid w:val="00723E03"/>
    <w:rsid w:val="00723F76"/>
    <w:rsid w:val="007244ED"/>
    <w:rsid w:val="00724798"/>
    <w:rsid w:val="00725012"/>
    <w:rsid w:val="00725A51"/>
    <w:rsid w:val="00725B37"/>
    <w:rsid w:val="00725B81"/>
    <w:rsid w:val="007262EA"/>
    <w:rsid w:val="00727746"/>
    <w:rsid w:val="00727960"/>
    <w:rsid w:val="00730969"/>
    <w:rsid w:val="00731372"/>
    <w:rsid w:val="00731799"/>
    <w:rsid w:val="00731BFE"/>
    <w:rsid w:val="00731E01"/>
    <w:rsid w:val="007336A7"/>
    <w:rsid w:val="00733B3E"/>
    <w:rsid w:val="00733F8B"/>
    <w:rsid w:val="00734A80"/>
    <w:rsid w:val="00735A24"/>
    <w:rsid w:val="007376EC"/>
    <w:rsid w:val="0073797A"/>
    <w:rsid w:val="00737C6F"/>
    <w:rsid w:val="0074064F"/>
    <w:rsid w:val="0074099F"/>
    <w:rsid w:val="00740A7F"/>
    <w:rsid w:val="00741186"/>
    <w:rsid w:val="00741926"/>
    <w:rsid w:val="00742DFE"/>
    <w:rsid w:val="007430F4"/>
    <w:rsid w:val="00743272"/>
    <w:rsid w:val="00744207"/>
    <w:rsid w:val="007457C7"/>
    <w:rsid w:val="0074737C"/>
    <w:rsid w:val="00747390"/>
    <w:rsid w:val="0074790D"/>
    <w:rsid w:val="00747D06"/>
    <w:rsid w:val="00747EDA"/>
    <w:rsid w:val="00750BE4"/>
    <w:rsid w:val="00751CF2"/>
    <w:rsid w:val="00752179"/>
    <w:rsid w:val="00752B70"/>
    <w:rsid w:val="00752D88"/>
    <w:rsid w:val="00752E33"/>
    <w:rsid w:val="00752F42"/>
    <w:rsid w:val="00754995"/>
    <w:rsid w:val="00754C73"/>
    <w:rsid w:val="00755AD5"/>
    <w:rsid w:val="00755D90"/>
    <w:rsid w:val="0075648B"/>
    <w:rsid w:val="00756AA4"/>
    <w:rsid w:val="0076076E"/>
    <w:rsid w:val="0076124C"/>
    <w:rsid w:val="00762ADD"/>
    <w:rsid w:val="00763218"/>
    <w:rsid w:val="0076387B"/>
    <w:rsid w:val="007648FA"/>
    <w:rsid w:val="00764FCF"/>
    <w:rsid w:val="0076538B"/>
    <w:rsid w:val="007653CC"/>
    <w:rsid w:val="007658A9"/>
    <w:rsid w:val="00766236"/>
    <w:rsid w:val="007665DB"/>
    <w:rsid w:val="00766A85"/>
    <w:rsid w:val="00766B56"/>
    <w:rsid w:val="00767CC6"/>
    <w:rsid w:val="0077052C"/>
    <w:rsid w:val="007721DE"/>
    <w:rsid w:val="00772229"/>
    <w:rsid w:val="00772F92"/>
    <w:rsid w:val="007748F8"/>
    <w:rsid w:val="00775250"/>
    <w:rsid w:val="00777A35"/>
    <w:rsid w:val="00777BC1"/>
    <w:rsid w:val="00781183"/>
    <w:rsid w:val="007824D1"/>
    <w:rsid w:val="00783323"/>
    <w:rsid w:val="007837B6"/>
    <w:rsid w:val="00784B19"/>
    <w:rsid w:val="00784D70"/>
    <w:rsid w:val="00785876"/>
    <w:rsid w:val="007860EA"/>
    <w:rsid w:val="0078632E"/>
    <w:rsid w:val="007911F7"/>
    <w:rsid w:val="007931E8"/>
    <w:rsid w:val="007939DB"/>
    <w:rsid w:val="0079425B"/>
    <w:rsid w:val="007949D1"/>
    <w:rsid w:val="00794D0D"/>
    <w:rsid w:val="00795574"/>
    <w:rsid w:val="007957CC"/>
    <w:rsid w:val="00795DE6"/>
    <w:rsid w:val="00795F1D"/>
    <w:rsid w:val="007963C5"/>
    <w:rsid w:val="0079672B"/>
    <w:rsid w:val="00796A57"/>
    <w:rsid w:val="007972DF"/>
    <w:rsid w:val="007A210F"/>
    <w:rsid w:val="007A2126"/>
    <w:rsid w:val="007A2860"/>
    <w:rsid w:val="007A32AC"/>
    <w:rsid w:val="007A35AB"/>
    <w:rsid w:val="007A3893"/>
    <w:rsid w:val="007A56B0"/>
    <w:rsid w:val="007A67FE"/>
    <w:rsid w:val="007A6E19"/>
    <w:rsid w:val="007A72C8"/>
    <w:rsid w:val="007A7DB0"/>
    <w:rsid w:val="007A7E9E"/>
    <w:rsid w:val="007B05EB"/>
    <w:rsid w:val="007B0DDB"/>
    <w:rsid w:val="007B1F92"/>
    <w:rsid w:val="007B2BDD"/>
    <w:rsid w:val="007B2D7B"/>
    <w:rsid w:val="007B34D9"/>
    <w:rsid w:val="007B3E5F"/>
    <w:rsid w:val="007B4549"/>
    <w:rsid w:val="007C51DB"/>
    <w:rsid w:val="007C5527"/>
    <w:rsid w:val="007C710C"/>
    <w:rsid w:val="007D0406"/>
    <w:rsid w:val="007D1882"/>
    <w:rsid w:val="007D28A9"/>
    <w:rsid w:val="007D31AA"/>
    <w:rsid w:val="007D36F2"/>
    <w:rsid w:val="007D48D9"/>
    <w:rsid w:val="007D57D8"/>
    <w:rsid w:val="007D5813"/>
    <w:rsid w:val="007D5BB6"/>
    <w:rsid w:val="007D6262"/>
    <w:rsid w:val="007D6863"/>
    <w:rsid w:val="007D726D"/>
    <w:rsid w:val="007E03FC"/>
    <w:rsid w:val="007E27C6"/>
    <w:rsid w:val="007E5CDB"/>
    <w:rsid w:val="007E68F3"/>
    <w:rsid w:val="007E7C8F"/>
    <w:rsid w:val="007F0509"/>
    <w:rsid w:val="007F05FE"/>
    <w:rsid w:val="007F0C1E"/>
    <w:rsid w:val="007F1614"/>
    <w:rsid w:val="007F2820"/>
    <w:rsid w:val="007F45E8"/>
    <w:rsid w:val="007F4BC3"/>
    <w:rsid w:val="007F51FA"/>
    <w:rsid w:val="007F669B"/>
    <w:rsid w:val="007F68C2"/>
    <w:rsid w:val="007F6957"/>
    <w:rsid w:val="007F6F33"/>
    <w:rsid w:val="007F7034"/>
    <w:rsid w:val="007F77D8"/>
    <w:rsid w:val="007F7AE4"/>
    <w:rsid w:val="0080066B"/>
    <w:rsid w:val="00800D9B"/>
    <w:rsid w:val="00801481"/>
    <w:rsid w:val="00801B65"/>
    <w:rsid w:val="00801BC9"/>
    <w:rsid w:val="00801F65"/>
    <w:rsid w:val="00804F21"/>
    <w:rsid w:val="00805618"/>
    <w:rsid w:val="00805AE7"/>
    <w:rsid w:val="00805D68"/>
    <w:rsid w:val="008062E6"/>
    <w:rsid w:val="00806B94"/>
    <w:rsid w:val="0081049E"/>
    <w:rsid w:val="00810DCF"/>
    <w:rsid w:val="0081139E"/>
    <w:rsid w:val="0081174B"/>
    <w:rsid w:val="0081191E"/>
    <w:rsid w:val="00812BCD"/>
    <w:rsid w:val="008137D2"/>
    <w:rsid w:val="00813C5D"/>
    <w:rsid w:val="0081409E"/>
    <w:rsid w:val="00814B58"/>
    <w:rsid w:val="00815030"/>
    <w:rsid w:val="00816022"/>
    <w:rsid w:val="008171DA"/>
    <w:rsid w:val="00817569"/>
    <w:rsid w:val="00821A96"/>
    <w:rsid w:val="00821C54"/>
    <w:rsid w:val="00822334"/>
    <w:rsid w:val="00822CA6"/>
    <w:rsid w:val="00822FF1"/>
    <w:rsid w:val="00823871"/>
    <w:rsid w:val="0082436F"/>
    <w:rsid w:val="00824404"/>
    <w:rsid w:val="00824969"/>
    <w:rsid w:val="00824CF1"/>
    <w:rsid w:val="00825397"/>
    <w:rsid w:val="008257B5"/>
    <w:rsid w:val="00825DE1"/>
    <w:rsid w:val="0082615C"/>
    <w:rsid w:val="00826CAA"/>
    <w:rsid w:val="00827251"/>
    <w:rsid w:val="00830E18"/>
    <w:rsid w:val="008320F5"/>
    <w:rsid w:val="00832AFE"/>
    <w:rsid w:val="008333C8"/>
    <w:rsid w:val="00833DED"/>
    <w:rsid w:val="00834D53"/>
    <w:rsid w:val="008354DB"/>
    <w:rsid w:val="00835D82"/>
    <w:rsid w:val="0083606B"/>
    <w:rsid w:val="00836B1F"/>
    <w:rsid w:val="00836D49"/>
    <w:rsid w:val="00837D99"/>
    <w:rsid w:val="00840798"/>
    <w:rsid w:val="00840C85"/>
    <w:rsid w:val="0084124E"/>
    <w:rsid w:val="0084136E"/>
    <w:rsid w:val="008422A1"/>
    <w:rsid w:val="008434AE"/>
    <w:rsid w:val="008439D0"/>
    <w:rsid w:val="00843D52"/>
    <w:rsid w:val="00843D8D"/>
    <w:rsid w:val="008442AE"/>
    <w:rsid w:val="00844648"/>
    <w:rsid w:val="00844E88"/>
    <w:rsid w:val="00845B09"/>
    <w:rsid w:val="0084747E"/>
    <w:rsid w:val="008514B6"/>
    <w:rsid w:val="00851557"/>
    <w:rsid w:val="008516C3"/>
    <w:rsid w:val="00852A23"/>
    <w:rsid w:val="00852CBA"/>
    <w:rsid w:val="00853CEA"/>
    <w:rsid w:val="00853F04"/>
    <w:rsid w:val="00854993"/>
    <w:rsid w:val="00854B81"/>
    <w:rsid w:val="00854DD6"/>
    <w:rsid w:val="0085584D"/>
    <w:rsid w:val="00855FDD"/>
    <w:rsid w:val="00856119"/>
    <w:rsid w:val="00856CF0"/>
    <w:rsid w:val="008570F1"/>
    <w:rsid w:val="008572FA"/>
    <w:rsid w:val="008608CA"/>
    <w:rsid w:val="00860D34"/>
    <w:rsid w:val="00860DCC"/>
    <w:rsid w:val="008612D7"/>
    <w:rsid w:val="00861686"/>
    <w:rsid w:val="00862FCA"/>
    <w:rsid w:val="0086344D"/>
    <w:rsid w:val="00863BA1"/>
    <w:rsid w:val="00863FBE"/>
    <w:rsid w:val="00864451"/>
    <w:rsid w:val="00865726"/>
    <w:rsid w:val="00865D75"/>
    <w:rsid w:val="00865FAE"/>
    <w:rsid w:val="00866466"/>
    <w:rsid w:val="008664A2"/>
    <w:rsid w:val="00866906"/>
    <w:rsid w:val="00867117"/>
    <w:rsid w:val="00867474"/>
    <w:rsid w:val="00867965"/>
    <w:rsid w:val="00867E39"/>
    <w:rsid w:val="008700F7"/>
    <w:rsid w:val="008703C5"/>
    <w:rsid w:val="0087082A"/>
    <w:rsid w:val="008710D2"/>
    <w:rsid w:val="0087149E"/>
    <w:rsid w:val="008715C8"/>
    <w:rsid w:val="00871B42"/>
    <w:rsid w:val="008724E1"/>
    <w:rsid w:val="00874073"/>
    <w:rsid w:val="00874819"/>
    <w:rsid w:val="008749AA"/>
    <w:rsid w:val="00874A1A"/>
    <w:rsid w:val="00874B38"/>
    <w:rsid w:val="00874B82"/>
    <w:rsid w:val="0087564B"/>
    <w:rsid w:val="0087599F"/>
    <w:rsid w:val="00875D4B"/>
    <w:rsid w:val="00875F72"/>
    <w:rsid w:val="008761D7"/>
    <w:rsid w:val="00876391"/>
    <w:rsid w:val="0087667D"/>
    <w:rsid w:val="00876D67"/>
    <w:rsid w:val="00877B3B"/>
    <w:rsid w:val="0088001F"/>
    <w:rsid w:val="00880247"/>
    <w:rsid w:val="00880E9E"/>
    <w:rsid w:val="00881276"/>
    <w:rsid w:val="00881626"/>
    <w:rsid w:val="008823A3"/>
    <w:rsid w:val="00882969"/>
    <w:rsid w:val="00883E47"/>
    <w:rsid w:val="00884030"/>
    <w:rsid w:val="00885118"/>
    <w:rsid w:val="008874E7"/>
    <w:rsid w:val="00887D58"/>
    <w:rsid w:val="008903B2"/>
    <w:rsid w:val="00890894"/>
    <w:rsid w:val="00890B1E"/>
    <w:rsid w:val="0089155C"/>
    <w:rsid w:val="0089164E"/>
    <w:rsid w:val="00892F7B"/>
    <w:rsid w:val="00893F91"/>
    <w:rsid w:val="00896D3E"/>
    <w:rsid w:val="00896F68"/>
    <w:rsid w:val="00897E45"/>
    <w:rsid w:val="008A07EC"/>
    <w:rsid w:val="008A15B6"/>
    <w:rsid w:val="008A34A5"/>
    <w:rsid w:val="008A3E60"/>
    <w:rsid w:val="008A421E"/>
    <w:rsid w:val="008A47B8"/>
    <w:rsid w:val="008A6FEA"/>
    <w:rsid w:val="008B0ED0"/>
    <w:rsid w:val="008B1D6C"/>
    <w:rsid w:val="008B2DA5"/>
    <w:rsid w:val="008B2F81"/>
    <w:rsid w:val="008B3AF6"/>
    <w:rsid w:val="008B45A0"/>
    <w:rsid w:val="008B4A77"/>
    <w:rsid w:val="008B6727"/>
    <w:rsid w:val="008B7470"/>
    <w:rsid w:val="008B78DF"/>
    <w:rsid w:val="008B7BF3"/>
    <w:rsid w:val="008C286A"/>
    <w:rsid w:val="008C4946"/>
    <w:rsid w:val="008C4A6A"/>
    <w:rsid w:val="008C50A5"/>
    <w:rsid w:val="008C5A18"/>
    <w:rsid w:val="008C5FE9"/>
    <w:rsid w:val="008D06CB"/>
    <w:rsid w:val="008D0808"/>
    <w:rsid w:val="008D14E6"/>
    <w:rsid w:val="008D150B"/>
    <w:rsid w:val="008D19B8"/>
    <w:rsid w:val="008D305A"/>
    <w:rsid w:val="008D34E3"/>
    <w:rsid w:val="008D3C53"/>
    <w:rsid w:val="008D3CF8"/>
    <w:rsid w:val="008D440E"/>
    <w:rsid w:val="008D51E6"/>
    <w:rsid w:val="008D56D8"/>
    <w:rsid w:val="008D6264"/>
    <w:rsid w:val="008D6FB5"/>
    <w:rsid w:val="008E07F5"/>
    <w:rsid w:val="008E1950"/>
    <w:rsid w:val="008E2112"/>
    <w:rsid w:val="008E45C6"/>
    <w:rsid w:val="008E4E8E"/>
    <w:rsid w:val="008E5454"/>
    <w:rsid w:val="008E6B08"/>
    <w:rsid w:val="008E6FCC"/>
    <w:rsid w:val="008F0883"/>
    <w:rsid w:val="008F0FFB"/>
    <w:rsid w:val="008F125A"/>
    <w:rsid w:val="008F14B4"/>
    <w:rsid w:val="008F1D80"/>
    <w:rsid w:val="008F3934"/>
    <w:rsid w:val="008F3C58"/>
    <w:rsid w:val="008F4D14"/>
    <w:rsid w:val="008F545D"/>
    <w:rsid w:val="008F5E6F"/>
    <w:rsid w:val="008F784B"/>
    <w:rsid w:val="008F7E3F"/>
    <w:rsid w:val="00900A0C"/>
    <w:rsid w:val="00900F10"/>
    <w:rsid w:val="009022C8"/>
    <w:rsid w:val="00902772"/>
    <w:rsid w:val="00903CE0"/>
    <w:rsid w:val="00903D59"/>
    <w:rsid w:val="00903FE3"/>
    <w:rsid w:val="009045F8"/>
    <w:rsid w:val="0090493B"/>
    <w:rsid w:val="0090650B"/>
    <w:rsid w:val="00906751"/>
    <w:rsid w:val="00907CDF"/>
    <w:rsid w:val="00910F7F"/>
    <w:rsid w:val="00912888"/>
    <w:rsid w:val="00912D94"/>
    <w:rsid w:val="00913A94"/>
    <w:rsid w:val="00914531"/>
    <w:rsid w:val="00914BA9"/>
    <w:rsid w:val="00916694"/>
    <w:rsid w:val="0091765D"/>
    <w:rsid w:val="00917A7B"/>
    <w:rsid w:val="00921773"/>
    <w:rsid w:val="009220AC"/>
    <w:rsid w:val="00922FA9"/>
    <w:rsid w:val="00924435"/>
    <w:rsid w:val="00924B0A"/>
    <w:rsid w:val="0092539A"/>
    <w:rsid w:val="00926AA8"/>
    <w:rsid w:val="009273D7"/>
    <w:rsid w:val="0093049C"/>
    <w:rsid w:val="00930E83"/>
    <w:rsid w:val="009311B3"/>
    <w:rsid w:val="00934ED7"/>
    <w:rsid w:val="009356FD"/>
    <w:rsid w:val="00935F4F"/>
    <w:rsid w:val="00936696"/>
    <w:rsid w:val="0093747D"/>
    <w:rsid w:val="009377A9"/>
    <w:rsid w:val="00937AED"/>
    <w:rsid w:val="00940D29"/>
    <w:rsid w:val="00941C4A"/>
    <w:rsid w:val="0094303A"/>
    <w:rsid w:val="009456A0"/>
    <w:rsid w:val="00945E23"/>
    <w:rsid w:val="00946114"/>
    <w:rsid w:val="0094663E"/>
    <w:rsid w:val="0094682D"/>
    <w:rsid w:val="00946AAF"/>
    <w:rsid w:val="00950317"/>
    <w:rsid w:val="00951F08"/>
    <w:rsid w:val="009528CB"/>
    <w:rsid w:val="00953203"/>
    <w:rsid w:val="00953AD3"/>
    <w:rsid w:val="00953D07"/>
    <w:rsid w:val="00955052"/>
    <w:rsid w:val="00957380"/>
    <w:rsid w:val="0096008D"/>
    <w:rsid w:val="00960129"/>
    <w:rsid w:val="009613A7"/>
    <w:rsid w:val="00961D6A"/>
    <w:rsid w:val="0096230D"/>
    <w:rsid w:val="00963801"/>
    <w:rsid w:val="009651F8"/>
    <w:rsid w:val="00965CF0"/>
    <w:rsid w:val="00966A7E"/>
    <w:rsid w:val="00970416"/>
    <w:rsid w:val="009704FE"/>
    <w:rsid w:val="0097100B"/>
    <w:rsid w:val="009717EE"/>
    <w:rsid w:val="00971BB1"/>
    <w:rsid w:val="0097271C"/>
    <w:rsid w:val="0097293A"/>
    <w:rsid w:val="009731B8"/>
    <w:rsid w:val="00974A77"/>
    <w:rsid w:val="00974FDA"/>
    <w:rsid w:val="00975CD0"/>
    <w:rsid w:val="00977792"/>
    <w:rsid w:val="009814D3"/>
    <w:rsid w:val="0098180F"/>
    <w:rsid w:val="00983091"/>
    <w:rsid w:val="00983F6F"/>
    <w:rsid w:val="00984ADD"/>
    <w:rsid w:val="00985639"/>
    <w:rsid w:val="00986273"/>
    <w:rsid w:val="00986DAF"/>
    <w:rsid w:val="00990FCF"/>
    <w:rsid w:val="009911E7"/>
    <w:rsid w:val="00991A1A"/>
    <w:rsid w:val="00993B2A"/>
    <w:rsid w:val="00993F16"/>
    <w:rsid w:val="0099554C"/>
    <w:rsid w:val="00996019"/>
    <w:rsid w:val="0099630C"/>
    <w:rsid w:val="00997445"/>
    <w:rsid w:val="009976DD"/>
    <w:rsid w:val="009A1215"/>
    <w:rsid w:val="009A213E"/>
    <w:rsid w:val="009A34D3"/>
    <w:rsid w:val="009A4145"/>
    <w:rsid w:val="009A41DB"/>
    <w:rsid w:val="009A6568"/>
    <w:rsid w:val="009A700D"/>
    <w:rsid w:val="009A75B1"/>
    <w:rsid w:val="009A7D6B"/>
    <w:rsid w:val="009A7DF5"/>
    <w:rsid w:val="009A7DF8"/>
    <w:rsid w:val="009B04DC"/>
    <w:rsid w:val="009B0916"/>
    <w:rsid w:val="009B0BC3"/>
    <w:rsid w:val="009B202A"/>
    <w:rsid w:val="009B46C7"/>
    <w:rsid w:val="009B4EA1"/>
    <w:rsid w:val="009B4F3D"/>
    <w:rsid w:val="009B7175"/>
    <w:rsid w:val="009B75B3"/>
    <w:rsid w:val="009C1E7B"/>
    <w:rsid w:val="009C1FD3"/>
    <w:rsid w:val="009C282D"/>
    <w:rsid w:val="009C38B5"/>
    <w:rsid w:val="009C3B0F"/>
    <w:rsid w:val="009C4153"/>
    <w:rsid w:val="009C4C8C"/>
    <w:rsid w:val="009C504C"/>
    <w:rsid w:val="009C53F2"/>
    <w:rsid w:val="009C61B8"/>
    <w:rsid w:val="009C76E6"/>
    <w:rsid w:val="009D336F"/>
    <w:rsid w:val="009D3F90"/>
    <w:rsid w:val="009D515C"/>
    <w:rsid w:val="009D627A"/>
    <w:rsid w:val="009D7444"/>
    <w:rsid w:val="009D77A6"/>
    <w:rsid w:val="009D7C54"/>
    <w:rsid w:val="009D7DBF"/>
    <w:rsid w:val="009E066A"/>
    <w:rsid w:val="009E08D3"/>
    <w:rsid w:val="009E1053"/>
    <w:rsid w:val="009E1915"/>
    <w:rsid w:val="009E1923"/>
    <w:rsid w:val="009E1EB2"/>
    <w:rsid w:val="009E2677"/>
    <w:rsid w:val="009E29BC"/>
    <w:rsid w:val="009E2C27"/>
    <w:rsid w:val="009E3615"/>
    <w:rsid w:val="009E3BAA"/>
    <w:rsid w:val="009E3D5F"/>
    <w:rsid w:val="009E41BF"/>
    <w:rsid w:val="009E429A"/>
    <w:rsid w:val="009E48F3"/>
    <w:rsid w:val="009E499D"/>
    <w:rsid w:val="009E4E69"/>
    <w:rsid w:val="009E6C22"/>
    <w:rsid w:val="009E7223"/>
    <w:rsid w:val="009E7D35"/>
    <w:rsid w:val="009F168C"/>
    <w:rsid w:val="009F20B7"/>
    <w:rsid w:val="009F245C"/>
    <w:rsid w:val="009F2882"/>
    <w:rsid w:val="009F2980"/>
    <w:rsid w:val="009F3564"/>
    <w:rsid w:val="009F38C3"/>
    <w:rsid w:val="009F46C5"/>
    <w:rsid w:val="009F48AE"/>
    <w:rsid w:val="009F590B"/>
    <w:rsid w:val="009F67AC"/>
    <w:rsid w:val="009F67EF"/>
    <w:rsid w:val="009F693A"/>
    <w:rsid w:val="009F7560"/>
    <w:rsid w:val="00A01274"/>
    <w:rsid w:val="00A01D33"/>
    <w:rsid w:val="00A01F61"/>
    <w:rsid w:val="00A03B6D"/>
    <w:rsid w:val="00A0433B"/>
    <w:rsid w:val="00A048C7"/>
    <w:rsid w:val="00A048C8"/>
    <w:rsid w:val="00A0533F"/>
    <w:rsid w:val="00A05E77"/>
    <w:rsid w:val="00A05F8A"/>
    <w:rsid w:val="00A06378"/>
    <w:rsid w:val="00A072C9"/>
    <w:rsid w:val="00A07779"/>
    <w:rsid w:val="00A10108"/>
    <w:rsid w:val="00A10E8A"/>
    <w:rsid w:val="00A1195F"/>
    <w:rsid w:val="00A120E2"/>
    <w:rsid w:val="00A12539"/>
    <w:rsid w:val="00A125B1"/>
    <w:rsid w:val="00A12BE9"/>
    <w:rsid w:val="00A12F1B"/>
    <w:rsid w:val="00A132F6"/>
    <w:rsid w:val="00A13DA9"/>
    <w:rsid w:val="00A141FB"/>
    <w:rsid w:val="00A14584"/>
    <w:rsid w:val="00A1477E"/>
    <w:rsid w:val="00A157AC"/>
    <w:rsid w:val="00A17357"/>
    <w:rsid w:val="00A209AD"/>
    <w:rsid w:val="00A2381C"/>
    <w:rsid w:val="00A25C73"/>
    <w:rsid w:val="00A26535"/>
    <w:rsid w:val="00A268D8"/>
    <w:rsid w:val="00A27AA1"/>
    <w:rsid w:val="00A30210"/>
    <w:rsid w:val="00A305FD"/>
    <w:rsid w:val="00A30B63"/>
    <w:rsid w:val="00A31521"/>
    <w:rsid w:val="00A31B5D"/>
    <w:rsid w:val="00A31DD5"/>
    <w:rsid w:val="00A31FF4"/>
    <w:rsid w:val="00A32046"/>
    <w:rsid w:val="00A329EB"/>
    <w:rsid w:val="00A32F17"/>
    <w:rsid w:val="00A33F40"/>
    <w:rsid w:val="00A3415C"/>
    <w:rsid w:val="00A34449"/>
    <w:rsid w:val="00A34805"/>
    <w:rsid w:val="00A356E3"/>
    <w:rsid w:val="00A366D8"/>
    <w:rsid w:val="00A37D27"/>
    <w:rsid w:val="00A37DDF"/>
    <w:rsid w:val="00A4064E"/>
    <w:rsid w:val="00A40923"/>
    <w:rsid w:val="00A41790"/>
    <w:rsid w:val="00A41D90"/>
    <w:rsid w:val="00A42B59"/>
    <w:rsid w:val="00A44689"/>
    <w:rsid w:val="00A45049"/>
    <w:rsid w:val="00A45C68"/>
    <w:rsid w:val="00A45DFA"/>
    <w:rsid w:val="00A46173"/>
    <w:rsid w:val="00A46380"/>
    <w:rsid w:val="00A46987"/>
    <w:rsid w:val="00A4786A"/>
    <w:rsid w:val="00A478E8"/>
    <w:rsid w:val="00A501A9"/>
    <w:rsid w:val="00A51F0B"/>
    <w:rsid w:val="00A53057"/>
    <w:rsid w:val="00A53835"/>
    <w:rsid w:val="00A53B6A"/>
    <w:rsid w:val="00A53EB5"/>
    <w:rsid w:val="00A54580"/>
    <w:rsid w:val="00A54D9D"/>
    <w:rsid w:val="00A54F05"/>
    <w:rsid w:val="00A554A4"/>
    <w:rsid w:val="00A559D3"/>
    <w:rsid w:val="00A566BA"/>
    <w:rsid w:val="00A56BB7"/>
    <w:rsid w:val="00A570D5"/>
    <w:rsid w:val="00A60C1C"/>
    <w:rsid w:val="00A61B90"/>
    <w:rsid w:val="00A6262C"/>
    <w:rsid w:val="00A62A3D"/>
    <w:rsid w:val="00A63EB0"/>
    <w:rsid w:val="00A64CE1"/>
    <w:rsid w:val="00A65753"/>
    <w:rsid w:val="00A70396"/>
    <w:rsid w:val="00A70D17"/>
    <w:rsid w:val="00A71233"/>
    <w:rsid w:val="00A712EA"/>
    <w:rsid w:val="00A7172C"/>
    <w:rsid w:val="00A7180F"/>
    <w:rsid w:val="00A71FD2"/>
    <w:rsid w:val="00A73B58"/>
    <w:rsid w:val="00A74179"/>
    <w:rsid w:val="00A755D7"/>
    <w:rsid w:val="00A76568"/>
    <w:rsid w:val="00A767D1"/>
    <w:rsid w:val="00A7760B"/>
    <w:rsid w:val="00A80437"/>
    <w:rsid w:val="00A80739"/>
    <w:rsid w:val="00A80786"/>
    <w:rsid w:val="00A80E96"/>
    <w:rsid w:val="00A80F42"/>
    <w:rsid w:val="00A81AD0"/>
    <w:rsid w:val="00A832CF"/>
    <w:rsid w:val="00A846D5"/>
    <w:rsid w:val="00A8687C"/>
    <w:rsid w:val="00A86925"/>
    <w:rsid w:val="00A86A35"/>
    <w:rsid w:val="00A8767A"/>
    <w:rsid w:val="00A87F30"/>
    <w:rsid w:val="00A905A4"/>
    <w:rsid w:val="00A90625"/>
    <w:rsid w:val="00A918A9"/>
    <w:rsid w:val="00A9192A"/>
    <w:rsid w:val="00A91DE7"/>
    <w:rsid w:val="00A927C0"/>
    <w:rsid w:val="00A94097"/>
    <w:rsid w:val="00A9432B"/>
    <w:rsid w:val="00A94922"/>
    <w:rsid w:val="00A9778F"/>
    <w:rsid w:val="00A97A52"/>
    <w:rsid w:val="00A97AB1"/>
    <w:rsid w:val="00AA0490"/>
    <w:rsid w:val="00AA0D87"/>
    <w:rsid w:val="00AA13F2"/>
    <w:rsid w:val="00AA1E38"/>
    <w:rsid w:val="00AA28DC"/>
    <w:rsid w:val="00AA3B0A"/>
    <w:rsid w:val="00AA4442"/>
    <w:rsid w:val="00AA4EF8"/>
    <w:rsid w:val="00AA5E71"/>
    <w:rsid w:val="00AA7376"/>
    <w:rsid w:val="00AB03D2"/>
    <w:rsid w:val="00AB0BAB"/>
    <w:rsid w:val="00AB16B4"/>
    <w:rsid w:val="00AB1BD8"/>
    <w:rsid w:val="00AB3AA4"/>
    <w:rsid w:val="00AB4AAB"/>
    <w:rsid w:val="00AB5FB9"/>
    <w:rsid w:val="00AB653F"/>
    <w:rsid w:val="00AB6630"/>
    <w:rsid w:val="00AB78AE"/>
    <w:rsid w:val="00AB7B98"/>
    <w:rsid w:val="00AB7D96"/>
    <w:rsid w:val="00AB7ECA"/>
    <w:rsid w:val="00AC0714"/>
    <w:rsid w:val="00AC0A70"/>
    <w:rsid w:val="00AC173E"/>
    <w:rsid w:val="00AC1FE5"/>
    <w:rsid w:val="00AC247D"/>
    <w:rsid w:val="00AC283D"/>
    <w:rsid w:val="00AC61FA"/>
    <w:rsid w:val="00AC7364"/>
    <w:rsid w:val="00AC7A93"/>
    <w:rsid w:val="00AC7DB3"/>
    <w:rsid w:val="00AD00BE"/>
    <w:rsid w:val="00AD068D"/>
    <w:rsid w:val="00AD0D5B"/>
    <w:rsid w:val="00AD1C82"/>
    <w:rsid w:val="00AD2A9B"/>
    <w:rsid w:val="00AD2D3A"/>
    <w:rsid w:val="00AD2FBF"/>
    <w:rsid w:val="00AD342A"/>
    <w:rsid w:val="00AD4B79"/>
    <w:rsid w:val="00AD5213"/>
    <w:rsid w:val="00AD57C1"/>
    <w:rsid w:val="00AD7A21"/>
    <w:rsid w:val="00AD7DDB"/>
    <w:rsid w:val="00AE117F"/>
    <w:rsid w:val="00AE19C3"/>
    <w:rsid w:val="00AE1ECB"/>
    <w:rsid w:val="00AE20CA"/>
    <w:rsid w:val="00AE2363"/>
    <w:rsid w:val="00AE3BD8"/>
    <w:rsid w:val="00AE4523"/>
    <w:rsid w:val="00AE5033"/>
    <w:rsid w:val="00AE64ED"/>
    <w:rsid w:val="00AE6940"/>
    <w:rsid w:val="00AE6A47"/>
    <w:rsid w:val="00AE6FA4"/>
    <w:rsid w:val="00AE6FBC"/>
    <w:rsid w:val="00AE729B"/>
    <w:rsid w:val="00AF0738"/>
    <w:rsid w:val="00AF08FF"/>
    <w:rsid w:val="00AF0A54"/>
    <w:rsid w:val="00AF0DC2"/>
    <w:rsid w:val="00AF0DC8"/>
    <w:rsid w:val="00AF1287"/>
    <w:rsid w:val="00AF27D5"/>
    <w:rsid w:val="00AF2872"/>
    <w:rsid w:val="00AF2D45"/>
    <w:rsid w:val="00AF3FB5"/>
    <w:rsid w:val="00AF3FBB"/>
    <w:rsid w:val="00B008E7"/>
    <w:rsid w:val="00B00B25"/>
    <w:rsid w:val="00B0128C"/>
    <w:rsid w:val="00B01636"/>
    <w:rsid w:val="00B03E95"/>
    <w:rsid w:val="00B05659"/>
    <w:rsid w:val="00B05823"/>
    <w:rsid w:val="00B05948"/>
    <w:rsid w:val="00B0642A"/>
    <w:rsid w:val="00B07306"/>
    <w:rsid w:val="00B076A7"/>
    <w:rsid w:val="00B07CA2"/>
    <w:rsid w:val="00B07CBD"/>
    <w:rsid w:val="00B10099"/>
    <w:rsid w:val="00B11132"/>
    <w:rsid w:val="00B1193C"/>
    <w:rsid w:val="00B12AA3"/>
    <w:rsid w:val="00B14118"/>
    <w:rsid w:val="00B14954"/>
    <w:rsid w:val="00B16F04"/>
    <w:rsid w:val="00B174E5"/>
    <w:rsid w:val="00B179F1"/>
    <w:rsid w:val="00B20505"/>
    <w:rsid w:val="00B215A4"/>
    <w:rsid w:val="00B21651"/>
    <w:rsid w:val="00B218FF"/>
    <w:rsid w:val="00B227C8"/>
    <w:rsid w:val="00B229A2"/>
    <w:rsid w:val="00B22D0D"/>
    <w:rsid w:val="00B22EE9"/>
    <w:rsid w:val="00B241B6"/>
    <w:rsid w:val="00B2480A"/>
    <w:rsid w:val="00B2510C"/>
    <w:rsid w:val="00B254D6"/>
    <w:rsid w:val="00B25B47"/>
    <w:rsid w:val="00B26D95"/>
    <w:rsid w:val="00B274A8"/>
    <w:rsid w:val="00B2779C"/>
    <w:rsid w:val="00B30071"/>
    <w:rsid w:val="00B30854"/>
    <w:rsid w:val="00B32A27"/>
    <w:rsid w:val="00B33D4C"/>
    <w:rsid w:val="00B3531E"/>
    <w:rsid w:val="00B35538"/>
    <w:rsid w:val="00B3573B"/>
    <w:rsid w:val="00B35875"/>
    <w:rsid w:val="00B35F56"/>
    <w:rsid w:val="00B37AB6"/>
    <w:rsid w:val="00B37BCC"/>
    <w:rsid w:val="00B400C5"/>
    <w:rsid w:val="00B41588"/>
    <w:rsid w:val="00B419AB"/>
    <w:rsid w:val="00B4222C"/>
    <w:rsid w:val="00B42C19"/>
    <w:rsid w:val="00B42C85"/>
    <w:rsid w:val="00B43A30"/>
    <w:rsid w:val="00B43F8A"/>
    <w:rsid w:val="00B447BA"/>
    <w:rsid w:val="00B44B49"/>
    <w:rsid w:val="00B453C6"/>
    <w:rsid w:val="00B465C5"/>
    <w:rsid w:val="00B46EA7"/>
    <w:rsid w:val="00B476D5"/>
    <w:rsid w:val="00B477E0"/>
    <w:rsid w:val="00B479B8"/>
    <w:rsid w:val="00B50F76"/>
    <w:rsid w:val="00B514DE"/>
    <w:rsid w:val="00B51CA9"/>
    <w:rsid w:val="00B524C5"/>
    <w:rsid w:val="00B529BF"/>
    <w:rsid w:val="00B5322C"/>
    <w:rsid w:val="00B533BD"/>
    <w:rsid w:val="00B53846"/>
    <w:rsid w:val="00B53D10"/>
    <w:rsid w:val="00B544F4"/>
    <w:rsid w:val="00B606D8"/>
    <w:rsid w:val="00B6102C"/>
    <w:rsid w:val="00B62DF3"/>
    <w:rsid w:val="00B63343"/>
    <w:rsid w:val="00B63448"/>
    <w:rsid w:val="00B63FFE"/>
    <w:rsid w:val="00B653E1"/>
    <w:rsid w:val="00B658A3"/>
    <w:rsid w:val="00B667FE"/>
    <w:rsid w:val="00B673E7"/>
    <w:rsid w:val="00B67535"/>
    <w:rsid w:val="00B7012C"/>
    <w:rsid w:val="00B70FD9"/>
    <w:rsid w:val="00B71282"/>
    <w:rsid w:val="00B7129C"/>
    <w:rsid w:val="00B718DE"/>
    <w:rsid w:val="00B72373"/>
    <w:rsid w:val="00B725AF"/>
    <w:rsid w:val="00B73295"/>
    <w:rsid w:val="00B751BD"/>
    <w:rsid w:val="00B753F0"/>
    <w:rsid w:val="00B7618A"/>
    <w:rsid w:val="00B80187"/>
    <w:rsid w:val="00B802A9"/>
    <w:rsid w:val="00B807D1"/>
    <w:rsid w:val="00B80E45"/>
    <w:rsid w:val="00B815C1"/>
    <w:rsid w:val="00B849AB"/>
    <w:rsid w:val="00B84B86"/>
    <w:rsid w:val="00B8665C"/>
    <w:rsid w:val="00B872C6"/>
    <w:rsid w:val="00B87420"/>
    <w:rsid w:val="00B87BFB"/>
    <w:rsid w:val="00B904F4"/>
    <w:rsid w:val="00B90947"/>
    <w:rsid w:val="00B90AAE"/>
    <w:rsid w:val="00B91B48"/>
    <w:rsid w:val="00B9235E"/>
    <w:rsid w:val="00B9267A"/>
    <w:rsid w:val="00B92E3F"/>
    <w:rsid w:val="00B93405"/>
    <w:rsid w:val="00B9352F"/>
    <w:rsid w:val="00B93CC4"/>
    <w:rsid w:val="00B947BC"/>
    <w:rsid w:val="00B9484B"/>
    <w:rsid w:val="00B95350"/>
    <w:rsid w:val="00B95D99"/>
    <w:rsid w:val="00B95E2B"/>
    <w:rsid w:val="00B96E13"/>
    <w:rsid w:val="00B972BB"/>
    <w:rsid w:val="00B97462"/>
    <w:rsid w:val="00B97EB0"/>
    <w:rsid w:val="00B97F26"/>
    <w:rsid w:val="00BA0243"/>
    <w:rsid w:val="00BA156A"/>
    <w:rsid w:val="00BA2DCE"/>
    <w:rsid w:val="00BA3BA2"/>
    <w:rsid w:val="00BA3C68"/>
    <w:rsid w:val="00BA4D9B"/>
    <w:rsid w:val="00BA5271"/>
    <w:rsid w:val="00BA58D1"/>
    <w:rsid w:val="00BA61F4"/>
    <w:rsid w:val="00BA635B"/>
    <w:rsid w:val="00BB0AA8"/>
    <w:rsid w:val="00BB1114"/>
    <w:rsid w:val="00BB2B63"/>
    <w:rsid w:val="00BB3A67"/>
    <w:rsid w:val="00BB3D07"/>
    <w:rsid w:val="00BB4401"/>
    <w:rsid w:val="00BB45C1"/>
    <w:rsid w:val="00BB5E63"/>
    <w:rsid w:val="00BB6592"/>
    <w:rsid w:val="00BB7985"/>
    <w:rsid w:val="00BC5A03"/>
    <w:rsid w:val="00BC736A"/>
    <w:rsid w:val="00BC7871"/>
    <w:rsid w:val="00BC7915"/>
    <w:rsid w:val="00BD01AD"/>
    <w:rsid w:val="00BD09EF"/>
    <w:rsid w:val="00BD151B"/>
    <w:rsid w:val="00BD15EA"/>
    <w:rsid w:val="00BD188B"/>
    <w:rsid w:val="00BD28DE"/>
    <w:rsid w:val="00BD37DB"/>
    <w:rsid w:val="00BD3AA6"/>
    <w:rsid w:val="00BD43C5"/>
    <w:rsid w:val="00BD4542"/>
    <w:rsid w:val="00BD4C7C"/>
    <w:rsid w:val="00BD51CE"/>
    <w:rsid w:val="00BD5302"/>
    <w:rsid w:val="00BD54DC"/>
    <w:rsid w:val="00BD5E07"/>
    <w:rsid w:val="00BD67D8"/>
    <w:rsid w:val="00BD684F"/>
    <w:rsid w:val="00BD6CB4"/>
    <w:rsid w:val="00BD7437"/>
    <w:rsid w:val="00BD7A4D"/>
    <w:rsid w:val="00BE068F"/>
    <w:rsid w:val="00BE083A"/>
    <w:rsid w:val="00BE12A3"/>
    <w:rsid w:val="00BE1824"/>
    <w:rsid w:val="00BE1B10"/>
    <w:rsid w:val="00BE1E19"/>
    <w:rsid w:val="00BE3A60"/>
    <w:rsid w:val="00BE3D6F"/>
    <w:rsid w:val="00BE475C"/>
    <w:rsid w:val="00BE54CD"/>
    <w:rsid w:val="00BE5EA9"/>
    <w:rsid w:val="00BE7379"/>
    <w:rsid w:val="00BE74DF"/>
    <w:rsid w:val="00BE77DC"/>
    <w:rsid w:val="00BE7CCD"/>
    <w:rsid w:val="00BE7D4C"/>
    <w:rsid w:val="00BF0F11"/>
    <w:rsid w:val="00BF1C58"/>
    <w:rsid w:val="00BF1DCF"/>
    <w:rsid w:val="00BF246A"/>
    <w:rsid w:val="00BF2A7C"/>
    <w:rsid w:val="00BF2AC9"/>
    <w:rsid w:val="00BF3410"/>
    <w:rsid w:val="00BF3AE3"/>
    <w:rsid w:val="00BF6AFF"/>
    <w:rsid w:val="00BF749E"/>
    <w:rsid w:val="00BF7704"/>
    <w:rsid w:val="00C003BE"/>
    <w:rsid w:val="00C008B7"/>
    <w:rsid w:val="00C01081"/>
    <w:rsid w:val="00C01B21"/>
    <w:rsid w:val="00C02882"/>
    <w:rsid w:val="00C03010"/>
    <w:rsid w:val="00C032E1"/>
    <w:rsid w:val="00C042A5"/>
    <w:rsid w:val="00C04753"/>
    <w:rsid w:val="00C04DB5"/>
    <w:rsid w:val="00C06178"/>
    <w:rsid w:val="00C0622C"/>
    <w:rsid w:val="00C06645"/>
    <w:rsid w:val="00C066EA"/>
    <w:rsid w:val="00C0717D"/>
    <w:rsid w:val="00C1016A"/>
    <w:rsid w:val="00C108E8"/>
    <w:rsid w:val="00C11685"/>
    <w:rsid w:val="00C117DF"/>
    <w:rsid w:val="00C12227"/>
    <w:rsid w:val="00C12418"/>
    <w:rsid w:val="00C12DD3"/>
    <w:rsid w:val="00C1354F"/>
    <w:rsid w:val="00C14268"/>
    <w:rsid w:val="00C14607"/>
    <w:rsid w:val="00C1462F"/>
    <w:rsid w:val="00C14AED"/>
    <w:rsid w:val="00C14EDA"/>
    <w:rsid w:val="00C16065"/>
    <w:rsid w:val="00C1723D"/>
    <w:rsid w:val="00C20779"/>
    <w:rsid w:val="00C20AE6"/>
    <w:rsid w:val="00C21D89"/>
    <w:rsid w:val="00C22344"/>
    <w:rsid w:val="00C23E1C"/>
    <w:rsid w:val="00C23FBF"/>
    <w:rsid w:val="00C250C5"/>
    <w:rsid w:val="00C2513F"/>
    <w:rsid w:val="00C2567F"/>
    <w:rsid w:val="00C25A34"/>
    <w:rsid w:val="00C26072"/>
    <w:rsid w:val="00C2625E"/>
    <w:rsid w:val="00C26A6B"/>
    <w:rsid w:val="00C27EED"/>
    <w:rsid w:val="00C30332"/>
    <w:rsid w:val="00C30621"/>
    <w:rsid w:val="00C3190D"/>
    <w:rsid w:val="00C33ACA"/>
    <w:rsid w:val="00C3414A"/>
    <w:rsid w:val="00C343FD"/>
    <w:rsid w:val="00C351E4"/>
    <w:rsid w:val="00C3578E"/>
    <w:rsid w:val="00C35889"/>
    <w:rsid w:val="00C36A75"/>
    <w:rsid w:val="00C41817"/>
    <w:rsid w:val="00C419B0"/>
    <w:rsid w:val="00C429DD"/>
    <w:rsid w:val="00C42B43"/>
    <w:rsid w:val="00C4447E"/>
    <w:rsid w:val="00C452B2"/>
    <w:rsid w:val="00C45A49"/>
    <w:rsid w:val="00C462D1"/>
    <w:rsid w:val="00C46945"/>
    <w:rsid w:val="00C47495"/>
    <w:rsid w:val="00C47DF1"/>
    <w:rsid w:val="00C504C3"/>
    <w:rsid w:val="00C51391"/>
    <w:rsid w:val="00C51C3B"/>
    <w:rsid w:val="00C5215F"/>
    <w:rsid w:val="00C5365F"/>
    <w:rsid w:val="00C53AD8"/>
    <w:rsid w:val="00C5526F"/>
    <w:rsid w:val="00C556FE"/>
    <w:rsid w:val="00C55857"/>
    <w:rsid w:val="00C55EA7"/>
    <w:rsid w:val="00C55F0C"/>
    <w:rsid w:val="00C61669"/>
    <w:rsid w:val="00C617D5"/>
    <w:rsid w:val="00C62604"/>
    <w:rsid w:val="00C63DF7"/>
    <w:rsid w:val="00C64DAC"/>
    <w:rsid w:val="00C65D4C"/>
    <w:rsid w:val="00C67A43"/>
    <w:rsid w:val="00C705FC"/>
    <w:rsid w:val="00C717EE"/>
    <w:rsid w:val="00C761D5"/>
    <w:rsid w:val="00C81449"/>
    <w:rsid w:val="00C83B39"/>
    <w:rsid w:val="00C83FD2"/>
    <w:rsid w:val="00C84099"/>
    <w:rsid w:val="00C847F9"/>
    <w:rsid w:val="00C85626"/>
    <w:rsid w:val="00C8608A"/>
    <w:rsid w:val="00C8615D"/>
    <w:rsid w:val="00C8684B"/>
    <w:rsid w:val="00C86A25"/>
    <w:rsid w:val="00C86DAA"/>
    <w:rsid w:val="00C87BB3"/>
    <w:rsid w:val="00C87D9C"/>
    <w:rsid w:val="00C901B5"/>
    <w:rsid w:val="00C91318"/>
    <w:rsid w:val="00C915E7"/>
    <w:rsid w:val="00C93707"/>
    <w:rsid w:val="00C94559"/>
    <w:rsid w:val="00C94FAF"/>
    <w:rsid w:val="00C9564C"/>
    <w:rsid w:val="00C95FB8"/>
    <w:rsid w:val="00C96901"/>
    <w:rsid w:val="00C96F61"/>
    <w:rsid w:val="00C97648"/>
    <w:rsid w:val="00C97D76"/>
    <w:rsid w:val="00CA0777"/>
    <w:rsid w:val="00CA094A"/>
    <w:rsid w:val="00CA0E93"/>
    <w:rsid w:val="00CA1C07"/>
    <w:rsid w:val="00CA50AC"/>
    <w:rsid w:val="00CA5584"/>
    <w:rsid w:val="00CA72D9"/>
    <w:rsid w:val="00CB0344"/>
    <w:rsid w:val="00CB1094"/>
    <w:rsid w:val="00CB12B5"/>
    <w:rsid w:val="00CB19B9"/>
    <w:rsid w:val="00CB1BEA"/>
    <w:rsid w:val="00CB1C99"/>
    <w:rsid w:val="00CB36EB"/>
    <w:rsid w:val="00CB53CA"/>
    <w:rsid w:val="00CB5621"/>
    <w:rsid w:val="00CB62EA"/>
    <w:rsid w:val="00CB762A"/>
    <w:rsid w:val="00CB7992"/>
    <w:rsid w:val="00CC009C"/>
    <w:rsid w:val="00CC0260"/>
    <w:rsid w:val="00CC118F"/>
    <w:rsid w:val="00CC1563"/>
    <w:rsid w:val="00CC1B1E"/>
    <w:rsid w:val="00CC2270"/>
    <w:rsid w:val="00CC3B41"/>
    <w:rsid w:val="00CC3B67"/>
    <w:rsid w:val="00CC3E75"/>
    <w:rsid w:val="00CC4434"/>
    <w:rsid w:val="00CC4FCC"/>
    <w:rsid w:val="00CC50AC"/>
    <w:rsid w:val="00CC51F8"/>
    <w:rsid w:val="00CC5ABC"/>
    <w:rsid w:val="00CC7043"/>
    <w:rsid w:val="00CC770A"/>
    <w:rsid w:val="00CC7E41"/>
    <w:rsid w:val="00CD0B96"/>
    <w:rsid w:val="00CD1073"/>
    <w:rsid w:val="00CD2D49"/>
    <w:rsid w:val="00CD2FFB"/>
    <w:rsid w:val="00CD32FE"/>
    <w:rsid w:val="00CD3346"/>
    <w:rsid w:val="00CD3FCD"/>
    <w:rsid w:val="00CD4159"/>
    <w:rsid w:val="00CD4163"/>
    <w:rsid w:val="00CD4393"/>
    <w:rsid w:val="00CD440B"/>
    <w:rsid w:val="00CD4661"/>
    <w:rsid w:val="00CD4E68"/>
    <w:rsid w:val="00CD54ED"/>
    <w:rsid w:val="00CD5CB5"/>
    <w:rsid w:val="00CD620C"/>
    <w:rsid w:val="00CD6704"/>
    <w:rsid w:val="00CD6EB4"/>
    <w:rsid w:val="00CE040B"/>
    <w:rsid w:val="00CE052A"/>
    <w:rsid w:val="00CE1797"/>
    <w:rsid w:val="00CE26A5"/>
    <w:rsid w:val="00CE299C"/>
    <w:rsid w:val="00CE2CD8"/>
    <w:rsid w:val="00CE3161"/>
    <w:rsid w:val="00CE3180"/>
    <w:rsid w:val="00CE325C"/>
    <w:rsid w:val="00CE4EFF"/>
    <w:rsid w:val="00CE764B"/>
    <w:rsid w:val="00CE78EB"/>
    <w:rsid w:val="00CE7963"/>
    <w:rsid w:val="00CF01E4"/>
    <w:rsid w:val="00CF2AE6"/>
    <w:rsid w:val="00CF2EA0"/>
    <w:rsid w:val="00CF352C"/>
    <w:rsid w:val="00CF41A1"/>
    <w:rsid w:val="00CF44B9"/>
    <w:rsid w:val="00CF476B"/>
    <w:rsid w:val="00CF4BFE"/>
    <w:rsid w:val="00CF564D"/>
    <w:rsid w:val="00CF66EE"/>
    <w:rsid w:val="00CF6993"/>
    <w:rsid w:val="00D01E60"/>
    <w:rsid w:val="00D02A19"/>
    <w:rsid w:val="00D03C73"/>
    <w:rsid w:val="00D03DDA"/>
    <w:rsid w:val="00D03F13"/>
    <w:rsid w:val="00D03FEA"/>
    <w:rsid w:val="00D043E0"/>
    <w:rsid w:val="00D04A69"/>
    <w:rsid w:val="00D04D6A"/>
    <w:rsid w:val="00D04DF4"/>
    <w:rsid w:val="00D04ED5"/>
    <w:rsid w:val="00D05744"/>
    <w:rsid w:val="00D05B29"/>
    <w:rsid w:val="00D062EA"/>
    <w:rsid w:val="00D06A08"/>
    <w:rsid w:val="00D075D8"/>
    <w:rsid w:val="00D0798A"/>
    <w:rsid w:val="00D11272"/>
    <w:rsid w:val="00D11A04"/>
    <w:rsid w:val="00D12249"/>
    <w:rsid w:val="00D12B4F"/>
    <w:rsid w:val="00D14638"/>
    <w:rsid w:val="00D1572B"/>
    <w:rsid w:val="00D16346"/>
    <w:rsid w:val="00D16626"/>
    <w:rsid w:val="00D16EA3"/>
    <w:rsid w:val="00D16F86"/>
    <w:rsid w:val="00D16FAC"/>
    <w:rsid w:val="00D17582"/>
    <w:rsid w:val="00D178BC"/>
    <w:rsid w:val="00D17F12"/>
    <w:rsid w:val="00D20504"/>
    <w:rsid w:val="00D20A72"/>
    <w:rsid w:val="00D21F40"/>
    <w:rsid w:val="00D23A73"/>
    <w:rsid w:val="00D244EB"/>
    <w:rsid w:val="00D26447"/>
    <w:rsid w:val="00D27B67"/>
    <w:rsid w:val="00D305CF"/>
    <w:rsid w:val="00D30CE3"/>
    <w:rsid w:val="00D310C3"/>
    <w:rsid w:val="00D31E44"/>
    <w:rsid w:val="00D32CC0"/>
    <w:rsid w:val="00D3494D"/>
    <w:rsid w:val="00D34D83"/>
    <w:rsid w:val="00D3580B"/>
    <w:rsid w:val="00D365DF"/>
    <w:rsid w:val="00D36E98"/>
    <w:rsid w:val="00D40062"/>
    <w:rsid w:val="00D40354"/>
    <w:rsid w:val="00D40437"/>
    <w:rsid w:val="00D4169E"/>
    <w:rsid w:val="00D4191D"/>
    <w:rsid w:val="00D41C66"/>
    <w:rsid w:val="00D426E6"/>
    <w:rsid w:val="00D43873"/>
    <w:rsid w:val="00D43AF3"/>
    <w:rsid w:val="00D43CA2"/>
    <w:rsid w:val="00D446AB"/>
    <w:rsid w:val="00D461A4"/>
    <w:rsid w:val="00D46A3E"/>
    <w:rsid w:val="00D47087"/>
    <w:rsid w:val="00D47DAF"/>
    <w:rsid w:val="00D507D6"/>
    <w:rsid w:val="00D50F72"/>
    <w:rsid w:val="00D51155"/>
    <w:rsid w:val="00D51EA4"/>
    <w:rsid w:val="00D52B43"/>
    <w:rsid w:val="00D5320C"/>
    <w:rsid w:val="00D541E0"/>
    <w:rsid w:val="00D5474A"/>
    <w:rsid w:val="00D54A8E"/>
    <w:rsid w:val="00D562FF"/>
    <w:rsid w:val="00D60FDE"/>
    <w:rsid w:val="00D62D9B"/>
    <w:rsid w:val="00D63D78"/>
    <w:rsid w:val="00D64A48"/>
    <w:rsid w:val="00D64DC3"/>
    <w:rsid w:val="00D65C56"/>
    <w:rsid w:val="00D65CD5"/>
    <w:rsid w:val="00D6631E"/>
    <w:rsid w:val="00D66327"/>
    <w:rsid w:val="00D6690B"/>
    <w:rsid w:val="00D673A6"/>
    <w:rsid w:val="00D67753"/>
    <w:rsid w:val="00D677D2"/>
    <w:rsid w:val="00D71D4B"/>
    <w:rsid w:val="00D73A5D"/>
    <w:rsid w:val="00D73B55"/>
    <w:rsid w:val="00D74729"/>
    <w:rsid w:val="00D75E9D"/>
    <w:rsid w:val="00D763D7"/>
    <w:rsid w:val="00D76ACB"/>
    <w:rsid w:val="00D76B47"/>
    <w:rsid w:val="00D80A04"/>
    <w:rsid w:val="00D812D2"/>
    <w:rsid w:val="00D820C9"/>
    <w:rsid w:val="00D823A0"/>
    <w:rsid w:val="00D827B2"/>
    <w:rsid w:val="00D82C97"/>
    <w:rsid w:val="00D834F5"/>
    <w:rsid w:val="00D8419A"/>
    <w:rsid w:val="00D8453A"/>
    <w:rsid w:val="00D84E65"/>
    <w:rsid w:val="00D85897"/>
    <w:rsid w:val="00D8693B"/>
    <w:rsid w:val="00D86A7B"/>
    <w:rsid w:val="00D87202"/>
    <w:rsid w:val="00D87384"/>
    <w:rsid w:val="00D87440"/>
    <w:rsid w:val="00D87CFC"/>
    <w:rsid w:val="00D87E4F"/>
    <w:rsid w:val="00D9027A"/>
    <w:rsid w:val="00D9110A"/>
    <w:rsid w:val="00D9184B"/>
    <w:rsid w:val="00D91912"/>
    <w:rsid w:val="00D92F81"/>
    <w:rsid w:val="00D93412"/>
    <w:rsid w:val="00D947CF"/>
    <w:rsid w:val="00D94F0F"/>
    <w:rsid w:val="00D96A16"/>
    <w:rsid w:val="00D976B1"/>
    <w:rsid w:val="00DA1975"/>
    <w:rsid w:val="00DA1B21"/>
    <w:rsid w:val="00DA3596"/>
    <w:rsid w:val="00DA473B"/>
    <w:rsid w:val="00DA4E0F"/>
    <w:rsid w:val="00DA5344"/>
    <w:rsid w:val="00DA53FF"/>
    <w:rsid w:val="00DA5C84"/>
    <w:rsid w:val="00DA6457"/>
    <w:rsid w:val="00DA6AED"/>
    <w:rsid w:val="00DB1440"/>
    <w:rsid w:val="00DB1630"/>
    <w:rsid w:val="00DB1A19"/>
    <w:rsid w:val="00DB2BB7"/>
    <w:rsid w:val="00DB3083"/>
    <w:rsid w:val="00DB344A"/>
    <w:rsid w:val="00DB3843"/>
    <w:rsid w:val="00DB389D"/>
    <w:rsid w:val="00DB38D0"/>
    <w:rsid w:val="00DB4AEE"/>
    <w:rsid w:val="00DB5B23"/>
    <w:rsid w:val="00DB61B1"/>
    <w:rsid w:val="00DB709B"/>
    <w:rsid w:val="00DC1AEF"/>
    <w:rsid w:val="00DC1C82"/>
    <w:rsid w:val="00DC1E76"/>
    <w:rsid w:val="00DC1FE7"/>
    <w:rsid w:val="00DC47BB"/>
    <w:rsid w:val="00DC4935"/>
    <w:rsid w:val="00DC549D"/>
    <w:rsid w:val="00DC7268"/>
    <w:rsid w:val="00DC7317"/>
    <w:rsid w:val="00DC7D34"/>
    <w:rsid w:val="00DD0101"/>
    <w:rsid w:val="00DD11DE"/>
    <w:rsid w:val="00DD1936"/>
    <w:rsid w:val="00DD2120"/>
    <w:rsid w:val="00DD3BDD"/>
    <w:rsid w:val="00DD4F55"/>
    <w:rsid w:val="00DD535F"/>
    <w:rsid w:val="00DD5556"/>
    <w:rsid w:val="00DD5BFB"/>
    <w:rsid w:val="00DD6ECA"/>
    <w:rsid w:val="00DD7082"/>
    <w:rsid w:val="00DE0B13"/>
    <w:rsid w:val="00DE0E28"/>
    <w:rsid w:val="00DE10EA"/>
    <w:rsid w:val="00DE13AE"/>
    <w:rsid w:val="00DE198C"/>
    <w:rsid w:val="00DE1BDD"/>
    <w:rsid w:val="00DE1C48"/>
    <w:rsid w:val="00DE2073"/>
    <w:rsid w:val="00DE21F5"/>
    <w:rsid w:val="00DE3780"/>
    <w:rsid w:val="00DE42FE"/>
    <w:rsid w:val="00DE47E9"/>
    <w:rsid w:val="00DE4CE9"/>
    <w:rsid w:val="00DE5707"/>
    <w:rsid w:val="00DE58C1"/>
    <w:rsid w:val="00DE7176"/>
    <w:rsid w:val="00DE7606"/>
    <w:rsid w:val="00DE7AE1"/>
    <w:rsid w:val="00DE7C9F"/>
    <w:rsid w:val="00DF0149"/>
    <w:rsid w:val="00DF0914"/>
    <w:rsid w:val="00DF0D39"/>
    <w:rsid w:val="00DF20BB"/>
    <w:rsid w:val="00DF2CF2"/>
    <w:rsid w:val="00DF3278"/>
    <w:rsid w:val="00DF3B9E"/>
    <w:rsid w:val="00DF4250"/>
    <w:rsid w:val="00DF5182"/>
    <w:rsid w:val="00DF51A4"/>
    <w:rsid w:val="00DF532B"/>
    <w:rsid w:val="00DF5A9A"/>
    <w:rsid w:val="00DF5C73"/>
    <w:rsid w:val="00DF5D7A"/>
    <w:rsid w:val="00DF79E8"/>
    <w:rsid w:val="00DF7FB4"/>
    <w:rsid w:val="00E0073C"/>
    <w:rsid w:val="00E00F87"/>
    <w:rsid w:val="00E01BAB"/>
    <w:rsid w:val="00E02E75"/>
    <w:rsid w:val="00E050B0"/>
    <w:rsid w:val="00E06C98"/>
    <w:rsid w:val="00E06CE7"/>
    <w:rsid w:val="00E100FF"/>
    <w:rsid w:val="00E12C85"/>
    <w:rsid w:val="00E13BB7"/>
    <w:rsid w:val="00E1405B"/>
    <w:rsid w:val="00E14281"/>
    <w:rsid w:val="00E14A02"/>
    <w:rsid w:val="00E1668D"/>
    <w:rsid w:val="00E176C1"/>
    <w:rsid w:val="00E17DEB"/>
    <w:rsid w:val="00E216DB"/>
    <w:rsid w:val="00E21B21"/>
    <w:rsid w:val="00E228AB"/>
    <w:rsid w:val="00E24F86"/>
    <w:rsid w:val="00E25BA5"/>
    <w:rsid w:val="00E25CC5"/>
    <w:rsid w:val="00E26217"/>
    <w:rsid w:val="00E263E5"/>
    <w:rsid w:val="00E26E76"/>
    <w:rsid w:val="00E30431"/>
    <w:rsid w:val="00E30789"/>
    <w:rsid w:val="00E310BF"/>
    <w:rsid w:val="00E3198C"/>
    <w:rsid w:val="00E33608"/>
    <w:rsid w:val="00E351C8"/>
    <w:rsid w:val="00E35207"/>
    <w:rsid w:val="00E35C4B"/>
    <w:rsid w:val="00E40E11"/>
    <w:rsid w:val="00E40EC2"/>
    <w:rsid w:val="00E414F1"/>
    <w:rsid w:val="00E41AE8"/>
    <w:rsid w:val="00E42C64"/>
    <w:rsid w:val="00E44584"/>
    <w:rsid w:val="00E4473C"/>
    <w:rsid w:val="00E45134"/>
    <w:rsid w:val="00E45CB1"/>
    <w:rsid w:val="00E47428"/>
    <w:rsid w:val="00E47629"/>
    <w:rsid w:val="00E503F8"/>
    <w:rsid w:val="00E50C7E"/>
    <w:rsid w:val="00E512C6"/>
    <w:rsid w:val="00E52185"/>
    <w:rsid w:val="00E5271A"/>
    <w:rsid w:val="00E53A0E"/>
    <w:rsid w:val="00E542C2"/>
    <w:rsid w:val="00E54756"/>
    <w:rsid w:val="00E548EF"/>
    <w:rsid w:val="00E5492A"/>
    <w:rsid w:val="00E56527"/>
    <w:rsid w:val="00E566F3"/>
    <w:rsid w:val="00E56994"/>
    <w:rsid w:val="00E56B27"/>
    <w:rsid w:val="00E56D82"/>
    <w:rsid w:val="00E56F52"/>
    <w:rsid w:val="00E571C9"/>
    <w:rsid w:val="00E60175"/>
    <w:rsid w:val="00E6104E"/>
    <w:rsid w:val="00E628F6"/>
    <w:rsid w:val="00E62D03"/>
    <w:rsid w:val="00E62DFC"/>
    <w:rsid w:val="00E63C93"/>
    <w:rsid w:val="00E64031"/>
    <w:rsid w:val="00E65087"/>
    <w:rsid w:val="00E66AA1"/>
    <w:rsid w:val="00E67805"/>
    <w:rsid w:val="00E67C77"/>
    <w:rsid w:val="00E67F73"/>
    <w:rsid w:val="00E7045C"/>
    <w:rsid w:val="00E71FF5"/>
    <w:rsid w:val="00E721D9"/>
    <w:rsid w:val="00E725C1"/>
    <w:rsid w:val="00E72776"/>
    <w:rsid w:val="00E7285E"/>
    <w:rsid w:val="00E72AAE"/>
    <w:rsid w:val="00E73119"/>
    <w:rsid w:val="00E758F2"/>
    <w:rsid w:val="00E76EB5"/>
    <w:rsid w:val="00E773BA"/>
    <w:rsid w:val="00E7797A"/>
    <w:rsid w:val="00E83431"/>
    <w:rsid w:val="00E83489"/>
    <w:rsid w:val="00E8463E"/>
    <w:rsid w:val="00E86064"/>
    <w:rsid w:val="00E8747C"/>
    <w:rsid w:val="00E90023"/>
    <w:rsid w:val="00E91112"/>
    <w:rsid w:val="00E92998"/>
    <w:rsid w:val="00E92C24"/>
    <w:rsid w:val="00E92FD3"/>
    <w:rsid w:val="00E93E10"/>
    <w:rsid w:val="00E94B18"/>
    <w:rsid w:val="00E954A7"/>
    <w:rsid w:val="00E95CCE"/>
    <w:rsid w:val="00E95F75"/>
    <w:rsid w:val="00E96611"/>
    <w:rsid w:val="00E97524"/>
    <w:rsid w:val="00EA03A6"/>
    <w:rsid w:val="00EA1AD2"/>
    <w:rsid w:val="00EA1D84"/>
    <w:rsid w:val="00EA3CFA"/>
    <w:rsid w:val="00EA42C0"/>
    <w:rsid w:val="00EA4C73"/>
    <w:rsid w:val="00EA5DC2"/>
    <w:rsid w:val="00EA5F39"/>
    <w:rsid w:val="00EA5FEC"/>
    <w:rsid w:val="00EA6DCD"/>
    <w:rsid w:val="00EA70F2"/>
    <w:rsid w:val="00EB06D1"/>
    <w:rsid w:val="00EB0DB8"/>
    <w:rsid w:val="00EB2137"/>
    <w:rsid w:val="00EB2BD6"/>
    <w:rsid w:val="00EB3321"/>
    <w:rsid w:val="00EB43D8"/>
    <w:rsid w:val="00EB4888"/>
    <w:rsid w:val="00EB602B"/>
    <w:rsid w:val="00EC15D8"/>
    <w:rsid w:val="00EC27D7"/>
    <w:rsid w:val="00EC2A6D"/>
    <w:rsid w:val="00EC375B"/>
    <w:rsid w:val="00EC3D11"/>
    <w:rsid w:val="00EC462B"/>
    <w:rsid w:val="00EC50DC"/>
    <w:rsid w:val="00EC5E54"/>
    <w:rsid w:val="00EC6A11"/>
    <w:rsid w:val="00EC6E85"/>
    <w:rsid w:val="00EC70DB"/>
    <w:rsid w:val="00EC7994"/>
    <w:rsid w:val="00ED0D77"/>
    <w:rsid w:val="00ED1867"/>
    <w:rsid w:val="00ED1AFC"/>
    <w:rsid w:val="00ED2290"/>
    <w:rsid w:val="00ED250D"/>
    <w:rsid w:val="00ED275B"/>
    <w:rsid w:val="00ED38FD"/>
    <w:rsid w:val="00ED45AD"/>
    <w:rsid w:val="00ED4B11"/>
    <w:rsid w:val="00ED4F43"/>
    <w:rsid w:val="00ED6701"/>
    <w:rsid w:val="00EE01A2"/>
    <w:rsid w:val="00EE0ECF"/>
    <w:rsid w:val="00EE2640"/>
    <w:rsid w:val="00EE2EFA"/>
    <w:rsid w:val="00EE305E"/>
    <w:rsid w:val="00EE36C5"/>
    <w:rsid w:val="00EE42D4"/>
    <w:rsid w:val="00EE450F"/>
    <w:rsid w:val="00EE48C1"/>
    <w:rsid w:val="00EE4ECA"/>
    <w:rsid w:val="00EE4F97"/>
    <w:rsid w:val="00EE52E3"/>
    <w:rsid w:val="00EE60E9"/>
    <w:rsid w:val="00EE6C43"/>
    <w:rsid w:val="00EF1FE6"/>
    <w:rsid w:val="00EF225D"/>
    <w:rsid w:val="00EF2C22"/>
    <w:rsid w:val="00EF3190"/>
    <w:rsid w:val="00EF341E"/>
    <w:rsid w:val="00EF3541"/>
    <w:rsid w:val="00EF378C"/>
    <w:rsid w:val="00EF3A10"/>
    <w:rsid w:val="00EF48A1"/>
    <w:rsid w:val="00EF4955"/>
    <w:rsid w:val="00EF579E"/>
    <w:rsid w:val="00EF7963"/>
    <w:rsid w:val="00EF7FAF"/>
    <w:rsid w:val="00F01676"/>
    <w:rsid w:val="00F018D4"/>
    <w:rsid w:val="00F01C5E"/>
    <w:rsid w:val="00F01DD0"/>
    <w:rsid w:val="00F02473"/>
    <w:rsid w:val="00F02542"/>
    <w:rsid w:val="00F02E54"/>
    <w:rsid w:val="00F03CED"/>
    <w:rsid w:val="00F048F6"/>
    <w:rsid w:val="00F062CB"/>
    <w:rsid w:val="00F06590"/>
    <w:rsid w:val="00F072B9"/>
    <w:rsid w:val="00F075EA"/>
    <w:rsid w:val="00F07634"/>
    <w:rsid w:val="00F10015"/>
    <w:rsid w:val="00F104C0"/>
    <w:rsid w:val="00F11569"/>
    <w:rsid w:val="00F119B5"/>
    <w:rsid w:val="00F127E6"/>
    <w:rsid w:val="00F1356D"/>
    <w:rsid w:val="00F154AE"/>
    <w:rsid w:val="00F16626"/>
    <w:rsid w:val="00F16A2C"/>
    <w:rsid w:val="00F176BC"/>
    <w:rsid w:val="00F207A3"/>
    <w:rsid w:val="00F211F2"/>
    <w:rsid w:val="00F21D3D"/>
    <w:rsid w:val="00F21DD8"/>
    <w:rsid w:val="00F22A7B"/>
    <w:rsid w:val="00F23AD7"/>
    <w:rsid w:val="00F24CA6"/>
    <w:rsid w:val="00F24F04"/>
    <w:rsid w:val="00F25727"/>
    <w:rsid w:val="00F27F10"/>
    <w:rsid w:val="00F302DD"/>
    <w:rsid w:val="00F30366"/>
    <w:rsid w:val="00F30B6E"/>
    <w:rsid w:val="00F3101B"/>
    <w:rsid w:val="00F314AA"/>
    <w:rsid w:val="00F314C2"/>
    <w:rsid w:val="00F3284F"/>
    <w:rsid w:val="00F34F45"/>
    <w:rsid w:val="00F35332"/>
    <w:rsid w:val="00F357B0"/>
    <w:rsid w:val="00F371D8"/>
    <w:rsid w:val="00F40488"/>
    <w:rsid w:val="00F40621"/>
    <w:rsid w:val="00F40B50"/>
    <w:rsid w:val="00F411FB"/>
    <w:rsid w:val="00F41F67"/>
    <w:rsid w:val="00F425F3"/>
    <w:rsid w:val="00F430BA"/>
    <w:rsid w:val="00F437FA"/>
    <w:rsid w:val="00F44AD8"/>
    <w:rsid w:val="00F454A7"/>
    <w:rsid w:val="00F464EE"/>
    <w:rsid w:val="00F4745D"/>
    <w:rsid w:val="00F5000E"/>
    <w:rsid w:val="00F5058A"/>
    <w:rsid w:val="00F50F98"/>
    <w:rsid w:val="00F514DD"/>
    <w:rsid w:val="00F52F6B"/>
    <w:rsid w:val="00F54EDD"/>
    <w:rsid w:val="00F562F9"/>
    <w:rsid w:val="00F56962"/>
    <w:rsid w:val="00F57071"/>
    <w:rsid w:val="00F60D41"/>
    <w:rsid w:val="00F61CBE"/>
    <w:rsid w:val="00F61CCB"/>
    <w:rsid w:val="00F620FE"/>
    <w:rsid w:val="00F62888"/>
    <w:rsid w:val="00F64670"/>
    <w:rsid w:val="00F646B4"/>
    <w:rsid w:val="00F65B85"/>
    <w:rsid w:val="00F65D45"/>
    <w:rsid w:val="00F6649C"/>
    <w:rsid w:val="00F667D4"/>
    <w:rsid w:val="00F67C5A"/>
    <w:rsid w:val="00F707A0"/>
    <w:rsid w:val="00F71457"/>
    <w:rsid w:val="00F7182B"/>
    <w:rsid w:val="00F71963"/>
    <w:rsid w:val="00F723A5"/>
    <w:rsid w:val="00F72F70"/>
    <w:rsid w:val="00F733ED"/>
    <w:rsid w:val="00F740A0"/>
    <w:rsid w:val="00F746AD"/>
    <w:rsid w:val="00F76215"/>
    <w:rsid w:val="00F7699C"/>
    <w:rsid w:val="00F76B40"/>
    <w:rsid w:val="00F77373"/>
    <w:rsid w:val="00F77E4F"/>
    <w:rsid w:val="00F77F65"/>
    <w:rsid w:val="00F81160"/>
    <w:rsid w:val="00F81AFD"/>
    <w:rsid w:val="00F82135"/>
    <w:rsid w:val="00F831DC"/>
    <w:rsid w:val="00F834F3"/>
    <w:rsid w:val="00F84FAE"/>
    <w:rsid w:val="00F85DDF"/>
    <w:rsid w:val="00F87A51"/>
    <w:rsid w:val="00F87E89"/>
    <w:rsid w:val="00F901B6"/>
    <w:rsid w:val="00F9044D"/>
    <w:rsid w:val="00F90525"/>
    <w:rsid w:val="00F90BF4"/>
    <w:rsid w:val="00F91686"/>
    <w:rsid w:val="00F92288"/>
    <w:rsid w:val="00F92292"/>
    <w:rsid w:val="00F934E4"/>
    <w:rsid w:val="00F93697"/>
    <w:rsid w:val="00F9593A"/>
    <w:rsid w:val="00F96327"/>
    <w:rsid w:val="00F96771"/>
    <w:rsid w:val="00F978C7"/>
    <w:rsid w:val="00FA14FA"/>
    <w:rsid w:val="00FA1DA1"/>
    <w:rsid w:val="00FA37B3"/>
    <w:rsid w:val="00FA3B1E"/>
    <w:rsid w:val="00FA3F96"/>
    <w:rsid w:val="00FA480D"/>
    <w:rsid w:val="00FA512B"/>
    <w:rsid w:val="00FA59A8"/>
    <w:rsid w:val="00FA6F60"/>
    <w:rsid w:val="00FA779C"/>
    <w:rsid w:val="00FA7E10"/>
    <w:rsid w:val="00FB097F"/>
    <w:rsid w:val="00FB1232"/>
    <w:rsid w:val="00FB165A"/>
    <w:rsid w:val="00FB2230"/>
    <w:rsid w:val="00FB2A1F"/>
    <w:rsid w:val="00FB3315"/>
    <w:rsid w:val="00FB3BB9"/>
    <w:rsid w:val="00FB3C33"/>
    <w:rsid w:val="00FB3CA1"/>
    <w:rsid w:val="00FB4A06"/>
    <w:rsid w:val="00FB5A73"/>
    <w:rsid w:val="00FC0DFD"/>
    <w:rsid w:val="00FC0E9F"/>
    <w:rsid w:val="00FC1147"/>
    <w:rsid w:val="00FC1B20"/>
    <w:rsid w:val="00FC1C48"/>
    <w:rsid w:val="00FC22CD"/>
    <w:rsid w:val="00FC3DD6"/>
    <w:rsid w:val="00FC484B"/>
    <w:rsid w:val="00FC6DB0"/>
    <w:rsid w:val="00FC7967"/>
    <w:rsid w:val="00FC7E6E"/>
    <w:rsid w:val="00FC7EA7"/>
    <w:rsid w:val="00FD0717"/>
    <w:rsid w:val="00FD12E2"/>
    <w:rsid w:val="00FD1382"/>
    <w:rsid w:val="00FD23EF"/>
    <w:rsid w:val="00FD30B3"/>
    <w:rsid w:val="00FD3D3D"/>
    <w:rsid w:val="00FD3F0F"/>
    <w:rsid w:val="00FD4A44"/>
    <w:rsid w:val="00FD4C7D"/>
    <w:rsid w:val="00FD6184"/>
    <w:rsid w:val="00FD6C61"/>
    <w:rsid w:val="00FE0076"/>
    <w:rsid w:val="00FE068C"/>
    <w:rsid w:val="00FE16B8"/>
    <w:rsid w:val="00FE21B6"/>
    <w:rsid w:val="00FE2D4D"/>
    <w:rsid w:val="00FE3403"/>
    <w:rsid w:val="00FE38B7"/>
    <w:rsid w:val="00FE3AEE"/>
    <w:rsid w:val="00FE514A"/>
    <w:rsid w:val="00FE5AC2"/>
    <w:rsid w:val="00FE6498"/>
    <w:rsid w:val="00FE6F78"/>
    <w:rsid w:val="00FE73FB"/>
    <w:rsid w:val="00FE76A9"/>
    <w:rsid w:val="00FF033F"/>
    <w:rsid w:val="00FF1159"/>
    <w:rsid w:val="00FF31F5"/>
    <w:rsid w:val="00FF3BB5"/>
    <w:rsid w:val="00FF49EA"/>
    <w:rsid w:val="00FF4F0B"/>
    <w:rsid w:val="00FF538D"/>
    <w:rsid w:val="00FF5536"/>
    <w:rsid w:val="00FF56B0"/>
    <w:rsid w:val="00FF79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7585" style="mso-position-horizontal:center;mso-position-horizontal-relative:page;mso-position-vertical-relative:page" fillcolor="none [671]" stroke="f">
      <v:fill color="none [671]" opacity=".75"/>
      <v:stroke on="f"/>
      <o:colormru v:ext="edit" colors="#a6b4be,#d2d9de"/>
    </o:shapedefaults>
    <o:shapelayout v:ext="edit">
      <o:idmap v:ext="edit" data="1"/>
    </o:shapelayout>
  </w:shapeDefaults>
  <w:decimalSymbol w:val="."/>
  <w:listSeparator w:val=","/>
  <w14:docId w14:val="4C6CC534"/>
  <w15:docId w15:val="{2E040386-DE09-4EAE-BA58-6C593B73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locked="1" w:uiPriority="1" w:qFormat="1"/>
    <w:lsdException w:name="heading 2" w:locked="1" w:semiHidden="1" w:uiPriority="1" w:unhideWhenUsed="1" w:qFormat="1"/>
    <w:lsdException w:name="heading 3" w:locked="1"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lsdException w:name="heading 7" w:semiHidden="1" w:uiPriority="3"/>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0"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qFormat="1"/>
    <w:lsdException w:name="Intense Emphasis" w:uiPriority="23" w:qFormat="1"/>
    <w:lsdException w:name="Subtle Reference" w:uiPriority="32" w:qFormat="1"/>
    <w:lsdException w:name="Intense Reference" w:uiPriority="33"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4E2F83"/>
    <w:rPr>
      <w:lang w:val="en-NZ"/>
    </w:rPr>
  </w:style>
  <w:style w:type="paragraph" w:styleId="Heading1">
    <w:name w:val="heading 1"/>
    <w:basedOn w:val="BodyText"/>
    <w:next w:val="BodyText"/>
    <w:link w:val="Heading1Char"/>
    <w:uiPriority w:val="1"/>
    <w:qFormat/>
    <w:locked/>
    <w:rsid w:val="004E2F83"/>
    <w:pPr>
      <w:keepNext/>
      <w:spacing w:before="360" w:after="240"/>
      <w:outlineLvl w:val="0"/>
    </w:pPr>
    <w:rPr>
      <w:rFonts w:asciiTheme="majorHAnsi" w:hAnsiTheme="majorHAnsi"/>
      <w:b/>
      <w:caps/>
      <w:color w:val="36424A" w:themeColor="text2"/>
      <w:sz w:val="28"/>
    </w:rPr>
  </w:style>
  <w:style w:type="paragraph" w:styleId="Heading2">
    <w:name w:val="heading 2"/>
    <w:basedOn w:val="Normal"/>
    <w:next w:val="BodyText"/>
    <w:link w:val="Heading2Char"/>
    <w:uiPriority w:val="1"/>
    <w:qFormat/>
    <w:locked/>
    <w:rsid w:val="004E2F83"/>
    <w:pPr>
      <w:keepNext/>
      <w:spacing w:before="360" w:after="120"/>
      <w:outlineLvl w:val="1"/>
    </w:pPr>
    <w:rPr>
      <w:rFonts w:asciiTheme="majorHAnsi" w:hAnsiTheme="majorHAnsi"/>
      <w:b/>
      <w:color w:val="36424A" w:themeColor="text2"/>
      <w:sz w:val="28"/>
    </w:rPr>
  </w:style>
  <w:style w:type="paragraph" w:styleId="Heading3">
    <w:name w:val="heading 3"/>
    <w:basedOn w:val="BodyText"/>
    <w:next w:val="BodyText"/>
    <w:link w:val="Heading3Char"/>
    <w:uiPriority w:val="1"/>
    <w:qFormat/>
    <w:locked/>
    <w:rsid w:val="004E2F83"/>
    <w:pPr>
      <w:keepNext/>
      <w:spacing w:before="240"/>
      <w:outlineLvl w:val="2"/>
    </w:pPr>
    <w:rPr>
      <w:rFonts w:asciiTheme="majorHAnsi" w:hAnsiTheme="majorHAnsi"/>
      <w:b/>
      <w:color w:val="36424A" w:themeColor="text2"/>
      <w:sz w:val="24"/>
    </w:rPr>
  </w:style>
  <w:style w:type="paragraph" w:styleId="Heading4">
    <w:name w:val="heading 4"/>
    <w:basedOn w:val="BodyText"/>
    <w:next w:val="BodyText"/>
    <w:link w:val="Heading4Char"/>
    <w:uiPriority w:val="1"/>
    <w:unhideWhenUsed/>
    <w:rsid w:val="004E2F83"/>
    <w:pPr>
      <w:keepNext/>
      <w:outlineLvl w:val="3"/>
    </w:pPr>
    <w:rPr>
      <w:rFonts w:asciiTheme="majorHAnsi" w:hAnsiTheme="majorHAnsi"/>
      <w:b/>
      <w:i/>
      <w:color w:val="36424A" w:themeColor="text2"/>
      <w:sz w:val="24"/>
    </w:rPr>
  </w:style>
  <w:style w:type="paragraph" w:styleId="Heading5">
    <w:name w:val="heading 5"/>
    <w:basedOn w:val="BodyText"/>
    <w:next w:val="BodyText"/>
    <w:link w:val="Heading5Char"/>
    <w:uiPriority w:val="1"/>
    <w:unhideWhenUsed/>
    <w:rsid w:val="004E2F83"/>
    <w:pPr>
      <w:keepNext/>
      <w:outlineLvl w:val="4"/>
    </w:pPr>
    <w:rPr>
      <w:rFonts w:asciiTheme="majorHAnsi" w:hAnsiTheme="majorHAnsi"/>
      <w:i/>
      <w:color w:val="36424A" w:themeColor="text2"/>
    </w:rPr>
  </w:style>
  <w:style w:type="paragraph" w:styleId="Heading6">
    <w:name w:val="heading 6"/>
    <w:basedOn w:val="Normal"/>
    <w:next w:val="Normal"/>
    <w:link w:val="Heading6Char"/>
    <w:uiPriority w:val="1"/>
    <w:semiHidden/>
    <w:rsid w:val="004E2F83"/>
    <w:pPr>
      <w:keepNext/>
      <w:keepLines/>
      <w:spacing w:before="200"/>
      <w:outlineLvl w:val="5"/>
    </w:pPr>
    <w:rPr>
      <w:rFonts w:asciiTheme="majorHAnsi" w:eastAsiaTheme="majorEastAsia" w:hAnsiTheme="majorHAnsi" w:cstheme="majorBidi"/>
      <w:i/>
      <w:iCs/>
      <w:color w:val="1B20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2F83"/>
    <w:rPr>
      <w:rFonts w:asciiTheme="majorHAnsi" w:hAnsiTheme="majorHAnsi"/>
      <w:b/>
      <w:caps/>
      <w:color w:val="36424A" w:themeColor="text2"/>
      <w:sz w:val="28"/>
      <w:lang w:val="en-NZ"/>
    </w:rPr>
  </w:style>
  <w:style w:type="character" w:customStyle="1" w:styleId="Heading2Char">
    <w:name w:val="Heading 2 Char"/>
    <w:basedOn w:val="DefaultParagraphFont"/>
    <w:link w:val="Heading2"/>
    <w:uiPriority w:val="1"/>
    <w:rsid w:val="004E2F83"/>
    <w:rPr>
      <w:rFonts w:asciiTheme="majorHAnsi" w:hAnsiTheme="majorHAnsi"/>
      <w:b/>
      <w:color w:val="36424A" w:themeColor="text2"/>
      <w:sz w:val="28"/>
      <w:lang w:val="en-NZ"/>
    </w:rPr>
  </w:style>
  <w:style w:type="character" w:customStyle="1" w:styleId="Heading3Char">
    <w:name w:val="Heading 3 Char"/>
    <w:basedOn w:val="DefaultParagraphFont"/>
    <w:link w:val="Heading3"/>
    <w:uiPriority w:val="1"/>
    <w:rsid w:val="004E2F83"/>
    <w:rPr>
      <w:rFonts w:asciiTheme="majorHAnsi" w:hAnsiTheme="majorHAnsi"/>
      <w:b/>
      <w:color w:val="36424A" w:themeColor="text2"/>
      <w:sz w:val="24"/>
      <w:lang w:val="en-NZ"/>
    </w:rPr>
  </w:style>
  <w:style w:type="character" w:customStyle="1" w:styleId="Heading4Char">
    <w:name w:val="Heading 4 Char"/>
    <w:basedOn w:val="DefaultParagraphFont"/>
    <w:link w:val="Heading4"/>
    <w:uiPriority w:val="1"/>
    <w:rsid w:val="004E2F83"/>
    <w:rPr>
      <w:rFonts w:asciiTheme="majorHAnsi" w:hAnsiTheme="majorHAnsi"/>
      <w:b/>
      <w:i/>
      <w:color w:val="36424A" w:themeColor="text2"/>
      <w:sz w:val="24"/>
      <w:lang w:val="en-NZ"/>
    </w:rPr>
  </w:style>
  <w:style w:type="character" w:customStyle="1" w:styleId="Heading5Char">
    <w:name w:val="Heading 5 Char"/>
    <w:basedOn w:val="DefaultParagraphFont"/>
    <w:link w:val="Heading5"/>
    <w:uiPriority w:val="1"/>
    <w:rsid w:val="004E2F83"/>
    <w:rPr>
      <w:rFonts w:asciiTheme="majorHAnsi" w:hAnsiTheme="majorHAnsi"/>
      <w:i/>
      <w:color w:val="36424A" w:themeColor="text2"/>
      <w:lang w:val="en-NZ"/>
    </w:rPr>
  </w:style>
  <w:style w:type="paragraph" w:customStyle="1" w:styleId="MainTitleHeading">
    <w:name w:val="Main Title Heading"/>
    <w:basedOn w:val="Normal"/>
    <w:link w:val="MainTitleHeadingChar"/>
    <w:uiPriority w:val="14"/>
    <w:unhideWhenUsed/>
    <w:qFormat/>
    <w:rsid w:val="004E2F83"/>
    <w:pPr>
      <w:jc w:val="center"/>
    </w:pPr>
    <w:rPr>
      <w:rFonts w:asciiTheme="majorHAnsi" w:hAnsiTheme="majorHAnsi"/>
      <w:b/>
      <w:caps/>
      <w:color w:val="36424A"/>
      <w:sz w:val="48"/>
    </w:rPr>
  </w:style>
  <w:style w:type="paragraph" w:customStyle="1" w:styleId="SubTitleHeading">
    <w:name w:val="Sub Title Heading"/>
    <w:basedOn w:val="Normal"/>
    <w:link w:val="SubTitleHeadingChar"/>
    <w:uiPriority w:val="15"/>
    <w:unhideWhenUsed/>
    <w:qFormat/>
    <w:rsid w:val="004E2F83"/>
    <w:pPr>
      <w:jc w:val="center"/>
    </w:pPr>
    <w:rPr>
      <w:rFonts w:asciiTheme="majorHAnsi" w:hAnsiTheme="majorHAnsi"/>
      <w:b/>
      <w:color w:val="36424A"/>
      <w:sz w:val="28"/>
    </w:rPr>
  </w:style>
  <w:style w:type="character" w:customStyle="1" w:styleId="MainTitleHeadingChar">
    <w:name w:val="Main Title Heading Char"/>
    <w:basedOn w:val="DefaultParagraphFont"/>
    <w:link w:val="MainTitleHeading"/>
    <w:uiPriority w:val="14"/>
    <w:rsid w:val="004E2F83"/>
    <w:rPr>
      <w:rFonts w:asciiTheme="majorHAnsi" w:hAnsiTheme="majorHAnsi"/>
      <w:b/>
      <w:caps/>
      <w:color w:val="36424A"/>
      <w:sz w:val="48"/>
      <w:lang w:val="en-NZ"/>
    </w:rPr>
  </w:style>
  <w:style w:type="paragraph" w:styleId="Header">
    <w:name w:val="header"/>
    <w:basedOn w:val="Normal"/>
    <w:link w:val="HeaderChar"/>
    <w:uiPriority w:val="99"/>
    <w:unhideWhenUsed/>
    <w:rsid w:val="004E2F83"/>
    <w:rPr>
      <w:rFonts w:asciiTheme="majorHAnsi" w:hAnsiTheme="majorHAnsi"/>
      <w:sz w:val="18"/>
    </w:rPr>
  </w:style>
  <w:style w:type="character" w:customStyle="1" w:styleId="SubTitleHeadingChar">
    <w:name w:val="Sub Title Heading Char"/>
    <w:basedOn w:val="DefaultParagraphFont"/>
    <w:link w:val="SubTitleHeading"/>
    <w:uiPriority w:val="15"/>
    <w:rsid w:val="004E2F83"/>
    <w:rPr>
      <w:rFonts w:asciiTheme="majorHAnsi" w:hAnsiTheme="majorHAnsi"/>
      <w:b/>
      <w:color w:val="36424A"/>
      <w:sz w:val="28"/>
      <w:lang w:val="en-NZ"/>
    </w:rPr>
  </w:style>
  <w:style w:type="character" w:customStyle="1" w:styleId="HeaderChar">
    <w:name w:val="Header Char"/>
    <w:basedOn w:val="DefaultParagraphFont"/>
    <w:link w:val="Header"/>
    <w:uiPriority w:val="99"/>
    <w:rsid w:val="004E2F83"/>
    <w:rPr>
      <w:rFonts w:asciiTheme="majorHAnsi" w:hAnsiTheme="majorHAnsi"/>
      <w:sz w:val="18"/>
      <w:lang w:val="en-NZ"/>
    </w:rPr>
  </w:style>
  <w:style w:type="paragraph" w:styleId="Footer">
    <w:name w:val="footer"/>
    <w:basedOn w:val="Normal"/>
    <w:link w:val="FooterChar"/>
    <w:uiPriority w:val="99"/>
    <w:rsid w:val="004E2F83"/>
    <w:rPr>
      <w:rFonts w:asciiTheme="majorHAnsi" w:hAnsiTheme="majorHAnsi"/>
      <w:sz w:val="18"/>
    </w:rPr>
  </w:style>
  <w:style w:type="character" w:customStyle="1" w:styleId="FooterChar">
    <w:name w:val="Footer Char"/>
    <w:basedOn w:val="DefaultParagraphFont"/>
    <w:link w:val="Footer"/>
    <w:uiPriority w:val="99"/>
    <w:rsid w:val="004E2F83"/>
    <w:rPr>
      <w:rFonts w:asciiTheme="majorHAnsi" w:hAnsiTheme="majorHAnsi"/>
      <w:sz w:val="18"/>
      <w:lang w:val="en-NZ"/>
    </w:rPr>
  </w:style>
  <w:style w:type="paragraph" w:styleId="BalloonText">
    <w:name w:val="Balloon Text"/>
    <w:basedOn w:val="Normal"/>
    <w:link w:val="BalloonTextChar"/>
    <w:uiPriority w:val="99"/>
    <w:semiHidden/>
    <w:unhideWhenUsed/>
    <w:rsid w:val="004E2F83"/>
    <w:rPr>
      <w:rFonts w:cs="Tahoma"/>
      <w:sz w:val="16"/>
      <w:szCs w:val="16"/>
    </w:rPr>
  </w:style>
  <w:style w:type="character" w:customStyle="1" w:styleId="BalloonTextChar">
    <w:name w:val="Balloon Text Char"/>
    <w:basedOn w:val="DefaultParagraphFont"/>
    <w:link w:val="BalloonText"/>
    <w:uiPriority w:val="99"/>
    <w:semiHidden/>
    <w:rsid w:val="004E2F83"/>
    <w:rPr>
      <w:rFonts w:cs="Tahoma"/>
      <w:sz w:val="16"/>
      <w:szCs w:val="16"/>
      <w:lang w:val="en-NZ"/>
    </w:rPr>
  </w:style>
  <w:style w:type="paragraph" w:styleId="ListParagraph">
    <w:name w:val="List Paragraph"/>
    <w:basedOn w:val="Normal"/>
    <w:link w:val="ListParagraphChar"/>
    <w:uiPriority w:val="99"/>
    <w:rsid w:val="004E2F83"/>
    <w:pPr>
      <w:spacing w:before="120" w:after="120"/>
      <w:ind w:left="851" w:hanging="567"/>
    </w:pPr>
  </w:style>
  <w:style w:type="paragraph" w:customStyle="1" w:styleId="List-BulletLvl1">
    <w:name w:val="List - Bullet Lvl 1"/>
    <w:basedOn w:val="BodyText"/>
    <w:link w:val="List-BulletLvl1Char"/>
    <w:uiPriority w:val="4"/>
    <w:qFormat/>
    <w:rsid w:val="004E2F83"/>
    <w:pPr>
      <w:numPr>
        <w:numId w:val="6"/>
      </w:numPr>
      <w:spacing w:before="0"/>
    </w:pPr>
  </w:style>
  <w:style w:type="paragraph" w:customStyle="1" w:styleId="List-AlphanumericLvl1">
    <w:name w:val="List - Alphanumeric Lvl 1"/>
    <w:basedOn w:val="ListParagraph"/>
    <w:link w:val="List-AlphanumericLvl1Char"/>
    <w:uiPriority w:val="7"/>
    <w:qFormat/>
    <w:rsid w:val="004E2F83"/>
    <w:pPr>
      <w:numPr>
        <w:numId w:val="8"/>
      </w:numPr>
      <w:ind w:left="851"/>
    </w:pPr>
  </w:style>
  <w:style w:type="character" w:customStyle="1" w:styleId="ListParagraphChar">
    <w:name w:val="List Paragraph Char"/>
    <w:basedOn w:val="DefaultParagraphFont"/>
    <w:link w:val="ListParagraph"/>
    <w:uiPriority w:val="99"/>
    <w:rsid w:val="004E2F83"/>
    <w:rPr>
      <w:lang w:val="en-NZ"/>
    </w:rPr>
  </w:style>
  <w:style w:type="character" w:customStyle="1" w:styleId="List-BulletLvl1Char">
    <w:name w:val="List - Bullet Lvl 1 Char"/>
    <w:basedOn w:val="ListParagraphChar"/>
    <w:link w:val="List-BulletLvl1"/>
    <w:uiPriority w:val="4"/>
    <w:rsid w:val="004E2F83"/>
    <w:rPr>
      <w:lang w:val="en-NZ"/>
    </w:rPr>
  </w:style>
  <w:style w:type="character" w:customStyle="1" w:styleId="List-AlphanumericLvl1Char">
    <w:name w:val="List - Alphanumeric Lvl 1 Char"/>
    <w:basedOn w:val="ListParagraphChar"/>
    <w:link w:val="List-AlphanumericLvl1"/>
    <w:uiPriority w:val="7"/>
    <w:rsid w:val="004E2F83"/>
    <w:rPr>
      <w:lang w:val="en-NZ"/>
    </w:rPr>
  </w:style>
  <w:style w:type="paragraph" w:customStyle="1" w:styleId="List-BulletLvl2">
    <w:name w:val="List - Bullet Lvl 2"/>
    <w:basedOn w:val="BodyText"/>
    <w:link w:val="List-BulletLvl2Char"/>
    <w:uiPriority w:val="4"/>
    <w:rsid w:val="004E2F83"/>
    <w:pPr>
      <w:numPr>
        <w:ilvl w:val="1"/>
        <w:numId w:val="6"/>
      </w:numPr>
    </w:pPr>
  </w:style>
  <w:style w:type="paragraph" w:customStyle="1" w:styleId="List-AlphanumericLvl2">
    <w:name w:val="List - Alphanumeric Lvl 2"/>
    <w:basedOn w:val="List-AlphanumericLvl1"/>
    <w:link w:val="List-AlphanumericLvl2Char"/>
    <w:uiPriority w:val="7"/>
    <w:rsid w:val="004E2F83"/>
    <w:pPr>
      <w:numPr>
        <w:ilvl w:val="1"/>
      </w:numPr>
      <w:ind w:left="1418"/>
    </w:pPr>
  </w:style>
  <w:style w:type="character" w:customStyle="1" w:styleId="List-BulletLvl2Char">
    <w:name w:val="List - Bullet Lvl 2 Char"/>
    <w:basedOn w:val="List-BulletLvl1Char"/>
    <w:link w:val="List-BulletLvl2"/>
    <w:uiPriority w:val="4"/>
    <w:rsid w:val="004E2F83"/>
    <w:rPr>
      <w:lang w:val="en-NZ"/>
    </w:rPr>
  </w:style>
  <w:style w:type="paragraph" w:customStyle="1" w:styleId="List-AlphanumericLvl3">
    <w:name w:val="List - Alphanumeric Lvl 3"/>
    <w:basedOn w:val="List-AlphanumericLvl2"/>
    <w:link w:val="List-AlphanumericLvl3Char"/>
    <w:uiPriority w:val="7"/>
    <w:rsid w:val="004E2F83"/>
    <w:pPr>
      <w:numPr>
        <w:ilvl w:val="2"/>
      </w:numPr>
      <w:tabs>
        <w:tab w:val="left" w:pos="1985"/>
      </w:tabs>
      <w:ind w:left="1985"/>
    </w:pPr>
  </w:style>
  <w:style w:type="character" w:customStyle="1" w:styleId="List-AlphanumericLvl2Char">
    <w:name w:val="List - Alphanumeric Lvl 2 Char"/>
    <w:basedOn w:val="List-AlphanumericLvl1Char"/>
    <w:link w:val="List-AlphanumericLvl2"/>
    <w:uiPriority w:val="7"/>
    <w:rsid w:val="004E2F83"/>
    <w:rPr>
      <w:lang w:val="en-NZ"/>
    </w:rPr>
  </w:style>
  <w:style w:type="character" w:customStyle="1" w:styleId="List-AlphanumericLvl3Char">
    <w:name w:val="List - Alphanumeric Lvl 3 Char"/>
    <w:basedOn w:val="List-AlphanumericLvl2Char"/>
    <w:link w:val="List-AlphanumericLvl3"/>
    <w:uiPriority w:val="7"/>
    <w:rsid w:val="004E2F83"/>
    <w:rPr>
      <w:lang w:val="en-NZ"/>
    </w:rPr>
  </w:style>
  <w:style w:type="paragraph" w:customStyle="1" w:styleId="CV-Name">
    <w:name w:val="CV - Name"/>
    <w:basedOn w:val="BodyText"/>
    <w:next w:val="CV-Quals"/>
    <w:link w:val="CV-NameChar"/>
    <w:uiPriority w:val="10"/>
    <w:qFormat/>
    <w:rsid w:val="004E2F83"/>
    <w:rPr>
      <w:b/>
      <w:color w:val="77B800"/>
      <w:sz w:val="32"/>
    </w:rPr>
  </w:style>
  <w:style w:type="paragraph" w:customStyle="1" w:styleId="CV-Quals">
    <w:name w:val="CV - Quals"/>
    <w:basedOn w:val="BodyText"/>
    <w:next w:val="BodyText"/>
    <w:link w:val="CV-QualsChar"/>
    <w:uiPriority w:val="10"/>
    <w:qFormat/>
    <w:rsid w:val="004E2F83"/>
    <w:pPr>
      <w:spacing w:after="360"/>
    </w:pPr>
    <w:rPr>
      <w:b/>
      <w:i/>
      <w:color w:val="36424A" w:themeColor="text2"/>
    </w:rPr>
  </w:style>
  <w:style w:type="character" w:customStyle="1" w:styleId="CV-NameChar">
    <w:name w:val="CV - Name Char"/>
    <w:basedOn w:val="DefaultParagraphFont"/>
    <w:link w:val="CV-Name"/>
    <w:uiPriority w:val="10"/>
    <w:rsid w:val="004E2F83"/>
    <w:rPr>
      <w:b/>
      <w:color w:val="77B800"/>
      <w:sz w:val="32"/>
      <w:lang w:val="en-NZ"/>
    </w:rPr>
  </w:style>
  <w:style w:type="paragraph" w:customStyle="1" w:styleId="CV-Heading">
    <w:name w:val="CV - Heading"/>
    <w:basedOn w:val="BodyText"/>
    <w:next w:val="BodyText"/>
    <w:link w:val="CV-HeadingChar"/>
    <w:uiPriority w:val="11"/>
    <w:qFormat/>
    <w:rsid w:val="004E2F83"/>
    <w:pPr>
      <w:keepNext/>
      <w:spacing w:before="360"/>
    </w:pPr>
    <w:rPr>
      <w:b/>
      <w:color w:val="77B800"/>
      <w:sz w:val="24"/>
    </w:rPr>
  </w:style>
  <w:style w:type="character" w:customStyle="1" w:styleId="CV-QualsChar">
    <w:name w:val="CV - Quals Char"/>
    <w:basedOn w:val="DefaultParagraphFont"/>
    <w:link w:val="CV-Quals"/>
    <w:uiPriority w:val="10"/>
    <w:rsid w:val="004E2F83"/>
    <w:rPr>
      <w:b/>
      <w:i/>
      <w:color w:val="36424A" w:themeColor="text2"/>
      <w:lang w:val="en-NZ"/>
    </w:rPr>
  </w:style>
  <w:style w:type="paragraph" w:styleId="Title">
    <w:name w:val="Title"/>
    <w:basedOn w:val="MainTitleHeading"/>
    <w:next w:val="Normal"/>
    <w:link w:val="TitleChar"/>
    <w:uiPriority w:val="99"/>
    <w:semiHidden/>
    <w:qFormat/>
    <w:rsid w:val="004E2F83"/>
    <w:pPr>
      <w:spacing w:before="3000"/>
    </w:pPr>
  </w:style>
  <w:style w:type="character" w:customStyle="1" w:styleId="CV-HeadingChar">
    <w:name w:val="CV - Heading Char"/>
    <w:basedOn w:val="DefaultParagraphFont"/>
    <w:link w:val="CV-Heading"/>
    <w:uiPriority w:val="11"/>
    <w:rsid w:val="004E2F83"/>
    <w:rPr>
      <w:b/>
      <w:color w:val="77B800"/>
      <w:sz w:val="24"/>
      <w:lang w:val="en-NZ"/>
    </w:rPr>
  </w:style>
  <w:style w:type="character" w:customStyle="1" w:styleId="TitleChar">
    <w:name w:val="Title Char"/>
    <w:basedOn w:val="DefaultParagraphFont"/>
    <w:link w:val="Title"/>
    <w:uiPriority w:val="99"/>
    <w:semiHidden/>
    <w:rsid w:val="004E2F83"/>
    <w:rPr>
      <w:rFonts w:asciiTheme="majorHAnsi" w:hAnsiTheme="majorHAnsi"/>
      <w:b/>
      <w:caps/>
      <w:color w:val="36424A"/>
      <w:sz w:val="48"/>
      <w:lang w:val="en-NZ"/>
    </w:rPr>
  </w:style>
  <w:style w:type="paragraph" w:styleId="Subtitle">
    <w:name w:val="Subtitle"/>
    <w:basedOn w:val="SubTitleHeading"/>
    <w:next w:val="Normal"/>
    <w:link w:val="SubtitleChar"/>
    <w:uiPriority w:val="99"/>
    <w:semiHidden/>
    <w:qFormat/>
    <w:rsid w:val="004E2F83"/>
  </w:style>
  <w:style w:type="character" w:customStyle="1" w:styleId="SubtitleChar">
    <w:name w:val="Subtitle Char"/>
    <w:basedOn w:val="DefaultParagraphFont"/>
    <w:link w:val="Subtitle"/>
    <w:uiPriority w:val="99"/>
    <w:semiHidden/>
    <w:rsid w:val="004E2F83"/>
    <w:rPr>
      <w:rFonts w:asciiTheme="majorHAnsi" w:hAnsiTheme="majorHAnsi"/>
      <w:b/>
      <w:color w:val="36424A"/>
      <w:sz w:val="28"/>
      <w:lang w:val="en-NZ"/>
    </w:rPr>
  </w:style>
  <w:style w:type="character" w:customStyle="1" w:styleId="Heading6Char">
    <w:name w:val="Heading 6 Char"/>
    <w:basedOn w:val="DefaultParagraphFont"/>
    <w:link w:val="Heading6"/>
    <w:uiPriority w:val="1"/>
    <w:semiHidden/>
    <w:rsid w:val="004E2F83"/>
    <w:rPr>
      <w:rFonts w:asciiTheme="majorHAnsi" w:eastAsiaTheme="majorEastAsia" w:hAnsiTheme="majorHAnsi" w:cstheme="majorBidi"/>
      <w:i/>
      <w:iCs/>
      <w:color w:val="1B2024" w:themeColor="accent1" w:themeShade="7F"/>
      <w:lang w:val="en-NZ"/>
    </w:rPr>
  </w:style>
  <w:style w:type="paragraph" w:styleId="TOC1">
    <w:name w:val="toc 1"/>
    <w:basedOn w:val="Normal"/>
    <w:next w:val="Normal"/>
    <w:uiPriority w:val="39"/>
    <w:unhideWhenUsed/>
    <w:rsid w:val="004E2F83"/>
    <w:pPr>
      <w:tabs>
        <w:tab w:val="left" w:pos="567"/>
        <w:tab w:val="right" w:pos="9072"/>
      </w:tabs>
      <w:spacing w:before="120" w:after="0"/>
    </w:pPr>
    <w:rPr>
      <w:rFonts w:asciiTheme="majorHAnsi" w:hAnsiTheme="majorHAnsi"/>
      <w:b/>
      <w:caps/>
      <w:noProof/>
    </w:rPr>
  </w:style>
  <w:style w:type="paragraph" w:styleId="TOC2">
    <w:name w:val="toc 2"/>
    <w:basedOn w:val="Normal"/>
    <w:next w:val="Normal"/>
    <w:uiPriority w:val="39"/>
    <w:unhideWhenUsed/>
    <w:rsid w:val="004E2F83"/>
    <w:pPr>
      <w:tabs>
        <w:tab w:val="left" w:pos="1418"/>
        <w:tab w:val="right" w:pos="9072"/>
      </w:tabs>
      <w:spacing w:after="0" w:line="240" w:lineRule="auto"/>
      <w:ind w:left="1418" w:hanging="851"/>
    </w:pPr>
    <w:rPr>
      <w:rFonts w:asciiTheme="majorHAnsi" w:hAnsiTheme="majorHAnsi"/>
      <w:noProof/>
    </w:rPr>
  </w:style>
  <w:style w:type="paragraph" w:styleId="TOC3">
    <w:name w:val="toc 3"/>
    <w:basedOn w:val="Normal"/>
    <w:next w:val="Normal"/>
    <w:uiPriority w:val="39"/>
    <w:unhideWhenUsed/>
    <w:rsid w:val="004E2F83"/>
    <w:pPr>
      <w:tabs>
        <w:tab w:val="right" w:pos="9072"/>
      </w:tabs>
      <w:spacing w:after="0" w:line="240" w:lineRule="auto"/>
      <w:ind w:left="2268" w:hanging="851"/>
    </w:pPr>
    <w:rPr>
      <w:rFonts w:asciiTheme="majorHAnsi" w:hAnsiTheme="majorHAnsi"/>
      <w:noProof/>
      <w:sz w:val="20"/>
    </w:rPr>
  </w:style>
  <w:style w:type="character" w:styleId="Hyperlink">
    <w:name w:val="Hyperlink"/>
    <w:basedOn w:val="DefaultParagraphFont"/>
    <w:uiPriority w:val="99"/>
    <w:unhideWhenUsed/>
    <w:rsid w:val="004E2F83"/>
    <w:rPr>
      <w:color w:val="0000FF" w:themeColor="hyperlink"/>
      <w:u w:val="single"/>
    </w:rPr>
  </w:style>
  <w:style w:type="paragraph" w:customStyle="1" w:styleId="Heading1Numbered">
    <w:name w:val="Heading 1 Numbered"/>
    <w:basedOn w:val="ListParagraph"/>
    <w:next w:val="BodyText"/>
    <w:link w:val="Heading1NumberedChar"/>
    <w:uiPriority w:val="2"/>
    <w:qFormat/>
    <w:rsid w:val="00F707A0"/>
    <w:pPr>
      <w:keepNext/>
      <w:spacing w:before="360" w:after="240"/>
      <w:ind w:left="680" w:hanging="680"/>
      <w:outlineLvl w:val="0"/>
    </w:pPr>
    <w:rPr>
      <w:rFonts w:asciiTheme="majorHAnsi" w:hAnsiTheme="majorHAnsi"/>
      <w:b/>
      <w:caps/>
      <w:color w:val="36424A" w:themeColor="text2"/>
      <w:sz w:val="28"/>
    </w:rPr>
  </w:style>
  <w:style w:type="paragraph" w:customStyle="1" w:styleId="Heading2Numbered">
    <w:name w:val="Heading 2 Numbered"/>
    <w:basedOn w:val="ListParagraph"/>
    <w:next w:val="BodyText"/>
    <w:link w:val="Heading2NumberedChar"/>
    <w:uiPriority w:val="2"/>
    <w:qFormat/>
    <w:rsid w:val="0077052C"/>
    <w:pPr>
      <w:keepNext/>
      <w:spacing w:before="360"/>
      <w:ind w:left="680" w:hanging="680"/>
      <w:outlineLvl w:val="1"/>
    </w:pPr>
    <w:rPr>
      <w:rFonts w:asciiTheme="majorHAnsi" w:hAnsiTheme="majorHAnsi"/>
      <w:b/>
      <w:color w:val="36424A" w:themeColor="text2"/>
      <w:sz w:val="28"/>
    </w:rPr>
  </w:style>
  <w:style w:type="character" w:customStyle="1" w:styleId="Heading1NumberedChar">
    <w:name w:val="Heading 1 Numbered Char"/>
    <w:basedOn w:val="Heading1Char"/>
    <w:link w:val="Heading1Numbered"/>
    <w:uiPriority w:val="2"/>
    <w:rsid w:val="00F707A0"/>
    <w:rPr>
      <w:rFonts w:asciiTheme="majorHAnsi" w:hAnsiTheme="majorHAnsi"/>
      <w:b/>
      <w:caps/>
      <w:color w:val="36424A" w:themeColor="text2"/>
      <w:sz w:val="28"/>
      <w:lang w:val="en-NZ"/>
    </w:rPr>
  </w:style>
  <w:style w:type="paragraph" w:customStyle="1" w:styleId="Heading3Numbered">
    <w:name w:val="Heading 3 Numbered"/>
    <w:basedOn w:val="ListParagraph"/>
    <w:link w:val="Heading3NumberedChar"/>
    <w:uiPriority w:val="2"/>
    <w:qFormat/>
    <w:rsid w:val="0077052C"/>
    <w:pPr>
      <w:keepNext/>
      <w:spacing w:before="240"/>
      <w:ind w:hanging="851"/>
      <w:outlineLvl w:val="2"/>
    </w:pPr>
    <w:rPr>
      <w:rFonts w:asciiTheme="majorHAnsi" w:hAnsiTheme="majorHAnsi"/>
      <w:b/>
      <w:color w:val="36424A" w:themeColor="text2"/>
      <w:sz w:val="24"/>
    </w:rPr>
  </w:style>
  <w:style w:type="character" w:customStyle="1" w:styleId="Heading2NumberedChar">
    <w:name w:val="Heading 2 Numbered Char"/>
    <w:basedOn w:val="Heading2Char"/>
    <w:link w:val="Heading2Numbered"/>
    <w:uiPriority w:val="2"/>
    <w:rsid w:val="0077052C"/>
    <w:rPr>
      <w:rFonts w:asciiTheme="majorHAnsi" w:hAnsiTheme="majorHAnsi"/>
      <w:b/>
      <w:color w:val="36424A" w:themeColor="text2"/>
      <w:sz w:val="28"/>
      <w:lang w:val="en-NZ"/>
    </w:rPr>
  </w:style>
  <w:style w:type="paragraph" w:customStyle="1" w:styleId="Heading4Numbered">
    <w:name w:val="Heading 4 Numbered"/>
    <w:basedOn w:val="ListParagraph"/>
    <w:next w:val="BodyText"/>
    <w:link w:val="Heading4NumberedChar"/>
    <w:uiPriority w:val="2"/>
    <w:unhideWhenUsed/>
    <w:rsid w:val="003B4C94"/>
    <w:pPr>
      <w:keepNext/>
      <w:ind w:left="1418" w:hanging="1418"/>
      <w:outlineLvl w:val="3"/>
    </w:pPr>
    <w:rPr>
      <w:rFonts w:asciiTheme="majorHAnsi" w:hAnsiTheme="majorHAnsi"/>
      <w:b/>
      <w:i/>
      <w:color w:val="36424A" w:themeColor="text2"/>
      <w:sz w:val="24"/>
    </w:rPr>
  </w:style>
  <w:style w:type="character" w:customStyle="1" w:styleId="Heading3NumberedChar">
    <w:name w:val="Heading 3 Numbered Char"/>
    <w:basedOn w:val="Heading3Char"/>
    <w:link w:val="Heading3Numbered"/>
    <w:uiPriority w:val="2"/>
    <w:rsid w:val="0077052C"/>
    <w:rPr>
      <w:rFonts w:asciiTheme="majorHAnsi" w:hAnsiTheme="majorHAnsi"/>
      <w:b/>
      <w:color w:val="36424A" w:themeColor="text2"/>
      <w:sz w:val="24"/>
      <w:lang w:val="en-NZ"/>
    </w:rPr>
  </w:style>
  <w:style w:type="paragraph" w:customStyle="1" w:styleId="Heading5Numbered">
    <w:name w:val="Heading 5 Numbered"/>
    <w:basedOn w:val="ListParagraph"/>
    <w:next w:val="BodyText"/>
    <w:link w:val="Heading5NumberedChar"/>
    <w:uiPriority w:val="2"/>
    <w:unhideWhenUsed/>
    <w:rsid w:val="0077052C"/>
    <w:pPr>
      <w:keepNext/>
      <w:ind w:left="1134" w:hanging="1134"/>
      <w:outlineLvl w:val="4"/>
    </w:pPr>
    <w:rPr>
      <w:rFonts w:asciiTheme="majorHAnsi" w:hAnsiTheme="majorHAnsi"/>
      <w:i/>
      <w:color w:val="36424A" w:themeColor="text2"/>
    </w:rPr>
  </w:style>
  <w:style w:type="character" w:customStyle="1" w:styleId="Heading4NumberedChar">
    <w:name w:val="Heading 4 Numbered Char"/>
    <w:basedOn w:val="Heading4Char"/>
    <w:link w:val="Heading4Numbered"/>
    <w:uiPriority w:val="2"/>
    <w:rsid w:val="003B4C94"/>
    <w:rPr>
      <w:rFonts w:asciiTheme="majorHAnsi" w:hAnsiTheme="majorHAnsi"/>
      <w:b/>
      <w:i/>
      <w:color w:val="36424A" w:themeColor="text2"/>
      <w:sz w:val="24"/>
      <w:lang w:val="en-NZ"/>
    </w:rPr>
  </w:style>
  <w:style w:type="character" w:customStyle="1" w:styleId="Heading5NumberedChar">
    <w:name w:val="Heading 5 Numbered Char"/>
    <w:basedOn w:val="Heading5Char"/>
    <w:link w:val="Heading5Numbered"/>
    <w:uiPriority w:val="2"/>
    <w:rsid w:val="0077052C"/>
    <w:rPr>
      <w:rFonts w:asciiTheme="majorHAnsi" w:hAnsiTheme="majorHAnsi"/>
      <w:i/>
      <w:color w:val="36424A" w:themeColor="text2"/>
      <w:lang w:val="en-NZ"/>
    </w:rPr>
  </w:style>
  <w:style w:type="paragraph" w:customStyle="1" w:styleId="Footer-EvenPg">
    <w:name w:val="Footer - Even Pg"/>
    <w:basedOn w:val="Footer"/>
    <w:link w:val="Footer-EvenPgChar"/>
    <w:uiPriority w:val="96"/>
    <w:rsid w:val="004E2F83"/>
    <w:pPr>
      <w:pBdr>
        <w:top w:val="single" w:sz="4" w:space="6" w:color="77B800" w:themeColor="background2"/>
      </w:pBdr>
      <w:spacing w:before="240"/>
    </w:pPr>
  </w:style>
  <w:style w:type="paragraph" w:customStyle="1" w:styleId="Footer-OddPage">
    <w:name w:val="Footer - Odd Page"/>
    <w:basedOn w:val="Footer"/>
    <w:link w:val="Footer-OddPageChar"/>
    <w:uiPriority w:val="96"/>
    <w:rsid w:val="004E2F83"/>
    <w:pPr>
      <w:pBdr>
        <w:top w:val="single" w:sz="4" w:space="6" w:color="77B800" w:themeColor="background2"/>
      </w:pBdr>
      <w:tabs>
        <w:tab w:val="center" w:pos="4253"/>
        <w:tab w:val="right" w:pos="9071"/>
      </w:tabs>
      <w:spacing w:before="240"/>
    </w:pPr>
  </w:style>
  <w:style w:type="character" w:customStyle="1" w:styleId="Footer-EvenPgChar">
    <w:name w:val="Footer - Even Pg Char"/>
    <w:basedOn w:val="FooterChar"/>
    <w:link w:val="Footer-EvenPg"/>
    <w:uiPriority w:val="96"/>
    <w:rsid w:val="004E2F83"/>
    <w:rPr>
      <w:rFonts w:asciiTheme="majorHAnsi" w:hAnsiTheme="majorHAnsi"/>
      <w:sz w:val="18"/>
      <w:lang w:val="en-NZ"/>
    </w:rPr>
  </w:style>
  <w:style w:type="table" w:customStyle="1" w:styleId="ACGreen-BandedTable">
    <w:name w:val="A+C Green - Banded Table"/>
    <w:basedOn w:val="TableNormal"/>
    <w:uiPriority w:val="99"/>
    <w:rsid w:val="004E2F83"/>
    <w:pPr>
      <w:spacing w:after="0" w:line="240" w:lineRule="auto"/>
    </w:pPr>
    <w:rPr>
      <w:rFonts w:asciiTheme="majorHAnsi" w:hAnsiTheme="majorHAnsi"/>
      <w:sz w:val="21"/>
    </w:rPr>
    <w:tblPr>
      <w:tblStyleRowBandSize w:val="1"/>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left w:w="28" w:type="dxa"/>
        <w:bottom w:w="57" w:type="dxa"/>
        <w:right w:w="28" w:type="dxa"/>
      </w:tblCellMar>
    </w:tblPr>
    <w:tblStylePr w:type="firstRow">
      <w:rPr>
        <w:rFonts w:asciiTheme="majorHAnsi" w:hAnsiTheme="majorHAnsi"/>
        <w:color w:val="FFFFFF" w:themeColor="background1"/>
      </w:rPr>
      <w:tblPr>
        <w:tblCellMar>
          <w:top w:w="57" w:type="dxa"/>
          <w:left w:w="28" w:type="dxa"/>
          <w:bottom w:w="57" w:type="dxa"/>
          <w:right w:w="28" w:type="dxa"/>
        </w:tblCellMar>
      </w:tblPr>
      <w:trPr>
        <w:tblHeader/>
      </w:trPr>
      <w:tcPr>
        <w:shd w:val="clear" w:color="auto" w:fill="77B800" w:themeFill="background2"/>
      </w:tcPr>
    </w:tblStylePr>
    <w:tblStylePr w:type="band2Horz">
      <w:tblPr/>
      <w:tcPr>
        <w:shd w:val="clear" w:color="auto" w:fill="E7FFBD" w:themeFill="background2" w:themeFillTint="33"/>
      </w:tcPr>
    </w:tblStylePr>
  </w:style>
  <w:style w:type="character" w:customStyle="1" w:styleId="Footer-OddPageChar">
    <w:name w:val="Footer - Odd Page Char"/>
    <w:basedOn w:val="FooterChar"/>
    <w:link w:val="Footer-OddPage"/>
    <w:uiPriority w:val="96"/>
    <w:rsid w:val="004E2F83"/>
    <w:rPr>
      <w:rFonts w:asciiTheme="majorHAnsi" w:hAnsiTheme="majorHAnsi"/>
      <w:sz w:val="18"/>
      <w:lang w:val="en-NZ"/>
    </w:rPr>
  </w:style>
  <w:style w:type="table" w:styleId="TableGrid">
    <w:name w:val="Table Grid"/>
    <w:basedOn w:val="TableNormal"/>
    <w:uiPriority w:val="59"/>
    <w:rsid w:val="004E2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Green-BasicTable">
    <w:name w:val="A+C Green - Basic Table"/>
    <w:basedOn w:val="TableNormal"/>
    <w:uiPriority w:val="99"/>
    <w:rsid w:val="004E2F83"/>
    <w:pPr>
      <w:spacing w:after="0" w:line="240" w:lineRule="auto"/>
    </w:pPr>
    <w:rPr>
      <w:rFonts w:asciiTheme="majorHAnsi" w:hAnsiTheme="majorHAnsi"/>
      <w:sz w:val="21"/>
    </w:rPr>
    <w:tblPr>
      <w:tblStyleRowBandSize w:val="1"/>
      <w:tblStyleColBandSize w:val="1"/>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left w:w="28" w:type="dxa"/>
        <w:bottom w:w="57" w:type="dxa"/>
        <w:right w:w="28" w:type="dxa"/>
      </w:tblCellMar>
    </w:tblPr>
    <w:tblStylePr w:type="firstRow">
      <w:rPr>
        <w:rFonts w:asciiTheme="majorHAnsi" w:hAnsiTheme="majorHAnsi"/>
        <w:b/>
        <w:color w:val="FFFFFF" w:themeColor="background1"/>
        <w:sz w:val="22"/>
      </w:rPr>
      <w:tblPr/>
      <w:trPr>
        <w:tblHeader/>
      </w:trPr>
      <w:tcPr>
        <w:shd w:val="clear" w:color="auto" w:fill="77B800" w:themeFill="background2"/>
      </w:tcPr>
    </w:tblStylePr>
  </w:style>
  <w:style w:type="paragraph" w:customStyle="1" w:styleId="Table-bullet">
    <w:name w:val="Table - bullet"/>
    <w:basedOn w:val="Normal"/>
    <w:link w:val="Table-bulletChar"/>
    <w:uiPriority w:val="12"/>
    <w:rsid w:val="004E2F83"/>
    <w:pPr>
      <w:numPr>
        <w:numId w:val="1"/>
      </w:numPr>
      <w:tabs>
        <w:tab w:val="left" w:pos="426"/>
      </w:tabs>
      <w:spacing w:after="40"/>
      <w:ind w:left="426"/>
    </w:pPr>
    <w:rPr>
      <w:rFonts w:asciiTheme="majorHAnsi" w:hAnsiTheme="majorHAnsi"/>
      <w:sz w:val="21"/>
      <w:szCs w:val="21"/>
    </w:rPr>
  </w:style>
  <w:style w:type="paragraph" w:customStyle="1" w:styleId="Table-Heading">
    <w:name w:val="Table - Heading"/>
    <w:basedOn w:val="Normal"/>
    <w:next w:val="Table-para"/>
    <w:link w:val="Table-HeadingChar"/>
    <w:uiPriority w:val="11"/>
    <w:rsid w:val="004E2F83"/>
    <w:pPr>
      <w:spacing w:before="40" w:after="40"/>
    </w:pPr>
    <w:rPr>
      <w:rFonts w:asciiTheme="majorHAnsi" w:hAnsiTheme="majorHAnsi"/>
      <w:b/>
      <w:sz w:val="21"/>
      <w:szCs w:val="21"/>
    </w:rPr>
  </w:style>
  <w:style w:type="character" w:customStyle="1" w:styleId="Table-bulletChar">
    <w:name w:val="Table - bullet Char"/>
    <w:basedOn w:val="DefaultParagraphFont"/>
    <w:link w:val="Table-bullet"/>
    <w:uiPriority w:val="12"/>
    <w:rsid w:val="004E2F83"/>
    <w:rPr>
      <w:rFonts w:asciiTheme="majorHAnsi" w:hAnsiTheme="majorHAnsi"/>
      <w:sz w:val="21"/>
      <w:szCs w:val="21"/>
      <w:lang w:val="en-NZ"/>
    </w:rPr>
  </w:style>
  <w:style w:type="paragraph" w:customStyle="1" w:styleId="Table-para">
    <w:name w:val="Table - para"/>
    <w:basedOn w:val="Normal"/>
    <w:link w:val="Table-paraChar"/>
    <w:uiPriority w:val="11"/>
    <w:rsid w:val="004E2F83"/>
    <w:pPr>
      <w:spacing w:after="40"/>
    </w:pPr>
    <w:rPr>
      <w:rFonts w:asciiTheme="majorHAnsi" w:hAnsiTheme="majorHAnsi"/>
      <w:sz w:val="21"/>
      <w:szCs w:val="21"/>
    </w:rPr>
  </w:style>
  <w:style w:type="character" w:customStyle="1" w:styleId="Table-HeadingChar">
    <w:name w:val="Table - Heading Char"/>
    <w:basedOn w:val="DefaultParagraphFont"/>
    <w:link w:val="Table-Heading"/>
    <w:uiPriority w:val="11"/>
    <w:rsid w:val="004E2F83"/>
    <w:rPr>
      <w:rFonts w:asciiTheme="majorHAnsi" w:hAnsiTheme="majorHAnsi"/>
      <w:b/>
      <w:sz w:val="21"/>
      <w:szCs w:val="21"/>
      <w:lang w:val="en-NZ"/>
    </w:rPr>
  </w:style>
  <w:style w:type="character" w:customStyle="1" w:styleId="Table-paraChar">
    <w:name w:val="Table - para Char"/>
    <w:basedOn w:val="DefaultParagraphFont"/>
    <w:link w:val="Table-para"/>
    <w:uiPriority w:val="11"/>
    <w:rsid w:val="004E2F83"/>
    <w:rPr>
      <w:rFonts w:asciiTheme="majorHAnsi" w:hAnsiTheme="majorHAnsi"/>
      <w:sz w:val="21"/>
      <w:szCs w:val="21"/>
      <w:lang w:val="en-NZ"/>
    </w:rPr>
  </w:style>
  <w:style w:type="paragraph" w:styleId="Quote">
    <w:name w:val="Quote"/>
    <w:basedOn w:val="BodyText"/>
    <w:next w:val="BodyText"/>
    <w:link w:val="QuoteChar"/>
    <w:uiPriority w:val="20"/>
    <w:qFormat/>
    <w:rsid w:val="004E2F83"/>
    <w:pPr>
      <w:ind w:left="1134" w:right="1089"/>
    </w:pPr>
    <w:rPr>
      <w:i/>
      <w:iCs/>
      <w:color w:val="000000" w:themeColor="text1"/>
    </w:rPr>
  </w:style>
  <w:style w:type="character" w:customStyle="1" w:styleId="QuoteChar">
    <w:name w:val="Quote Char"/>
    <w:basedOn w:val="DefaultParagraphFont"/>
    <w:link w:val="Quote"/>
    <w:uiPriority w:val="20"/>
    <w:rsid w:val="004E2F83"/>
    <w:rPr>
      <w:i/>
      <w:iCs/>
      <w:color w:val="000000" w:themeColor="text1"/>
      <w:lang w:val="en-NZ"/>
    </w:rPr>
  </w:style>
  <w:style w:type="paragraph" w:styleId="BodyText">
    <w:name w:val="Body Text"/>
    <w:link w:val="BodyTextChar"/>
    <w:qFormat/>
    <w:locked/>
    <w:rsid w:val="004E2F83"/>
    <w:pPr>
      <w:spacing w:before="120" w:after="120" w:line="280" w:lineRule="exact"/>
      <w:jc w:val="both"/>
    </w:pPr>
    <w:rPr>
      <w:lang w:val="en-NZ"/>
    </w:rPr>
  </w:style>
  <w:style w:type="character" w:customStyle="1" w:styleId="BodyTextChar">
    <w:name w:val="Body Text Char"/>
    <w:basedOn w:val="DefaultParagraphFont"/>
    <w:link w:val="BodyText"/>
    <w:rsid w:val="004E2F83"/>
    <w:rPr>
      <w:lang w:val="en-NZ"/>
    </w:rPr>
  </w:style>
  <w:style w:type="paragraph" w:styleId="Caption">
    <w:name w:val="caption"/>
    <w:basedOn w:val="Normal"/>
    <w:next w:val="Normal"/>
    <w:uiPriority w:val="99"/>
    <w:qFormat/>
    <w:rsid w:val="004E2F83"/>
    <w:pPr>
      <w:spacing w:after="120"/>
    </w:pPr>
    <w:rPr>
      <w:b/>
      <w:bCs/>
      <w:color w:val="36424A" w:themeColor="accent1"/>
      <w:sz w:val="18"/>
      <w:szCs w:val="18"/>
    </w:rPr>
  </w:style>
  <w:style w:type="paragraph" w:customStyle="1" w:styleId="Footer-OddpageLANDSCAPE">
    <w:name w:val="Footer - Odd page LANDSCAPE"/>
    <w:basedOn w:val="Footer-OddPage"/>
    <w:link w:val="Footer-OddpageLANDSCAPEChar"/>
    <w:uiPriority w:val="97"/>
    <w:qFormat/>
    <w:rsid w:val="004E2F83"/>
    <w:pPr>
      <w:tabs>
        <w:tab w:val="clear" w:pos="9071"/>
        <w:tab w:val="center" w:pos="7088"/>
        <w:tab w:val="right" w:pos="14003"/>
      </w:tabs>
    </w:pPr>
  </w:style>
  <w:style w:type="character" w:customStyle="1" w:styleId="Footer-OddpageLANDSCAPEChar">
    <w:name w:val="Footer - Odd page LANDSCAPE Char"/>
    <w:basedOn w:val="Footer-OddPageChar"/>
    <w:link w:val="Footer-OddpageLANDSCAPE"/>
    <w:uiPriority w:val="97"/>
    <w:rsid w:val="004E2F83"/>
    <w:rPr>
      <w:rFonts w:asciiTheme="majorHAnsi" w:hAnsiTheme="majorHAnsi"/>
      <w:sz w:val="18"/>
      <w:lang w:val="en-NZ"/>
    </w:rPr>
  </w:style>
  <w:style w:type="character" w:customStyle="1" w:styleId="Subheader">
    <w:name w:val="Sub header"/>
    <w:uiPriority w:val="99"/>
    <w:semiHidden/>
    <w:rsid w:val="004E2F83"/>
    <w:rPr>
      <w:rFonts w:ascii="NexusMixPro-Bold" w:hAnsi="NexusMixPro-Bold" w:cs="NexusMixPro-Bold"/>
      <w:b/>
      <w:bCs/>
      <w:color w:val="4B565E"/>
      <w:sz w:val="28"/>
      <w:szCs w:val="28"/>
    </w:rPr>
  </w:style>
  <w:style w:type="character" w:customStyle="1" w:styleId="Subsub">
    <w:name w:val="Sub sub"/>
    <w:uiPriority w:val="99"/>
    <w:semiHidden/>
    <w:rsid w:val="004E2F83"/>
    <w:rPr>
      <w:rFonts w:ascii="AvenirLTStd-Book" w:hAnsi="AvenirLTStd-Book" w:cs="AvenirLTStd-Book"/>
      <w:color w:val="373F45"/>
      <w:sz w:val="26"/>
      <w:szCs w:val="26"/>
    </w:rPr>
  </w:style>
  <w:style w:type="paragraph" w:styleId="NormalWeb">
    <w:name w:val="Normal (Web)"/>
    <w:basedOn w:val="Normal"/>
    <w:uiPriority w:val="99"/>
    <w:unhideWhenUsed/>
    <w:rsid w:val="004E2F83"/>
    <w:pPr>
      <w:spacing w:before="100" w:beforeAutospacing="1" w:after="100" w:afterAutospacing="1"/>
    </w:pPr>
    <w:rPr>
      <w:rFonts w:ascii="Times New Roman" w:eastAsiaTheme="minorEastAsia" w:hAnsi="Times New Roman" w:cs="Times New Roman"/>
      <w:sz w:val="24"/>
      <w:szCs w:val="24"/>
      <w:lang w:eastAsia="en-NZ"/>
    </w:rPr>
  </w:style>
  <w:style w:type="table" w:styleId="LightList-Accent2">
    <w:name w:val="Light List Accent 2"/>
    <w:basedOn w:val="TableNormal"/>
    <w:uiPriority w:val="61"/>
    <w:rsid w:val="004E2F83"/>
    <w:pPr>
      <w:spacing w:after="0" w:line="240" w:lineRule="auto"/>
    </w:pPr>
    <w:tblPr>
      <w:tblStyleRowBandSize w:val="1"/>
      <w:tblStyleColBandSize w:val="1"/>
      <w:tblBorders>
        <w:top w:val="single" w:sz="8" w:space="0" w:color="77B800" w:themeColor="accent2"/>
        <w:left w:val="single" w:sz="8" w:space="0" w:color="77B800" w:themeColor="accent2"/>
        <w:bottom w:val="single" w:sz="8" w:space="0" w:color="77B800" w:themeColor="accent2"/>
        <w:right w:val="single" w:sz="8" w:space="0" w:color="77B800" w:themeColor="accent2"/>
      </w:tblBorders>
    </w:tblPr>
    <w:tblStylePr w:type="firstRow">
      <w:pPr>
        <w:spacing w:before="0" w:after="0" w:line="240" w:lineRule="auto"/>
      </w:pPr>
      <w:rPr>
        <w:b/>
        <w:bCs/>
        <w:color w:val="FFFFFF" w:themeColor="background1"/>
      </w:rPr>
      <w:tblPr/>
      <w:tcPr>
        <w:shd w:val="clear" w:color="auto" w:fill="77B800" w:themeFill="accent2"/>
      </w:tcPr>
    </w:tblStylePr>
    <w:tblStylePr w:type="lastRow">
      <w:pPr>
        <w:spacing w:before="0" w:after="0" w:line="240" w:lineRule="auto"/>
      </w:pPr>
      <w:rPr>
        <w:b/>
        <w:bCs/>
      </w:rPr>
      <w:tblPr/>
      <w:tcPr>
        <w:tcBorders>
          <w:top w:val="double" w:sz="6" w:space="0" w:color="77B800" w:themeColor="accent2"/>
          <w:left w:val="single" w:sz="8" w:space="0" w:color="77B800" w:themeColor="accent2"/>
          <w:bottom w:val="single" w:sz="8" w:space="0" w:color="77B800" w:themeColor="accent2"/>
          <w:right w:val="single" w:sz="8" w:space="0" w:color="77B800" w:themeColor="accent2"/>
        </w:tcBorders>
      </w:tcPr>
    </w:tblStylePr>
    <w:tblStylePr w:type="firstCol">
      <w:rPr>
        <w:b/>
        <w:bCs/>
      </w:rPr>
    </w:tblStylePr>
    <w:tblStylePr w:type="lastCol">
      <w:rPr>
        <w:b/>
        <w:bCs/>
      </w:rPr>
    </w:tblStylePr>
    <w:tblStylePr w:type="band1Vert">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tblStylePr w:type="band1Horz">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style>
  <w:style w:type="character" w:styleId="PlaceholderText">
    <w:name w:val="Placeholder Text"/>
    <w:basedOn w:val="DefaultParagraphFont"/>
    <w:uiPriority w:val="99"/>
    <w:semiHidden/>
    <w:rsid w:val="004E2F83"/>
    <w:rPr>
      <w:color w:val="808080"/>
    </w:rPr>
  </w:style>
  <w:style w:type="paragraph" w:styleId="ListBullet">
    <w:name w:val="List Bullet"/>
    <w:basedOn w:val="List-BulletLvl1"/>
    <w:uiPriority w:val="99"/>
    <w:semiHidden/>
    <w:rsid w:val="004E2F83"/>
  </w:style>
  <w:style w:type="paragraph" w:styleId="ListBullet2">
    <w:name w:val="List Bullet 2"/>
    <w:basedOn w:val="List-BulletLvl2"/>
    <w:uiPriority w:val="99"/>
    <w:semiHidden/>
    <w:rsid w:val="004E2F83"/>
  </w:style>
  <w:style w:type="paragraph" w:styleId="ListNumber">
    <w:name w:val="List Number"/>
    <w:basedOn w:val="List-AlphanumericLvl1"/>
    <w:next w:val="ListNumber2"/>
    <w:link w:val="ListNumberChar"/>
    <w:uiPriority w:val="99"/>
    <w:semiHidden/>
    <w:rsid w:val="004E2F83"/>
  </w:style>
  <w:style w:type="paragraph" w:styleId="ListNumber2">
    <w:name w:val="List Number 2"/>
    <w:basedOn w:val="List-AlphanumericLvl2"/>
    <w:next w:val="ListNumber3"/>
    <w:uiPriority w:val="99"/>
    <w:semiHidden/>
    <w:rsid w:val="004E2F83"/>
  </w:style>
  <w:style w:type="paragraph" w:styleId="ListNumber3">
    <w:name w:val="List Number 3"/>
    <w:basedOn w:val="List-AlphanumericLvl3"/>
    <w:uiPriority w:val="99"/>
    <w:semiHidden/>
    <w:rsid w:val="004E2F83"/>
  </w:style>
  <w:style w:type="paragraph" w:styleId="ListBullet3">
    <w:name w:val="List Bullet 3"/>
    <w:basedOn w:val="Normal"/>
    <w:link w:val="ListBullet3Char"/>
    <w:uiPriority w:val="99"/>
    <w:semiHidden/>
    <w:rsid w:val="004E2F83"/>
    <w:pPr>
      <w:numPr>
        <w:numId w:val="4"/>
      </w:numPr>
      <w:spacing w:before="120" w:after="120"/>
      <w:ind w:left="1985" w:hanging="567"/>
    </w:pPr>
  </w:style>
  <w:style w:type="paragraph" w:customStyle="1" w:styleId="List-BulletLvl3">
    <w:name w:val="List - Bullet Lvl 3"/>
    <w:basedOn w:val="BodyText"/>
    <w:link w:val="List-BulletLvl3Char"/>
    <w:uiPriority w:val="4"/>
    <w:rsid w:val="004E2F83"/>
    <w:pPr>
      <w:numPr>
        <w:ilvl w:val="2"/>
        <w:numId w:val="6"/>
      </w:numPr>
    </w:pPr>
  </w:style>
  <w:style w:type="paragraph" w:customStyle="1" w:styleId="CV-Heading2">
    <w:name w:val="CV - Heading 2"/>
    <w:basedOn w:val="Heading5"/>
    <w:next w:val="BodyText"/>
    <w:link w:val="CV-Heading2Char"/>
    <w:uiPriority w:val="11"/>
    <w:qFormat/>
    <w:rsid w:val="004E2F83"/>
    <w:pPr>
      <w:spacing w:before="360"/>
      <w:outlineLvl w:val="9"/>
    </w:pPr>
    <w:rPr>
      <w:b/>
      <w:i w:val="0"/>
    </w:rPr>
  </w:style>
  <w:style w:type="character" w:customStyle="1" w:styleId="ListBullet3Char">
    <w:name w:val="List Bullet 3 Char"/>
    <w:basedOn w:val="List-BulletLvl2Char"/>
    <w:link w:val="ListBullet3"/>
    <w:uiPriority w:val="99"/>
    <w:semiHidden/>
    <w:rsid w:val="004E2F83"/>
    <w:rPr>
      <w:lang w:val="en-NZ"/>
    </w:rPr>
  </w:style>
  <w:style w:type="character" w:customStyle="1" w:styleId="List-BulletLvl3Char">
    <w:name w:val="List - Bullet Lvl 3 Char"/>
    <w:basedOn w:val="ListBullet3Char"/>
    <w:link w:val="List-BulletLvl3"/>
    <w:uiPriority w:val="4"/>
    <w:rsid w:val="004E2F83"/>
    <w:rPr>
      <w:lang w:val="en-NZ"/>
    </w:rPr>
  </w:style>
  <w:style w:type="character" w:customStyle="1" w:styleId="CV-Heading2Char">
    <w:name w:val="CV - Heading 2 Char"/>
    <w:basedOn w:val="Heading5Char"/>
    <w:link w:val="CV-Heading2"/>
    <w:uiPriority w:val="11"/>
    <w:rsid w:val="004E2F83"/>
    <w:rPr>
      <w:rFonts w:asciiTheme="majorHAnsi" w:hAnsiTheme="majorHAnsi"/>
      <w:b/>
      <w:i w:val="0"/>
      <w:color w:val="36424A" w:themeColor="text2"/>
      <w:lang w:val="en-NZ"/>
    </w:rPr>
  </w:style>
  <w:style w:type="table" w:customStyle="1" w:styleId="ACGrey-BasicTable">
    <w:name w:val="A+C Grey - Basic Table"/>
    <w:basedOn w:val="TableNormal"/>
    <w:uiPriority w:val="99"/>
    <w:rsid w:val="004E2F83"/>
    <w:pPr>
      <w:spacing w:after="0" w:line="240" w:lineRule="auto"/>
    </w:pPr>
    <w:rPr>
      <w:rFonts w:asciiTheme="majorHAnsi" w:hAnsiTheme="majorHAnsi"/>
      <w:sz w:val="21"/>
    </w:rPr>
    <w:tblPr>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57" w:type="dxa"/>
        <w:left w:w="28" w:type="dxa"/>
        <w:bottom w:w="57" w:type="dxa"/>
        <w:right w:w="28" w:type="dxa"/>
      </w:tblCellMar>
    </w:tblPr>
    <w:tblStylePr w:type="firstRow">
      <w:rPr>
        <w:rFonts w:asciiTheme="majorHAnsi" w:hAnsiTheme="majorHAnsi"/>
        <w:b/>
        <w:color w:val="FFFFFF" w:themeColor="background1"/>
        <w:sz w:val="20"/>
      </w:rPr>
      <w:tblPr/>
      <w:trPr>
        <w:cantSplit/>
        <w:tblHeader/>
      </w:trPr>
      <w:tcPr>
        <w:shd w:val="clear" w:color="auto" w:fill="36424A" w:themeFill="text2"/>
      </w:tcPr>
    </w:tblStylePr>
  </w:style>
  <w:style w:type="table" w:customStyle="1" w:styleId="ACGrey-BandedTable">
    <w:name w:val="A+C Grey - Banded Table"/>
    <w:basedOn w:val="TableNormal"/>
    <w:uiPriority w:val="99"/>
    <w:rsid w:val="004E2F83"/>
    <w:pPr>
      <w:spacing w:after="0" w:line="240" w:lineRule="auto"/>
    </w:pPr>
    <w:rPr>
      <w:rFonts w:asciiTheme="majorHAnsi" w:hAnsiTheme="majorHAnsi"/>
      <w:sz w:val="21"/>
    </w:rPr>
    <w:tblPr>
      <w:tblStyleRowBandSize w:val="1"/>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57" w:type="dxa"/>
        <w:left w:w="28" w:type="dxa"/>
        <w:bottom w:w="57" w:type="dxa"/>
        <w:right w:w="28" w:type="dxa"/>
      </w:tblCellMar>
    </w:tblPr>
    <w:tcPr>
      <w:shd w:val="clear" w:color="auto" w:fill="auto"/>
    </w:tcPr>
    <w:tblStylePr w:type="firstRow">
      <w:rPr>
        <w:rFonts w:asciiTheme="majorHAnsi" w:hAnsiTheme="majorHAnsi"/>
        <w:color w:val="FFFFFF" w:themeColor="background1"/>
      </w:rPr>
      <w:tblPr/>
      <w:tcPr>
        <w:shd w:val="clear" w:color="auto" w:fill="36424A" w:themeFill="text2"/>
      </w:tcPr>
    </w:tblStylePr>
    <w:tblStylePr w:type="band2Horz">
      <w:rPr>
        <w:color w:val="auto"/>
      </w:rPr>
      <w:tblPr/>
      <w:tcPr>
        <w:shd w:val="clear" w:color="auto" w:fill="D2D9DE" w:themeFill="text2" w:themeFillTint="33"/>
      </w:tcPr>
    </w:tblStylePr>
  </w:style>
  <w:style w:type="character" w:customStyle="1" w:styleId="ListNumberChar">
    <w:name w:val="List Number Char"/>
    <w:basedOn w:val="List-AlphanumericLvl1Char"/>
    <w:link w:val="ListNumber"/>
    <w:uiPriority w:val="99"/>
    <w:semiHidden/>
    <w:rsid w:val="004E2F83"/>
    <w:rPr>
      <w:lang w:val="en-NZ"/>
    </w:rPr>
  </w:style>
  <w:style w:type="numbering" w:customStyle="1" w:styleId="ACBulletLvl1">
    <w:name w:val="A+C Bullet Lvl 1"/>
    <w:uiPriority w:val="99"/>
    <w:rsid w:val="008137D2"/>
    <w:pPr>
      <w:numPr>
        <w:numId w:val="5"/>
      </w:numPr>
    </w:pPr>
  </w:style>
  <w:style w:type="numbering" w:customStyle="1" w:styleId="ACBullets">
    <w:name w:val="A+C Bullets"/>
    <w:uiPriority w:val="99"/>
    <w:rsid w:val="002A78C5"/>
    <w:pPr>
      <w:numPr>
        <w:numId w:val="7"/>
      </w:numPr>
    </w:pPr>
  </w:style>
  <w:style w:type="character" w:styleId="Emphasis">
    <w:name w:val="Emphasis"/>
    <w:basedOn w:val="DefaultParagraphFont"/>
    <w:uiPriority w:val="20"/>
    <w:qFormat/>
    <w:rsid w:val="004E2F83"/>
    <w:rPr>
      <w:i/>
      <w:iCs/>
    </w:rPr>
  </w:style>
  <w:style w:type="character" w:styleId="Strong">
    <w:name w:val="Strong"/>
    <w:aliases w:val="heading 2"/>
    <w:basedOn w:val="DefaultParagraphFont"/>
    <w:uiPriority w:val="22"/>
    <w:qFormat/>
    <w:rsid w:val="004E2F83"/>
    <w:rPr>
      <w:b/>
      <w:bCs/>
    </w:rPr>
  </w:style>
  <w:style w:type="paragraph" w:styleId="TableofFigures">
    <w:name w:val="table of figures"/>
    <w:basedOn w:val="BodyText"/>
    <w:next w:val="Normal"/>
    <w:uiPriority w:val="99"/>
    <w:unhideWhenUsed/>
    <w:rsid w:val="004E2F83"/>
    <w:pPr>
      <w:tabs>
        <w:tab w:val="right" w:pos="9072"/>
      </w:tabs>
    </w:pPr>
    <w:rPr>
      <w:rFonts w:asciiTheme="majorHAnsi" w:hAnsiTheme="majorHAnsi"/>
    </w:rPr>
  </w:style>
  <w:style w:type="paragraph" w:styleId="FootnoteText">
    <w:name w:val="footnote text"/>
    <w:basedOn w:val="Normal"/>
    <w:link w:val="FootnoteTextChar"/>
    <w:autoRedefine/>
    <w:uiPriority w:val="14"/>
    <w:rsid w:val="004E2F83"/>
    <w:pPr>
      <w:spacing w:after="0" w:line="240" w:lineRule="auto"/>
    </w:pPr>
    <w:rPr>
      <w:sz w:val="16"/>
      <w:szCs w:val="20"/>
    </w:rPr>
  </w:style>
  <w:style w:type="character" w:customStyle="1" w:styleId="FootnoteTextChar">
    <w:name w:val="Footnote Text Char"/>
    <w:basedOn w:val="DefaultParagraphFont"/>
    <w:link w:val="FootnoteText"/>
    <w:uiPriority w:val="14"/>
    <w:rsid w:val="004E2F83"/>
    <w:rPr>
      <w:sz w:val="16"/>
      <w:szCs w:val="20"/>
      <w:lang w:val="en-NZ"/>
    </w:rPr>
  </w:style>
  <w:style w:type="character" w:styleId="FootnoteReference">
    <w:name w:val="footnote reference"/>
    <w:basedOn w:val="DefaultParagraphFont"/>
    <w:uiPriority w:val="99"/>
    <w:semiHidden/>
    <w:unhideWhenUsed/>
    <w:rsid w:val="004E2F83"/>
    <w:rPr>
      <w:vertAlign w:val="superscript"/>
    </w:rPr>
  </w:style>
  <w:style w:type="paragraph" w:customStyle="1" w:styleId="Footer-OddPg-RomanNumerals">
    <w:name w:val="Footer - Odd Pg - Roman Numerals"/>
    <w:basedOn w:val="Footer-OddPage"/>
    <w:link w:val="Footer-OddPg-RomanNumeralsChar"/>
    <w:uiPriority w:val="98"/>
    <w:qFormat/>
    <w:rsid w:val="004E2F83"/>
    <w:pPr>
      <w:pBdr>
        <w:top w:val="single" w:sz="4" w:space="1" w:color="77B800" w:themeColor="background2"/>
      </w:pBdr>
    </w:pPr>
  </w:style>
  <w:style w:type="paragraph" w:customStyle="1" w:styleId="Footer-EvenPg-RomanNumeral">
    <w:name w:val="Footer - Even Pg - Roman Numeral"/>
    <w:basedOn w:val="Footer-EvenPg"/>
    <w:link w:val="Footer-EvenPg-RomanNumeralChar"/>
    <w:uiPriority w:val="98"/>
    <w:qFormat/>
    <w:rsid w:val="004E2F83"/>
    <w:pPr>
      <w:pBdr>
        <w:top w:val="single" w:sz="4" w:space="1" w:color="77B800" w:themeColor="background2"/>
      </w:pBdr>
    </w:pPr>
  </w:style>
  <w:style w:type="character" w:customStyle="1" w:styleId="Footer-OddPg-RomanNumeralsChar">
    <w:name w:val="Footer - Odd Pg - Roman Numerals Char"/>
    <w:basedOn w:val="Footer-OddPageChar"/>
    <w:link w:val="Footer-OddPg-RomanNumerals"/>
    <w:uiPriority w:val="98"/>
    <w:rsid w:val="004E2F83"/>
    <w:rPr>
      <w:rFonts w:asciiTheme="majorHAnsi" w:hAnsiTheme="majorHAnsi"/>
      <w:sz w:val="18"/>
      <w:lang w:val="en-NZ"/>
    </w:rPr>
  </w:style>
  <w:style w:type="paragraph" w:customStyle="1" w:styleId="Footer-EvenPg-LANDSCAPE">
    <w:name w:val="Footer - Even Pg - LANDSCAPE"/>
    <w:basedOn w:val="Footer-EvenPg"/>
    <w:link w:val="Footer-EvenPg-LANDSCAPEChar"/>
    <w:uiPriority w:val="97"/>
    <w:qFormat/>
    <w:rsid w:val="004E2F83"/>
    <w:pPr>
      <w:pBdr>
        <w:top w:val="single" w:sz="4" w:space="0" w:color="77B800" w:themeColor="background2"/>
      </w:pBdr>
    </w:pPr>
  </w:style>
  <w:style w:type="character" w:customStyle="1" w:styleId="Footer-EvenPg-RomanNumeralChar">
    <w:name w:val="Footer - Even Pg - Roman Numeral Char"/>
    <w:basedOn w:val="Footer-EvenPgChar"/>
    <w:link w:val="Footer-EvenPg-RomanNumeral"/>
    <w:uiPriority w:val="98"/>
    <w:rsid w:val="004E2F83"/>
    <w:rPr>
      <w:rFonts w:asciiTheme="majorHAnsi" w:hAnsiTheme="majorHAnsi"/>
      <w:sz w:val="18"/>
      <w:lang w:val="en-NZ"/>
    </w:rPr>
  </w:style>
  <w:style w:type="character" w:customStyle="1" w:styleId="Footer-EvenPg-LANDSCAPEChar">
    <w:name w:val="Footer - Even Pg - LANDSCAPE Char"/>
    <w:basedOn w:val="Footer-EvenPgChar"/>
    <w:link w:val="Footer-EvenPg-LANDSCAPE"/>
    <w:uiPriority w:val="97"/>
    <w:rsid w:val="004E2F83"/>
    <w:rPr>
      <w:rFonts w:asciiTheme="majorHAnsi" w:hAnsiTheme="majorHAnsi"/>
      <w:sz w:val="18"/>
      <w:lang w:val="en-NZ"/>
    </w:rPr>
  </w:style>
  <w:style w:type="paragraph" w:customStyle="1" w:styleId="GreenTextBox">
    <w:name w:val="Green Text Box"/>
    <w:basedOn w:val="BodyText"/>
    <w:next w:val="BodyText"/>
    <w:link w:val="GreenTextBoxChar"/>
    <w:uiPriority w:val="1"/>
    <w:qFormat/>
    <w:rsid w:val="004E2F83"/>
    <w:pPr>
      <w:pBdr>
        <w:top w:val="single" w:sz="4" w:space="3" w:color="77B800" w:themeColor="background2"/>
        <w:left w:val="single" w:sz="4" w:space="6" w:color="77B800" w:themeColor="background2"/>
        <w:bottom w:val="single" w:sz="4" w:space="3" w:color="77B800" w:themeColor="background2"/>
        <w:right w:val="single" w:sz="4" w:space="6" w:color="77B800" w:themeColor="background2"/>
      </w:pBdr>
      <w:shd w:val="clear" w:color="auto" w:fill="77B800" w:themeFill="background2"/>
      <w:ind w:left="142" w:right="140"/>
    </w:pPr>
    <w:rPr>
      <w:i/>
      <w:color w:val="FFFFFF" w:themeColor="background1"/>
    </w:rPr>
  </w:style>
  <w:style w:type="paragraph" w:customStyle="1" w:styleId="Heading1-NOTinTOC">
    <w:name w:val="Heading 1 - NOT in TOC"/>
    <w:basedOn w:val="Heading1"/>
    <w:next w:val="BodyText"/>
    <w:link w:val="Heading1-NOTinTOCChar"/>
    <w:uiPriority w:val="13"/>
    <w:qFormat/>
    <w:rsid w:val="004E2F83"/>
    <w:pPr>
      <w:outlineLvl w:val="9"/>
    </w:pPr>
  </w:style>
  <w:style w:type="character" w:customStyle="1" w:styleId="GreenTextBoxChar">
    <w:name w:val="Green Text Box Char"/>
    <w:basedOn w:val="BodyTextChar"/>
    <w:link w:val="GreenTextBox"/>
    <w:uiPriority w:val="1"/>
    <w:rsid w:val="004E2F83"/>
    <w:rPr>
      <w:i/>
      <w:color w:val="FFFFFF" w:themeColor="background1"/>
      <w:shd w:val="clear" w:color="auto" w:fill="77B800" w:themeFill="background2"/>
      <w:lang w:val="en-NZ"/>
    </w:rPr>
  </w:style>
  <w:style w:type="paragraph" w:customStyle="1" w:styleId="Heading2-NOTinTOC">
    <w:name w:val="Heading 2 - NOT in TOC"/>
    <w:basedOn w:val="Heading2"/>
    <w:next w:val="BodyText"/>
    <w:link w:val="Heading2-NOTinTOCChar"/>
    <w:uiPriority w:val="13"/>
    <w:qFormat/>
    <w:rsid w:val="004E2F83"/>
    <w:pPr>
      <w:outlineLvl w:val="9"/>
    </w:pPr>
  </w:style>
  <w:style w:type="character" w:customStyle="1" w:styleId="Heading1-NOTinTOCChar">
    <w:name w:val="Heading 1 - NOT in TOC Char"/>
    <w:basedOn w:val="Heading1Char"/>
    <w:link w:val="Heading1-NOTinTOC"/>
    <w:uiPriority w:val="13"/>
    <w:rsid w:val="004E2F83"/>
    <w:rPr>
      <w:rFonts w:asciiTheme="majorHAnsi" w:hAnsiTheme="majorHAnsi"/>
      <w:b/>
      <w:caps/>
      <w:color w:val="36424A" w:themeColor="text2"/>
      <w:sz w:val="28"/>
      <w:lang w:val="en-NZ"/>
    </w:rPr>
  </w:style>
  <w:style w:type="paragraph" w:customStyle="1" w:styleId="Heading3-NOTinTOC">
    <w:name w:val="Heading 3 - NOT in TOC"/>
    <w:basedOn w:val="Heading3"/>
    <w:next w:val="BodyText"/>
    <w:link w:val="Heading3-NOTinTOCChar"/>
    <w:uiPriority w:val="13"/>
    <w:qFormat/>
    <w:rsid w:val="004E2F83"/>
    <w:pPr>
      <w:outlineLvl w:val="9"/>
    </w:pPr>
  </w:style>
  <w:style w:type="character" w:customStyle="1" w:styleId="Heading2-NOTinTOCChar">
    <w:name w:val="Heading 2 - NOT in TOC Char"/>
    <w:basedOn w:val="Heading2Char"/>
    <w:link w:val="Heading2-NOTinTOC"/>
    <w:uiPriority w:val="13"/>
    <w:rsid w:val="004E2F83"/>
    <w:rPr>
      <w:rFonts w:asciiTheme="majorHAnsi" w:hAnsiTheme="majorHAnsi"/>
      <w:b/>
      <w:color w:val="36424A" w:themeColor="text2"/>
      <w:sz w:val="28"/>
      <w:lang w:val="en-NZ"/>
    </w:rPr>
  </w:style>
  <w:style w:type="character" w:customStyle="1" w:styleId="Heading3-NOTinTOCChar">
    <w:name w:val="Heading 3 - NOT in TOC Char"/>
    <w:basedOn w:val="Heading3Char"/>
    <w:link w:val="Heading3-NOTinTOC"/>
    <w:uiPriority w:val="13"/>
    <w:rsid w:val="004E2F83"/>
    <w:rPr>
      <w:rFonts w:asciiTheme="majorHAnsi" w:hAnsiTheme="majorHAnsi"/>
      <w:b/>
      <w:color w:val="36424A" w:themeColor="text2"/>
      <w:sz w:val="24"/>
      <w:lang w:val="en-NZ"/>
    </w:rPr>
  </w:style>
  <w:style w:type="paragraph" w:customStyle="1" w:styleId="Table">
    <w:name w:val="Table"/>
    <w:basedOn w:val="Normal"/>
    <w:qFormat/>
    <w:rsid w:val="008C4946"/>
    <w:pPr>
      <w:keepNext/>
      <w:spacing w:before="120" w:after="120" w:line="264" w:lineRule="auto"/>
    </w:pPr>
    <w:rPr>
      <w:rFonts w:ascii="Georgia" w:eastAsia="Times New Roman" w:hAnsi="Georgia" w:cs="Times New Roman"/>
      <w:b/>
      <w:sz w:val="20"/>
      <w:szCs w:val="20"/>
      <w:lang w:eastAsia="en-GB"/>
    </w:rPr>
  </w:style>
  <w:style w:type="paragraph" w:customStyle="1" w:styleId="TableText">
    <w:name w:val="TableText"/>
    <w:basedOn w:val="Normal"/>
    <w:link w:val="TableTextChar"/>
    <w:qFormat/>
    <w:rsid w:val="008C4946"/>
    <w:pPr>
      <w:spacing w:before="60" w:after="60" w:line="240" w:lineRule="auto"/>
    </w:pPr>
    <w:rPr>
      <w:rFonts w:ascii="Arial" w:eastAsia="Times New Roman" w:hAnsi="Arial" w:cs="Times New Roman"/>
      <w:sz w:val="18"/>
      <w:szCs w:val="20"/>
      <w:lang w:eastAsia="en-GB"/>
    </w:rPr>
  </w:style>
  <w:style w:type="character" w:customStyle="1" w:styleId="TableTextChar">
    <w:name w:val="TableText Char"/>
    <w:link w:val="TableText"/>
    <w:rsid w:val="008C4946"/>
    <w:rPr>
      <w:rFonts w:ascii="Arial" w:eastAsia="Times New Roman" w:hAnsi="Arial" w:cs="Times New Roman"/>
      <w:sz w:val="18"/>
      <w:szCs w:val="20"/>
      <w:lang w:val="en-NZ" w:eastAsia="en-GB"/>
    </w:rPr>
  </w:style>
  <w:style w:type="table" w:customStyle="1" w:styleId="GridTable2-Accent41">
    <w:name w:val="Grid Table 2 - Accent 41"/>
    <w:basedOn w:val="TableNormal"/>
    <w:uiPriority w:val="47"/>
    <w:rsid w:val="00664A55"/>
    <w:pPr>
      <w:spacing w:after="0" w:line="240" w:lineRule="auto"/>
    </w:pPr>
    <w:tblPr>
      <w:tblStyleRowBandSize w:val="1"/>
      <w:tblStyleColBandSize w:val="1"/>
      <w:tblBorders>
        <w:top w:val="single" w:sz="2" w:space="0" w:color="B9FF3B" w:themeColor="accent4" w:themeTint="99"/>
        <w:bottom w:val="single" w:sz="2" w:space="0" w:color="B9FF3B" w:themeColor="accent4" w:themeTint="99"/>
        <w:insideH w:val="single" w:sz="2" w:space="0" w:color="B9FF3B" w:themeColor="accent4" w:themeTint="99"/>
        <w:insideV w:val="single" w:sz="2" w:space="0" w:color="B9FF3B" w:themeColor="accent4" w:themeTint="99"/>
      </w:tblBorders>
    </w:tblPr>
    <w:tblStylePr w:type="firstRow">
      <w:rPr>
        <w:b/>
        <w:bCs/>
      </w:rPr>
      <w:tblPr/>
      <w:tcPr>
        <w:tcBorders>
          <w:top w:val="nil"/>
          <w:bottom w:val="single" w:sz="12" w:space="0" w:color="B9FF3B" w:themeColor="accent4" w:themeTint="99"/>
          <w:insideH w:val="nil"/>
          <w:insideV w:val="nil"/>
        </w:tcBorders>
        <w:shd w:val="clear" w:color="auto" w:fill="FFFFFF" w:themeFill="background1"/>
      </w:tcPr>
    </w:tblStylePr>
    <w:tblStylePr w:type="lastRow">
      <w:rPr>
        <w:b/>
        <w:bCs/>
      </w:rPr>
      <w:tblPr/>
      <w:tcPr>
        <w:tcBorders>
          <w:top w:val="double" w:sz="2" w:space="0" w:color="B9FF3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FBD" w:themeFill="accent4" w:themeFillTint="33"/>
      </w:tcPr>
    </w:tblStylePr>
    <w:tblStylePr w:type="band1Horz">
      <w:tblPr/>
      <w:tcPr>
        <w:shd w:val="clear" w:color="auto" w:fill="E7FFBD" w:themeFill="accent4" w:themeFillTint="33"/>
      </w:tcPr>
    </w:tblStylePr>
  </w:style>
  <w:style w:type="character" w:styleId="CommentReference">
    <w:name w:val="annotation reference"/>
    <w:basedOn w:val="DefaultParagraphFont"/>
    <w:uiPriority w:val="99"/>
    <w:semiHidden/>
    <w:unhideWhenUsed/>
    <w:rsid w:val="00664A55"/>
    <w:rPr>
      <w:sz w:val="16"/>
      <w:szCs w:val="16"/>
    </w:rPr>
  </w:style>
  <w:style w:type="paragraph" w:styleId="CommentText">
    <w:name w:val="annotation text"/>
    <w:basedOn w:val="Normal"/>
    <w:link w:val="CommentTextChar"/>
    <w:uiPriority w:val="99"/>
    <w:unhideWhenUsed/>
    <w:rsid w:val="00664A55"/>
    <w:pPr>
      <w:spacing w:line="240" w:lineRule="auto"/>
    </w:pPr>
    <w:rPr>
      <w:sz w:val="20"/>
      <w:szCs w:val="20"/>
    </w:rPr>
  </w:style>
  <w:style w:type="character" w:customStyle="1" w:styleId="CommentTextChar">
    <w:name w:val="Comment Text Char"/>
    <w:basedOn w:val="DefaultParagraphFont"/>
    <w:link w:val="CommentText"/>
    <w:uiPriority w:val="99"/>
    <w:rsid w:val="00664A55"/>
    <w:rPr>
      <w:sz w:val="20"/>
      <w:szCs w:val="20"/>
      <w:lang w:val="en-NZ"/>
    </w:rPr>
  </w:style>
  <w:style w:type="paragraph" w:styleId="CommentSubject">
    <w:name w:val="annotation subject"/>
    <w:basedOn w:val="CommentText"/>
    <w:next w:val="CommentText"/>
    <w:link w:val="CommentSubjectChar"/>
    <w:uiPriority w:val="99"/>
    <w:semiHidden/>
    <w:unhideWhenUsed/>
    <w:rsid w:val="00AA28DC"/>
    <w:rPr>
      <w:b/>
      <w:bCs/>
    </w:rPr>
  </w:style>
  <w:style w:type="character" w:customStyle="1" w:styleId="CommentSubjectChar">
    <w:name w:val="Comment Subject Char"/>
    <w:basedOn w:val="CommentTextChar"/>
    <w:link w:val="CommentSubject"/>
    <w:uiPriority w:val="99"/>
    <w:semiHidden/>
    <w:rsid w:val="00AA28DC"/>
    <w:rPr>
      <w:b/>
      <w:bCs/>
      <w:sz w:val="20"/>
      <w:szCs w:val="20"/>
      <w:lang w:val="en-NZ"/>
    </w:rPr>
  </w:style>
  <w:style w:type="paragraph" w:customStyle="1" w:styleId="FootnoteText1">
    <w:name w:val="Footnote Text1"/>
    <w:basedOn w:val="Normal"/>
    <w:next w:val="FootnoteText"/>
    <w:uiPriority w:val="99"/>
    <w:rsid w:val="00202BE6"/>
    <w:pPr>
      <w:spacing w:after="0" w:line="240" w:lineRule="auto"/>
    </w:pPr>
    <w:rPr>
      <w:sz w:val="20"/>
      <w:szCs w:val="20"/>
    </w:rPr>
  </w:style>
  <w:style w:type="paragraph" w:customStyle="1" w:styleId="Default">
    <w:name w:val="Default"/>
    <w:rsid w:val="00C01081"/>
    <w:pPr>
      <w:autoSpaceDE w:val="0"/>
      <w:autoSpaceDN w:val="0"/>
      <w:adjustRightInd w:val="0"/>
      <w:spacing w:after="0" w:line="240" w:lineRule="auto"/>
    </w:pPr>
    <w:rPr>
      <w:rFonts w:ascii="Arial" w:hAnsi="Arial" w:cs="Arial"/>
      <w:color w:val="000000"/>
      <w:sz w:val="24"/>
      <w:szCs w:val="24"/>
      <w:lang w:val="en-NZ"/>
    </w:rPr>
  </w:style>
  <w:style w:type="paragraph" w:styleId="EndnoteText">
    <w:name w:val="endnote text"/>
    <w:basedOn w:val="Normal"/>
    <w:link w:val="EndnoteTextChar"/>
    <w:uiPriority w:val="99"/>
    <w:semiHidden/>
    <w:unhideWhenUsed/>
    <w:rsid w:val="00C010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1081"/>
    <w:rPr>
      <w:sz w:val="20"/>
      <w:szCs w:val="20"/>
      <w:lang w:val="en-NZ"/>
    </w:rPr>
  </w:style>
  <w:style w:type="character" w:styleId="EndnoteReference">
    <w:name w:val="endnote reference"/>
    <w:basedOn w:val="DefaultParagraphFont"/>
    <w:uiPriority w:val="99"/>
    <w:semiHidden/>
    <w:unhideWhenUsed/>
    <w:rsid w:val="00C01081"/>
    <w:rPr>
      <w:vertAlign w:val="superscript"/>
    </w:rPr>
  </w:style>
  <w:style w:type="table" w:customStyle="1" w:styleId="ACGreen-BandedTable1">
    <w:name w:val="A+C Green - Banded Table1"/>
    <w:basedOn w:val="TableNormal"/>
    <w:uiPriority w:val="99"/>
    <w:rsid w:val="00C01081"/>
    <w:pPr>
      <w:spacing w:after="0" w:line="240" w:lineRule="auto"/>
    </w:pPr>
    <w:rPr>
      <w:rFonts w:ascii="Calibri" w:hAnsi="Calibri"/>
      <w:sz w:val="21"/>
    </w:rPr>
    <w:tblPr>
      <w:tblStyleRowBandSize w:val="1"/>
      <w:tblInd w:w="57" w:type="dxa"/>
      <w:tblBorders>
        <w:top w:val="single" w:sz="4" w:space="0" w:color="77B800"/>
        <w:left w:val="single" w:sz="4" w:space="0" w:color="77B800"/>
        <w:bottom w:val="single" w:sz="4" w:space="0" w:color="77B800"/>
        <w:right w:val="single" w:sz="4" w:space="0" w:color="77B800"/>
        <w:insideH w:val="single" w:sz="4" w:space="0" w:color="77B800"/>
        <w:insideV w:val="single" w:sz="4" w:space="0" w:color="77B800"/>
      </w:tblBorders>
      <w:tblCellMar>
        <w:top w:w="113" w:type="dxa"/>
        <w:left w:w="57" w:type="dxa"/>
        <w:bottom w:w="113" w:type="dxa"/>
        <w:right w:w="57" w:type="dxa"/>
      </w:tblCellMar>
    </w:tblPr>
    <w:tblStylePr w:type="firstRow">
      <w:rPr>
        <w:rFonts w:ascii="Calibri" w:hAnsi="Calibri"/>
        <w:color w:val="FFFFFF"/>
      </w:rPr>
      <w:tblPr/>
      <w:tcPr>
        <w:shd w:val="clear" w:color="auto" w:fill="77B800"/>
      </w:tcPr>
    </w:tblStylePr>
    <w:tblStylePr w:type="band2Horz">
      <w:tblPr/>
      <w:tcPr>
        <w:shd w:val="clear" w:color="auto" w:fill="E7FFBD"/>
      </w:tcPr>
    </w:tblStylePr>
  </w:style>
  <w:style w:type="table" w:customStyle="1" w:styleId="ACGreen-BandedTable2">
    <w:name w:val="A+C Green - Banded Table2"/>
    <w:basedOn w:val="TableNormal"/>
    <w:uiPriority w:val="99"/>
    <w:rsid w:val="00C01081"/>
    <w:pPr>
      <w:spacing w:after="0" w:line="240" w:lineRule="auto"/>
    </w:pPr>
    <w:rPr>
      <w:rFonts w:ascii="Calibri" w:hAnsi="Calibri"/>
      <w:sz w:val="21"/>
    </w:rPr>
    <w:tblPr>
      <w:tblStyleRowBandSize w:val="1"/>
      <w:tblInd w:w="57" w:type="dxa"/>
      <w:tblBorders>
        <w:top w:val="single" w:sz="4" w:space="0" w:color="77B800"/>
        <w:left w:val="single" w:sz="4" w:space="0" w:color="77B800"/>
        <w:bottom w:val="single" w:sz="4" w:space="0" w:color="77B800"/>
        <w:right w:val="single" w:sz="4" w:space="0" w:color="77B800"/>
        <w:insideH w:val="single" w:sz="4" w:space="0" w:color="77B800"/>
        <w:insideV w:val="single" w:sz="4" w:space="0" w:color="77B800"/>
      </w:tblBorders>
      <w:tblCellMar>
        <w:top w:w="113" w:type="dxa"/>
        <w:left w:w="57" w:type="dxa"/>
        <w:bottom w:w="113" w:type="dxa"/>
        <w:right w:w="57" w:type="dxa"/>
      </w:tblCellMar>
    </w:tblPr>
    <w:tblStylePr w:type="firstRow">
      <w:rPr>
        <w:rFonts w:ascii="Calibri" w:hAnsi="Calibri"/>
        <w:color w:val="FFFFFF"/>
      </w:rPr>
      <w:tblPr/>
      <w:tcPr>
        <w:shd w:val="clear" w:color="auto" w:fill="77B800"/>
      </w:tcPr>
    </w:tblStylePr>
    <w:tblStylePr w:type="band2Horz">
      <w:tblPr/>
      <w:tcPr>
        <w:shd w:val="clear" w:color="auto" w:fill="E7FFBD"/>
      </w:tcPr>
    </w:tblStylePr>
  </w:style>
  <w:style w:type="paragraph" w:styleId="Revision">
    <w:name w:val="Revision"/>
    <w:hidden/>
    <w:uiPriority w:val="99"/>
    <w:semiHidden/>
    <w:rsid w:val="00F72F70"/>
    <w:pPr>
      <w:spacing w:after="0" w:line="240" w:lineRule="auto"/>
    </w:pPr>
    <w:rPr>
      <w:lang w:val="en-NZ"/>
    </w:rPr>
  </w:style>
  <w:style w:type="table" w:customStyle="1" w:styleId="ACGreen-BandedTable3">
    <w:name w:val="A+C Green - Banded Table3"/>
    <w:basedOn w:val="TableNormal"/>
    <w:uiPriority w:val="99"/>
    <w:rsid w:val="00111759"/>
    <w:pPr>
      <w:spacing w:after="0" w:line="240" w:lineRule="auto"/>
    </w:pPr>
    <w:rPr>
      <w:rFonts w:ascii="Calibri Light" w:hAnsi="Calibri Light"/>
      <w:sz w:val="21"/>
    </w:rPr>
    <w:tblPr>
      <w:tblStyleRowBandSize w:val="1"/>
      <w:tblInd w:w="57"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CellMar>
        <w:top w:w="113" w:type="dxa"/>
        <w:left w:w="57" w:type="dxa"/>
        <w:bottom w:w="113" w:type="dxa"/>
        <w:right w:w="57" w:type="dxa"/>
      </w:tblCellMar>
    </w:tblPr>
    <w:tblStylePr w:type="firstRow">
      <w:rPr>
        <w:rFonts w:ascii="Calibri Light" w:hAnsi="Calibri Light"/>
        <w:color w:val="FFFFFF"/>
      </w:rPr>
      <w:tblPr/>
      <w:trPr>
        <w:tblHeader/>
      </w:trPr>
      <w:tcPr>
        <w:shd w:val="clear" w:color="auto" w:fill="E7E6E6"/>
      </w:tcPr>
    </w:tblStylePr>
    <w:tblStylePr w:type="band2Horz">
      <w:tblPr/>
      <w:tcPr>
        <w:shd w:val="clear" w:color="auto" w:fill="FAF9F9"/>
      </w:tcPr>
    </w:tblStylePr>
  </w:style>
  <w:style w:type="paragraph" w:customStyle="1" w:styleId="Number">
    <w:name w:val="Number"/>
    <w:basedOn w:val="Normal"/>
    <w:qFormat/>
    <w:rsid w:val="00C53AD8"/>
    <w:pPr>
      <w:numPr>
        <w:numId w:val="10"/>
      </w:numPr>
      <w:spacing w:before="240" w:after="0" w:line="240" w:lineRule="auto"/>
    </w:pPr>
    <w:rPr>
      <w:rFonts w:ascii="Georgia" w:eastAsia="Times New Roman" w:hAnsi="Georgia" w:cs="Times New Roman"/>
      <w:szCs w:val="20"/>
      <w:lang w:eastAsia="en-NZ"/>
    </w:rPr>
  </w:style>
  <w:style w:type="paragraph" w:styleId="TOCHeading">
    <w:name w:val="TOC Heading"/>
    <w:basedOn w:val="Heading1"/>
    <w:next w:val="Normal"/>
    <w:uiPriority w:val="39"/>
    <w:unhideWhenUsed/>
    <w:qFormat/>
    <w:rsid w:val="00192847"/>
    <w:pPr>
      <w:keepLines/>
      <w:spacing w:before="240" w:after="0" w:line="259" w:lineRule="auto"/>
      <w:jc w:val="left"/>
      <w:outlineLvl w:val="9"/>
    </w:pPr>
    <w:rPr>
      <w:rFonts w:eastAsiaTheme="majorEastAsia" w:cstheme="majorBidi"/>
      <w:b w:val="0"/>
      <w:caps w:val="0"/>
      <w:color w:val="283137" w:themeColor="accent1" w:themeShade="BF"/>
      <w:sz w:val="32"/>
      <w:szCs w:val="32"/>
    </w:rPr>
  </w:style>
  <w:style w:type="paragraph" w:styleId="TOC4">
    <w:name w:val="toc 4"/>
    <w:basedOn w:val="TOC3"/>
    <w:next w:val="Normal"/>
    <w:autoRedefine/>
    <w:uiPriority w:val="39"/>
    <w:unhideWhenUsed/>
    <w:rsid w:val="00737C6F"/>
    <w:pPr>
      <w:tabs>
        <w:tab w:val="clear" w:pos="9072"/>
        <w:tab w:val="left" w:pos="2268"/>
        <w:tab w:val="right" w:pos="9061"/>
      </w:tabs>
      <w:spacing w:after="100"/>
      <w:ind w:left="3119"/>
    </w:pPr>
    <w:rPr>
      <w:rFonts w:eastAsiaTheme="minorEastAsia"/>
      <w:i/>
      <w:lang w:eastAsia="en-NZ"/>
    </w:rPr>
  </w:style>
  <w:style w:type="paragraph" w:styleId="TOC5">
    <w:name w:val="toc 5"/>
    <w:basedOn w:val="Normal"/>
    <w:next w:val="Normal"/>
    <w:autoRedefine/>
    <w:uiPriority w:val="39"/>
    <w:unhideWhenUsed/>
    <w:rsid w:val="00192847"/>
    <w:pPr>
      <w:spacing w:after="100"/>
      <w:ind w:left="880"/>
    </w:pPr>
    <w:rPr>
      <w:rFonts w:eastAsiaTheme="minorEastAsia"/>
      <w:lang w:eastAsia="en-NZ"/>
    </w:rPr>
  </w:style>
  <w:style w:type="paragraph" w:styleId="TOC6">
    <w:name w:val="toc 6"/>
    <w:basedOn w:val="Normal"/>
    <w:next w:val="Normal"/>
    <w:autoRedefine/>
    <w:uiPriority w:val="39"/>
    <w:unhideWhenUsed/>
    <w:rsid w:val="00192847"/>
    <w:pPr>
      <w:spacing w:after="100"/>
      <w:ind w:left="1100"/>
    </w:pPr>
    <w:rPr>
      <w:rFonts w:eastAsiaTheme="minorEastAsia"/>
      <w:lang w:eastAsia="en-NZ"/>
    </w:rPr>
  </w:style>
  <w:style w:type="paragraph" w:styleId="TOC7">
    <w:name w:val="toc 7"/>
    <w:basedOn w:val="Normal"/>
    <w:next w:val="Normal"/>
    <w:autoRedefine/>
    <w:uiPriority w:val="39"/>
    <w:unhideWhenUsed/>
    <w:rsid w:val="00192847"/>
    <w:pPr>
      <w:spacing w:after="100"/>
      <w:ind w:left="1320"/>
    </w:pPr>
    <w:rPr>
      <w:rFonts w:eastAsiaTheme="minorEastAsia"/>
      <w:lang w:eastAsia="en-NZ"/>
    </w:rPr>
  </w:style>
  <w:style w:type="paragraph" w:styleId="TOC8">
    <w:name w:val="toc 8"/>
    <w:basedOn w:val="Normal"/>
    <w:next w:val="Normal"/>
    <w:autoRedefine/>
    <w:uiPriority w:val="39"/>
    <w:unhideWhenUsed/>
    <w:rsid w:val="00192847"/>
    <w:pPr>
      <w:spacing w:after="100"/>
      <w:ind w:left="1540"/>
    </w:pPr>
    <w:rPr>
      <w:rFonts w:eastAsiaTheme="minorEastAsia"/>
      <w:lang w:eastAsia="en-NZ"/>
    </w:rPr>
  </w:style>
  <w:style w:type="paragraph" w:styleId="TOC9">
    <w:name w:val="toc 9"/>
    <w:basedOn w:val="Normal"/>
    <w:next w:val="Normal"/>
    <w:autoRedefine/>
    <w:uiPriority w:val="39"/>
    <w:unhideWhenUsed/>
    <w:rsid w:val="00192847"/>
    <w:pPr>
      <w:spacing w:after="100"/>
      <w:ind w:left="1760"/>
    </w:pPr>
    <w:rPr>
      <w:rFonts w:eastAsiaTheme="minorEastAsia"/>
      <w:lang w:eastAsia="en-NZ"/>
    </w:rPr>
  </w:style>
  <w:style w:type="paragraph" w:customStyle="1" w:styleId="NumberedHeading1">
    <w:name w:val="Numbered Heading 1"/>
    <w:basedOn w:val="ListParagraph"/>
    <w:next w:val="BodyText"/>
    <w:link w:val="NumberedHeading1Char"/>
    <w:uiPriority w:val="2"/>
    <w:qFormat/>
    <w:rsid w:val="004E2F83"/>
    <w:pPr>
      <w:keepNext/>
      <w:numPr>
        <w:numId w:val="2"/>
      </w:numPr>
      <w:spacing w:before="360" w:after="240"/>
      <w:outlineLvl w:val="0"/>
    </w:pPr>
    <w:rPr>
      <w:rFonts w:asciiTheme="majorHAnsi" w:hAnsiTheme="majorHAnsi"/>
      <w:b/>
      <w:caps/>
      <w:color w:val="36424A" w:themeColor="text2"/>
      <w:sz w:val="28"/>
    </w:rPr>
  </w:style>
  <w:style w:type="paragraph" w:customStyle="1" w:styleId="NumberedHeading2">
    <w:name w:val="Numbered Heading 2"/>
    <w:basedOn w:val="ListParagraph"/>
    <w:next w:val="BodyText"/>
    <w:link w:val="NumberedHeading2Char"/>
    <w:uiPriority w:val="2"/>
    <w:qFormat/>
    <w:rsid w:val="004E2F83"/>
    <w:pPr>
      <w:keepNext/>
      <w:numPr>
        <w:ilvl w:val="1"/>
        <w:numId w:val="2"/>
      </w:numPr>
      <w:spacing w:before="360"/>
      <w:outlineLvl w:val="1"/>
    </w:pPr>
    <w:rPr>
      <w:rFonts w:asciiTheme="majorHAnsi" w:hAnsiTheme="majorHAnsi"/>
      <w:b/>
      <w:color w:val="36424A" w:themeColor="text2"/>
      <w:sz w:val="28"/>
    </w:rPr>
  </w:style>
  <w:style w:type="character" w:customStyle="1" w:styleId="NumberedHeading1Char">
    <w:name w:val="Numbered Heading 1 Char"/>
    <w:basedOn w:val="Heading1Char"/>
    <w:link w:val="NumberedHeading1"/>
    <w:uiPriority w:val="2"/>
    <w:rsid w:val="004E2F83"/>
    <w:rPr>
      <w:rFonts w:asciiTheme="majorHAnsi" w:hAnsiTheme="majorHAnsi"/>
      <w:b/>
      <w:caps/>
      <w:color w:val="36424A" w:themeColor="text2"/>
      <w:sz w:val="28"/>
      <w:lang w:val="en-NZ"/>
    </w:rPr>
  </w:style>
  <w:style w:type="paragraph" w:customStyle="1" w:styleId="NumberedHeading3">
    <w:name w:val="Numbered Heading 3"/>
    <w:basedOn w:val="ListParagraph"/>
    <w:next w:val="BodyText"/>
    <w:link w:val="NumberedHeading3Char"/>
    <w:uiPriority w:val="2"/>
    <w:qFormat/>
    <w:rsid w:val="004E2F83"/>
    <w:pPr>
      <w:keepNext/>
      <w:numPr>
        <w:ilvl w:val="2"/>
        <w:numId w:val="2"/>
      </w:numPr>
      <w:spacing w:before="240"/>
      <w:outlineLvl w:val="2"/>
    </w:pPr>
    <w:rPr>
      <w:rFonts w:asciiTheme="majorHAnsi" w:hAnsiTheme="majorHAnsi"/>
      <w:b/>
      <w:color w:val="36424A" w:themeColor="text2"/>
      <w:sz w:val="24"/>
    </w:rPr>
  </w:style>
  <w:style w:type="character" w:customStyle="1" w:styleId="NumberedHeading2Char">
    <w:name w:val="Numbered Heading 2 Char"/>
    <w:basedOn w:val="Heading2Char"/>
    <w:link w:val="NumberedHeading2"/>
    <w:uiPriority w:val="2"/>
    <w:rsid w:val="004E2F83"/>
    <w:rPr>
      <w:rFonts w:asciiTheme="majorHAnsi" w:hAnsiTheme="majorHAnsi"/>
      <w:b/>
      <w:color w:val="36424A" w:themeColor="text2"/>
      <w:sz w:val="28"/>
      <w:lang w:val="en-NZ"/>
    </w:rPr>
  </w:style>
  <w:style w:type="paragraph" w:customStyle="1" w:styleId="NumberedHeading4">
    <w:name w:val="Numbered Heading 4"/>
    <w:basedOn w:val="ListParagraph"/>
    <w:next w:val="BodyText"/>
    <w:link w:val="NumberedHeading4Char"/>
    <w:uiPriority w:val="2"/>
    <w:unhideWhenUsed/>
    <w:rsid w:val="004E2F83"/>
    <w:pPr>
      <w:keepNext/>
      <w:numPr>
        <w:ilvl w:val="3"/>
        <w:numId w:val="2"/>
      </w:numPr>
      <w:outlineLvl w:val="3"/>
    </w:pPr>
    <w:rPr>
      <w:rFonts w:asciiTheme="majorHAnsi" w:hAnsiTheme="majorHAnsi"/>
      <w:b/>
      <w:i/>
      <w:color w:val="36424A" w:themeColor="text2"/>
      <w:sz w:val="24"/>
    </w:rPr>
  </w:style>
  <w:style w:type="character" w:customStyle="1" w:styleId="NumberedHeading3Char">
    <w:name w:val="Numbered Heading 3 Char"/>
    <w:basedOn w:val="Heading3Char"/>
    <w:link w:val="NumberedHeading3"/>
    <w:uiPriority w:val="2"/>
    <w:rsid w:val="004E2F83"/>
    <w:rPr>
      <w:rFonts w:asciiTheme="majorHAnsi" w:hAnsiTheme="majorHAnsi"/>
      <w:b/>
      <w:color w:val="36424A" w:themeColor="text2"/>
      <w:sz w:val="24"/>
      <w:lang w:val="en-NZ"/>
    </w:rPr>
  </w:style>
  <w:style w:type="paragraph" w:customStyle="1" w:styleId="NumberedHeading5">
    <w:name w:val="Numbered Heading 5"/>
    <w:basedOn w:val="ListParagraph"/>
    <w:next w:val="BodyText"/>
    <w:link w:val="NumberedHeading5Char"/>
    <w:uiPriority w:val="2"/>
    <w:unhideWhenUsed/>
    <w:rsid w:val="004E2F83"/>
    <w:pPr>
      <w:keepNext/>
      <w:numPr>
        <w:ilvl w:val="4"/>
        <w:numId w:val="3"/>
      </w:numPr>
      <w:ind w:left="1134" w:hanging="1134"/>
      <w:outlineLvl w:val="4"/>
    </w:pPr>
    <w:rPr>
      <w:rFonts w:asciiTheme="majorHAnsi" w:hAnsiTheme="majorHAnsi"/>
      <w:i/>
      <w:color w:val="36424A" w:themeColor="text2"/>
    </w:rPr>
  </w:style>
  <w:style w:type="character" w:customStyle="1" w:styleId="NumberedHeading4Char">
    <w:name w:val="Numbered Heading 4 Char"/>
    <w:basedOn w:val="Heading4Char"/>
    <w:link w:val="NumberedHeading4"/>
    <w:uiPriority w:val="2"/>
    <w:rsid w:val="004E2F83"/>
    <w:rPr>
      <w:rFonts w:asciiTheme="majorHAnsi" w:hAnsiTheme="majorHAnsi"/>
      <w:b/>
      <w:i/>
      <w:color w:val="36424A" w:themeColor="text2"/>
      <w:sz w:val="24"/>
      <w:lang w:val="en-NZ"/>
    </w:rPr>
  </w:style>
  <w:style w:type="character" w:customStyle="1" w:styleId="NumberedHeading5Char">
    <w:name w:val="Numbered Heading 5 Char"/>
    <w:basedOn w:val="Heading5Char"/>
    <w:link w:val="NumberedHeading5"/>
    <w:uiPriority w:val="2"/>
    <w:rsid w:val="004E2F83"/>
    <w:rPr>
      <w:rFonts w:asciiTheme="majorHAnsi" w:hAnsiTheme="majorHAnsi"/>
      <w:i/>
      <w:color w:val="36424A" w:themeColor="text2"/>
      <w:lang w:val="en-NZ"/>
    </w:rPr>
  </w:style>
  <w:style w:type="paragraph" w:styleId="NoSpacing">
    <w:name w:val="No Spacing"/>
    <w:link w:val="NoSpacingChar"/>
    <w:rsid w:val="004E2F83"/>
    <w:pPr>
      <w:spacing w:after="0" w:line="240" w:lineRule="auto"/>
    </w:pPr>
    <w:rPr>
      <w:lang w:val="en-NZ"/>
    </w:rPr>
  </w:style>
  <w:style w:type="paragraph" w:customStyle="1" w:styleId="ACReport-MainTitle">
    <w:name w:val="A+C Report - Main Title"/>
    <w:basedOn w:val="MainTitleHeading"/>
    <w:link w:val="ACReport-MainTitleChar"/>
    <w:rsid w:val="004E2F83"/>
    <w:pPr>
      <w:spacing w:before="240" w:after="0" w:line="216" w:lineRule="auto"/>
      <w:ind w:left="567"/>
      <w:jc w:val="left"/>
    </w:pPr>
    <w:rPr>
      <w:b w:val="0"/>
      <w:caps w:val="0"/>
      <w:color w:val="FFFFFF" w:themeColor="background1"/>
      <w:sz w:val="96"/>
    </w:rPr>
  </w:style>
  <w:style w:type="paragraph" w:customStyle="1" w:styleId="BodyText-GREEN">
    <w:name w:val="Body Text - GREEN"/>
    <w:basedOn w:val="BodyText"/>
    <w:link w:val="BodyText-GREENChar"/>
    <w:qFormat/>
    <w:rsid w:val="004E2F83"/>
    <w:rPr>
      <w:color w:val="77B800" w:themeColor="background2"/>
    </w:rPr>
  </w:style>
  <w:style w:type="paragraph" w:customStyle="1" w:styleId="ACReport-Subtitle">
    <w:name w:val="A+C Report - Subtitle"/>
    <w:basedOn w:val="SubTitleHeading"/>
    <w:link w:val="ACReport-SubtitleChar"/>
    <w:rsid w:val="004E2F83"/>
    <w:pPr>
      <w:spacing w:before="240"/>
      <w:ind w:left="567"/>
      <w:jc w:val="left"/>
    </w:pPr>
    <w:rPr>
      <w:color w:val="FFFFFF" w:themeColor="background1"/>
      <w:sz w:val="32"/>
    </w:rPr>
  </w:style>
  <w:style w:type="character" w:customStyle="1" w:styleId="BodyText-GREENChar">
    <w:name w:val="Body Text - GREEN Char"/>
    <w:basedOn w:val="BodyTextChar"/>
    <w:link w:val="BodyText-GREEN"/>
    <w:rsid w:val="004E2F83"/>
    <w:rPr>
      <w:color w:val="77B800" w:themeColor="background2"/>
      <w:lang w:val="en-NZ"/>
    </w:rPr>
  </w:style>
  <w:style w:type="character" w:customStyle="1" w:styleId="ACReport-MainTitleChar">
    <w:name w:val="A+C Report - Main Title Char"/>
    <w:basedOn w:val="MainTitleHeadingChar"/>
    <w:link w:val="ACReport-MainTitle"/>
    <w:rsid w:val="004E2F83"/>
    <w:rPr>
      <w:rFonts w:asciiTheme="majorHAnsi" w:hAnsiTheme="majorHAnsi"/>
      <w:b w:val="0"/>
      <w:caps w:val="0"/>
      <w:color w:val="FFFFFF" w:themeColor="background1"/>
      <w:sz w:val="96"/>
      <w:lang w:val="en-NZ"/>
    </w:rPr>
  </w:style>
  <w:style w:type="character" w:customStyle="1" w:styleId="ACReport-SubtitleChar">
    <w:name w:val="A+C Report - Subtitle Char"/>
    <w:basedOn w:val="SubTitleHeadingChar"/>
    <w:link w:val="ACReport-Subtitle"/>
    <w:rsid w:val="004E2F83"/>
    <w:rPr>
      <w:rFonts w:asciiTheme="majorHAnsi" w:hAnsiTheme="majorHAnsi"/>
      <w:b/>
      <w:color w:val="FFFFFF" w:themeColor="background1"/>
      <w:sz w:val="32"/>
      <w:lang w:val="en-NZ"/>
    </w:rPr>
  </w:style>
  <w:style w:type="paragraph" w:customStyle="1" w:styleId="ACReportDate">
    <w:name w:val="A+C Report Date"/>
    <w:basedOn w:val="ACReport-Subtitle"/>
    <w:link w:val="ACReportDateChar"/>
    <w:rsid w:val="004E2F83"/>
    <w:rPr>
      <w:sz w:val="24"/>
    </w:rPr>
  </w:style>
  <w:style w:type="character" w:customStyle="1" w:styleId="ACReportDateChar">
    <w:name w:val="A+C Report Date Char"/>
    <w:basedOn w:val="ACReport-SubtitleChar"/>
    <w:link w:val="ACReportDate"/>
    <w:rsid w:val="004E2F83"/>
    <w:rPr>
      <w:rFonts w:asciiTheme="majorHAnsi" w:hAnsiTheme="majorHAnsi"/>
      <w:b/>
      <w:color w:val="FFFFFF" w:themeColor="background1"/>
      <w:sz w:val="24"/>
      <w:lang w:val="en-NZ"/>
    </w:rPr>
  </w:style>
  <w:style w:type="table" w:styleId="TableGridLight">
    <w:name w:val="Grid Table Light"/>
    <w:basedOn w:val="TableNormal"/>
    <w:uiPriority w:val="40"/>
    <w:rsid w:val="006242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
    <w:name w:val="text"/>
    <w:basedOn w:val="Normal"/>
    <w:rsid w:val="006F1A0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6F1A02"/>
  </w:style>
  <w:style w:type="character" w:customStyle="1" w:styleId="UnresolvedMention1">
    <w:name w:val="Unresolved Mention1"/>
    <w:basedOn w:val="DefaultParagraphFont"/>
    <w:uiPriority w:val="99"/>
    <w:semiHidden/>
    <w:unhideWhenUsed/>
    <w:rsid w:val="00A268D8"/>
    <w:rPr>
      <w:color w:val="605E5C"/>
      <w:shd w:val="clear" w:color="auto" w:fill="E1DFDD"/>
    </w:rPr>
  </w:style>
  <w:style w:type="character" w:customStyle="1" w:styleId="NoSpacingChar">
    <w:name w:val="No Spacing Char"/>
    <w:basedOn w:val="DefaultParagraphFont"/>
    <w:link w:val="NoSpacing"/>
    <w:rsid w:val="00FF033F"/>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23457">
      <w:bodyDiv w:val="1"/>
      <w:marLeft w:val="0"/>
      <w:marRight w:val="0"/>
      <w:marTop w:val="0"/>
      <w:marBottom w:val="0"/>
      <w:divBdr>
        <w:top w:val="none" w:sz="0" w:space="0" w:color="auto"/>
        <w:left w:val="none" w:sz="0" w:space="0" w:color="auto"/>
        <w:bottom w:val="none" w:sz="0" w:space="0" w:color="auto"/>
        <w:right w:val="none" w:sz="0" w:space="0" w:color="auto"/>
      </w:divBdr>
    </w:div>
    <w:div w:id="523062137">
      <w:bodyDiv w:val="1"/>
      <w:marLeft w:val="0"/>
      <w:marRight w:val="0"/>
      <w:marTop w:val="0"/>
      <w:marBottom w:val="0"/>
      <w:divBdr>
        <w:top w:val="none" w:sz="0" w:space="0" w:color="auto"/>
        <w:left w:val="none" w:sz="0" w:space="0" w:color="auto"/>
        <w:bottom w:val="none" w:sz="0" w:space="0" w:color="auto"/>
        <w:right w:val="none" w:sz="0" w:space="0" w:color="auto"/>
      </w:divBdr>
    </w:div>
    <w:div w:id="594634131">
      <w:bodyDiv w:val="1"/>
      <w:marLeft w:val="0"/>
      <w:marRight w:val="0"/>
      <w:marTop w:val="0"/>
      <w:marBottom w:val="0"/>
      <w:divBdr>
        <w:top w:val="none" w:sz="0" w:space="0" w:color="auto"/>
        <w:left w:val="none" w:sz="0" w:space="0" w:color="auto"/>
        <w:bottom w:val="none" w:sz="0" w:space="0" w:color="auto"/>
        <w:right w:val="none" w:sz="0" w:space="0" w:color="auto"/>
      </w:divBdr>
      <w:divsChild>
        <w:div w:id="2000115023">
          <w:marLeft w:val="0"/>
          <w:marRight w:val="0"/>
          <w:marTop w:val="83"/>
          <w:marBottom w:val="0"/>
          <w:divBdr>
            <w:top w:val="none" w:sz="0" w:space="0" w:color="auto"/>
            <w:left w:val="none" w:sz="0" w:space="0" w:color="auto"/>
            <w:bottom w:val="none" w:sz="0" w:space="0" w:color="auto"/>
            <w:right w:val="none" w:sz="0" w:space="0" w:color="auto"/>
          </w:divBdr>
        </w:div>
        <w:div w:id="1630743491">
          <w:marLeft w:val="0"/>
          <w:marRight w:val="0"/>
          <w:marTop w:val="83"/>
          <w:marBottom w:val="0"/>
          <w:divBdr>
            <w:top w:val="none" w:sz="0" w:space="0" w:color="auto"/>
            <w:left w:val="none" w:sz="0" w:space="0" w:color="auto"/>
            <w:bottom w:val="none" w:sz="0" w:space="0" w:color="auto"/>
            <w:right w:val="none" w:sz="0" w:space="0" w:color="auto"/>
          </w:divBdr>
        </w:div>
        <w:div w:id="1627198656">
          <w:marLeft w:val="0"/>
          <w:marRight w:val="0"/>
          <w:marTop w:val="83"/>
          <w:marBottom w:val="0"/>
          <w:divBdr>
            <w:top w:val="none" w:sz="0" w:space="0" w:color="auto"/>
            <w:left w:val="none" w:sz="0" w:space="0" w:color="auto"/>
            <w:bottom w:val="none" w:sz="0" w:space="0" w:color="auto"/>
            <w:right w:val="none" w:sz="0" w:space="0" w:color="auto"/>
          </w:divBdr>
        </w:div>
        <w:div w:id="584803156">
          <w:marLeft w:val="0"/>
          <w:marRight w:val="0"/>
          <w:marTop w:val="83"/>
          <w:marBottom w:val="0"/>
          <w:divBdr>
            <w:top w:val="none" w:sz="0" w:space="0" w:color="auto"/>
            <w:left w:val="none" w:sz="0" w:space="0" w:color="auto"/>
            <w:bottom w:val="none" w:sz="0" w:space="0" w:color="auto"/>
            <w:right w:val="none" w:sz="0" w:space="0" w:color="auto"/>
          </w:divBdr>
        </w:div>
      </w:divsChild>
    </w:div>
    <w:div w:id="615717400">
      <w:bodyDiv w:val="1"/>
      <w:marLeft w:val="0"/>
      <w:marRight w:val="0"/>
      <w:marTop w:val="0"/>
      <w:marBottom w:val="0"/>
      <w:divBdr>
        <w:top w:val="none" w:sz="0" w:space="0" w:color="auto"/>
        <w:left w:val="none" w:sz="0" w:space="0" w:color="auto"/>
        <w:bottom w:val="none" w:sz="0" w:space="0" w:color="auto"/>
        <w:right w:val="none" w:sz="0" w:space="0" w:color="auto"/>
      </w:divBdr>
    </w:div>
    <w:div w:id="618878331">
      <w:bodyDiv w:val="1"/>
      <w:marLeft w:val="0"/>
      <w:marRight w:val="0"/>
      <w:marTop w:val="0"/>
      <w:marBottom w:val="0"/>
      <w:divBdr>
        <w:top w:val="none" w:sz="0" w:space="0" w:color="auto"/>
        <w:left w:val="none" w:sz="0" w:space="0" w:color="auto"/>
        <w:bottom w:val="none" w:sz="0" w:space="0" w:color="auto"/>
        <w:right w:val="none" w:sz="0" w:space="0" w:color="auto"/>
      </w:divBdr>
    </w:div>
    <w:div w:id="642731955">
      <w:bodyDiv w:val="1"/>
      <w:marLeft w:val="0"/>
      <w:marRight w:val="0"/>
      <w:marTop w:val="0"/>
      <w:marBottom w:val="0"/>
      <w:divBdr>
        <w:top w:val="none" w:sz="0" w:space="0" w:color="auto"/>
        <w:left w:val="none" w:sz="0" w:space="0" w:color="auto"/>
        <w:bottom w:val="none" w:sz="0" w:space="0" w:color="auto"/>
        <w:right w:val="none" w:sz="0" w:space="0" w:color="auto"/>
      </w:divBdr>
    </w:div>
    <w:div w:id="664283733">
      <w:bodyDiv w:val="1"/>
      <w:marLeft w:val="0"/>
      <w:marRight w:val="0"/>
      <w:marTop w:val="0"/>
      <w:marBottom w:val="0"/>
      <w:divBdr>
        <w:top w:val="none" w:sz="0" w:space="0" w:color="auto"/>
        <w:left w:val="none" w:sz="0" w:space="0" w:color="auto"/>
        <w:bottom w:val="none" w:sz="0" w:space="0" w:color="auto"/>
        <w:right w:val="none" w:sz="0" w:space="0" w:color="auto"/>
      </w:divBdr>
    </w:div>
    <w:div w:id="1059327454">
      <w:bodyDiv w:val="1"/>
      <w:marLeft w:val="0"/>
      <w:marRight w:val="0"/>
      <w:marTop w:val="0"/>
      <w:marBottom w:val="0"/>
      <w:divBdr>
        <w:top w:val="none" w:sz="0" w:space="0" w:color="auto"/>
        <w:left w:val="none" w:sz="0" w:space="0" w:color="auto"/>
        <w:bottom w:val="none" w:sz="0" w:space="0" w:color="auto"/>
        <w:right w:val="none" w:sz="0" w:space="0" w:color="auto"/>
      </w:divBdr>
    </w:div>
    <w:div w:id="1120759002">
      <w:bodyDiv w:val="1"/>
      <w:marLeft w:val="0"/>
      <w:marRight w:val="0"/>
      <w:marTop w:val="0"/>
      <w:marBottom w:val="0"/>
      <w:divBdr>
        <w:top w:val="none" w:sz="0" w:space="0" w:color="auto"/>
        <w:left w:val="none" w:sz="0" w:space="0" w:color="auto"/>
        <w:bottom w:val="none" w:sz="0" w:space="0" w:color="auto"/>
        <w:right w:val="none" w:sz="0" w:space="0" w:color="auto"/>
      </w:divBdr>
    </w:div>
    <w:div w:id="1507405148">
      <w:bodyDiv w:val="1"/>
      <w:marLeft w:val="0"/>
      <w:marRight w:val="0"/>
      <w:marTop w:val="0"/>
      <w:marBottom w:val="0"/>
      <w:divBdr>
        <w:top w:val="none" w:sz="0" w:space="0" w:color="auto"/>
        <w:left w:val="none" w:sz="0" w:space="0" w:color="auto"/>
        <w:bottom w:val="none" w:sz="0" w:space="0" w:color="auto"/>
        <w:right w:val="none" w:sz="0" w:space="0" w:color="auto"/>
      </w:divBdr>
    </w:div>
    <w:div w:id="1508791425">
      <w:bodyDiv w:val="1"/>
      <w:marLeft w:val="0"/>
      <w:marRight w:val="0"/>
      <w:marTop w:val="0"/>
      <w:marBottom w:val="0"/>
      <w:divBdr>
        <w:top w:val="none" w:sz="0" w:space="0" w:color="auto"/>
        <w:left w:val="none" w:sz="0" w:space="0" w:color="auto"/>
        <w:bottom w:val="none" w:sz="0" w:space="0" w:color="auto"/>
        <w:right w:val="none" w:sz="0" w:space="0" w:color="auto"/>
      </w:divBdr>
    </w:div>
    <w:div w:id="2053533958">
      <w:bodyDiv w:val="1"/>
      <w:marLeft w:val="0"/>
      <w:marRight w:val="0"/>
      <w:marTop w:val="0"/>
      <w:marBottom w:val="0"/>
      <w:divBdr>
        <w:top w:val="none" w:sz="0" w:space="0" w:color="auto"/>
        <w:left w:val="none" w:sz="0" w:space="0" w:color="auto"/>
        <w:bottom w:val="none" w:sz="0" w:space="0" w:color="auto"/>
        <w:right w:val="none" w:sz="0" w:space="0" w:color="auto"/>
      </w:divBdr>
    </w:div>
    <w:div w:id="209107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publication/strategy-prevent-and-minimise-gambling-harm-2019-20-2021-22-consultation-docu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Staff%20folders\Carolyn\A+C%20templates\A+C%20BLANK%20Template%20Oct%202017%20.dotx" TargetMode="External"/></Relationships>
</file>

<file path=word/theme/theme1.xml><?xml version="1.0" encoding="utf-8"?>
<a:theme xmlns:a="http://schemas.openxmlformats.org/drawingml/2006/main" name="A+C Theme 12 August 15">
  <a:themeElements>
    <a:clrScheme name="A+C Green and Grey">
      <a:dk1>
        <a:sysClr val="windowText" lastClr="000000"/>
      </a:dk1>
      <a:lt1>
        <a:sysClr val="window" lastClr="FFFFFF"/>
      </a:lt1>
      <a:dk2>
        <a:srgbClr val="36424A"/>
      </a:dk2>
      <a:lt2>
        <a:srgbClr val="77B800"/>
      </a:lt2>
      <a:accent1>
        <a:srgbClr val="36424A"/>
      </a:accent1>
      <a:accent2>
        <a:srgbClr val="77B800"/>
      </a:accent2>
      <a:accent3>
        <a:srgbClr val="36424A"/>
      </a:accent3>
      <a:accent4>
        <a:srgbClr val="77B800"/>
      </a:accent4>
      <a:accent5>
        <a:srgbClr val="36424A"/>
      </a:accent5>
      <a:accent6>
        <a:srgbClr val="77B800"/>
      </a:accent6>
      <a:hlink>
        <a:srgbClr val="0000FF"/>
      </a:hlink>
      <a:folHlink>
        <a:srgbClr val="800080"/>
      </a:folHlink>
    </a:clrScheme>
    <a:fontScheme name="A+C Fonts">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ECC843-351A-4AD4-BB8D-CF12EE9E0FC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1255D5C31F2409E12268ACDDC1C5A" ma:contentTypeVersion="2" ma:contentTypeDescription="Create a new document." ma:contentTypeScope="" ma:versionID="3b91508dd444d47387e68099f7968d7b">
  <xsd:schema xmlns:xsd="http://www.w3.org/2001/XMLSchema" xmlns:xs="http://www.w3.org/2001/XMLSchema" xmlns:p="http://schemas.microsoft.com/office/2006/metadata/properties" xmlns:ns2="f24a5cda-31b5-465e-a0e9-d446c5f13893" targetNamespace="http://schemas.microsoft.com/office/2006/metadata/properties" ma:root="true" ma:fieldsID="fdadfd02239287a4cc1fb9ab37a3c9dc" ns2:_="">
    <xsd:import namespace="f24a5cda-31b5-465e-a0e9-d446c5f1389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a5cda-31b5-465e-a0e9-d446c5f138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A1B54-2195-48D2-B9FB-3D0F1C1E6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a5cda-31b5-465e-a0e9-d446c5f13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DD321-A563-4BA8-8E92-5090451BA5A3}">
  <ds:schemaRefs>
    <ds:schemaRef ds:uri="http://schemas.microsoft.com/sharepoint/v3/contenttype/forms"/>
  </ds:schemaRefs>
</ds:datastoreItem>
</file>

<file path=customXml/itemProps3.xml><?xml version="1.0" encoding="utf-8"?>
<ds:datastoreItem xmlns:ds="http://schemas.openxmlformats.org/officeDocument/2006/customXml" ds:itemID="{698FC116-3BCB-4165-B801-4FB7E3FA91EF}">
  <ds:schemaRefs>
    <ds:schemaRef ds:uri="http://purl.org/dc/elements/1.1/"/>
    <ds:schemaRef ds:uri="http://schemas.microsoft.com/office/2006/metadata/properties"/>
    <ds:schemaRef ds:uri="f24a5cda-31b5-465e-a0e9-d446c5f1389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E9B5FFE4-0185-4635-8660-119C8A53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 BLANK Template Oct 2017 </Template>
  <TotalTime>7</TotalTime>
  <Pages>93</Pages>
  <Words>33004</Words>
  <Characters>188129</Characters>
  <Application>Microsoft Office Word</Application>
  <DocSecurity>0</DocSecurity>
  <Lines>1567</Lines>
  <Paragraphs>441</Paragraphs>
  <ScaleCrop>false</ScaleCrop>
  <HeadingPairs>
    <vt:vector size="2" baseType="variant">
      <vt:variant>
        <vt:lpstr>Title</vt:lpstr>
      </vt:variant>
      <vt:variant>
        <vt:i4>1</vt:i4>
      </vt:variant>
    </vt:vector>
  </HeadingPairs>
  <TitlesOfParts>
    <vt:vector size="1" baseType="lpstr">
      <vt:lpstr>STRATEGY TO PREVENT AND MINIMISE GAMBLING HARM</vt:lpstr>
    </vt:vector>
  </TitlesOfParts>
  <Company>Allen and Clarke</Company>
  <LinksUpToDate>false</LinksUpToDate>
  <CharactersWithSpaces>220692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TO PREVENT AND MINIMISE GAMBLING HARM</dc:title>
  <dc:subject/>
  <dc:creator>Allen+Clarke</dc:creator>
  <cp:keywords>version 8 Sept 15</cp:keywords>
  <dc:description>Final version</dc:description>
  <cp:lastModifiedBy>Berni Marwick</cp:lastModifiedBy>
  <cp:revision>4</cp:revision>
  <cp:lastPrinted>2018-11-21T03:39:00Z</cp:lastPrinted>
  <dcterms:created xsi:type="dcterms:W3CDTF">2018-11-27T02:27:00Z</dcterms:created>
  <dcterms:modified xsi:type="dcterms:W3CDTF">2018-11-27T03:06:00Z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0x01010019C1255D5C31F2409E12268ACDDC1C5A</vt:lpwstr>
  </property>
</Properties>
</file>