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926083" w:rsidRDefault="004E35C0" w:rsidP="000C0844">
      <w:pPr>
        <w:pStyle w:val="Title"/>
        <w:ind w:right="2126"/>
      </w:pPr>
      <w:r>
        <w:t>Pressure Injuries in Aged Residential Care</w:t>
      </w:r>
    </w:p>
    <w:p w:rsidR="00C05132" w:rsidRPr="000C0844" w:rsidRDefault="004E35C0" w:rsidP="00926083">
      <w:pPr>
        <w:pStyle w:val="Subhead"/>
        <w:rPr>
          <w:sz w:val="40"/>
          <w:szCs w:val="40"/>
        </w:rPr>
      </w:pPr>
      <w:r w:rsidRPr="000C0844">
        <w:rPr>
          <w:sz w:val="40"/>
          <w:szCs w:val="40"/>
        </w:rPr>
        <w:t xml:space="preserve">1 January 2016 </w:t>
      </w:r>
      <w:r w:rsidR="0076350E">
        <w:rPr>
          <w:sz w:val="40"/>
          <w:szCs w:val="40"/>
        </w:rPr>
        <w:t>to</w:t>
      </w:r>
      <w:r w:rsidRPr="000C0844">
        <w:rPr>
          <w:sz w:val="40"/>
          <w:szCs w:val="40"/>
        </w:rPr>
        <w:t xml:space="preserve"> 31 March 2017</w:t>
      </w:r>
    </w:p>
    <w:p w:rsidR="00C05132" w:rsidRPr="000C0844" w:rsidRDefault="00C05132" w:rsidP="00A06BE4">
      <w:pPr>
        <w:rPr>
          <w:sz w:val="44"/>
          <w:szCs w:val="44"/>
        </w:rPr>
      </w:pPr>
    </w:p>
    <w:p w:rsidR="00142954" w:rsidRPr="00142954" w:rsidRDefault="00142954" w:rsidP="00142954">
      <w:pPr>
        <w:sectPr w:rsidR="00142954" w:rsidRPr="00142954" w:rsidSect="00012F3D">
          <w:headerReference w:type="even" r:id="rId8"/>
          <w:headerReference w:type="default" r:id="rId9"/>
          <w:footerReference w:type="even" r:id="rId10"/>
          <w:footerReference w:type="default" r:id="rId11"/>
          <w:headerReference w:type="first" r:id="rId12"/>
          <w:footerReference w:type="first" r:id="rId13"/>
          <w:pgSz w:w="11907" w:h="16834" w:code="9"/>
          <w:pgMar w:top="5670" w:right="1134" w:bottom="1134" w:left="1134" w:header="567" w:footer="851" w:gutter="0"/>
          <w:pgNumType w:start="1"/>
          <w:cols w:space="720"/>
        </w:sectPr>
      </w:pPr>
    </w:p>
    <w:p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4E35C0">
        <w:rPr>
          <w:rFonts w:cs="Segoe UI"/>
        </w:rPr>
        <w:t>2018</w:t>
      </w:r>
      <w:r w:rsidR="00442C1C" w:rsidRPr="00C05132">
        <w:rPr>
          <w:rFonts w:cs="Segoe UI"/>
        </w:rPr>
        <w:t xml:space="preserve">. </w:t>
      </w:r>
      <w:r w:rsidR="004E35C0">
        <w:rPr>
          <w:rFonts w:cs="Segoe UI"/>
          <w:i/>
        </w:rPr>
        <w:t xml:space="preserve">Pressure Injuries in Aged Residential Care: 1 January 2016 </w:t>
      </w:r>
      <w:r w:rsidR="0076350E">
        <w:rPr>
          <w:rFonts w:cs="Segoe UI"/>
          <w:i/>
        </w:rPr>
        <w:t>to</w:t>
      </w:r>
      <w:r w:rsidR="004E35C0">
        <w:rPr>
          <w:rFonts w:cs="Segoe UI"/>
          <w:i/>
        </w:rPr>
        <w:t xml:space="preserve"> 31 March 2017</w:t>
      </w:r>
      <w:r w:rsidR="00442C1C" w:rsidRPr="00C05132">
        <w:rPr>
          <w:rFonts w:cs="Segoe UI"/>
        </w:rPr>
        <w:t>. Wellington: Ministry of Health.</w:t>
      </w:r>
    </w:p>
    <w:p w:rsidR="00C86248" w:rsidRDefault="00C86248">
      <w:pPr>
        <w:pStyle w:val="Imprint"/>
      </w:pPr>
      <w:r>
        <w:t xml:space="preserve">Published in </w:t>
      </w:r>
      <w:r w:rsidR="00147562">
        <w:t>November</w:t>
      </w:r>
      <w:r w:rsidR="004E35C0">
        <w:t xml:space="preserve"> 2018</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rsidR="00082CD6" w:rsidRDefault="009A42D5" w:rsidP="00082CD6">
      <w:pPr>
        <w:pStyle w:val="Imprint"/>
      </w:pPr>
      <w:r>
        <w:t xml:space="preserve">ISBN </w:t>
      </w:r>
      <w:r w:rsidR="00F815D4" w:rsidRPr="00F815D4">
        <w:t xml:space="preserve">978-1-98-853990-4 </w:t>
      </w:r>
      <w:r w:rsidR="00D863D0">
        <w:t>(</w:t>
      </w:r>
      <w:r w:rsidR="00442C1C">
        <w:t>online</w:t>
      </w:r>
      <w:proofErr w:type="gramStart"/>
      <w:r w:rsidR="00D863D0">
        <w:t>)</w:t>
      </w:r>
      <w:proofErr w:type="gramEnd"/>
      <w:r w:rsidR="00082CD6">
        <w:br/>
      </w:r>
      <w:r w:rsidR="00082CD6" w:rsidRPr="009C0F2D">
        <w:t xml:space="preserve">HP </w:t>
      </w:r>
      <w:r w:rsidR="005A0869">
        <w:t>6925</w:t>
      </w:r>
    </w:p>
    <w:p w:rsidR="00F815D4" w:rsidRDefault="00F815D4" w:rsidP="00F815D4">
      <w:r>
        <w:t>This document is available at health.govt.nz</w:t>
      </w:r>
    </w:p>
    <w:p w:rsidR="00F815D4" w:rsidRPr="00F815D4" w:rsidRDefault="00F815D4" w:rsidP="00F815D4"/>
    <w:p w:rsidR="00C86248" w:rsidRDefault="008C64C4" w:rsidP="00A63DFF">
      <w:r>
        <w:rPr>
          <w:noProof/>
          <w:lang w:eastAsia="en-NZ"/>
        </w:rPr>
        <w:drawing>
          <wp:inline distT="0" distB="0" distL="0" distR="0" wp14:anchorId="35B025A2" wp14:editId="41A0815B">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rsidR="00F815D4" w:rsidRDefault="00F815D4" w:rsidP="00A63DFF"/>
    <w:p w:rsidR="00F815D4" w:rsidRDefault="00F815D4" w:rsidP="00A63DFF">
      <w:r>
        <w:rPr>
          <w:noProof/>
          <w:lang w:eastAsia="en-NZ"/>
        </w:rPr>
        <w:drawing>
          <wp:inline distT="0" distB="0" distL="0" distR="0" wp14:anchorId="7DDF75E6" wp14:editId="00BB0174">
            <wp:extent cx="1485900" cy="152961"/>
            <wp:effectExtent l="0" t="0" r="0" b="0"/>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15">
                      <a:extLst>
                        <a:ext uri="{28A0092B-C50C-407E-A947-70E740481C1C}">
                          <a14:useLocalDpi xmlns:a14="http://schemas.microsoft.com/office/drawing/2010/main" val="0"/>
                        </a:ext>
                      </a:extLst>
                    </a:blip>
                    <a:stretch>
                      <a:fillRect/>
                    </a:stretch>
                  </pic:blipFill>
                  <pic:spPr>
                    <a:xfrm>
                      <a:off x="0" y="0"/>
                      <a:ext cx="1508900" cy="155329"/>
                    </a:xfrm>
                    <a:prstGeom prst="rect">
                      <a:avLst/>
                    </a:prstGeom>
                  </pic:spPr>
                </pic:pic>
              </a:graphicData>
            </a:graphic>
          </wp:inline>
        </w:drawing>
      </w:r>
    </w:p>
    <w:p w:rsidR="00F815D4" w:rsidRDefault="00F815D4" w:rsidP="00A63DFF"/>
    <w:tbl>
      <w:tblPr>
        <w:tblStyle w:val="TableGrid"/>
        <w:tblW w:w="75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rsidTr="00F815D4">
        <w:trPr>
          <w:cantSplit/>
        </w:trPr>
        <w:tc>
          <w:tcPr>
            <w:tcW w:w="1526" w:type="dxa"/>
          </w:tcPr>
          <w:p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458F612A" wp14:editId="288F71AF">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rsidR="007E74F1" w:rsidRPr="001F45A7" w:rsidRDefault="007E74F1" w:rsidP="00A63DFF"/>
    <w:p w:rsidR="00C86248" w:rsidRDefault="00C86248">
      <w:pPr>
        <w:jc w:val="center"/>
        <w:sectPr w:rsidR="00C86248" w:rsidSect="00C05132">
          <w:footerReference w:type="even" r:id="rId17"/>
          <w:footerReference w:type="default" r:id="rId18"/>
          <w:pgSz w:w="11907" w:h="16834" w:code="9"/>
          <w:pgMar w:top="1701" w:right="2268" w:bottom="1134" w:left="2268" w:header="0" w:footer="0" w:gutter="0"/>
          <w:cols w:space="720"/>
          <w:vAlign w:val="bottom"/>
        </w:sectPr>
      </w:pPr>
    </w:p>
    <w:p w:rsidR="00C86248" w:rsidRDefault="00C86248" w:rsidP="00025A6F">
      <w:pPr>
        <w:pStyle w:val="IntroHead"/>
      </w:pPr>
      <w:bookmarkStart w:id="0" w:name="_Toc405792991"/>
      <w:bookmarkStart w:id="1" w:name="_Toc405793224"/>
      <w:r>
        <w:lastRenderedPageBreak/>
        <w:t>Contents</w:t>
      </w:r>
      <w:bookmarkEnd w:id="0"/>
      <w:bookmarkEnd w:id="1"/>
    </w:p>
    <w:p w:rsidR="00623F41" w:rsidRDefault="00C86248">
      <w:pPr>
        <w:pStyle w:val="TOC1"/>
        <w:rPr>
          <w:rFonts w:asciiTheme="minorHAnsi" w:eastAsiaTheme="minorEastAsia" w:hAnsiTheme="minorHAnsi" w:cstheme="minorBidi"/>
          <w:noProof/>
          <w:sz w:val="22"/>
          <w:szCs w:val="22"/>
          <w:lang w:eastAsia="en-NZ"/>
        </w:rPr>
      </w:pPr>
      <w:r>
        <w:rPr>
          <w:b/>
        </w:rPr>
        <w:fldChar w:fldCharType="begin"/>
      </w:r>
      <w:r>
        <w:instrText xml:space="preserve"> TOC \o "1-2" </w:instrText>
      </w:r>
      <w:r>
        <w:rPr>
          <w:b/>
        </w:rPr>
        <w:fldChar w:fldCharType="separate"/>
      </w:r>
      <w:r w:rsidR="00623F41" w:rsidRPr="005E3225">
        <w:rPr>
          <w:noProof/>
        </w:rPr>
        <w:t>Introduction</w:t>
      </w:r>
      <w:r w:rsidR="00623F41">
        <w:rPr>
          <w:noProof/>
        </w:rPr>
        <w:tab/>
      </w:r>
      <w:r w:rsidR="00623F41">
        <w:rPr>
          <w:noProof/>
        </w:rPr>
        <w:fldChar w:fldCharType="begin"/>
      </w:r>
      <w:r w:rsidR="00623F41">
        <w:rPr>
          <w:noProof/>
        </w:rPr>
        <w:instrText xml:space="preserve"> PAGEREF _Toc523383209 \h </w:instrText>
      </w:r>
      <w:r w:rsidR="00623F41">
        <w:rPr>
          <w:noProof/>
        </w:rPr>
      </w:r>
      <w:r w:rsidR="00623F41">
        <w:rPr>
          <w:noProof/>
        </w:rPr>
        <w:fldChar w:fldCharType="separate"/>
      </w:r>
      <w:r w:rsidR="0076350E">
        <w:rPr>
          <w:noProof/>
        </w:rPr>
        <w:t>1</w:t>
      </w:r>
      <w:r w:rsidR="00623F41">
        <w:rPr>
          <w:noProof/>
        </w:rPr>
        <w:fldChar w:fldCharType="end"/>
      </w:r>
    </w:p>
    <w:p w:rsidR="00623F41" w:rsidRDefault="00623F41">
      <w:pPr>
        <w:pStyle w:val="TOC2"/>
        <w:rPr>
          <w:rFonts w:asciiTheme="minorHAnsi" w:eastAsiaTheme="minorEastAsia" w:hAnsiTheme="minorHAnsi" w:cstheme="minorBidi"/>
          <w:noProof/>
          <w:szCs w:val="22"/>
          <w:lang w:eastAsia="en-NZ"/>
        </w:rPr>
      </w:pPr>
      <w:r>
        <w:rPr>
          <w:noProof/>
        </w:rPr>
        <w:t>Audit method</w:t>
      </w:r>
      <w:r>
        <w:rPr>
          <w:noProof/>
        </w:rPr>
        <w:tab/>
      </w:r>
      <w:r>
        <w:rPr>
          <w:noProof/>
        </w:rPr>
        <w:fldChar w:fldCharType="begin"/>
      </w:r>
      <w:r>
        <w:rPr>
          <w:noProof/>
        </w:rPr>
        <w:instrText xml:space="preserve"> PAGEREF _Toc523383210 \h </w:instrText>
      </w:r>
      <w:r>
        <w:rPr>
          <w:noProof/>
        </w:rPr>
      </w:r>
      <w:r>
        <w:rPr>
          <w:noProof/>
        </w:rPr>
        <w:fldChar w:fldCharType="separate"/>
      </w:r>
      <w:r w:rsidR="0076350E">
        <w:rPr>
          <w:noProof/>
        </w:rPr>
        <w:t>2</w:t>
      </w:r>
      <w:r>
        <w:rPr>
          <w:noProof/>
        </w:rPr>
        <w:fldChar w:fldCharType="end"/>
      </w:r>
    </w:p>
    <w:p w:rsidR="00623F41" w:rsidRDefault="00623F41">
      <w:pPr>
        <w:pStyle w:val="TOC2"/>
        <w:rPr>
          <w:rFonts w:asciiTheme="minorHAnsi" w:eastAsiaTheme="minorEastAsia" w:hAnsiTheme="minorHAnsi" w:cstheme="minorBidi"/>
          <w:noProof/>
          <w:szCs w:val="22"/>
          <w:lang w:eastAsia="en-NZ"/>
        </w:rPr>
      </w:pPr>
      <w:r>
        <w:rPr>
          <w:noProof/>
        </w:rPr>
        <w:t>Limitations</w:t>
      </w:r>
      <w:r>
        <w:rPr>
          <w:noProof/>
        </w:rPr>
        <w:tab/>
      </w:r>
      <w:r>
        <w:rPr>
          <w:noProof/>
        </w:rPr>
        <w:fldChar w:fldCharType="begin"/>
      </w:r>
      <w:r>
        <w:rPr>
          <w:noProof/>
        </w:rPr>
        <w:instrText xml:space="preserve"> PAGEREF _Toc523383211 \h </w:instrText>
      </w:r>
      <w:r>
        <w:rPr>
          <w:noProof/>
        </w:rPr>
      </w:r>
      <w:r>
        <w:rPr>
          <w:noProof/>
        </w:rPr>
        <w:fldChar w:fldCharType="separate"/>
      </w:r>
      <w:r w:rsidR="0076350E">
        <w:rPr>
          <w:noProof/>
        </w:rPr>
        <w:t>3</w:t>
      </w:r>
      <w:r>
        <w:rPr>
          <w:noProof/>
        </w:rPr>
        <w:fldChar w:fldCharType="end"/>
      </w:r>
    </w:p>
    <w:p w:rsidR="00623F41" w:rsidRDefault="00623F41">
      <w:pPr>
        <w:pStyle w:val="TOC1"/>
        <w:rPr>
          <w:rFonts w:asciiTheme="minorHAnsi" w:eastAsiaTheme="minorEastAsia" w:hAnsiTheme="minorHAnsi" w:cstheme="minorBidi"/>
          <w:noProof/>
          <w:sz w:val="22"/>
          <w:szCs w:val="22"/>
          <w:lang w:eastAsia="en-NZ"/>
        </w:rPr>
      </w:pPr>
      <w:r>
        <w:rPr>
          <w:noProof/>
        </w:rPr>
        <w:t>Number and severity of pressure injuries</w:t>
      </w:r>
      <w:r>
        <w:rPr>
          <w:noProof/>
        </w:rPr>
        <w:tab/>
      </w:r>
      <w:r>
        <w:rPr>
          <w:noProof/>
        </w:rPr>
        <w:fldChar w:fldCharType="begin"/>
      </w:r>
      <w:r>
        <w:rPr>
          <w:noProof/>
        </w:rPr>
        <w:instrText xml:space="preserve"> PAGEREF _Toc523383212 \h </w:instrText>
      </w:r>
      <w:r>
        <w:rPr>
          <w:noProof/>
        </w:rPr>
      </w:r>
      <w:r>
        <w:rPr>
          <w:noProof/>
        </w:rPr>
        <w:fldChar w:fldCharType="separate"/>
      </w:r>
      <w:r w:rsidR="0076350E">
        <w:rPr>
          <w:noProof/>
        </w:rPr>
        <w:t>4</w:t>
      </w:r>
      <w:r>
        <w:rPr>
          <w:noProof/>
        </w:rPr>
        <w:fldChar w:fldCharType="end"/>
      </w:r>
    </w:p>
    <w:p w:rsidR="00623F41" w:rsidRDefault="00623F41">
      <w:pPr>
        <w:pStyle w:val="TOC1"/>
        <w:rPr>
          <w:rFonts w:asciiTheme="minorHAnsi" w:eastAsiaTheme="minorEastAsia" w:hAnsiTheme="minorHAnsi" w:cstheme="minorBidi"/>
          <w:noProof/>
          <w:sz w:val="22"/>
          <w:szCs w:val="22"/>
          <w:lang w:eastAsia="en-NZ"/>
        </w:rPr>
      </w:pPr>
      <w:r>
        <w:rPr>
          <w:noProof/>
        </w:rPr>
        <w:t>The residents</w:t>
      </w:r>
      <w:r>
        <w:rPr>
          <w:noProof/>
        </w:rPr>
        <w:tab/>
      </w:r>
      <w:r>
        <w:rPr>
          <w:noProof/>
        </w:rPr>
        <w:fldChar w:fldCharType="begin"/>
      </w:r>
      <w:r>
        <w:rPr>
          <w:noProof/>
        </w:rPr>
        <w:instrText xml:space="preserve"> PAGEREF _Toc523383213 \h </w:instrText>
      </w:r>
      <w:r>
        <w:rPr>
          <w:noProof/>
        </w:rPr>
      </w:r>
      <w:r>
        <w:rPr>
          <w:noProof/>
        </w:rPr>
        <w:fldChar w:fldCharType="separate"/>
      </w:r>
      <w:r w:rsidR="0076350E">
        <w:rPr>
          <w:noProof/>
        </w:rPr>
        <w:t>5</w:t>
      </w:r>
      <w:r>
        <w:rPr>
          <w:noProof/>
        </w:rPr>
        <w:fldChar w:fldCharType="end"/>
      </w:r>
    </w:p>
    <w:p w:rsidR="00623F41" w:rsidRDefault="00623F41">
      <w:pPr>
        <w:pStyle w:val="TOC1"/>
        <w:rPr>
          <w:rFonts w:asciiTheme="minorHAnsi" w:eastAsiaTheme="minorEastAsia" w:hAnsiTheme="minorHAnsi" w:cstheme="minorBidi"/>
          <w:noProof/>
          <w:sz w:val="22"/>
          <w:szCs w:val="22"/>
          <w:lang w:eastAsia="en-NZ"/>
        </w:rPr>
      </w:pPr>
      <w:r>
        <w:rPr>
          <w:noProof/>
        </w:rPr>
        <w:t>Residents with multiple injuries</w:t>
      </w:r>
      <w:r>
        <w:rPr>
          <w:noProof/>
        </w:rPr>
        <w:tab/>
      </w:r>
      <w:r>
        <w:rPr>
          <w:noProof/>
        </w:rPr>
        <w:fldChar w:fldCharType="begin"/>
      </w:r>
      <w:r>
        <w:rPr>
          <w:noProof/>
        </w:rPr>
        <w:instrText xml:space="preserve"> PAGEREF _Toc523383214 \h </w:instrText>
      </w:r>
      <w:r>
        <w:rPr>
          <w:noProof/>
        </w:rPr>
      </w:r>
      <w:r>
        <w:rPr>
          <w:noProof/>
        </w:rPr>
        <w:fldChar w:fldCharType="separate"/>
      </w:r>
      <w:r w:rsidR="0076350E">
        <w:rPr>
          <w:noProof/>
        </w:rPr>
        <w:t>6</w:t>
      </w:r>
      <w:r>
        <w:rPr>
          <w:noProof/>
        </w:rPr>
        <w:fldChar w:fldCharType="end"/>
      </w:r>
    </w:p>
    <w:p w:rsidR="00623F41" w:rsidRDefault="00623F41">
      <w:pPr>
        <w:pStyle w:val="TOC1"/>
        <w:rPr>
          <w:rFonts w:asciiTheme="minorHAnsi" w:eastAsiaTheme="minorEastAsia" w:hAnsiTheme="minorHAnsi" w:cstheme="minorBidi"/>
          <w:noProof/>
          <w:sz w:val="22"/>
          <w:szCs w:val="22"/>
          <w:lang w:eastAsia="en-NZ"/>
        </w:rPr>
      </w:pPr>
      <w:r>
        <w:rPr>
          <w:noProof/>
        </w:rPr>
        <w:t>Where the injury was acquired</w:t>
      </w:r>
      <w:r>
        <w:rPr>
          <w:noProof/>
        </w:rPr>
        <w:tab/>
      </w:r>
      <w:r>
        <w:rPr>
          <w:noProof/>
        </w:rPr>
        <w:fldChar w:fldCharType="begin"/>
      </w:r>
      <w:r>
        <w:rPr>
          <w:noProof/>
        </w:rPr>
        <w:instrText xml:space="preserve"> PAGEREF _Toc523383215 \h </w:instrText>
      </w:r>
      <w:r>
        <w:rPr>
          <w:noProof/>
        </w:rPr>
      </w:r>
      <w:r>
        <w:rPr>
          <w:noProof/>
        </w:rPr>
        <w:fldChar w:fldCharType="separate"/>
      </w:r>
      <w:r w:rsidR="0076350E">
        <w:rPr>
          <w:noProof/>
        </w:rPr>
        <w:t>7</w:t>
      </w:r>
      <w:r>
        <w:rPr>
          <w:noProof/>
        </w:rPr>
        <w:fldChar w:fldCharType="end"/>
      </w:r>
    </w:p>
    <w:p w:rsidR="00623F41" w:rsidRDefault="00623F41">
      <w:pPr>
        <w:pStyle w:val="TOC1"/>
        <w:rPr>
          <w:rFonts w:asciiTheme="minorHAnsi" w:eastAsiaTheme="minorEastAsia" w:hAnsiTheme="minorHAnsi" w:cstheme="minorBidi"/>
          <w:noProof/>
          <w:sz w:val="22"/>
          <w:szCs w:val="22"/>
          <w:lang w:eastAsia="en-NZ"/>
        </w:rPr>
      </w:pPr>
      <w:r>
        <w:rPr>
          <w:noProof/>
        </w:rPr>
        <w:t>Practice areas</w:t>
      </w:r>
      <w:r>
        <w:rPr>
          <w:noProof/>
        </w:rPr>
        <w:tab/>
      </w:r>
      <w:r>
        <w:rPr>
          <w:noProof/>
        </w:rPr>
        <w:fldChar w:fldCharType="begin"/>
      </w:r>
      <w:r>
        <w:rPr>
          <w:noProof/>
        </w:rPr>
        <w:instrText xml:space="preserve"> PAGEREF _Toc523383216 \h </w:instrText>
      </w:r>
      <w:r>
        <w:rPr>
          <w:noProof/>
        </w:rPr>
      </w:r>
      <w:r>
        <w:rPr>
          <w:noProof/>
        </w:rPr>
        <w:fldChar w:fldCharType="separate"/>
      </w:r>
      <w:r w:rsidR="0076350E">
        <w:rPr>
          <w:noProof/>
        </w:rPr>
        <w:t>8</w:t>
      </w:r>
      <w:r>
        <w:rPr>
          <w:noProof/>
        </w:rPr>
        <w:fldChar w:fldCharType="end"/>
      </w:r>
    </w:p>
    <w:p w:rsidR="00623F41" w:rsidRDefault="00623F41">
      <w:pPr>
        <w:pStyle w:val="TOC1"/>
        <w:rPr>
          <w:rFonts w:asciiTheme="minorHAnsi" w:eastAsiaTheme="minorEastAsia" w:hAnsiTheme="minorHAnsi" w:cstheme="minorBidi"/>
          <w:noProof/>
          <w:sz w:val="22"/>
          <w:szCs w:val="22"/>
          <w:lang w:eastAsia="en-NZ"/>
        </w:rPr>
      </w:pPr>
      <w:r>
        <w:rPr>
          <w:noProof/>
        </w:rPr>
        <w:t>Pressure injury severity by practice area</w:t>
      </w:r>
      <w:r>
        <w:rPr>
          <w:noProof/>
        </w:rPr>
        <w:tab/>
      </w:r>
      <w:r>
        <w:rPr>
          <w:noProof/>
        </w:rPr>
        <w:fldChar w:fldCharType="begin"/>
      </w:r>
      <w:r>
        <w:rPr>
          <w:noProof/>
        </w:rPr>
        <w:instrText xml:space="preserve"> PAGEREF _Toc523383217 \h </w:instrText>
      </w:r>
      <w:r>
        <w:rPr>
          <w:noProof/>
        </w:rPr>
      </w:r>
      <w:r>
        <w:rPr>
          <w:noProof/>
        </w:rPr>
        <w:fldChar w:fldCharType="separate"/>
      </w:r>
      <w:r w:rsidR="0076350E">
        <w:rPr>
          <w:noProof/>
        </w:rPr>
        <w:t>9</w:t>
      </w:r>
      <w:r>
        <w:rPr>
          <w:noProof/>
        </w:rPr>
        <w:fldChar w:fldCharType="end"/>
      </w:r>
    </w:p>
    <w:p w:rsidR="00623F41" w:rsidRDefault="00623F41">
      <w:pPr>
        <w:pStyle w:val="TOC1"/>
        <w:rPr>
          <w:rFonts w:asciiTheme="minorHAnsi" w:eastAsiaTheme="minorEastAsia" w:hAnsiTheme="minorHAnsi" w:cstheme="minorBidi"/>
          <w:noProof/>
          <w:sz w:val="22"/>
          <w:szCs w:val="22"/>
          <w:lang w:eastAsia="en-NZ"/>
        </w:rPr>
      </w:pPr>
      <w:r>
        <w:rPr>
          <w:noProof/>
        </w:rPr>
        <w:t>Auditor comments</w:t>
      </w:r>
      <w:r>
        <w:rPr>
          <w:noProof/>
        </w:rPr>
        <w:tab/>
      </w:r>
      <w:r>
        <w:rPr>
          <w:noProof/>
        </w:rPr>
        <w:fldChar w:fldCharType="begin"/>
      </w:r>
      <w:r>
        <w:rPr>
          <w:noProof/>
        </w:rPr>
        <w:instrText xml:space="preserve"> PAGEREF _Toc523383218 \h </w:instrText>
      </w:r>
      <w:r>
        <w:rPr>
          <w:noProof/>
        </w:rPr>
      </w:r>
      <w:r>
        <w:rPr>
          <w:noProof/>
        </w:rPr>
        <w:fldChar w:fldCharType="separate"/>
      </w:r>
      <w:r w:rsidR="0076350E">
        <w:rPr>
          <w:noProof/>
        </w:rPr>
        <w:t>10</w:t>
      </w:r>
      <w:r>
        <w:rPr>
          <w:noProof/>
        </w:rPr>
        <w:fldChar w:fldCharType="end"/>
      </w:r>
    </w:p>
    <w:p w:rsidR="00623F41" w:rsidRDefault="00623F41">
      <w:pPr>
        <w:pStyle w:val="TOC2"/>
        <w:rPr>
          <w:rFonts w:asciiTheme="minorHAnsi" w:eastAsiaTheme="minorEastAsia" w:hAnsiTheme="minorHAnsi" w:cstheme="minorBidi"/>
          <w:noProof/>
          <w:szCs w:val="22"/>
          <w:lang w:eastAsia="en-NZ"/>
        </w:rPr>
      </w:pPr>
      <w:r>
        <w:rPr>
          <w:noProof/>
        </w:rPr>
        <w:t>Practice area 1: Policy/guidelines</w:t>
      </w:r>
      <w:r>
        <w:rPr>
          <w:noProof/>
        </w:rPr>
        <w:tab/>
      </w:r>
      <w:r>
        <w:rPr>
          <w:noProof/>
        </w:rPr>
        <w:fldChar w:fldCharType="begin"/>
      </w:r>
      <w:r>
        <w:rPr>
          <w:noProof/>
        </w:rPr>
        <w:instrText xml:space="preserve"> PAGEREF _Toc523383219 \h </w:instrText>
      </w:r>
      <w:r>
        <w:rPr>
          <w:noProof/>
        </w:rPr>
      </w:r>
      <w:r>
        <w:rPr>
          <w:noProof/>
        </w:rPr>
        <w:fldChar w:fldCharType="separate"/>
      </w:r>
      <w:r w:rsidR="0076350E">
        <w:rPr>
          <w:noProof/>
        </w:rPr>
        <w:t>10</w:t>
      </w:r>
      <w:r>
        <w:rPr>
          <w:noProof/>
        </w:rPr>
        <w:fldChar w:fldCharType="end"/>
      </w:r>
    </w:p>
    <w:p w:rsidR="00623F41" w:rsidRDefault="00623F41">
      <w:pPr>
        <w:pStyle w:val="TOC2"/>
        <w:rPr>
          <w:rFonts w:asciiTheme="minorHAnsi" w:eastAsiaTheme="minorEastAsia" w:hAnsiTheme="minorHAnsi" w:cstheme="minorBidi"/>
          <w:noProof/>
          <w:szCs w:val="22"/>
          <w:lang w:eastAsia="en-NZ"/>
        </w:rPr>
      </w:pPr>
      <w:r>
        <w:rPr>
          <w:noProof/>
        </w:rPr>
        <w:t>Practice area 2: Internal audit programme</w:t>
      </w:r>
      <w:r>
        <w:rPr>
          <w:noProof/>
        </w:rPr>
        <w:tab/>
      </w:r>
      <w:r>
        <w:rPr>
          <w:noProof/>
        </w:rPr>
        <w:fldChar w:fldCharType="begin"/>
      </w:r>
      <w:r>
        <w:rPr>
          <w:noProof/>
        </w:rPr>
        <w:instrText xml:space="preserve"> PAGEREF _Toc523383220 \h </w:instrText>
      </w:r>
      <w:r>
        <w:rPr>
          <w:noProof/>
        </w:rPr>
      </w:r>
      <w:r>
        <w:rPr>
          <w:noProof/>
        </w:rPr>
        <w:fldChar w:fldCharType="separate"/>
      </w:r>
      <w:r w:rsidR="0076350E">
        <w:rPr>
          <w:noProof/>
        </w:rPr>
        <w:t>10</w:t>
      </w:r>
      <w:r>
        <w:rPr>
          <w:noProof/>
        </w:rPr>
        <w:fldChar w:fldCharType="end"/>
      </w:r>
    </w:p>
    <w:p w:rsidR="00623F41" w:rsidRDefault="00623F41">
      <w:pPr>
        <w:pStyle w:val="TOC2"/>
        <w:rPr>
          <w:rFonts w:asciiTheme="minorHAnsi" w:eastAsiaTheme="minorEastAsia" w:hAnsiTheme="minorHAnsi" w:cstheme="minorBidi"/>
          <w:noProof/>
          <w:szCs w:val="22"/>
          <w:lang w:eastAsia="en-NZ"/>
        </w:rPr>
      </w:pPr>
      <w:r>
        <w:rPr>
          <w:noProof/>
        </w:rPr>
        <w:t>Practice area 3: Meeting minutes</w:t>
      </w:r>
      <w:r>
        <w:rPr>
          <w:noProof/>
        </w:rPr>
        <w:tab/>
      </w:r>
      <w:r>
        <w:rPr>
          <w:noProof/>
        </w:rPr>
        <w:fldChar w:fldCharType="begin"/>
      </w:r>
      <w:r>
        <w:rPr>
          <w:noProof/>
        </w:rPr>
        <w:instrText xml:space="preserve"> PAGEREF _Toc523383221 \h </w:instrText>
      </w:r>
      <w:r>
        <w:rPr>
          <w:noProof/>
        </w:rPr>
      </w:r>
      <w:r>
        <w:rPr>
          <w:noProof/>
        </w:rPr>
        <w:fldChar w:fldCharType="separate"/>
      </w:r>
      <w:r w:rsidR="0076350E">
        <w:rPr>
          <w:noProof/>
        </w:rPr>
        <w:t>11</w:t>
      </w:r>
      <w:r>
        <w:rPr>
          <w:noProof/>
        </w:rPr>
        <w:fldChar w:fldCharType="end"/>
      </w:r>
    </w:p>
    <w:p w:rsidR="00623F41" w:rsidRDefault="00623F41">
      <w:pPr>
        <w:pStyle w:val="TOC2"/>
        <w:rPr>
          <w:rFonts w:asciiTheme="minorHAnsi" w:eastAsiaTheme="minorEastAsia" w:hAnsiTheme="minorHAnsi" w:cstheme="minorBidi"/>
          <w:noProof/>
          <w:szCs w:val="22"/>
          <w:lang w:eastAsia="en-NZ"/>
        </w:rPr>
      </w:pPr>
      <w:r>
        <w:rPr>
          <w:noProof/>
        </w:rPr>
        <w:t>Practice area 4: Adverse event reporting</w:t>
      </w:r>
      <w:r>
        <w:rPr>
          <w:noProof/>
        </w:rPr>
        <w:tab/>
      </w:r>
      <w:r>
        <w:rPr>
          <w:noProof/>
        </w:rPr>
        <w:fldChar w:fldCharType="begin"/>
      </w:r>
      <w:r>
        <w:rPr>
          <w:noProof/>
        </w:rPr>
        <w:instrText xml:space="preserve"> PAGEREF _Toc523383222 \h </w:instrText>
      </w:r>
      <w:r>
        <w:rPr>
          <w:noProof/>
        </w:rPr>
      </w:r>
      <w:r>
        <w:rPr>
          <w:noProof/>
        </w:rPr>
        <w:fldChar w:fldCharType="separate"/>
      </w:r>
      <w:r w:rsidR="0076350E">
        <w:rPr>
          <w:noProof/>
        </w:rPr>
        <w:t>11</w:t>
      </w:r>
      <w:r>
        <w:rPr>
          <w:noProof/>
        </w:rPr>
        <w:fldChar w:fldCharType="end"/>
      </w:r>
    </w:p>
    <w:p w:rsidR="00623F41" w:rsidRDefault="00623F41">
      <w:pPr>
        <w:pStyle w:val="TOC2"/>
        <w:rPr>
          <w:rFonts w:asciiTheme="minorHAnsi" w:eastAsiaTheme="minorEastAsia" w:hAnsiTheme="minorHAnsi" w:cstheme="minorBidi"/>
          <w:noProof/>
          <w:szCs w:val="22"/>
          <w:lang w:eastAsia="en-NZ"/>
        </w:rPr>
      </w:pPr>
      <w:r>
        <w:rPr>
          <w:noProof/>
        </w:rPr>
        <w:t>Practice area 5: Equipment availability</w:t>
      </w:r>
      <w:r>
        <w:rPr>
          <w:noProof/>
        </w:rPr>
        <w:tab/>
      </w:r>
      <w:r>
        <w:rPr>
          <w:noProof/>
        </w:rPr>
        <w:fldChar w:fldCharType="begin"/>
      </w:r>
      <w:r>
        <w:rPr>
          <w:noProof/>
        </w:rPr>
        <w:instrText xml:space="preserve"> PAGEREF _Toc523383223 \h </w:instrText>
      </w:r>
      <w:r>
        <w:rPr>
          <w:noProof/>
        </w:rPr>
      </w:r>
      <w:r>
        <w:rPr>
          <w:noProof/>
        </w:rPr>
        <w:fldChar w:fldCharType="separate"/>
      </w:r>
      <w:r w:rsidR="0076350E">
        <w:rPr>
          <w:noProof/>
        </w:rPr>
        <w:t>12</w:t>
      </w:r>
      <w:r>
        <w:rPr>
          <w:noProof/>
        </w:rPr>
        <w:fldChar w:fldCharType="end"/>
      </w:r>
    </w:p>
    <w:p w:rsidR="00623F41" w:rsidRDefault="00623F41">
      <w:pPr>
        <w:pStyle w:val="TOC2"/>
        <w:rPr>
          <w:rFonts w:asciiTheme="minorHAnsi" w:eastAsiaTheme="minorEastAsia" w:hAnsiTheme="minorHAnsi" w:cstheme="minorBidi"/>
          <w:noProof/>
          <w:szCs w:val="22"/>
          <w:lang w:eastAsia="en-NZ"/>
        </w:rPr>
      </w:pPr>
      <w:r>
        <w:rPr>
          <w:noProof/>
        </w:rPr>
        <w:t>Practice area 6: Annual training programme</w:t>
      </w:r>
      <w:r>
        <w:rPr>
          <w:noProof/>
        </w:rPr>
        <w:tab/>
      </w:r>
      <w:r>
        <w:rPr>
          <w:noProof/>
        </w:rPr>
        <w:fldChar w:fldCharType="begin"/>
      </w:r>
      <w:r>
        <w:rPr>
          <w:noProof/>
        </w:rPr>
        <w:instrText xml:space="preserve"> PAGEREF _Toc523383224 \h </w:instrText>
      </w:r>
      <w:r>
        <w:rPr>
          <w:noProof/>
        </w:rPr>
      </w:r>
      <w:r>
        <w:rPr>
          <w:noProof/>
        </w:rPr>
        <w:fldChar w:fldCharType="separate"/>
      </w:r>
      <w:r w:rsidR="0076350E">
        <w:rPr>
          <w:noProof/>
        </w:rPr>
        <w:t>12</w:t>
      </w:r>
      <w:r>
        <w:rPr>
          <w:noProof/>
        </w:rPr>
        <w:fldChar w:fldCharType="end"/>
      </w:r>
    </w:p>
    <w:p w:rsidR="00623F41" w:rsidRDefault="00623F41">
      <w:pPr>
        <w:pStyle w:val="TOC2"/>
        <w:rPr>
          <w:rFonts w:asciiTheme="minorHAnsi" w:eastAsiaTheme="minorEastAsia" w:hAnsiTheme="minorHAnsi" w:cstheme="minorBidi"/>
          <w:noProof/>
          <w:szCs w:val="22"/>
          <w:lang w:eastAsia="en-NZ"/>
        </w:rPr>
      </w:pPr>
      <w:r>
        <w:rPr>
          <w:noProof/>
        </w:rPr>
        <w:t>Practice area 7: Staff knowledge and understanding</w:t>
      </w:r>
      <w:r>
        <w:rPr>
          <w:noProof/>
        </w:rPr>
        <w:tab/>
      </w:r>
      <w:r>
        <w:rPr>
          <w:noProof/>
        </w:rPr>
        <w:fldChar w:fldCharType="begin"/>
      </w:r>
      <w:r>
        <w:rPr>
          <w:noProof/>
        </w:rPr>
        <w:instrText xml:space="preserve"> PAGEREF _Toc523383225 \h </w:instrText>
      </w:r>
      <w:r>
        <w:rPr>
          <w:noProof/>
        </w:rPr>
      </w:r>
      <w:r>
        <w:rPr>
          <w:noProof/>
        </w:rPr>
        <w:fldChar w:fldCharType="separate"/>
      </w:r>
      <w:r w:rsidR="0076350E">
        <w:rPr>
          <w:noProof/>
        </w:rPr>
        <w:t>13</w:t>
      </w:r>
      <w:r>
        <w:rPr>
          <w:noProof/>
        </w:rPr>
        <w:fldChar w:fldCharType="end"/>
      </w:r>
    </w:p>
    <w:p w:rsidR="00623F41" w:rsidRDefault="00623F41">
      <w:pPr>
        <w:pStyle w:val="TOC1"/>
        <w:rPr>
          <w:rFonts w:asciiTheme="minorHAnsi" w:eastAsiaTheme="minorEastAsia" w:hAnsiTheme="minorHAnsi" w:cstheme="minorBidi"/>
          <w:noProof/>
          <w:sz w:val="22"/>
          <w:szCs w:val="22"/>
          <w:lang w:eastAsia="en-NZ"/>
        </w:rPr>
      </w:pPr>
      <w:r>
        <w:rPr>
          <w:noProof/>
        </w:rPr>
        <w:t>Summary</w:t>
      </w:r>
      <w:r>
        <w:rPr>
          <w:noProof/>
        </w:rPr>
        <w:tab/>
      </w:r>
      <w:r>
        <w:rPr>
          <w:noProof/>
        </w:rPr>
        <w:fldChar w:fldCharType="begin"/>
      </w:r>
      <w:r>
        <w:rPr>
          <w:noProof/>
        </w:rPr>
        <w:instrText xml:space="preserve"> PAGEREF _Toc523383226 \h </w:instrText>
      </w:r>
      <w:r>
        <w:rPr>
          <w:noProof/>
        </w:rPr>
      </w:r>
      <w:r>
        <w:rPr>
          <w:noProof/>
        </w:rPr>
        <w:fldChar w:fldCharType="separate"/>
      </w:r>
      <w:r w:rsidR="0076350E">
        <w:rPr>
          <w:noProof/>
        </w:rPr>
        <w:t>14</w:t>
      </w:r>
      <w:r>
        <w:rPr>
          <w:noProof/>
        </w:rPr>
        <w:fldChar w:fldCharType="end"/>
      </w:r>
    </w:p>
    <w:p w:rsidR="00623F41" w:rsidRDefault="00623F41">
      <w:pPr>
        <w:pStyle w:val="TOC2"/>
        <w:rPr>
          <w:rFonts w:asciiTheme="minorHAnsi" w:eastAsiaTheme="minorEastAsia" w:hAnsiTheme="minorHAnsi" w:cstheme="minorBidi"/>
          <w:noProof/>
          <w:szCs w:val="22"/>
          <w:lang w:eastAsia="en-NZ"/>
        </w:rPr>
      </w:pPr>
      <w:r>
        <w:rPr>
          <w:noProof/>
        </w:rPr>
        <w:t>Points for future consideration</w:t>
      </w:r>
      <w:r>
        <w:rPr>
          <w:noProof/>
        </w:rPr>
        <w:tab/>
      </w:r>
      <w:r>
        <w:rPr>
          <w:noProof/>
        </w:rPr>
        <w:fldChar w:fldCharType="begin"/>
      </w:r>
      <w:r>
        <w:rPr>
          <w:noProof/>
        </w:rPr>
        <w:instrText xml:space="preserve"> PAGEREF _Toc523383227 \h </w:instrText>
      </w:r>
      <w:r>
        <w:rPr>
          <w:noProof/>
        </w:rPr>
      </w:r>
      <w:r>
        <w:rPr>
          <w:noProof/>
        </w:rPr>
        <w:fldChar w:fldCharType="separate"/>
      </w:r>
      <w:r w:rsidR="0076350E">
        <w:rPr>
          <w:noProof/>
        </w:rPr>
        <w:t>15</w:t>
      </w:r>
      <w:r>
        <w:rPr>
          <w:noProof/>
        </w:rPr>
        <w:fldChar w:fldCharType="end"/>
      </w:r>
    </w:p>
    <w:p w:rsidR="00C86248" w:rsidRDefault="00C86248">
      <w:r>
        <w:rPr>
          <w:b/>
        </w:rPr>
        <w:fldChar w:fldCharType="end"/>
      </w:r>
    </w:p>
    <w:p w:rsidR="003A5FEA" w:rsidRDefault="0087270C" w:rsidP="001D3E4E">
      <w:pPr>
        <w:pStyle w:val="TOC1"/>
        <w:keepNext/>
      </w:pPr>
      <w:r>
        <w:t>List of f</w:t>
      </w:r>
      <w:r w:rsidR="003A5FEA">
        <w:t>igures</w:t>
      </w:r>
    </w:p>
    <w:p w:rsidR="00194E01" w:rsidRDefault="003A5FEA">
      <w:pPr>
        <w:pStyle w:val="TOC3"/>
        <w:rPr>
          <w:rFonts w:asciiTheme="minorHAnsi" w:eastAsiaTheme="minorEastAsia" w:hAnsiTheme="minorHAnsi" w:cstheme="minorBidi"/>
          <w:noProof/>
          <w:sz w:val="22"/>
          <w:szCs w:val="22"/>
          <w:lang w:eastAsia="en-NZ"/>
        </w:rPr>
      </w:pPr>
      <w:r>
        <w:fldChar w:fldCharType="begin"/>
      </w:r>
      <w:r>
        <w:instrText xml:space="preserve"> TOC \t "Figure,3" </w:instrText>
      </w:r>
      <w:r>
        <w:fldChar w:fldCharType="separate"/>
      </w:r>
      <w:r w:rsidR="00194E01">
        <w:rPr>
          <w:noProof/>
        </w:rPr>
        <w:t>Figure 1:</w:t>
      </w:r>
      <w:r w:rsidR="00194E01">
        <w:rPr>
          <w:noProof/>
        </w:rPr>
        <w:tab/>
        <w:t>Pressure injury severity</w:t>
      </w:r>
      <w:r w:rsidR="00194E01">
        <w:rPr>
          <w:noProof/>
        </w:rPr>
        <w:tab/>
      </w:r>
      <w:r w:rsidR="00194E01">
        <w:rPr>
          <w:noProof/>
        </w:rPr>
        <w:fldChar w:fldCharType="begin"/>
      </w:r>
      <w:r w:rsidR="00194E01">
        <w:rPr>
          <w:noProof/>
        </w:rPr>
        <w:instrText xml:space="preserve"> PAGEREF _Toc522720963 \h </w:instrText>
      </w:r>
      <w:r w:rsidR="00194E01">
        <w:rPr>
          <w:noProof/>
        </w:rPr>
      </w:r>
      <w:r w:rsidR="00194E01">
        <w:rPr>
          <w:noProof/>
        </w:rPr>
        <w:fldChar w:fldCharType="separate"/>
      </w:r>
      <w:r w:rsidR="0076350E">
        <w:rPr>
          <w:noProof/>
        </w:rPr>
        <w:t>4</w:t>
      </w:r>
      <w:r w:rsidR="00194E01">
        <w:rPr>
          <w:noProof/>
        </w:rPr>
        <w:fldChar w:fldCharType="end"/>
      </w:r>
    </w:p>
    <w:p w:rsidR="00194E01" w:rsidRDefault="00194E01">
      <w:pPr>
        <w:pStyle w:val="TOC3"/>
        <w:rPr>
          <w:rFonts w:asciiTheme="minorHAnsi" w:eastAsiaTheme="minorEastAsia" w:hAnsiTheme="minorHAnsi" w:cstheme="minorBidi"/>
          <w:noProof/>
          <w:sz w:val="22"/>
          <w:szCs w:val="22"/>
          <w:lang w:eastAsia="en-NZ"/>
        </w:rPr>
      </w:pPr>
      <w:r>
        <w:rPr>
          <w:noProof/>
        </w:rPr>
        <w:t>Figure 2:</w:t>
      </w:r>
      <w:r>
        <w:rPr>
          <w:noProof/>
        </w:rPr>
        <w:tab/>
        <w:t>Assessed level of care</w:t>
      </w:r>
      <w:r>
        <w:rPr>
          <w:noProof/>
        </w:rPr>
        <w:tab/>
      </w:r>
      <w:r>
        <w:rPr>
          <w:noProof/>
        </w:rPr>
        <w:fldChar w:fldCharType="begin"/>
      </w:r>
      <w:r>
        <w:rPr>
          <w:noProof/>
        </w:rPr>
        <w:instrText xml:space="preserve"> PAGEREF _Toc522720964 \h </w:instrText>
      </w:r>
      <w:r>
        <w:rPr>
          <w:noProof/>
        </w:rPr>
      </w:r>
      <w:r>
        <w:rPr>
          <w:noProof/>
        </w:rPr>
        <w:fldChar w:fldCharType="separate"/>
      </w:r>
      <w:r w:rsidR="0076350E">
        <w:rPr>
          <w:noProof/>
        </w:rPr>
        <w:t>5</w:t>
      </w:r>
      <w:r>
        <w:rPr>
          <w:noProof/>
        </w:rPr>
        <w:fldChar w:fldCharType="end"/>
      </w:r>
    </w:p>
    <w:p w:rsidR="00194E01" w:rsidRDefault="00194E01">
      <w:pPr>
        <w:pStyle w:val="TOC3"/>
        <w:rPr>
          <w:rFonts w:asciiTheme="minorHAnsi" w:eastAsiaTheme="minorEastAsia" w:hAnsiTheme="minorHAnsi" w:cstheme="minorBidi"/>
          <w:noProof/>
          <w:sz w:val="22"/>
          <w:szCs w:val="22"/>
          <w:lang w:eastAsia="en-NZ"/>
        </w:rPr>
      </w:pPr>
      <w:r>
        <w:rPr>
          <w:noProof/>
        </w:rPr>
        <w:t>Figure 3:</w:t>
      </w:r>
      <w:r>
        <w:rPr>
          <w:noProof/>
        </w:rPr>
        <w:tab/>
        <w:t>Multiple injuries and assessed level of care</w:t>
      </w:r>
      <w:r>
        <w:rPr>
          <w:noProof/>
        </w:rPr>
        <w:tab/>
      </w:r>
      <w:r>
        <w:rPr>
          <w:noProof/>
        </w:rPr>
        <w:fldChar w:fldCharType="begin"/>
      </w:r>
      <w:r>
        <w:rPr>
          <w:noProof/>
        </w:rPr>
        <w:instrText xml:space="preserve"> PAGEREF _Toc522720965 \h </w:instrText>
      </w:r>
      <w:r>
        <w:rPr>
          <w:noProof/>
        </w:rPr>
      </w:r>
      <w:r>
        <w:rPr>
          <w:noProof/>
        </w:rPr>
        <w:fldChar w:fldCharType="separate"/>
      </w:r>
      <w:r w:rsidR="0076350E">
        <w:rPr>
          <w:noProof/>
        </w:rPr>
        <w:t>6</w:t>
      </w:r>
      <w:r>
        <w:rPr>
          <w:noProof/>
        </w:rPr>
        <w:fldChar w:fldCharType="end"/>
      </w:r>
    </w:p>
    <w:p w:rsidR="00194E01" w:rsidRDefault="00194E01">
      <w:pPr>
        <w:pStyle w:val="TOC3"/>
        <w:rPr>
          <w:rFonts w:asciiTheme="minorHAnsi" w:eastAsiaTheme="minorEastAsia" w:hAnsiTheme="minorHAnsi" w:cstheme="minorBidi"/>
          <w:noProof/>
          <w:sz w:val="22"/>
          <w:szCs w:val="22"/>
          <w:lang w:eastAsia="en-NZ"/>
        </w:rPr>
      </w:pPr>
      <w:r>
        <w:rPr>
          <w:noProof/>
        </w:rPr>
        <w:t>Figure 4:</w:t>
      </w:r>
      <w:r>
        <w:rPr>
          <w:noProof/>
        </w:rPr>
        <w:tab/>
        <w:t>Facility acquired versus non-facility acquired pressure injuries</w:t>
      </w:r>
      <w:r>
        <w:rPr>
          <w:noProof/>
        </w:rPr>
        <w:tab/>
      </w:r>
      <w:r>
        <w:rPr>
          <w:noProof/>
        </w:rPr>
        <w:fldChar w:fldCharType="begin"/>
      </w:r>
      <w:r>
        <w:rPr>
          <w:noProof/>
        </w:rPr>
        <w:instrText xml:space="preserve"> PAGEREF _Toc522720966 \h </w:instrText>
      </w:r>
      <w:r>
        <w:rPr>
          <w:noProof/>
        </w:rPr>
      </w:r>
      <w:r>
        <w:rPr>
          <w:noProof/>
        </w:rPr>
        <w:fldChar w:fldCharType="separate"/>
      </w:r>
      <w:r w:rsidR="0076350E">
        <w:rPr>
          <w:noProof/>
        </w:rPr>
        <w:t>7</w:t>
      </w:r>
      <w:r>
        <w:rPr>
          <w:noProof/>
        </w:rPr>
        <w:fldChar w:fldCharType="end"/>
      </w:r>
    </w:p>
    <w:p w:rsidR="00194E01" w:rsidRDefault="00194E01">
      <w:pPr>
        <w:pStyle w:val="TOC3"/>
        <w:rPr>
          <w:rFonts w:asciiTheme="minorHAnsi" w:eastAsiaTheme="minorEastAsia" w:hAnsiTheme="minorHAnsi" w:cstheme="minorBidi"/>
          <w:noProof/>
          <w:sz w:val="22"/>
          <w:szCs w:val="22"/>
          <w:lang w:eastAsia="en-NZ"/>
        </w:rPr>
      </w:pPr>
      <w:r>
        <w:rPr>
          <w:noProof/>
        </w:rPr>
        <w:t>Figure 5:</w:t>
      </w:r>
      <w:r>
        <w:rPr>
          <w:noProof/>
        </w:rPr>
        <w:tab/>
        <w:t>Number of aged residential care providers where practice areas were demonstrated at time of audit</w:t>
      </w:r>
      <w:r>
        <w:rPr>
          <w:noProof/>
        </w:rPr>
        <w:tab/>
      </w:r>
      <w:r>
        <w:rPr>
          <w:noProof/>
        </w:rPr>
        <w:fldChar w:fldCharType="begin"/>
      </w:r>
      <w:r>
        <w:rPr>
          <w:noProof/>
        </w:rPr>
        <w:instrText xml:space="preserve"> PAGEREF _Toc522720967 \h </w:instrText>
      </w:r>
      <w:r>
        <w:rPr>
          <w:noProof/>
        </w:rPr>
      </w:r>
      <w:r>
        <w:rPr>
          <w:noProof/>
        </w:rPr>
        <w:fldChar w:fldCharType="separate"/>
      </w:r>
      <w:r w:rsidR="0076350E">
        <w:rPr>
          <w:noProof/>
        </w:rPr>
        <w:t>8</w:t>
      </w:r>
      <w:r>
        <w:rPr>
          <w:noProof/>
        </w:rPr>
        <w:fldChar w:fldCharType="end"/>
      </w:r>
    </w:p>
    <w:p w:rsidR="00194E01" w:rsidRDefault="00194E01">
      <w:pPr>
        <w:pStyle w:val="TOC3"/>
        <w:rPr>
          <w:rFonts w:asciiTheme="minorHAnsi" w:eastAsiaTheme="minorEastAsia" w:hAnsiTheme="minorHAnsi" w:cstheme="minorBidi"/>
          <w:noProof/>
          <w:sz w:val="22"/>
          <w:szCs w:val="22"/>
          <w:lang w:eastAsia="en-NZ"/>
        </w:rPr>
      </w:pPr>
      <w:r>
        <w:rPr>
          <w:noProof/>
        </w:rPr>
        <w:t>Figure 6:</w:t>
      </w:r>
      <w:r>
        <w:rPr>
          <w:noProof/>
        </w:rPr>
        <w:tab/>
        <w:t>PIPM strategies and pressure injury severity</w:t>
      </w:r>
      <w:r>
        <w:rPr>
          <w:noProof/>
        </w:rPr>
        <w:tab/>
      </w:r>
      <w:r>
        <w:rPr>
          <w:noProof/>
        </w:rPr>
        <w:fldChar w:fldCharType="begin"/>
      </w:r>
      <w:r>
        <w:rPr>
          <w:noProof/>
        </w:rPr>
        <w:instrText xml:space="preserve"> PAGEREF _Toc522720968 \h </w:instrText>
      </w:r>
      <w:r>
        <w:rPr>
          <w:noProof/>
        </w:rPr>
      </w:r>
      <w:r>
        <w:rPr>
          <w:noProof/>
        </w:rPr>
        <w:fldChar w:fldCharType="separate"/>
      </w:r>
      <w:r w:rsidR="0076350E">
        <w:rPr>
          <w:noProof/>
        </w:rPr>
        <w:t>9</w:t>
      </w:r>
      <w:r>
        <w:rPr>
          <w:noProof/>
        </w:rPr>
        <w:fldChar w:fldCharType="end"/>
      </w:r>
    </w:p>
    <w:p w:rsidR="003A5FEA" w:rsidRDefault="003A5FEA" w:rsidP="003A5FEA">
      <w:r>
        <w:fldChar w:fldCharType="end"/>
      </w:r>
    </w:p>
    <w:p w:rsidR="001D3E4E" w:rsidRDefault="001D3E4E" w:rsidP="003A5FEA">
      <w:pPr>
        <w:sectPr w:rsidR="001D3E4E" w:rsidSect="0078658E">
          <w:headerReference w:type="default" r:id="rId19"/>
          <w:footerReference w:type="even" r:id="rId20"/>
          <w:footerReference w:type="default" r:id="rId21"/>
          <w:pgSz w:w="11907" w:h="16840" w:code="9"/>
          <w:pgMar w:top="1418" w:right="1701" w:bottom="1134" w:left="1843" w:header="284" w:footer="425" w:gutter="284"/>
          <w:pgNumType w:fmt="lowerRoman"/>
          <w:cols w:space="720"/>
        </w:sectPr>
      </w:pPr>
    </w:p>
    <w:p w:rsidR="00455CC9" w:rsidRPr="0043478F" w:rsidRDefault="00455CC9" w:rsidP="0086388B">
      <w:bookmarkStart w:id="2" w:name="_bookmark4"/>
      <w:bookmarkEnd w:id="2"/>
    </w:p>
    <w:p w:rsidR="00C86248" w:rsidRPr="0043478F" w:rsidRDefault="00C86248">
      <w:pPr>
        <w:sectPr w:rsidR="00C86248" w:rsidRPr="0043478F" w:rsidSect="0078658E">
          <w:footerReference w:type="even" r:id="rId22"/>
          <w:footerReference w:type="default" r:id="rId23"/>
          <w:pgSz w:w="11907" w:h="16840" w:code="9"/>
          <w:pgMar w:top="1418" w:right="1701" w:bottom="1134" w:left="1843" w:header="284" w:footer="425" w:gutter="284"/>
          <w:pgNumType w:fmt="lowerRoman"/>
          <w:cols w:space="720"/>
        </w:sectPr>
      </w:pPr>
    </w:p>
    <w:p w:rsidR="008C2973" w:rsidRDefault="00A42937" w:rsidP="00A42937">
      <w:pPr>
        <w:pStyle w:val="Heading1"/>
        <w:rPr>
          <w:spacing w:val="0"/>
        </w:rPr>
      </w:pPr>
      <w:bookmarkStart w:id="4" w:name="_Toc523383209"/>
      <w:r>
        <w:rPr>
          <w:spacing w:val="0"/>
        </w:rPr>
        <w:lastRenderedPageBreak/>
        <w:t>Introduction</w:t>
      </w:r>
      <w:bookmarkEnd w:id="4"/>
    </w:p>
    <w:p w:rsidR="00A42937" w:rsidRDefault="00A42937" w:rsidP="00736050">
      <w:r>
        <w:t>Pressure injuries are a major cause of preventable harm for health services, with approximately 55,000</w:t>
      </w:r>
      <w:r w:rsidRPr="00736050">
        <w:rPr>
          <w:rStyle w:val="FootnoteReference"/>
        </w:rPr>
        <w:footnoteReference w:id="1"/>
      </w:r>
      <w:r>
        <w:t xml:space="preserve"> people in New Zealand suffering from a pressure injury every year.</w:t>
      </w:r>
    </w:p>
    <w:p w:rsidR="00736050" w:rsidRDefault="00736050" w:rsidP="00736050"/>
    <w:p w:rsidR="00A42937" w:rsidRDefault="00A42937" w:rsidP="00736050">
      <w:r>
        <w:t>Pressure injuries are known to reduce the quality of life for those with an injury and include human cost such as constant pain, loss of function and mobility, distress and anxiety, prolonged hospital stays and even death.</w:t>
      </w:r>
    </w:p>
    <w:p w:rsidR="00736050" w:rsidRDefault="00736050" w:rsidP="00736050"/>
    <w:p w:rsidR="00A42937" w:rsidRDefault="00A42937" w:rsidP="00736050">
      <w:r>
        <w:t>The National Pressure Ulcer Advisory Panel (NPUAP) defines a pressure injury</w:t>
      </w:r>
      <w:r w:rsidR="00736050">
        <w:t>, as:</w:t>
      </w:r>
    </w:p>
    <w:p w:rsidR="00A42937" w:rsidRDefault="00A42937" w:rsidP="00736050">
      <w:pPr>
        <w:pStyle w:val="Quote"/>
      </w:pPr>
      <w:proofErr w:type="gramStart"/>
      <w:r>
        <w:t>localized</w:t>
      </w:r>
      <w:proofErr w:type="gramEnd"/>
      <w:r>
        <w:t xml:space="preserve"> damage to the skin and/or underlying soft tissue usually over a bony prominence or related to a medical or other device. The injury can present as intact skin or an open ulcer and may be painful. The injury occurs as a result of intense and or prolonged pressure or pressure in combination with shear. The tolerance of soft tissue for pressure and shear may also be affected by microclimate, nutrition, perfusion, co-morbidities and condition of the soft tissue.</w:t>
      </w:r>
      <w:r w:rsidRPr="00736050">
        <w:rPr>
          <w:rStyle w:val="FootnoteReference"/>
        </w:rPr>
        <w:footnoteReference w:id="2"/>
      </w:r>
    </w:p>
    <w:p w:rsidR="00736050" w:rsidRDefault="00736050" w:rsidP="00736050"/>
    <w:p w:rsidR="00A42937" w:rsidRDefault="00A42937" w:rsidP="00736050">
      <w:r>
        <w:t xml:space="preserve">The Ministry of Health (the Ministry), the Health Quality &amp; Safety Commission New Zealand (HQSC) and the Accident Compensation Corporation (ACC) have been working collaboratively since </w:t>
      </w:r>
      <w:r w:rsidRPr="001A16BF">
        <w:t>late 2014 on strategies</w:t>
      </w:r>
      <w:r>
        <w:t xml:space="preserve"> that will support pressure injury prevention and management within the health sector.</w:t>
      </w:r>
    </w:p>
    <w:p w:rsidR="00736050" w:rsidRDefault="00736050" w:rsidP="00736050"/>
    <w:p w:rsidR="00A42937" w:rsidRDefault="00A42937" w:rsidP="00736050">
      <w:proofErr w:type="spellStart"/>
      <w:r>
        <w:t>HealthCERT</w:t>
      </w:r>
      <w:proofErr w:type="spellEnd"/>
      <w:r>
        <w:t xml:space="preserve">, a group within the Ministry, are responsible for ensuring health services provide safe and reasonable levels of care. </w:t>
      </w:r>
      <w:proofErr w:type="spellStart"/>
      <w:r>
        <w:t>HealthCERT</w:t>
      </w:r>
      <w:proofErr w:type="spellEnd"/>
      <w:r>
        <w:t xml:space="preserve"> developed two programmes of work on pressure injuries in the aged residential care setting:</w:t>
      </w:r>
    </w:p>
    <w:p w:rsidR="00A42937" w:rsidRDefault="00736050" w:rsidP="00736050">
      <w:pPr>
        <w:pStyle w:val="Bullet"/>
      </w:pPr>
      <w:r>
        <w:t>a</w:t>
      </w:r>
      <w:r w:rsidR="00A42937">
        <w:t xml:space="preserve"> focus on pressure injuries stage 3 and above reported to </w:t>
      </w:r>
      <w:proofErr w:type="spellStart"/>
      <w:r w:rsidR="00A42937">
        <w:t>HealthCERT</w:t>
      </w:r>
      <w:proofErr w:type="spellEnd"/>
      <w:r w:rsidR="00A42937">
        <w:t xml:space="preserve"> as section</w:t>
      </w:r>
      <w:r>
        <w:t> </w:t>
      </w:r>
      <w:r w:rsidR="00A42937">
        <w:t>31 notifications</w:t>
      </w:r>
      <w:r w:rsidR="00A42937" w:rsidRPr="00736050">
        <w:rPr>
          <w:rStyle w:val="FootnoteReference"/>
        </w:rPr>
        <w:footnoteReference w:id="3"/>
      </w:r>
    </w:p>
    <w:p w:rsidR="00A42937" w:rsidRDefault="00736050" w:rsidP="00736050">
      <w:pPr>
        <w:pStyle w:val="Bullet"/>
      </w:pPr>
      <w:proofErr w:type="gramStart"/>
      <w:r>
        <w:t>a</w:t>
      </w:r>
      <w:proofErr w:type="gramEnd"/>
      <w:r w:rsidR="00A42937">
        <w:t xml:space="preserve"> requirement for auditors to review pressure injury prevention and management as part of the certification audit process.</w:t>
      </w:r>
    </w:p>
    <w:p w:rsidR="00736050" w:rsidRDefault="00736050" w:rsidP="00736050"/>
    <w:p w:rsidR="00A42937" w:rsidRDefault="00A42937" w:rsidP="00736050">
      <w:r>
        <w:t>The aim of these initiatives was to raise the profile of pressure injury prevention and management (PIPM) within the aged residential care sector</w:t>
      </w:r>
      <w:r w:rsidR="00736050">
        <w:t>.</w:t>
      </w:r>
    </w:p>
    <w:p w:rsidR="00736050" w:rsidRDefault="00736050" w:rsidP="00736050"/>
    <w:p w:rsidR="00A42937" w:rsidRDefault="00A42937" w:rsidP="00736050">
      <w:pPr>
        <w:rPr>
          <w:rFonts w:cs="Arial"/>
        </w:rPr>
      </w:pPr>
      <w:r>
        <w:t xml:space="preserve">This report considers the information gathered by auditing agencies as part of the certification process. The information represents audits completed between </w:t>
      </w:r>
      <w:r>
        <w:rPr>
          <w:rFonts w:cs="Arial"/>
        </w:rPr>
        <w:t>1 January 2016 and 31 March 2017.</w:t>
      </w:r>
    </w:p>
    <w:p w:rsidR="00736050" w:rsidRDefault="00A42937" w:rsidP="00AA71D8">
      <w:pPr>
        <w:pStyle w:val="Heading2"/>
        <w:spacing w:before="720"/>
      </w:pPr>
      <w:bookmarkStart w:id="5" w:name="_Toc521393306"/>
      <w:bookmarkStart w:id="6" w:name="_Toc523383210"/>
      <w:r>
        <w:lastRenderedPageBreak/>
        <w:t>Audit method</w:t>
      </w:r>
      <w:bookmarkEnd w:id="5"/>
      <w:bookmarkEnd w:id="6"/>
    </w:p>
    <w:p w:rsidR="00A42937" w:rsidRDefault="00A42937" w:rsidP="00736050">
      <w:r w:rsidRPr="00BD1C47">
        <w:t xml:space="preserve">Designated </w:t>
      </w:r>
      <w:r>
        <w:t>a</w:t>
      </w:r>
      <w:r w:rsidRPr="00BD1C47">
        <w:t xml:space="preserve">uditing </w:t>
      </w:r>
      <w:r>
        <w:t>a</w:t>
      </w:r>
      <w:r w:rsidRPr="00BD1C47">
        <w:t>gencies (DAA)</w:t>
      </w:r>
      <w:r>
        <w:rPr>
          <w:i/>
        </w:rPr>
        <w:t xml:space="preserve"> </w:t>
      </w:r>
      <w:r>
        <w:t xml:space="preserve">audit aged residential care providers in accordance with the </w:t>
      </w:r>
      <w:r w:rsidRPr="001F3189">
        <w:rPr>
          <w:i/>
        </w:rPr>
        <w:t>Designated Auditing Agency Handbook</w:t>
      </w:r>
      <w:r>
        <w:rPr>
          <w:i/>
        </w:rPr>
        <w:t xml:space="preserve"> </w:t>
      </w:r>
      <w:r>
        <w:t>(the handbook).</w:t>
      </w:r>
    </w:p>
    <w:p w:rsidR="00736050" w:rsidRDefault="00736050" w:rsidP="00736050"/>
    <w:p w:rsidR="00A42937" w:rsidRDefault="00A42937" w:rsidP="00736050">
      <w:r>
        <w:t>The auditors use a sampling methodology as prescribed in the handbook</w:t>
      </w:r>
      <w:r w:rsidRPr="0096573F">
        <w:t xml:space="preserve"> </w:t>
      </w:r>
      <w:r>
        <w:t>to gather evidence, using these methods:</w:t>
      </w:r>
    </w:p>
    <w:p w:rsidR="00A42937" w:rsidRPr="00981F34" w:rsidRDefault="00A42937" w:rsidP="00736050">
      <w:pPr>
        <w:pStyle w:val="Bullet"/>
        <w:rPr>
          <w:i/>
        </w:rPr>
      </w:pPr>
      <w:r>
        <w:t>interviews – with residents, relatives, personnel (managers, staff members) and other health professionals</w:t>
      </w:r>
    </w:p>
    <w:p w:rsidR="00A42937" w:rsidRPr="00981F34" w:rsidRDefault="00A42937" w:rsidP="00736050">
      <w:pPr>
        <w:pStyle w:val="Bullet"/>
        <w:rPr>
          <w:i/>
        </w:rPr>
      </w:pPr>
      <w:r>
        <w:t>a document review – including policies, clinical records, reports, forms</w:t>
      </w:r>
    </w:p>
    <w:p w:rsidR="00A42937" w:rsidRPr="00686B68" w:rsidRDefault="00A42937" w:rsidP="00736050">
      <w:pPr>
        <w:pStyle w:val="Bullet"/>
        <w:rPr>
          <w:i/>
        </w:rPr>
      </w:pPr>
      <w:proofErr w:type="gramStart"/>
      <w:r>
        <w:t>observation</w:t>
      </w:r>
      <w:proofErr w:type="gramEnd"/>
      <w:r>
        <w:t xml:space="preserve"> – where the auditor reviews a provider</w:t>
      </w:r>
      <w:r w:rsidR="0000547A">
        <w:t>’</w:t>
      </w:r>
      <w:r>
        <w:t>s practices on the day of audit.</w:t>
      </w:r>
    </w:p>
    <w:p w:rsidR="00736050" w:rsidRDefault="00736050" w:rsidP="00736050"/>
    <w:p w:rsidR="00A42937" w:rsidRDefault="00A42937" w:rsidP="00736050">
      <w:r>
        <w:t>On the audit day, auditors used these methods to:</w:t>
      </w:r>
    </w:p>
    <w:p w:rsidR="00736050" w:rsidRDefault="00A42937" w:rsidP="00736050">
      <w:pPr>
        <w:pStyle w:val="Bullet"/>
      </w:pPr>
      <w:r>
        <w:t>indicate the number of residents with pressure injuries and the severity of the injury</w:t>
      </w:r>
    </w:p>
    <w:p w:rsidR="00736050" w:rsidRDefault="00A42937" w:rsidP="00736050">
      <w:pPr>
        <w:pStyle w:val="Bullet"/>
      </w:pPr>
      <w:r>
        <w:t>consider whether the provider was implementing PIPM against seven defined practice areas:</w:t>
      </w:r>
    </w:p>
    <w:p w:rsidR="00A42937" w:rsidRDefault="00A42937" w:rsidP="008B75D6">
      <w:pPr>
        <w:pStyle w:val="Number"/>
        <w:spacing w:before="60"/>
        <w:ind w:left="851"/>
      </w:pPr>
      <w:r>
        <w:t xml:space="preserve">Policy/guidelines – Providers should have one or more policies relating to maintaining skin integrity and wound care. The policies should include aspects of assessment, care planning and evaluation and may include references to or use of </w:t>
      </w:r>
      <w:proofErr w:type="spellStart"/>
      <w:r>
        <w:t>interRAI</w:t>
      </w:r>
      <w:proofErr w:type="spellEnd"/>
      <w:r>
        <w:t xml:space="preserve"> data.</w:t>
      </w:r>
    </w:p>
    <w:p w:rsidR="00A42937" w:rsidRDefault="00A42937" w:rsidP="008B75D6">
      <w:pPr>
        <w:pStyle w:val="Number"/>
        <w:spacing w:before="60"/>
        <w:ind w:left="851"/>
      </w:pPr>
      <w:r>
        <w:t>Internal audit programme – This may include audit of pressure injury risk assessment and care planning, wound management and/or clinical file review.</w:t>
      </w:r>
    </w:p>
    <w:p w:rsidR="00A42937" w:rsidRDefault="00A42937" w:rsidP="008B75D6">
      <w:pPr>
        <w:pStyle w:val="Number"/>
        <w:spacing w:before="60"/>
        <w:ind w:left="851"/>
      </w:pPr>
      <w:r>
        <w:t>Meeting minutes – Reference to pressure injury may be recorded in one or more meetings, for example, quality meetings and/or staff meetings.</w:t>
      </w:r>
    </w:p>
    <w:p w:rsidR="00A42937" w:rsidRDefault="00A42937" w:rsidP="008B75D6">
      <w:pPr>
        <w:pStyle w:val="Number"/>
        <w:spacing w:before="60"/>
        <w:ind w:left="851"/>
      </w:pPr>
      <w:r>
        <w:t>Adverse event reporting – Facility acquired pressure injuries should be reported through the incident management system.</w:t>
      </w:r>
    </w:p>
    <w:p w:rsidR="00A42937" w:rsidRDefault="00A42937" w:rsidP="008B75D6">
      <w:pPr>
        <w:pStyle w:val="Number"/>
        <w:spacing w:before="60"/>
        <w:ind w:left="851"/>
      </w:pPr>
      <w:r>
        <w:t>Equipment availability – The provider must demonstrate access to appropriate resources and equipment to prevent and manage pressure injuries.</w:t>
      </w:r>
    </w:p>
    <w:p w:rsidR="00A42937" w:rsidRDefault="00A42937" w:rsidP="008B75D6">
      <w:pPr>
        <w:pStyle w:val="Number"/>
        <w:spacing w:before="60"/>
        <w:ind w:left="851"/>
      </w:pPr>
      <w:r>
        <w:t>Annual training programmes – A range of training is offered within the provider, including on topics such as maintaining skin integrity (which may include the SSKIN bundle of care</w:t>
      </w:r>
      <w:r w:rsidRPr="00736050">
        <w:rPr>
          <w:rStyle w:val="FootnoteReference"/>
        </w:rPr>
        <w:footnoteReference w:id="4"/>
      </w:r>
      <w:r>
        <w:t xml:space="preserve"> and/or PIPM).</w:t>
      </w:r>
    </w:p>
    <w:p w:rsidR="00A42937" w:rsidRDefault="00A42937" w:rsidP="008B75D6">
      <w:pPr>
        <w:pStyle w:val="Number"/>
        <w:spacing w:before="60"/>
        <w:ind w:left="851"/>
      </w:pPr>
      <w:r>
        <w:t>S</w:t>
      </w:r>
      <w:r w:rsidRPr="00DA4D13">
        <w:t>taff knowledge and understanding</w:t>
      </w:r>
      <w:r>
        <w:t xml:space="preserve"> – The auditors could corroborate that staff understand PIPM, including risk assessment, event reporting and treatment of pressure injuries.</w:t>
      </w:r>
    </w:p>
    <w:p w:rsidR="0076350E" w:rsidRDefault="0076350E" w:rsidP="0076350E"/>
    <w:p w:rsidR="00736050" w:rsidRDefault="00A42937" w:rsidP="0076350E">
      <w:r w:rsidRPr="00FB5E45">
        <w:t>There are an estimated 659 certified aged residential care providers</w:t>
      </w:r>
      <w:r>
        <w:t xml:space="preserve"> in New Zealand</w:t>
      </w:r>
      <w:r w:rsidRPr="00FB5E45">
        <w:t>, and 528 providers were audited between 1 January 2016 and 31</w:t>
      </w:r>
      <w:r w:rsidR="00736050">
        <w:t> </w:t>
      </w:r>
      <w:r w:rsidRPr="00FB5E45">
        <w:t>March 2017 (the breadth of data included in this</w:t>
      </w:r>
      <w:r>
        <w:t xml:space="preserve"> report</w:t>
      </w:r>
      <w:r w:rsidRPr="00FB5E45">
        <w:t>).</w:t>
      </w:r>
    </w:p>
    <w:p w:rsidR="00A42937" w:rsidRPr="00FB5E45" w:rsidRDefault="00A42937" w:rsidP="00A42937">
      <w:pPr>
        <w:rPr>
          <w:rFonts w:cs="Arial"/>
        </w:rPr>
      </w:pPr>
    </w:p>
    <w:p w:rsidR="00A42937" w:rsidRDefault="00A42937" w:rsidP="00736050">
      <w:pPr>
        <w:pStyle w:val="Heading2"/>
      </w:pPr>
      <w:bookmarkStart w:id="7" w:name="_Toc521393307"/>
      <w:bookmarkStart w:id="8" w:name="_Toc523383211"/>
      <w:r>
        <w:lastRenderedPageBreak/>
        <w:t>Limitations</w:t>
      </w:r>
      <w:bookmarkEnd w:id="7"/>
      <w:bookmarkEnd w:id="8"/>
    </w:p>
    <w:p w:rsidR="00A42937" w:rsidRDefault="00A42937" w:rsidP="003A4943">
      <w:pPr>
        <w:keepNext/>
      </w:pPr>
      <w:r>
        <w:t>There are some key limitations to the information presented in this report:</w:t>
      </w:r>
    </w:p>
    <w:p w:rsidR="00A42937" w:rsidRDefault="00A42937" w:rsidP="00736050">
      <w:pPr>
        <w:pStyle w:val="Bullet"/>
      </w:pPr>
      <w:r>
        <w:t>The audit is based on sampling principles, that is, the auditors did not interview all staff, and they did not review all available documents.</w:t>
      </w:r>
    </w:p>
    <w:p w:rsidR="00A42937" w:rsidRDefault="00A42937" w:rsidP="00736050">
      <w:pPr>
        <w:pStyle w:val="Bullet"/>
      </w:pPr>
      <w:r>
        <w:t>The number of pressure injuries (and their severity) is based on document review not on a s</w:t>
      </w:r>
      <w:r w:rsidRPr="00EB0BBB">
        <w:t xml:space="preserve">kin </w:t>
      </w:r>
      <w:r>
        <w:t>i</w:t>
      </w:r>
      <w:r w:rsidRPr="00EB0BBB">
        <w:t>nspection</w:t>
      </w:r>
      <w:r w:rsidRPr="003567FE">
        <w:t xml:space="preserve"> </w:t>
      </w:r>
      <w:r>
        <w:t>of every resident in every audited facility.</w:t>
      </w:r>
    </w:p>
    <w:p w:rsidR="00736050" w:rsidRDefault="00A42937" w:rsidP="00736050">
      <w:pPr>
        <w:pStyle w:val="Bullet"/>
      </w:pPr>
      <w:r>
        <w:t xml:space="preserve">A number of different auditors were involved in this process, and therefore the results will include </w:t>
      </w:r>
      <w:r w:rsidRPr="00FD331C">
        <w:t xml:space="preserve">a degree of variation in </w:t>
      </w:r>
      <w:r>
        <w:t xml:space="preserve">approach to </w:t>
      </w:r>
      <w:r w:rsidRPr="00FD331C">
        <w:t xml:space="preserve">data </w:t>
      </w:r>
      <w:r>
        <w:t>collection and interpretation</w:t>
      </w:r>
      <w:r w:rsidRPr="00FD331C">
        <w:t>.</w:t>
      </w:r>
    </w:p>
    <w:p w:rsidR="00A42937" w:rsidRDefault="00A42937" w:rsidP="00736050">
      <w:pPr>
        <w:pStyle w:val="Bullet"/>
      </w:pPr>
      <w:r>
        <w:t>The audit is substantially based on a qualitative analysis of auditor commentary.</w:t>
      </w:r>
    </w:p>
    <w:p w:rsidR="00A42937" w:rsidRDefault="00A42937" w:rsidP="00736050">
      <w:pPr>
        <w:pStyle w:val="Bullet"/>
      </w:pPr>
      <w:r>
        <w:t>The sample of providers and residents is not representative, and no weighting has been made for difference in size or type of facility or resident health needs.</w:t>
      </w:r>
    </w:p>
    <w:p w:rsidR="00736050" w:rsidRDefault="00736050" w:rsidP="00736050"/>
    <w:p w:rsidR="00A42937" w:rsidRDefault="00A42937" w:rsidP="00164776">
      <w:pPr>
        <w:pStyle w:val="Heading1"/>
      </w:pPr>
      <w:bookmarkStart w:id="9" w:name="_Toc521393308"/>
      <w:bookmarkStart w:id="10" w:name="_Toc523383212"/>
      <w:r>
        <w:lastRenderedPageBreak/>
        <w:t>Number and severity of pressure injuries</w:t>
      </w:r>
      <w:bookmarkEnd w:id="9"/>
      <w:bookmarkEnd w:id="10"/>
    </w:p>
    <w:p w:rsidR="00A42937" w:rsidRDefault="00A42937" w:rsidP="00164776">
      <w:r>
        <w:t>The audit identified the following data on pressure injuries in aged residential care.</w:t>
      </w:r>
    </w:p>
    <w:p w:rsidR="00A42937" w:rsidRDefault="00A42937" w:rsidP="00164776">
      <w:pPr>
        <w:pStyle w:val="Bullet"/>
      </w:pPr>
      <w:r>
        <w:t>299 of the 528 providers audited had pressure injuries at the time of audit.</w:t>
      </w:r>
    </w:p>
    <w:p w:rsidR="00736050" w:rsidRDefault="00A42937" w:rsidP="00164776">
      <w:pPr>
        <w:pStyle w:val="Dash"/>
      </w:pPr>
      <w:r>
        <w:t>The 299 providers had 821 pressure injuries.</w:t>
      </w:r>
    </w:p>
    <w:p w:rsidR="00A42937" w:rsidRDefault="00A42937" w:rsidP="00164776">
      <w:pPr>
        <w:pStyle w:val="Dash"/>
      </w:pPr>
      <w:r>
        <w:t>The majority of pressure injuries (413) were at stage 2 severity.</w:t>
      </w:r>
    </w:p>
    <w:p w:rsidR="00736050" w:rsidRDefault="00A42937" w:rsidP="00164776">
      <w:pPr>
        <w:pStyle w:val="Dash"/>
      </w:pPr>
      <w:r>
        <w:t>196 injuries were stage 3 or above.</w:t>
      </w:r>
    </w:p>
    <w:p w:rsidR="00164776" w:rsidRDefault="00164776" w:rsidP="00164776"/>
    <w:p w:rsidR="00A42937" w:rsidRDefault="00A42937" w:rsidP="00164776">
      <w:r>
        <w:t>The severity of pressure injuries has been classified into the following six stages.</w:t>
      </w:r>
    </w:p>
    <w:p w:rsidR="00A42937" w:rsidRDefault="00A42937" w:rsidP="00164776">
      <w:pPr>
        <w:pStyle w:val="Bullet"/>
      </w:pPr>
      <w:r>
        <w:t>Stage 1 pressure injury: Non-</w:t>
      </w:r>
      <w:proofErr w:type="spellStart"/>
      <w:r>
        <w:t>blanchable</w:t>
      </w:r>
      <w:proofErr w:type="spellEnd"/>
      <w:r>
        <w:t xml:space="preserve"> erythema</w:t>
      </w:r>
    </w:p>
    <w:p w:rsidR="00A42937" w:rsidRDefault="00A42937" w:rsidP="00164776">
      <w:pPr>
        <w:pStyle w:val="Bullet"/>
      </w:pPr>
      <w:r>
        <w:t>Stage 2 pressure injury: Partial thickness skin loss</w:t>
      </w:r>
    </w:p>
    <w:p w:rsidR="00A42937" w:rsidRDefault="00A42937" w:rsidP="00164776">
      <w:pPr>
        <w:pStyle w:val="Bullet"/>
      </w:pPr>
      <w:r>
        <w:t>Stage 3 pressure injury: Full thickness skin loss</w:t>
      </w:r>
    </w:p>
    <w:p w:rsidR="00A42937" w:rsidRDefault="00A42937" w:rsidP="00164776">
      <w:pPr>
        <w:pStyle w:val="Bullet"/>
      </w:pPr>
      <w:r>
        <w:t>Stage 4 pressure injury: Full thickness tissue loss</w:t>
      </w:r>
    </w:p>
    <w:p w:rsidR="00A42937" w:rsidRDefault="00A42937" w:rsidP="00164776">
      <w:pPr>
        <w:pStyle w:val="Bullet"/>
      </w:pPr>
      <w:r>
        <w:t>Unstageable pressure injury: Depth unknown</w:t>
      </w:r>
    </w:p>
    <w:p w:rsidR="00A42937" w:rsidRDefault="00A42937" w:rsidP="00164776">
      <w:pPr>
        <w:pStyle w:val="Bullet"/>
      </w:pPr>
      <w:r>
        <w:t>Suspected deep tissue injury</w:t>
      </w:r>
      <w:r w:rsidR="0000547A">
        <w:t>’</w:t>
      </w:r>
      <w:r>
        <w:t>: Depth unknown.</w:t>
      </w:r>
      <w:r w:rsidRPr="00164776">
        <w:rPr>
          <w:rStyle w:val="FootnoteReference"/>
        </w:rPr>
        <w:footnoteReference w:id="5"/>
      </w:r>
    </w:p>
    <w:p w:rsidR="00A42937" w:rsidRDefault="00A42937" w:rsidP="00164776"/>
    <w:p w:rsidR="00A42937" w:rsidRDefault="00164776" w:rsidP="00164776">
      <w:r>
        <w:t xml:space="preserve">Figure </w:t>
      </w:r>
      <w:r w:rsidR="00A42937">
        <w:t>1 shows the severity of the pressure injuries present in the 299 aged residential care providers that had pressure injuries at the time of audit.</w:t>
      </w:r>
    </w:p>
    <w:p w:rsidR="00A42937" w:rsidRDefault="00A42937" w:rsidP="00164776"/>
    <w:p w:rsidR="00164776" w:rsidRDefault="00164776" w:rsidP="00164776">
      <w:pPr>
        <w:pStyle w:val="Figure"/>
      </w:pPr>
      <w:bookmarkStart w:id="11" w:name="_Toc522720963"/>
      <w:r>
        <w:t>Figure 1: Pressure injury severity</w:t>
      </w:r>
      <w:bookmarkEnd w:id="11"/>
    </w:p>
    <w:p w:rsidR="00164776" w:rsidRDefault="00A30B77" w:rsidP="008B75D6">
      <w:bookmarkStart w:id="12" w:name="_Toc521393309"/>
      <w:r w:rsidRPr="00A30B77">
        <w:rPr>
          <w:noProof/>
          <w:lang w:eastAsia="en-NZ"/>
        </w:rPr>
        <w:drawing>
          <wp:inline distT="0" distB="0" distL="0" distR="0" wp14:anchorId="373C9E51" wp14:editId="2B9255B4">
            <wp:extent cx="4838007" cy="3157110"/>
            <wp:effectExtent l="0" t="0" r="1270" b="5715"/>
            <wp:docPr id="13" name="Picture 13" title="Figure 1: Pressure injury seve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837953" cy="3157075"/>
                    </a:xfrm>
                    <a:prstGeom prst="rect">
                      <a:avLst/>
                    </a:prstGeom>
                  </pic:spPr>
                </pic:pic>
              </a:graphicData>
            </a:graphic>
          </wp:inline>
        </w:drawing>
      </w:r>
    </w:p>
    <w:p w:rsidR="00736050" w:rsidRDefault="00A42937" w:rsidP="00164776">
      <w:pPr>
        <w:pStyle w:val="Heading1"/>
      </w:pPr>
      <w:bookmarkStart w:id="13" w:name="_Toc523383213"/>
      <w:r>
        <w:lastRenderedPageBreak/>
        <w:t>The residents</w:t>
      </w:r>
      <w:bookmarkEnd w:id="12"/>
      <w:bookmarkEnd w:id="13"/>
    </w:p>
    <w:p w:rsidR="00A42937" w:rsidRDefault="00A42937" w:rsidP="00164776">
      <w:r>
        <w:t xml:space="preserve">The auditors recorded the assessed level of care of the residents with pressure injuries in the aged residential care providers. The level of care means the degree/type of care each resident has been assessed as needing. As shown in </w:t>
      </w:r>
      <w:r w:rsidR="00164776">
        <w:t xml:space="preserve">Figure </w:t>
      </w:r>
      <w:r>
        <w:t>2:</w:t>
      </w:r>
    </w:p>
    <w:p w:rsidR="00A42937" w:rsidRDefault="00A42937" w:rsidP="00164776">
      <w:pPr>
        <w:pStyle w:val="Bullet"/>
      </w:pPr>
      <w:r>
        <w:t>782 residents accounted for the 821 pressure injuries</w:t>
      </w:r>
    </w:p>
    <w:p w:rsidR="00736050" w:rsidRDefault="00A42937" w:rsidP="00164776">
      <w:pPr>
        <w:pStyle w:val="Bullet"/>
      </w:pPr>
      <w:r>
        <w:t>775 of these residents had their level of care recorded</w:t>
      </w:r>
    </w:p>
    <w:p w:rsidR="00A42937" w:rsidRDefault="00A42937" w:rsidP="00164776">
      <w:pPr>
        <w:pStyle w:val="Bullet"/>
      </w:pPr>
      <w:r>
        <w:t>608 were receiving hospital-level care</w:t>
      </w:r>
      <w:r w:rsidR="00164776">
        <w:t>.</w:t>
      </w:r>
    </w:p>
    <w:p w:rsidR="00A42937" w:rsidRDefault="00A42937" w:rsidP="00164776"/>
    <w:p w:rsidR="00164776" w:rsidRDefault="00164776" w:rsidP="00164776">
      <w:pPr>
        <w:pStyle w:val="Figure"/>
      </w:pPr>
      <w:bookmarkStart w:id="14" w:name="_Toc522720964"/>
      <w:r>
        <w:t>Figure 2: Assessed level of care</w:t>
      </w:r>
      <w:bookmarkEnd w:id="14"/>
    </w:p>
    <w:p w:rsidR="00A42937" w:rsidRDefault="00A30B77" w:rsidP="00A30B77">
      <w:r w:rsidRPr="00A30B77">
        <w:rPr>
          <w:noProof/>
          <w:lang w:eastAsia="en-NZ"/>
        </w:rPr>
        <w:drawing>
          <wp:inline distT="0" distB="0" distL="0" distR="0" wp14:anchorId="6387857E" wp14:editId="61191620">
            <wp:extent cx="4846320" cy="3162534"/>
            <wp:effectExtent l="0" t="0" r="0" b="0"/>
            <wp:docPr id="16" name="Picture 16" title="Figure 2: Assessed level of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846266" cy="3162499"/>
                    </a:xfrm>
                    <a:prstGeom prst="rect">
                      <a:avLst/>
                    </a:prstGeom>
                  </pic:spPr>
                </pic:pic>
              </a:graphicData>
            </a:graphic>
          </wp:inline>
        </w:drawing>
      </w:r>
    </w:p>
    <w:p w:rsidR="00A30B77" w:rsidRDefault="00A30B77" w:rsidP="00A30B77"/>
    <w:p w:rsidR="00A42937" w:rsidRDefault="00A42937" w:rsidP="00164776">
      <w:pPr>
        <w:pStyle w:val="Heading1"/>
      </w:pPr>
      <w:bookmarkStart w:id="15" w:name="_Toc521393310"/>
      <w:bookmarkStart w:id="16" w:name="_Toc523383214"/>
      <w:r>
        <w:lastRenderedPageBreak/>
        <w:t>Residents with m</w:t>
      </w:r>
      <w:r w:rsidRPr="00761000">
        <w:t>ultiple injuries</w:t>
      </w:r>
      <w:bookmarkEnd w:id="15"/>
      <w:bookmarkEnd w:id="16"/>
    </w:p>
    <w:p w:rsidR="00A42937" w:rsidRDefault="00A42937" w:rsidP="00164776">
      <w:r>
        <w:t>Among the 782 residents who had pressure injuries, 33 had more than one pressure injury.</w:t>
      </w:r>
    </w:p>
    <w:p w:rsidR="00A42937" w:rsidRDefault="00A42937" w:rsidP="00164776">
      <w:pPr>
        <w:pStyle w:val="Bullet"/>
      </w:pPr>
      <w:r>
        <w:t>28 residents had two injuries.</w:t>
      </w:r>
    </w:p>
    <w:p w:rsidR="00A42937" w:rsidRDefault="00A42937" w:rsidP="00164776">
      <w:pPr>
        <w:pStyle w:val="Bullet"/>
      </w:pPr>
      <w:r>
        <w:t>4 residents had three injuries.</w:t>
      </w:r>
    </w:p>
    <w:p w:rsidR="00736050" w:rsidRDefault="00A42937" w:rsidP="00164776">
      <w:pPr>
        <w:pStyle w:val="Bullet"/>
      </w:pPr>
      <w:r>
        <w:t>1 resident had four injuries.</w:t>
      </w:r>
    </w:p>
    <w:p w:rsidR="00A42937" w:rsidRDefault="00A42937" w:rsidP="00164776"/>
    <w:p w:rsidR="00736050" w:rsidRDefault="00A42937" w:rsidP="00164776">
      <w:r>
        <w:t>The level of care was reported for 32 of the 33 residents who had more than one pressure injury.</w:t>
      </w:r>
    </w:p>
    <w:p w:rsidR="00164776" w:rsidRDefault="00164776" w:rsidP="00164776"/>
    <w:p w:rsidR="00A42937" w:rsidRDefault="00A42937" w:rsidP="00164776">
      <w:r>
        <w:t xml:space="preserve">As shown in </w:t>
      </w:r>
      <w:r w:rsidR="00164776">
        <w:t xml:space="preserve">Figure </w:t>
      </w:r>
      <w:r>
        <w:t>3 below, 25 of the residents who had more than one pressure injury had been assessed as requiring hospital level care.</w:t>
      </w:r>
    </w:p>
    <w:p w:rsidR="00A42937" w:rsidRDefault="00A42937" w:rsidP="00164776"/>
    <w:p w:rsidR="00164776" w:rsidRDefault="00164776" w:rsidP="00164776">
      <w:pPr>
        <w:pStyle w:val="Figure"/>
      </w:pPr>
      <w:bookmarkStart w:id="17" w:name="_Toc522720965"/>
      <w:r>
        <w:t>Figure 3: Multiple injuries and assessed level of care</w:t>
      </w:r>
      <w:bookmarkEnd w:id="17"/>
    </w:p>
    <w:p w:rsidR="00A42937" w:rsidRDefault="00A30B77" w:rsidP="00A30B77">
      <w:pPr>
        <w:rPr>
          <w:rFonts w:eastAsiaTheme="majorEastAsia"/>
        </w:rPr>
      </w:pPr>
      <w:r w:rsidRPr="00A30B77">
        <w:rPr>
          <w:noProof/>
          <w:lang w:eastAsia="en-NZ"/>
        </w:rPr>
        <w:drawing>
          <wp:inline distT="0" distB="0" distL="0" distR="0" wp14:anchorId="00C3DA67" wp14:editId="749E4A7A">
            <wp:extent cx="4846320" cy="3162534"/>
            <wp:effectExtent l="0" t="0" r="0" b="0"/>
            <wp:docPr id="17" name="Picture 17" title="Figure 3: Multiple injuries and assessed level of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846267" cy="3162499"/>
                    </a:xfrm>
                    <a:prstGeom prst="rect">
                      <a:avLst/>
                    </a:prstGeom>
                  </pic:spPr>
                </pic:pic>
              </a:graphicData>
            </a:graphic>
          </wp:inline>
        </w:drawing>
      </w:r>
    </w:p>
    <w:p w:rsidR="00164776" w:rsidRDefault="00164776" w:rsidP="00A30B77"/>
    <w:p w:rsidR="00736050" w:rsidRDefault="00A42937" w:rsidP="00164776">
      <w:pPr>
        <w:pStyle w:val="Heading1"/>
      </w:pPr>
      <w:bookmarkStart w:id="18" w:name="_Toc521393311"/>
      <w:bookmarkStart w:id="19" w:name="_Toc523383215"/>
      <w:r>
        <w:lastRenderedPageBreak/>
        <w:t>Where the injury was acquired</w:t>
      </w:r>
      <w:bookmarkEnd w:id="18"/>
      <w:bookmarkEnd w:id="19"/>
    </w:p>
    <w:p w:rsidR="00736050" w:rsidRDefault="00A42937" w:rsidP="00164776">
      <w:r>
        <w:t>Auditors reviewed a range of documents to ascertain whether the pressure injury was facility acquired or non-facility acquired.</w:t>
      </w:r>
      <w:r w:rsidRPr="00164776">
        <w:rPr>
          <w:rStyle w:val="FootnoteReference"/>
        </w:rPr>
        <w:footnoteReference w:id="6"/>
      </w:r>
    </w:p>
    <w:p w:rsidR="00164776" w:rsidRDefault="00164776" w:rsidP="00164776"/>
    <w:p w:rsidR="00736050" w:rsidRDefault="00A42937" w:rsidP="00164776">
      <w:r>
        <w:t xml:space="preserve">As shown in </w:t>
      </w:r>
      <w:r w:rsidR="00164776">
        <w:t xml:space="preserve">Figure </w:t>
      </w:r>
      <w:r>
        <w:t>4 below, the majority of injuries (610) were facility acquired.</w:t>
      </w:r>
      <w:r w:rsidRPr="00164776">
        <w:rPr>
          <w:rStyle w:val="FootnoteReference"/>
        </w:rPr>
        <w:footnoteReference w:id="7"/>
      </w:r>
    </w:p>
    <w:p w:rsidR="00A42937" w:rsidRDefault="00A42937" w:rsidP="00164776"/>
    <w:p w:rsidR="00164776" w:rsidRDefault="00164776" w:rsidP="00164776">
      <w:pPr>
        <w:pStyle w:val="Figure"/>
      </w:pPr>
      <w:bookmarkStart w:id="20" w:name="_Toc522720966"/>
      <w:r>
        <w:t>Figure 4: Facility acquired versus non-facility acquired pressure injuries</w:t>
      </w:r>
      <w:bookmarkEnd w:id="20"/>
    </w:p>
    <w:p w:rsidR="00A42937" w:rsidRDefault="001E0694" w:rsidP="001E0694">
      <w:r w:rsidRPr="001E0694">
        <w:rPr>
          <w:noProof/>
          <w:lang w:eastAsia="en-NZ"/>
        </w:rPr>
        <w:drawing>
          <wp:inline distT="0" distB="0" distL="0" distR="0" wp14:anchorId="0A932B5F" wp14:editId="4AF3A085">
            <wp:extent cx="4846320" cy="3162534"/>
            <wp:effectExtent l="0" t="0" r="0" b="0"/>
            <wp:docPr id="18" name="Picture 18" title="Figure 4: Facility acquired versus non-facility acquired pressure inju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846266" cy="3162499"/>
                    </a:xfrm>
                    <a:prstGeom prst="rect">
                      <a:avLst/>
                    </a:prstGeom>
                  </pic:spPr>
                </pic:pic>
              </a:graphicData>
            </a:graphic>
          </wp:inline>
        </w:drawing>
      </w:r>
    </w:p>
    <w:p w:rsidR="00A42937" w:rsidRDefault="00A42937" w:rsidP="00164776"/>
    <w:p w:rsidR="00736050" w:rsidRDefault="00A42937" w:rsidP="00164776">
      <w:pPr>
        <w:pStyle w:val="Heading1"/>
      </w:pPr>
      <w:bookmarkStart w:id="21" w:name="_Toc487996034"/>
      <w:bookmarkStart w:id="22" w:name="_Toc521393312"/>
      <w:bookmarkStart w:id="23" w:name="_Toc523383216"/>
      <w:r>
        <w:lastRenderedPageBreak/>
        <w:t>Practice areas</w:t>
      </w:r>
      <w:bookmarkEnd w:id="21"/>
      <w:bookmarkEnd w:id="22"/>
      <w:bookmarkEnd w:id="23"/>
    </w:p>
    <w:p w:rsidR="00736050" w:rsidRDefault="00A42937" w:rsidP="00164776">
      <w:r>
        <w:t>The auditors were asked to review evidence of PIPM activity across s</w:t>
      </w:r>
      <w:r w:rsidRPr="009064C2">
        <w:t xml:space="preserve">even </w:t>
      </w:r>
      <w:r>
        <w:t>practice areas:</w:t>
      </w:r>
    </w:p>
    <w:p w:rsidR="00A42937" w:rsidRDefault="00A42937" w:rsidP="00164776">
      <w:pPr>
        <w:pStyle w:val="Bullet"/>
      </w:pPr>
      <w:r>
        <w:t>policy/guidelines</w:t>
      </w:r>
    </w:p>
    <w:p w:rsidR="00A42937" w:rsidRDefault="00A42937" w:rsidP="00164776">
      <w:pPr>
        <w:pStyle w:val="Bullet"/>
      </w:pPr>
      <w:r>
        <w:t>internal audit programme</w:t>
      </w:r>
    </w:p>
    <w:p w:rsidR="00A42937" w:rsidRDefault="00A42937" w:rsidP="00164776">
      <w:pPr>
        <w:pStyle w:val="Bullet"/>
      </w:pPr>
      <w:r>
        <w:t>meeting minutes</w:t>
      </w:r>
    </w:p>
    <w:p w:rsidR="00A42937" w:rsidRDefault="00A42937" w:rsidP="00164776">
      <w:pPr>
        <w:pStyle w:val="Bullet"/>
      </w:pPr>
      <w:r>
        <w:t>adverse event reporting</w:t>
      </w:r>
    </w:p>
    <w:p w:rsidR="00A42937" w:rsidRDefault="00A42937" w:rsidP="00164776">
      <w:pPr>
        <w:pStyle w:val="Bullet"/>
      </w:pPr>
      <w:r>
        <w:t>equipment availability</w:t>
      </w:r>
    </w:p>
    <w:p w:rsidR="00A42937" w:rsidRPr="005863E5" w:rsidRDefault="00A42937" w:rsidP="00164776">
      <w:pPr>
        <w:pStyle w:val="Bullet"/>
        <w:rPr>
          <w:rFonts w:cs="Arial"/>
        </w:rPr>
      </w:pPr>
      <w:r>
        <w:t>annual training programme</w:t>
      </w:r>
    </w:p>
    <w:p w:rsidR="00736050" w:rsidRDefault="00A42937" w:rsidP="00164776">
      <w:pPr>
        <w:pStyle w:val="Bullet"/>
        <w:rPr>
          <w:rFonts w:cs="Arial"/>
        </w:rPr>
      </w:pPr>
      <w:proofErr w:type="gramStart"/>
      <w:r>
        <w:t>staff</w:t>
      </w:r>
      <w:proofErr w:type="gramEnd"/>
      <w:r>
        <w:t xml:space="preserve"> knowledge and understanding of PIPM strategies</w:t>
      </w:r>
      <w:r w:rsidRPr="003567FE">
        <w:rPr>
          <w:rFonts w:cs="Arial"/>
        </w:rPr>
        <w:t>.</w:t>
      </w:r>
    </w:p>
    <w:p w:rsidR="00164776" w:rsidRDefault="00164776" w:rsidP="00164776"/>
    <w:p w:rsidR="00A42937" w:rsidRDefault="00A42937" w:rsidP="00164776">
      <w:r>
        <w:t>Note: The auditors were not required to record the extent of the PIPM activity in any instance, only that activity was demonstrated (</w:t>
      </w:r>
      <w:proofErr w:type="spellStart"/>
      <w:r>
        <w:t>ie</w:t>
      </w:r>
      <w:proofErr w:type="spellEnd"/>
      <w:r>
        <w:t xml:space="preserve">, </w:t>
      </w:r>
      <w:r w:rsidR="0000547A">
        <w:t>‘</w:t>
      </w:r>
      <w:r>
        <w:t>yes/no</w:t>
      </w:r>
      <w:r w:rsidR="0000547A">
        <w:t>’</w:t>
      </w:r>
      <w:r>
        <w:t>).</w:t>
      </w:r>
    </w:p>
    <w:p w:rsidR="0000547A" w:rsidRDefault="0000547A" w:rsidP="0000547A"/>
    <w:p w:rsidR="00736050" w:rsidRDefault="00A42937" w:rsidP="0000547A">
      <w:r>
        <w:t xml:space="preserve">The majority of providers could demonstrate PIPM practices, with 96 percent of providers demonstrating a level of PIPM activity in the practice areas of: policy/ guidelines, equipment availability, and staff knowledge and understanding of PIPM strategies, as shown in </w:t>
      </w:r>
      <w:r w:rsidR="0000547A">
        <w:t xml:space="preserve">Figure </w:t>
      </w:r>
      <w:r>
        <w:t>5 below.</w:t>
      </w:r>
    </w:p>
    <w:p w:rsidR="0000547A" w:rsidRDefault="0000547A" w:rsidP="0000547A"/>
    <w:p w:rsidR="00736050" w:rsidRDefault="00A42937" w:rsidP="0000547A">
      <w:r>
        <w:t>At the other extreme, 11 percent of the 528 providers audited had no evidence of PIPM activity in the practice areas of internal audit programme</w:t>
      </w:r>
      <w:r w:rsidRPr="00F024B9">
        <w:t xml:space="preserve"> </w:t>
      </w:r>
      <w:r>
        <w:t>and adverse event reporting.</w:t>
      </w:r>
    </w:p>
    <w:p w:rsidR="00A42937" w:rsidRDefault="00A42937" w:rsidP="0000547A"/>
    <w:p w:rsidR="0000547A" w:rsidRDefault="0000547A" w:rsidP="0000547A">
      <w:pPr>
        <w:pStyle w:val="Figure"/>
      </w:pPr>
      <w:bookmarkStart w:id="24" w:name="_Toc522720967"/>
      <w:r>
        <w:t>Figure 5: Number of aged residential care providers where practice areas were demonstrated at time of audit</w:t>
      </w:r>
      <w:bookmarkEnd w:id="24"/>
    </w:p>
    <w:p w:rsidR="003404D3" w:rsidRPr="003404D3" w:rsidRDefault="0099670D" w:rsidP="003404D3">
      <w:r w:rsidRPr="0099670D">
        <w:rPr>
          <w:noProof/>
          <w:lang w:eastAsia="en-NZ"/>
        </w:rPr>
        <w:drawing>
          <wp:inline distT="0" distB="0" distL="0" distR="0" wp14:anchorId="7769A1F1" wp14:editId="2A768A32">
            <wp:extent cx="5220335" cy="3406603"/>
            <wp:effectExtent l="0" t="0" r="0" b="3810"/>
            <wp:docPr id="5" name="Picture 5" title="Figure 5: Number of aged residential care providers where practice areas were demonstrated at time of au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220335" cy="3406603"/>
                    </a:xfrm>
                    <a:prstGeom prst="rect">
                      <a:avLst/>
                    </a:prstGeom>
                  </pic:spPr>
                </pic:pic>
              </a:graphicData>
            </a:graphic>
          </wp:inline>
        </w:drawing>
      </w:r>
    </w:p>
    <w:p w:rsidR="0000547A" w:rsidRDefault="0000547A" w:rsidP="003404D3">
      <w:bookmarkStart w:id="25" w:name="_Toc487996037"/>
    </w:p>
    <w:p w:rsidR="00A42937" w:rsidRDefault="00A42937" w:rsidP="0000547A">
      <w:pPr>
        <w:pStyle w:val="Heading1"/>
      </w:pPr>
      <w:bookmarkStart w:id="26" w:name="_Toc521393313"/>
      <w:bookmarkStart w:id="27" w:name="_Toc523383217"/>
      <w:r>
        <w:lastRenderedPageBreak/>
        <w:t>Pressure injury severity</w:t>
      </w:r>
      <w:bookmarkEnd w:id="25"/>
      <w:r>
        <w:t xml:space="preserve"> by practice area</w:t>
      </w:r>
      <w:bookmarkEnd w:id="26"/>
      <w:bookmarkEnd w:id="27"/>
    </w:p>
    <w:p w:rsidR="00A42937" w:rsidRDefault="0000547A" w:rsidP="0000547A">
      <w:r>
        <w:t xml:space="preserve">Figure </w:t>
      </w:r>
      <w:r w:rsidR="00A42937">
        <w:t>6 compares the severity of the pressure injury with the absence or presence of PIPM strategies. Where PIPM was present, the auditors observed no variation in pressure injury severity across the practice areas, with 76 percent of pressure injuries at stages 1 and 2 and 24 percent at stage 3 and above consistently across all seven practice areas.</w:t>
      </w:r>
    </w:p>
    <w:p w:rsidR="0000547A" w:rsidRDefault="0000547A" w:rsidP="0000547A"/>
    <w:p w:rsidR="00A42937" w:rsidRDefault="00A42937" w:rsidP="0000547A">
      <w:r>
        <w:t>By comparison, where PIPM was absent, the auditors noted some variation in pressure injury severity across the practice areas. For example, 75 percent of all pressure injuries in providers where policy/guidelines practices were absent were stages 1 and 2 and 25 percent were stage 3 or above, while 69 percent of pressure injuries in providers where equipment was not available were at stages 1 and 2 and 31 percent were stage</w:t>
      </w:r>
      <w:r w:rsidR="0000547A">
        <w:t> </w:t>
      </w:r>
      <w:r>
        <w:t>3 and above.</w:t>
      </w:r>
    </w:p>
    <w:p w:rsidR="0000547A" w:rsidRDefault="0000547A" w:rsidP="0000547A"/>
    <w:p w:rsidR="00A42937" w:rsidRDefault="00A42937" w:rsidP="0000547A">
      <w:r>
        <w:t>The finding that more severe pressure injuries were apparent where equipment was not available suggests a potential area for quality improvement. However, it should be noted that only 21 providers (of 528) were identified as not having equipment available.</w:t>
      </w:r>
    </w:p>
    <w:p w:rsidR="00A42937" w:rsidRDefault="00A42937" w:rsidP="0000547A"/>
    <w:p w:rsidR="0000547A" w:rsidRDefault="0000547A" w:rsidP="0000547A">
      <w:pPr>
        <w:pStyle w:val="Figure"/>
      </w:pPr>
      <w:bookmarkStart w:id="28" w:name="_Toc522720968"/>
      <w:r>
        <w:t>Figure 6: PIPM strategies and pressure injury severity</w:t>
      </w:r>
      <w:bookmarkEnd w:id="28"/>
    </w:p>
    <w:p w:rsidR="00A42937" w:rsidRDefault="004D55A1" w:rsidP="006246AE">
      <w:r w:rsidRPr="004D55A1">
        <w:rPr>
          <w:noProof/>
          <w:lang w:eastAsia="en-NZ"/>
        </w:rPr>
        <w:drawing>
          <wp:inline distT="0" distB="0" distL="0" distR="0" wp14:anchorId="7EDA71DF" wp14:editId="1D4F6F60">
            <wp:extent cx="5220335" cy="3406603"/>
            <wp:effectExtent l="0" t="0" r="0" b="3810"/>
            <wp:docPr id="4" name="Picture 4" title="Figure 6: PIPM strategies and pressure injury seve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220335" cy="3406603"/>
                    </a:xfrm>
                    <a:prstGeom prst="rect">
                      <a:avLst/>
                    </a:prstGeom>
                  </pic:spPr>
                </pic:pic>
              </a:graphicData>
            </a:graphic>
          </wp:inline>
        </w:drawing>
      </w:r>
    </w:p>
    <w:p w:rsidR="0000547A" w:rsidRDefault="0000547A" w:rsidP="0000547A">
      <w:bookmarkStart w:id="29" w:name="_Toc487996048"/>
      <w:bookmarkStart w:id="30" w:name="_Toc487996041"/>
    </w:p>
    <w:p w:rsidR="00736050" w:rsidRDefault="00A42937" w:rsidP="0000547A">
      <w:pPr>
        <w:pStyle w:val="Heading1"/>
      </w:pPr>
      <w:bookmarkStart w:id="31" w:name="_Toc521393314"/>
      <w:bookmarkStart w:id="32" w:name="_Toc523383218"/>
      <w:r>
        <w:lastRenderedPageBreak/>
        <w:t>A</w:t>
      </w:r>
      <w:r w:rsidRPr="009F3F77">
        <w:t xml:space="preserve">uditor </w:t>
      </w:r>
      <w:r>
        <w:t>c</w:t>
      </w:r>
      <w:r w:rsidRPr="009F3F77">
        <w:t>omments</w:t>
      </w:r>
      <w:bookmarkEnd w:id="29"/>
      <w:bookmarkEnd w:id="31"/>
      <w:bookmarkEnd w:id="32"/>
    </w:p>
    <w:p w:rsidR="00A42937" w:rsidRDefault="00A42937" w:rsidP="0000547A">
      <w:bookmarkStart w:id="33" w:name="_Toc486365078"/>
      <w:bookmarkStart w:id="34" w:name="_Toc487996049"/>
      <w:r>
        <w:t>The following is based on the auditors</w:t>
      </w:r>
      <w:r w:rsidR="0000547A">
        <w:t>’</w:t>
      </w:r>
      <w:r>
        <w:t xml:space="preserve"> </w:t>
      </w:r>
      <w:r w:rsidR="0000547A">
        <w:t>‘</w:t>
      </w:r>
      <w:r>
        <w:t>yes/no</w:t>
      </w:r>
      <w:r w:rsidR="0000547A">
        <w:t>’</w:t>
      </w:r>
      <w:r>
        <w:t xml:space="preserve"> responses to specific questions and free-text comments. The auditors were invited to include comments against each practice area. This was not a requirement, and no guidance was provided as to the type of commentary sought. Their comments were analysed and coded.</w:t>
      </w:r>
    </w:p>
    <w:p w:rsidR="00A42937" w:rsidRDefault="00A42937" w:rsidP="0000547A"/>
    <w:p w:rsidR="00A42937" w:rsidRPr="009F3F77" w:rsidRDefault="00A42937" w:rsidP="0000547A">
      <w:pPr>
        <w:pStyle w:val="Heading2"/>
      </w:pPr>
      <w:bookmarkStart w:id="35" w:name="_Toc521393315"/>
      <w:bookmarkStart w:id="36" w:name="_Toc523383219"/>
      <w:r w:rsidRPr="00613FAB">
        <w:t>Practice area 1:</w:t>
      </w:r>
      <w:r>
        <w:t xml:space="preserve"> P</w:t>
      </w:r>
      <w:r w:rsidRPr="009F3F77">
        <w:t>olicy</w:t>
      </w:r>
      <w:bookmarkEnd w:id="33"/>
      <w:r>
        <w:t>/guidelines</w:t>
      </w:r>
      <w:bookmarkEnd w:id="34"/>
      <w:bookmarkEnd w:id="35"/>
      <w:bookmarkEnd w:id="36"/>
    </w:p>
    <w:p w:rsidR="00736050" w:rsidRDefault="00A42937" w:rsidP="0000547A">
      <w:r>
        <w:rPr>
          <w:rFonts w:eastAsia="Arial"/>
        </w:rPr>
        <w:t xml:space="preserve">In total, 508 of the 528 providers </w:t>
      </w:r>
      <w:r w:rsidRPr="009F3F77">
        <w:rPr>
          <w:rFonts w:eastAsia="Arial"/>
        </w:rPr>
        <w:t>were found to have a policy</w:t>
      </w:r>
      <w:r>
        <w:rPr>
          <w:rFonts w:eastAsia="Arial"/>
        </w:rPr>
        <w:t xml:space="preserve"> (and/or guidelines)</w:t>
      </w:r>
      <w:r w:rsidRPr="009F3F77">
        <w:rPr>
          <w:rFonts w:eastAsia="Arial"/>
        </w:rPr>
        <w:t xml:space="preserve"> in place </w:t>
      </w:r>
      <w:r>
        <w:rPr>
          <w:rFonts w:eastAsia="Arial"/>
        </w:rPr>
        <w:t>supporting PIPM. Comments indicated that s</w:t>
      </w:r>
      <w:r>
        <w:t xml:space="preserve">even </w:t>
      </w:r>
      <w:r w:rsidRPr="00425D18">
        <w:t xml:space="preserve">providers </w:t>
      </w:r>
      <w:r>
        <w:t xml:space="preserve">were </w:t>
      </w:r>
      <w:r w:rsidRPr="00425D18">
        <w:t>in the process of drafting, reviewing or updating their</w:t>
      </w:r>
      <w:r>
        <w:t xml:space="preserve"> policy.</w:t>
      </w:r>
    </w:p>
    <w:p w:rsidR="0000547A" w:rsidRDefault="0000547A" w:rsidP="0000547A"/>
    <w:p w:rsidR="00736050" w:rsidRDefault="00A42937" w:rsidP="0000547A">
      <w:r>
        <w:t>Auditors commented on p</w:t>
      </w:r>
      <w:r w:rsidRPr="00425D18">
        <w:t xml:space="preserve">olicy improvements </w:t>
      </w:r>
      <w:r>
        <w:t xml:space="preserve">needed </w:t>
      </w:r>
      <w:r w:rsidRPr="00425D18">
        <w:t>at nine</w:t>
      </w:r>
      <w:r>
        <w:t xml:space="preserve"> </w:t>
      </w:r>
      <w:r w:rsidRPr="00425D18">
        <w:t>providers</w:t>
      </w:r>
      <w:r>
        <w:t>,</w:t>
      </w:r>
      <w:r w:rsidRPr="00425D18">
        <w:t xml:space="preserve"> </w:t>
      </w:r>
      <w:r>
        <w:t>with comments ranging from:</w:t>
      </w:r>
      <w:r w:rsidRPr="00425D18">
        <w:t xml:space="preserve"> </w:t>
      </w:r>
      <w:r w:rsidR="0000547A">
        <w:t>‘</w:t>
      </w:r>
      <w:r w:rsidRPr="00425D18">
        <w:t>not current</w:t>
      </w:r>
      <w:r w:rsidR="0000547A">
        <w:t>’</w:t>
      </w:r>
      <w:r w:rsidRPr="00425D18">
        <w:t xml:space="preserve">, </w:t>
      </w:r>
      <w:r w:rsidR="0000547A">
        <w:t>‘</w:t>
      </w:r>
      <w:r w:rsidRPr="00425D18">
        <w:t>needs more input</w:t>
      </w:r>
      <w:r w:rsidR="0000547A">
        <w:t>’</w:t>
      </w:r>
      <w:r w:rsidRPr="00425D18">
        <w:t xml:space="preserve">, </w:t>
      </w:r>
      <w:r w:rsidR="0000547A">
        <w:t>‘</w:t>
      </w:r>
      <w:r w:rsidRPr="00425D18">
        <w:t>have not been updated</w:t>
      </w:r>
      <w:r w:rsidR="0000547A">
        <w:t>’</w:t>
      </w:r>
      <w:r w:rsidRPr="00425D18">
        <w:t xml:space="preserve">, </w:t>
      </w:r>
      <w:r w:rsidR="0000547A">
        <w:t>‘</w:t>
      </w:r>
      <w:r w:rsidRPr="00425D18">
        <w:t>does not reflect best practice</w:t>
      </w:r>
      <w:r w:rsidR="0000547A">
        <w:t>’</w:t>
      </w:r>
      <w:r w:rsidRPr="00425D18">
        <w:t xml:space="preserve"> </w:t>
      </w:r>
      <w:r>
        <w:t>to</w:t>
      </w:r>
      <w:r w:rsidRPr="00425D18">
        <w:t xml:space="preserve"> </w:t>
      </w:r>
      <w:r w:rsidR="0000547A">
        <w:t>‘</w:t>
      </w:r>
      <w:r w:rsidRPr="00425D18">
        <w:t>focuses more on treatment than prevention</w:t>
      </w:r>
      <w:r w:rsidR="0000547A">
        <w:t>’</w:t>
      </w:r>
      <w:r w:rsidRPr="00425D18">
        <w:t>.</w:t>
      </w:r>
    </w:p>
    <w:p w:rsidR="00A42937" w:rsidRPr="009F3F77" w:rsidRDefault="00A42937" w:rsidP="0000547A"/>
    <w:p w:rsidR="00A42937" w:rsidRPr="009F3F77" w:rsidRDefault="00A42937" w:rsidP="0000547A">
      <w:pPr>
        <w:pStyle w:val="Heading2"/>
      </w:pPr>
      <w:bookmarkStart w:id="37" w:name="_Toc486365082"/>
      <w:bookmarkStart w:id="38" w:name="_Toc487996054"/>
      <w:bookmarkStart w:id="39" w:name="_Toc521393316"/>
      <w:bookmarkStart w:id="40" w:name="_Toc523383220"/>
      <w:r>
        <w:t>Practice area 2: I</w:t>
      </w:r>
      <w:r w:rsidRPr="009F3F77">
        <w:t xml:space="preserve">nternal </w:t>
      </w:r>
      <w:r>
        <w:t>a</w:t>
      </w:r>
      <w:r w:rsidRPr="009F3F77">
        <w:t xml:space="preserve">udit </w:t>
      </w:r>
      <w:r>
        <w:t>p</w:t>
      </w:r>
      <w:r w:rsidRPr="009F3F77">
        <w:t>rogramme</w:t>
      </w:r>
      <w:bookmarkEnd w:id="37"/>
      <w:bookmarkEnd w:id="38"/>
      <w:bookmarkEnd w:id="39"/>
      <w:bookmarkEnd w:id="40"/>
    </w:p>
    <w:p w:rsidR="00736050" w:rsidRDefault="00A42937" w:rsidP="0000547A">
      <w:r>
        <w:rPr>
          <w:rFonts w:eastAsia="Arial" w:cstheme="minorHAnsi"/>
        </w:rPr>
        <w:t xml:space="preserve">A total of 472 of the 528 providers </w:t>
      </w:r>
      <w:r w:rsidRPr="00EB2DCA">
        <w:rPr>
          <w:rFonts w:eastAsia="Arial" w:cstheme="minorHAnsi"/>
        </w:rPr>
        <w:t xml:space="preserve">had an internal audit programme that included </w:t>
      </w:r>
      <w:r>
        <w:rPr>
          <w:rFonts w:eastAsia="Arial" w:cstheme="minorHAnsi"/>
        </w:rPr>
        <w:t xml:space="preserve">pressure injury </w:t>
      </w:r>
      <w:r w:rsidRPr="00EB2DCA">
        <w:rPr>
          <w:rFonts w:eastAsia="Arial" w:cstheme="minorHAnsi"/>
        </w:rPr>
        <w:t xml:space="preserve">monitoring. </w:t>
      </w:r>
      <w:r>
        <w:t>The a</w:t>
      </w:r>
      <w:r w:rsidRPr="00EB2DCA">
        <w:t>uditors commented on the</w:t>
      </w:r>
      <w:r w:rsidRPr="009F3F77">
        <w:t xml:space="preserve"> audit programme content and, to a lesser extent, compliance, frequency of auditing and corrective action plans.</w:t>
      </w:r>
    </w:p>
    <w:p w:rsidR="0000547A" w:rsidRDefault="0000547A" w:rsidP="0000547A">
      <w:pPr>
        <w:rPr>
          <w:rFonts w:eastAsia="Arial"/>
        </w:rPr>
      </w:pPr>
    </w:p>
    <w:p w:rsidR="00736050" w:rsidRDefault="00A42937" w:rsidP="0000547A">
      <w:pPr>
        <w:rPr>
          <w:rFonts w:cstheme="minorHAnsi"/>
        </w:rPr>
      </w:pPr>
      <w:r>
        <w:rPr>
          <w:rFonts w:eastAsia="Arial"/>
        </w:rPr>
        <w:t xml:space="preserve">The </w:t>
      </w:r>
      <w:r w:rsidRPr="00EB2DCA">
        <w:rPr>
          <w:rFonts w:eastAsia="Arial"/>
        </w:rPr>
        <w:t>areas commonly being</w:t>
      </w:r>
      <w:r>
        <w:rPr>
          <w:rFonts w:eastAsia="Arial"/>
        </w:rPr>
        <w:t xml:space="preserve"> internally</w:t>
      </w:r>
      <w:r w:rsidRPr="00EB2DCA">
        <w:rPr>
          <w:rFonts w:eastAsia="Arial"/>
        </w:rPr>
        <w:t xml:space="preserve"> audited </w:t>
      </w:r>
      <w:r>
        <w:rPr>
          <w:rFonts w:eastAsia="Arial"/>
        </w:rPr>
        <w:t xml:space="preserve">by providers </w:t>
      </w:r>
      <w:r w:rsidRPr="00EB2DCA">
        <w:rPr>
          <w:rFonts w:eastAsia="Arial"/>
        </w:rPr>
        <w:t>were pressure injur</w:t>
      </w:r>
      <w:r>
        <w:rPr>
          <w:rFonts w:eastAsia="Arial"/>
        </w:rPr>
        <w:t>y monitoring</w:t>
      </w:r>
      <w:r w:rsidRPr="00EB2DCA">
        <w:rPr>
          <w:rFonts w:eastAsia="Arial"/>
        </w:rPr>
        <w:t xml:space="preserve">, wound management and care plans. </w:t>
      </w:r>
      <w:r>
        <w:t xml:space="preserve">The auditors did not comment on the detail of </w:t>
      </w:r>
      <w:r w:rsidRPr="009F3F77">
        <w:rPr>
          <w:rFonts w:eastAsia="Arial"/>
        </w:rPr>
        <w:t xml:space="preserve">each </w:t>
      </w:r>
      <w:r>
        <w:rPr>
          <w:rFonts w:eastAsia="Arial"/>
        </w:rPr>
        <w:t xml:space="preserve">internal </w:t>
      </w:r>
      <w:r w:rsidRPr="009F3F77">
        <w:rPr>
          <w:rFonts w:eastAsia="Arial"/>
        </w:rPr>
        <w:t>audit</w:t>
      </w:r>
      <w:r w:rsidRPr="009F3F77">
        <w:t>.</w:t>
      </w:r>
      <w:r>
        <w:t xml:space="preserve"> </w:t>
      </w:r>
      <w:r>
        <w:rPr>
          <w:rFonts w:eastAsia="Arial"/>
        </w:rPr>
        <w:t xml:space="preserve">The auditors identified 21 </w:t>
      </w:r>
      <w:r w:rsidRPr="00EB2DCA">
        <w:rPr>
          <w:rFonts w:eastAsia="Arial"/>
        </w:rPr>
        <w:t xml:space="preserve">providers </w:t>
      </w:r>
      <w:r>
        <w:rPr>
          <w:rFonts w:eastAsia="Arial"/>
        </w:rPr>
        <w:t xml:space="preserve">as being </w:t>
      </w:r>
      <w:r w:rsidRPr="00EB2DCA">
        <w:rPr>
          <w:rFonts w:eastAsia="Arial"/>
        </w:rPr>
        <w:t xml:space="preserve">in the process of developing, scheduling or </w:t>
      </w:r>
      <w:r w:rsidRPr="00EB2DCA">
        <w:t>updating their internal audit programme</w:t>
      </w:r>
      <w:r>
        <w:t>, and 13</w:t>
      </w:r>
      <w:r w:rsidR="0000547A">
        <w:t> </w:t>
      </w:r>
      <w:r w:rsidRPr="00EB2DCA">
        <w:t>of the</w:t>
      </w:r>
      <w:r>
        <w:t>se</w:t>
      </w:r>
      <w:r w:rsidRPr="00EB2DCA">
        <w:t xml:space="preserve"> had their</w:t>
      </w:r>
      <w:r>
        <w:t xml:space="preserve"> internal</w:t>
      </w:r>
      <w:r w:rsidRPr="00EB2DCA">
        <w:t xml:space="preserve"> audit programme scheduled but not yet implemented</w:t>
      </w:r>
      <w:r w:rsidRPr="009F3F77">
        <w:t xml:space="preserve">. The inclusion of </w:t>
      </w:r>
      <w:r>
        <w:t xml:space="preserve">pressure injury monitoring </w:t>
      </w:r>
      <w:r w:rsidRPr="009F3F77">
        <w:t xml:space="preserve">in the </w:t>
      </w:r>
      <w:r>
        <w:t xml:space="preserve">providers internal </w:t>
      </w:r>
      <w:r w:rsidRPr="009F3F77">
        <w:t xml:space="preserve">audit </w:t>
      </w:r>
      <w:r>
        <w:t>programme</w:t>
      </w:r>
      <w:r w:rsidRPr="009F3F77">
        <w:t xml:space="preserve"> was not always c</w:t>
      </w:r>
      <w:r>
        <w:t>onsidered worthwhile if pressure injury numbers we</w:t>
      </w:r>
      <w:r w:rsidRPr="009F3F77">
        <w:t>re low</w:t>
      </w:r>
      <w:bookmarkStart w:id="41" w:name="No_PI_-_audit:42906&amp;Admin%^xFBvhZEFy-000"/>
      <w:bookmarkStart w:id="42" w:name="interesting:42906&amp;Admin%^MftgiKGHE-000¦"/>
      <w:bookmarkEnd w:id="41"/>
      <w:bookmarkEnd w:id="42"/>
      <w:r>
        <w:t xml:space="preserve">, with one auditor commenting </w:t>
      </w:r>
      <w:r w:rsidR="0000547A">
        <w:t>‘</w:t>
      </w:r>
      <w:r w:rsidRPr="00867329">
        <w:t>… the numbers of pressure injuries is very low in this service, and integration into the internal audit system would not provide additional worthwhile information.</w:t>
      </w:r>
      <w:r w:rsidR="0000547A">
        <w:t>’</w:t>
      </w:r>
      <w:r>
        <w:rPr>
          <w:rFonts w:cstheme="minorHAnsi"/>
        </w:rPr>
        <w:t xml:space="preserve"> Providers predominantly conducted internal a</w:t>
      </w:r>
      <w:r w:rsidRPr="009F3F77">
        <w:rPr>
          <w:rFonts w:cstheme="minorHAnsi"/>
        </w:rPr>
        <w:t xml:space="preserve">udits </w:t>
      </w:r>
      <w:r>
        <w:rPr>
          <w:rFonts w:cstheme="minorHAnsi"/>
        </w:rPr>
        <w:t>on a six-</w:t>
      </w:r>
      <w:r w:rsidRPr="009F3F77">
        <w:rPr>
          <w:rFonts w:cstheme="minorHAnsi"/>
        </w:rPr>
        <w:t>monthly</w:t>
      </w:r>
      <w:r>
        <w:rPr>
          <w:rFonts w:cstheme="minorHAnsi"/>
        </w:rPr>
        <w:t xml:space="preserve"> basis</w:t>
      </w:r>
      <w:r w:rsidRPr="009F3F77">
        <w:rPr>
          <w:rFonts w:cstheme="minorHAnsi"/>
        </w:rPr>
        <w:t>.</w:t>
      </w:r>
    </w:p>
    <w:p w:rsidR="00A42937" w:rsidRPr="009F3F77" w:rsidRDefault="00A42937" w:rsidP="0000547A"/>
    <w:p w:rsidR="00A42937" w:rsidRPr="009F3F77" w:rsidRDefault="00A42937" w:rsidP="0000547A">
      <w:pPr>
        <w:pStyle w:val="Heading2"/>
      </w:pPr>
      <w:bookmarkStart w:id="43" w:name="_Toc486365086"/>
      <w:bookmarkStart w:id="44" w:name="_Toc487996059"/>
      <w:bookmarkStart w:id="45" w:name="_Toc521393317"/>
      <w:bookmarkStart w:id="46" w:name="_Toc523383221"/>
      <w:r>
        <w:lastRenderedPageBreak/>
        <w:t>Practice area 3: M</w:t>
      </w:r>
      <w:r w:rsidRPr="009F3F77">
        <w:t xml:space="preserve">eeting </w:t>
      </w:r>
      <w:r>
        <w:t>m</w:t>
      </w:r>
      <w:r w:rsidRPr="009F3F77">
        <w:t>inutes</w:t>
      </w:r>
      <w:bookmarkEnd w:id="43"/>
      <w:bookmarkEnd w:id="44"/>
      <w:bookmarkEnd w:id="45"/>
      <w:bookmarkEnd w:id="46"/>
    </w:p>
    <w:p w:rsidR="00736050" w:rsidRDefault="00A42937" w:rsidP="00D95932">
      <w:pPr>
        <w:keepLines/>
        <w:rPr>
          <w:rFonts w:eastAsia="Arial"/>
        </w:rPr>
      </w:pPr>
      <w:r>
        <w:rPr>
          <w:rFonts w:eastAsia="Arial"/>
        </w:rPr>
        <w:t>The auditors found that 481 of the 528 providers</w:t>
      </w:r>
      <w:r w:rsidRPr="00EB2DCA">
        <w:rPr>
          <w:rFonts w:eastAsia="Arial"/>
        </w:rPr>
        <w:t xml:space="preserve"> had meetings that included discussions on </w:t>
      </w:r>
      <w:r>
        <w:rPr>
          <w:rFonts w:eastAsia="Arial"/>
        </w:rPr>
        <w:t>pressure injuries</w:t>
      </w:r>
      <w:r w:rsidRPr="00EB2DCA">
        <w:rPr>
          <w:rFonts w:eastAsia="Arial"/>
        </w:rPr>
        <w:t xml:space="preserve">. </w:t>
      </w:r>
      <w:r>
        <w:rPr>
          <w:rFonts w:eastAsia="Arial"/>
        </w:rPr>
        <w:t>The a</w:t>
      </w:r>
      <w:r w:rsidRPr="00EB2DCA">
        <w:rPr>
          <w:rFonts w:eastAsia="Arial"/>
        </w:rPr>
        <w:t>uditors commented on the type of meetings held</w:t>
      </w:r>
      <w:r w:rsidRPr="009F3F77">
        <w:rPr>
          <w:rFonts w:eastAsia="Arial"/>
        </w:rPr>
        <w:t xml:space="preserve"> and the topics discussed</w:t>
      </w:r>
      <w:r>
        <w:rPr>
          <w:rFonts w:eastAsia="Arial"/>
        </w:rPr>
        <w:t>. Their comments we</w:t>
      </w:r>
      <w:r w:rsidRPr="009F3F77">
        <w:rPr>
          <w:rFonts w:eastAsia="Arial"/>
        </w:rPr>
        <w:t xml:space="preserve">re based on sighting meeting minutes </w:t>
      </w:r>
      <w:r>
        <w:rPr>
          <w:rFonts w:eastAsia="Arial"/>
        </w:rPr>
        <w:t>and/</w:t>
      </w:r>
      <w:r w:rsidRPr="009F3F77">
        <w:rPr>
          <w:rFonts w:eastAsia="Arial"/>
        </w:rPr>
        <w:t xml:space="preserve">or </w:t>
      </w:r>
      <w:r>
        <w:rPr>
          <w:rFonts w:eastAsia="Arial"/>
        </w:rPr>
        <w:t xml:space="preserve">on </w:t>
      </w:r>
      <w:r w:rsidRPr="009F3F77">
        <w:rPr>
          <w:rFonts w:eastAsia="Arial"/>
        </w:rPr>
        <w:t>verbal feedback from staff.</w:t>
      </w:r>
    </w:p>
    <w:p w:rsidR="00567CC6" w:rsidRDefault="00567CC6" w:rsidP="00567CC6"/>
    <w:p w:rsidR="00A42937" w:rsidRDefault="00A42937" w:rsidP="00567CC6">
      <w:r w:rsidRPr="009F3F77">
        <w:t>Pressure injuries were discussed acro</w:t>
      </w:r>
      <w:r w:rsidRPr="00EB2DCA">
        <w:t xml:space="preserve">ss a range of meeting types. </w:t>
      </w:r>
      <w:r>
        <w:t xml:space="preserve">The </w:t>
      </w:r>
      <w:r w:rsidRPr="00EB2DCA">
        <w:t xml:space="preserve">most commonly reported </w:t>
      </w:r>
      <w:r>
        <w:t xml:space="preserve">types </w:t>
      </w:r>
      <w:r w:rsidRPr="00EB2DCA">
        <w:t>were</w:t>
      </w:r>
      <w:r>
        <w:t>:</w:t>
      </w:r>
      <w:r w:rsidRPr="00EB2DCA">
        <w:t xml:space="preserve"> staff meeting</w:t>
      </w:r>
      <w:r>
        <w:t>s,</w:t>
      </w:r>
      <w:r w:rsidRPr="00567CC6">
        <w:rPr>
          <w:rStyle w:val="FootnoteReference"/>
        </w:rPr>
        <w:footnoteReference w:id="8"/>
      </w:r>
      <w:r w:rsidRPr="00EB2DCA">
        <w:t xml:space="preserve"> clinical meeting</w:t>
      </w:r>
      <w:r>
        <w:t>s</w:t>
      </w:r>
      <w:r w:rsidRPr="00567CC6">
        <w:rPr>
          <w:rStyle w:val="FootnoteReference"/>
        </w:rPr>
        <w:footnoteReference w:id="9"/>
      </w:r>
      <w:r w:rsidRPr="00EB2DCA">
        <w:t xml:space="preserve"> and quality meetings. Among all providers, approximately </w:t>
      </w:r>
      <w:r>
        <w:t xml:space="preserve">one-third </w:t>
      </w:r>
      <w:r w:rsidRPr="00EB2DCA">
        <w:t xml:space="preserve">had staff meetings, clinical meetings and/or quality meetings that included discussions about </w:t>
      </w:r>
      <w:r>
        <w:t>pressure injurie</w:t>
      </w:r>
      <w:r w:rsidRPr="00EB2DCA">
        <w:t xml:space="preserve">s, wound management and/or skin integrity. </w:t>
      </w:r>
      <w:r w:rsidRPr="009F3F77">
        <w:t xml:space="preserve">Depending on the meeting type, frequency </w:t>
      </w:r>
      <w:r>
        <w:t xml:space="preserve">ranged from daily through to twice </w:t>
      </w:r>
      <w:r w:rsidRPr="009F3F77">
        <w:t xml:space="preserve">monthly. </w:t>
      </w:r>
      <w:r>
        <w:t>The level of discussion at these meetings was not collected at audit.</w:t>
      </w:r>
    </w:p>
    <w:p w:rsidR="00A42937" w:rsidRPr="009F3F77" w:rsidRDefault="00A42937" w:rsidP="00567CC6"/>
    <w:p w:rsidR="00A42937" w:rsidRPr="009F3F77" w:rsidRDefault="00A42937" w:rsidP="00567CC6">
      <w:pPr>
        <w:pStyle w:val="Heading2"/>
      </w:pPr>
      <w:bookmarkStart w:id="47" w:name="_Toc486365091"/>
      <w:bookmarkStart w:id="48" w:name="_Toc487996065"/>
      <w:bookmarkStart w:id="49" w:name="_Toc521393318"/>
      <w:bookmarkStart w:id="50" w:name="_Toc523383222"/>
      <w:r>
        <w:t>Practice area 4: A</w:t>
      </w:r>
      <w:r w:rsidRPr="00EF1193">
        <w:t xml:space="preserve">dverse </w:t>
      </w:r>
      <w:r>
        <w:t>e</w:t>
      </w:r>
      <w:r w:rsidRPr="00EF1193">
        <w:t xml:space="preserve">vent </w:t>
      </w:r>
      <w:r>
        <w:t>r</w:t>
      </w:r>
      <w:r w:rsidRPr="00EF1193">
        <w:t>eporting</w:t>
      </w:r>
      <w:bookmarkEnd w:id="47"/>
      <w:bookmarkEnd w:id="48"/>
      <w:bookmarkEnd w:id="49"/>
      <w:bookmarkEnd w:id="50"/>
    </w:p>
    <w:p w:rsidR="00736050" w:rsidRDefault="00A42937" w:rsidP="00567CC6">
      <w:pPr>
        <w:rPr>
          <w:rFonts w:eastAsia="Arial"/>
        </w:rPr>
      </w:pPr>
      <w:r>
        <w:rPr>
          <w:rFonts w:eastAsia="Arial"/>
        </w:rPr>
        <w:t>A total of 470 of the 528 providers used an</w:t>
      </w:r>
      <w:r w:rsidRPr="00302E2F">
        <w:rPr>
          <w:rFonts w:eastAsia="Arial"/>
        </w:rPr>
        <w:t xml:space="preserve"> adverse event reporting</w:t>
      </w:r>
      <w:r>
        <w:rPr>
          <w:rFonts w:eastAsia="Arial"/>
        </w:rPr>
        <w:t xml:space="preserve"> approach to report pressure injuries</w:t>
      </w:r>
      <w:r w:rsidRPr="00302E2F">
        <w:rPr>
          <w:rFonts w:eastAsia="Arial"/>
        </w:rPr>
        <w:t xml:space="preserve">. </w:t>
      </w:r>
      <w:r>
        <w:rPr>
          <w:rFonts w:eastAsia="Arial"/>
        </w:rPr>
        <w:t>The a</w:t>
      </w:r>
      <w:r w:rsidRPr="00302E2F">
        <w:rPr>
          <w:rFonts w:eastAsia="Arial"/>
        </w:rPr>
        <w:t>uditors commented on the</w:t>
      </w:r>
      <w:r>
        <w:rPr>
          <w:rFonts w:eastAsia="Arial"/>
        </w:rPr>
        <w:t xml:space="preserve"> type of</w:t>
      </w:r>
      <w:r w:rsidRPr="00302E2F">
        <w:rPr>
          <w:rFonts w:eastAsia="Arial"/>
        </w:rPr>
        <w:t xml:space="preserve"> reporting used,</w:t>
      </w:r>
      <w:r w:rsidRPr="009F3F77">
        <w:rPr>
          <w:rFonts w:eastAsia="Arial"/>
        </w:rPr>
        <w:t xml:space="preserve"> </w:t>
      </w:r>
      <w:r>
        <w:rPr>
          <w:rFonts w:eastAsia="Arial"/>
        </w:rPr>
        <w:t>whether</w:t>
      </w:r>
      <w:r w:rsidRPr="009F3F77">
        <w:rPr>
          <w:rFonts w:eastAsia="Arial"/>
        </w:rPr>
        <w:t xml:space="preserve"> </w:t>
      </w:r>
      <w:r>
        <w:rPr>
          <w:rFonts w:eastAsia="Arial"/>
        </w:rPr>
        <w:t>pressure injury</w:t>
      </w:r>
      <w:r w:rsidRPr="009F3F77">
        <w:rPr>
          <w:rFonts w:eastAsia="Arial"/>
        </w:rPr>
        <w:t xml:space="preserve"> was a dedicated clinical indicator and </w:t>
      </w:r>
      <w:r>
        <w:rPr>
          <w:rFonts w:eastAsia="Arial"/>
        </w:rPr>
        <w:t>adequacy of pressure injury</w:t>
      </w:r>
      <w:r w:rsidRPr="00805B5A">
        <w:rPr>
          <w:rFonts w:eastAsia="Arial"/>
        </w:rPr>
        <w:t xml:space="preserve"> </w:t>
      </w:r>
      <w:r>
        <w:rPr>
          <w:rFonts w:eastAsia="Arial"/>
        </w:rPr>
        <w:t>reporting</w:t>
      </w:r>
      <w:r w:rsidRPr="009F3F77">
        <w:rPr>
          <w:rFonts w:eastAsia="Arial"/>
        </w:rPr>
        <w:t xml:space="preserve">. </w:t>
      </w:r>
      <w:r>
        <w:rPr>
          <w:rFonts w:eastAsia="Arial"/>
        </w:rPr>
        <w:t>Their c</w:t>
      </w:r>
      <w:r w:rsidRPr="009F3F77">
        <w:rPr>
          <w:rFonts w:eastAsia="Arial"/>
        </w:rPr>
        <w:t>omments were based on sighted adverse event report</w:t>
      </w:r>
      <w:r>
        <w:rPr>
          <w:rFonts w:eastAsia="Arial"/>
        </w:rPr>
        <w:t>s</w:t>
      </w:r>
      <w:r w:rsidRPr="009F3F77">
        <w:rPr>
          <w:rFonts w:eastAsia="Arial"/>
        </w:rPr>
        <w:t xml:space="preserve">, policy content and/or </w:t>
      </w:r>
      <w:r>
        <w:rPr>
          <w:rFonts w:eastAsia="Arial"/>
        </w:rPr>
        <w:t xml:space="preserve">staff </w:t>
      </w:r>
      <w:r w:rsidRPr="009F3F77">
        <w:rPr>
          <w:rFonts w:eastAsia="Arial"/>
        </w:rPr>
        <w:t>feedback.</w:t>
      </w:r>
    </w:p>
    <w:p w:rsidR="00567CC6" w:rsidRDefault="00567CC6" w:rsidP="00567CC6"/>
    <w:p w:rsidR="00A42937" w:rsidRPr="00EB2DCA" w:rsidRDefault="00A42937" w:rsidP="00567CC6">
      <w:r>
        <w:t xml:space="preserve">Comments indicated that 63 providers included pressure injuries in a </w:t>
      </w:r>
      <w:r w:rsidRPr="009F3F77">
        <w:t>benchmarking programme</w:t>
      </w:r>
      <w:r w:rsidRPr="00EB2DCA">
        <w:t xml:space="preserve">. </w:t>
      </w:r>
      <w:r>
        <w:t>The auditors commented that some providers said they did not have pressure injuries as a dedicated clinical indicator because there was a</w:t>
      </w:r>
      <w:r w:rsidRPr="00EB2DCA">
        <w:t xml:space="preserve">n </w:t>
      </w:r>
      <w:r w:rsidR="0000547A">
        <w:t>‘</w:t>
      </w:r>
      <w:r w:rsidRPr="00EB2DCA">
        <w:t>in</w:t>
      </w:r>
      <w:r w:rsidRPr="00EB2DCA">
        <w:rPr>
          <w:rFonts w:cs="Arial"/>
          <w:color w:val="000000"/>
        </w:rPr>
        <w:t xml:space="preserve">sufficient number of </w:t>
      </w:r>
      <w:r>
        <w:rPr>
          <w:rFonts w:cs="Arial"/>
          <w:color w:val="000000"/>
        </w:rPr>
        <w:t>pressure injuries</w:t>
      </w:r>
      <w:r w:rsidR="0000547A">
        <w:rPr>
          <w:rFonts w:cs="Arial"/>
          <w:color w:val="000000"/>
        </w:rPr>
        <w:t>’</w:t>
      </w:r>
      <w:r>
        <w:rPr>
          <w:rFonts w:cs="Arial"/>
          <w:color w:val="000000"/>
        </w:rPr>
        <w:t xml:space="preserve"> to justify it.</w:t>
      </w:r>
    </w:p>
    <w:p w:rsidR="00567CC6" w:rsidRDefault="00567CC6" w:rsidP="00567CC6"/>
    <w:p w:rsidR="00A42937" w:rsidRDefault="00A42937" w:rsidP="00567CC6">
      <w:r>
        <w:t xml:space="preserve">In 29 cases, the auditors identified areas for improvement, </w:t>
      </w:r>
      <w:r w:rsidRPr="00EB2DCA">
        <w:t>includ</w:t>
      </w:r>
      <w:r>
        <w:t>ing</w:t>
      </w:r>
      <w:r w:rsidRPr="00EB2DCA">
        <w:t>:</w:t>
      </w:r>
      <w:r>
        <w:t xml:space="preserve"> a lack of reporting of pressure injuries and pressure injuries exceeding the benchmark</w:t>
      </w:r>
      <w:r w:rsidRPr="00EB2DCA">
        <w:t>.</w:t>
      </w:r>
      <w:r w:rsidRPr="005E16EE">
        <w:rPr>
          <w:rFonts w:cstheme="minorHAnsi"/>
        </w:rPr>
        <w:t xml:space="preserve"> </w:t>
      </w:r>
      <w:r w:rsidRPr="00EB2DCA">
        <w:rPr>
          <w:rFonts w:cstheme="minorHAnsi"/>
        </w:rPr>
        <w:t xml:space="preserve">Four providers were in the process of reviewing or updating their approach to include (or better include) </w:t>
      </w:r>
      <w:r>
        <w:rPr>
          <w:rFonts w:cstheme="minorHAnsi"/>
        </w:rPr>
        <w:t>pressure injury</w:t>
      </w:r>
      <w:r w:rsidRPr="00EB2DCA">
        <w:rPr>
          <w:rFonts w:cstheme="minorHAnsi"/>
        </w:rPr>
        <w:t xml:space="preserve"> reporting.</w:t>
      </w:r>
    </w:p>
    <w:p w:rsidR="00A42937" w:rsidRPr="00EB2DCA" w:rsidRDefault="00A42937" w:rsidP="00567CC6"/>
    <w:p w:rsidR="00A42937" w:rsidRPr="009F3F77" w:rsidRDefault="00A42937" w:rsidP="00567CC6">
      <w:pPr>
        <w:pStyle w:val="Heading2"/>
      </w:pPr>
      <w:bookmarkStart w:id="51" w:name="_Toc486365095"/>
      <w:bookmarkStart w:id="52" w:name="_Toc487996070"/>
      <w:bookmarkStart w:id="53" w:name="_Toc521393319"/>
      <w:bookmarkStart w:id="54" w:name="_Toc523383223"/>
      <w:r>
        <w:lastRenderedPageBreak/>
        <w:t>Practice area 5: E</w:t>
      </w:r>
      <w:r w:rsidRPr="009F3F77">
        <w:t>quipment</w:t>
      </w:r>
      <w:bookmarkEnd w:id="51"/>
      <w:bookmarkEnd w:id="52"/>
      <w:r>
        <w:t xml:space="preserve"> availability</w:t>
      </w:r>
      <w:bookmarkEnd w:id="53"/>
      <w:bookmarkEnd w:id="54"/>
    </w:p>
    <w:p w:rsidR="00736050" w:rsidRDefault="00A42937" w:rsidP="00567CC6">
      <w:pPr>
        <w:keepLines/>
      </w:pPr>
      <w:r>
        <w:rPr>
          <w:rFonts w:eastAsia="Arial"/>
        </w:rPr>
        <w:t>In total, 507 of the 528</w:t>
      </w:r>
      <w:r w:rsidRPr="00EB2DCA">
        <w:rPr>
          <w:rFonts w:eastAsia="Arial"/>
        </w:rPr>
        <w:t xml:space="preserve"> </w:t>
      </w:r>
      <w:r>
        <w:rPr>
          <w:rFonts w:eastAsia="Arial"/>
        </w:rPr>
        <w:t xml:space="preserve">providers </w:t>
      </w:r>
      <w:r>
        <w:rPr>
          <w:rFonts w:eastAsia="Arial"/>
          <w:szCs w:val="24"/>
        </w:rPr>
        <w:t>reported</w:t>
      </w:r>
      <w:r w:rsidRPr="009F3F77">
        <w:rPr>
          <w:rFonts w:eastAsia="Arial"/>
          <w:szCs w:val="24"/>
        </w:rPr>
        <w:t xml:space="preserve"> </w:t>
      </w:r>
      <w:r>
        <w:rPr>
          <w:rFonts w:eastAsia="Arial"/>
          <w:szCs w:val="24"/>
        </w:rPr>
        <w:t>using</w:t>
      </w:r>
      <w:r w:rsidRPr="009F3F77">
        <w:rPr>
          <w:rFonts w:eastAsia="Arial"/>
          <w:szCs w:val="24"/>
        </w:rPr>
        <w:t xml:space="preserve"> equipment to prevent and manage </w:t>
      </w:r>
      <w:r>
        <w:rPr>
          <w:rFonts w:eastAsia="Arial"/>
          <w:szCs w:val="24"/>
        </w:rPr>
        <w:t>pressure injuries</w:t>
      </w:r>
      <w:r w:rsidRPr="009F3F77">
        <w:rPr>
          <w:rFonts w:eastAsia="Arial"/>
          <w:szCs w:val="24"/>
        </w:rPr>
        <w:t xml:space="preserve">. </w:t>
      </w:r>
      <w:r w:rsidRPr="009F3F77">
        <w:rPr>
          <w:rFonts w:eastAsia="Arial"/>
        </w:rPr>
        <w:t>A</w:t>
      </w:r>
      <w:r>
        <w:rPr>
          <w:rFonts w:eastAsia="Arial"/>
        </w:rPr>
        <w:t>uditor comments</w:t>
      </w:r>
      <w:r w:rsidRPr="009F3F77">
        <w:rPr>
          <w:rFonts w:eastAsia="Arial"/>
        </w:rPr>
        <w:t xml:space="preserve"> </w:t>
      </w:r>
      <w:r>
        <w:rPr>
          <w:rFonts w:eastAsia="Arial"/>
        </w:rPr>
        <w:t xml:space="preserve">focused on equipment type and availability, </w:t>
      </w:r>
      <w:r w:rsidRPr="009F3F77">
        <w:rPr>
          <w:rFonts w:eastAsia="Arial"/>
        </w:rPr>
        <w:t>equipment quality, appropriate use of equipment and areas for improvement</w:t>
      </w:r>
      <w:r w:rsidRPr="009F3F77">
        <w:t xml:space="preserve">. </w:t>
      </w:r>
      <w:bookmarkStart w:id="55" w:name="_Hlk487961418"/>
      <w:r>
        <w:t>T</w:t>
      </w:r>
      <w:r w:rsidRPr="009F3F77">
        <w:t xml:space="preserve">he most common </w:t>
      </w:r>
      <w:r w:rsidRPr="00EB2DCA">
        <w:t xml:space="preserve">equipment </w:t>
      </w:r>
      <w:r>
        <w:t xml:space="preserve">used by providers </w:t>
      </w:r>
      <w:r w:rsidRPr="00EB2DCA">
        <w:t>was the pressure relieving mattress</w:t>
      </w:r>
      <w:r>
        <w:t xml:space="preserve">, with types </w:t>
      </w:r>
      <w:bookmarkEnd w:id="55"/>
      <w:r w:rsidRPr="00EB2DCA">
        <w:t>includ</w:t>
      </w:r>
      <w:r>
        <w:t>ing</w:t>
      </w:r>
      <w:r w:rsidRPr="00EB2DCA">
        <w:t xml:space="preserve"> alternating air mattress, ripple mattress, dynamic mattress and posture temp mattress. The next most common</w:t>
      </w:r>
      <w:r>
        <w:t>ly mentioned</w:t>
      </w:r>
      <w:r w:rsidRPr="00EB2DCA">
        <w:t xml:space="preserve"> piece of equipment was small pressure relieving equipment</w:t>
      </w:r>
      <w:r>
        <w:t>,</w:t>
      </w:r>
      <w:r w:rsidRPr="00EB2DCA">
        <w:t xml:space="preserve"> including cushions.</w:t>
      </w:r>
      <w:r>
        <w:t xml:space="preserve"> The auditors only commented briefly on the quality of the equipment, flagging it as either </w:t>
      </w:r>
      <w:r w:rsidR="0000547A">
        <w:t>‘</w:t>
      </w:r>
      <w:r>
        <w:t>being appropriate</w:t>
      </w:r>
      <w:r w:rsidR="0000547A">
        <w:t>’</w:t>
      </w:r>
      <w:r>
        <w:t xml:space="preserve"> or </w:t>
      </w:r>
      <w:r w:rsidR="0000547A">
        <w:t>‘</w:t>
      </w:r>
      <w:r>
        <w:t>meets best practice</w:t>
      </w:r>
      <w:r w:rsidR="0000547A">
        <w:t>’</w:t>
      </w:r>
      <w:r>
        <w:t>.</w:t>
      </w:r>
    </w:p>
    <w:p w:rsidR="00567CC6" w:rsidRDefault="00567CC6" w:rsidP="00567CC6">
      <w:pPr>
        <w:rPr>
          <w:rFonts w:cstheme="minorHAnsi"/>
        </w:rPr>
      </w:pPr>
    </w:p>
    <w:p w:rsidR="00A42937" w:rsidRDefault="00A42937" w:rsidP="00567CC6">
      <w:r>
        <w:rPr>
          <w:rFonts w:cstheme="minorHAnsi"/>
        </w:rPr>
        <w:t>The auditors commented on the i</w:t>
      </w:r>
      <w:r w:rsidRPr="00EB2DCA">
        <w:t xml:space="preserve">ncorrect use of equipment and/or lack of equipment </w:t>
      </w:r>
      <w:r>
        <w:t>by</w:t>
      </w:r>
      <w:r w:rsidRPr="00EB2DCA">
        <w:t xml:space="preserve"> four providers. </w:t>
      </w:r>
      <w:r>
        <w:t xml:space="preserve">This </w:t>
      </w:r>
      <w:r w:rsidRPr="00EB2DCA">
        <w:t xml:space="preserve">included </w:t>
      </w:r>
      <w:r>
        <w:t xml:space="preserve">a </w:t>
      </w:r>
      <w:r w:rsidRPr="00EB2DCA">
        <w:t xml:space="preserve">dynamic mattresses being set at the wrong weight, </w:t>
      </w:r>
      <w:r>
        <w:t xml:space="preserve">a </w:t>
      </w:r>
      <w:r w:rsidRPr="00EB2DCA">
        <w:t xml:space="preserve">lack of appropriate equipment while </w:t>
      </w:r>
      <w:r>
        <w:t>resident</w:t>
      </w:r>
      <w:r w:rsidRPr="00EB2DCA">
        <w:t>s were seated and not accessing pressure-relieving mattress</w:t>
      </w:r>
      <w:r>
        <w:t>es</w:t>
      </w:r>
      <w:r w:rsidRPr="00EB2DCA">
        <w:t xml:space="preserve"> for </w:t>
      </w:r>
      <w:r>
        <w:t>resident</w:t>
      </w:r>
      <w:r w:rsidRPr="00EB2DCA">
        <w:t xml:space="preserve">s with existing </w:t>
      </w:r>
      <w:r>
        <w:t>pressure injuries</w:t>
      </w:r>
      <w:r w:rsidRPr="00EB2DCA">
        <w:t>.</w:t>
      </w:r>
    </w:p>
    <w:p w:rsidR="00A42937" w:rsidRPr="00EB2DCA" w:rsidRDefault="00A42937" w:rsidP="00567CC6"/>
    <w:p w:rsidR="00A42937" w:rsidRPr="009F3F77" w:rsidRDefault="00A42937" w:rsidP="00567CC6">
      <w:pPr>
        <w:pStyle w:val="Heading2"/>
        <w:rPr>
          <w:rFonts w:cstheme="minorHAnsi"/>
        </w:rPr>
      </w:pPr>
      <w:bookmarkStart w:id="56" w:name="_Toc486365100"/>
      <w:bookmarkStart w:id="57" w:name="_Toc487996076"/>
      <w:bookmarkStart w:id="58" w:name="_Toc521393320"/>
      <w:bookmarkStart w:id="59" w:name="_Toc523383224"/>
      <w:r>
        <w:t>Practice area 6: A</w:t>
      </w:r>
      <w:r w:rsidRPr="009F3F77">
        <w:t xml:space="preserve">nnual </w:t>
      </w:r>
      <w:r>
        <w:t>t</w:t>
      </w:r>
      <w:r w:rsidRPr="009F3F77">
        <w:t xml:space="preserve">raining </w:t>
      </w:r>
      <w:r>
        <w:t>p</w:t>
      </w:r>
      <w:r w:rsidRPr="009F3F77">
        <w:t>rogramme</w:t>
      </w:r>
      <w:bookmarkEnd w:id="56"/>
      <w:bookmarkEnd w:id="57"/>
      <w:bookmarkEnd w:id="58"/>
      <w:bookmarkEnd w:id="59"/>
    </w:p>
    <w:p w:rsidR="00736050" w:rsidRDefault="00A42937" w:rsidP="00567CC6">
      <w:r>
        <w:rPr>
          <w:rFonts w:eastAsia="Arial"/>
        </w:rPr>
        <w:t>A total of 484 providers offered PIPM-related</w:t>
      </w:r>
      <w:r w:rsidRPr="00EB2DCA">
        <w:rPr>
          <w:rFonts w:eastAsia="Arial"/>
        </w:rPr>
        <w:t xml:space="preserve"> training opportunities to staff. </w:t>
      </w:r>
      <w:r>
        <w:rPr>
          <w:rFonts w:eastAsia="Arial"/>
        </w:rPr>
        <w:t>The auditors</w:t>
      </w:r>
      <w:r w:rsidR="0000547A">
        <w:rPr>
          <w:rFonts w:eastAsia="Arial"/>
        </w:rPr>
        <w:t>’</w:t>
      </w:r>
      <w:r>
        <w:rPr>
          <w:rFonts w:eastAsia="Arial"/>
        </w:rPr>
        <w:t xml:space="preserve"> comments indicated t</w:t>
      </w:r>
      <w:r w:rsidRPr="00EB2DCA">
        <w:t xml:space="preserve">raining topics included dedicated </w:t>
      </w:r>
      <w:r>
        <w:t>pressure injury</w:t>
      </w:r>
      <w:r w:rsidRPr="00EB2DCA">
        <w:t xml:space="preserve"> courses, wound care and skin integrity training</w:t>
      </w:r>
      <w:r>
        <w:t>,</w:t>
      </w:r>
      <w:r w:rsidRPr="00567CC6">
        <w:rPr>
          <w:rStyle w:val="FootnoteReference"/>
        </w:rPr>
        <w:footnoteReference w:id="10"/>
      </w:r>
      <w:r>
        <w:t xml:space="preserve"> with s</w:t>
      </w:r>
      <w:r w:rsidRPr="00EB2DCA">
        <w:t>ome courses cover</w:t>
      </w:r>
      <w:r>
        <w:t>ing</w:t>
      </w:r>
      <w:r w:rsidRPr="00EB2DCA">
        <w:t xml:space="preserve"> all three topics. </w:t>
      </w:r>
      <w:r>
        <w:t>In all, 222 providers were identified as offering</w:t>
      </w:r>
      <w:r w:rsidRPr="00EB2DCA">
        <w:t xml:space="preserve"> </w:t>
      </w:r>
      <w:r>
        <w:t xml:space="preserve">pressure injury </w:t>
      </w:r>
      <w:r w:rsidRPr="00EB2DCA">
        <w:t>specific training</w:t>
      </w:r>
      <w:r>
        <w:t xml:space="preserve"> to a range of staff, including registered nurses</w:t>
      </w:r>
      <w:r w:rsidRPr="009F3F77">
        <w:t xml:space="preserve">, </w:t>
      </w:r>
      <w:r>
        <w:t>m</w:t>
      </w:r>
      <w:r w:rsidRPr="009F3F77">
        <w:t>anagers</w:t>
      </w:r>
      <w:r>
        <w:t xml:space="preserve"> and</w:t>
      </w:r>
      <w:r w:rsidRPr="009F3F77">
        <w:t xml:space="preserve"> care staff</w:t>
      </w:r>
      <w:r w:rsidRPr="00EB2DCA">
        <w:t>.</w:t>
      </w:r>
    </w:p>
    <w:p w:rsidR="00567CC6" w:rsidRDefault="00567CC6" w:rsidP="00567CC6"/>
    <w:p w:rsidR="00736050" w:rsidRDefault="00A42937" w:rsidP="00567CC6">
      <w:r w:rsidRPr="009F3F77">
        <w:t xml:space="preserve">In most instances, the training provider was not </w:t>
      </w:r>
      <w:r>
        <w:t>identified, rather the auditors noted training as:</w:t>
      </w:r>
      <w:r w:rsidRPr="009F3F77">
        <w:t xml:space="preserve"> </w:t>
      </w:r>
      <w:r w:rsidR="0000547A">
        <w:t>‘</w:t>
      </w:r>
      <w:r w:rsidRPr="009F3F77">
        <w:t>in-house</w:t>
      </w:r>
      <w:r w:rsidR="0000547A">
        <w:t>’</w:t>
      </w:r>
      <w:r w:rsidRPr="009F3F77">
        <w:t xml:space="preserve">, </w:t>
      </w:r>
      <w:r w:rsidR="0000547A">
        <w:t>‘</w:t>
      </w:r>
      <w:r w:rsidRPr="009F3F77">
        <w:t>in-service</w:t>
      </w:r>
      <w:r w:rsidR="0000547A">
        <w:t>’</w:t>
      </w:r>
      <w:r w:rsidRPr="009F3F77">
        <w:t xml:space="preserve"> and </w:t>
      </w:r>
      <w:r w:rsidR="0000547A">
        <w:t>‘</w:t>
      </w:r>
      <w:r w:rsidRPr="009F3F77">
        <w:t>external training opportunities</w:t>
      </w:r>
      <w:r w:rsidR="0000547A">
        <w:t>’</w:t>
      </w:r>
      <w:r w:rsidRPr="009F3F77">
        <w:t xml:space="preserve">. </w:t>
      </w:r>
      <w:r>
        <w:t>The auditors identified 16</w:t>
      </w:r>
      <w:r w:rsidRPr="009F3F77">
        <w:t xml:space="preserve"> </w:t>
      </w:r>
      <w:r>
        <w:t>provider</w:t>
      </w:r>
      <w:r w:rsidRPr="009F3F77">
        <w:t>s</w:t>
      </w:r>
      <w:r>
        <w:t xml:space="preserve"> as offering</w:t>
      </w:r>
      <w:r w:rsidRPr="009F3F77">
        <w:t xml:space="preserve"> self-dire</w:t>
      </w:r>
      <w:r>
        <w:t xml:space="preserve">cted learning (including online </w:t>
      </w:r>
      <w:r w:rsidRPr="009F3F77">
        <w:t>training). Other approaches included toolbox</w:t>
      </w:r>
      <w:r>
        <w:t xml:space="preserve"> </w:t>
      </w:r>
      <w:r w:rsidRPr="009F3F77">
        <w:t>talks</w:t>
      </w:r>
      <w:r w:rsidRPr="00567CC6">
        <w:rPr>
          <w:rStyle w:val="FootnoteReference"/>
        </w:rPr>
        <w:footnoteReference w:id="11"/>
      </w:r>
      <w:r w:rsidRPr="009F3F77">
        <w:t xml:space="preserve"> and education at staff meetings. There were no reports of opportunistic training conducted in response to an existing incident/injury</w:t>
      </w:r>
      <w:r>
        <w:t>, such as learning from adverse event reporting and analysis</w:t>
      </w:r>
      <w:r w:rsidRPr="009F3F77">
        <w:t>.</w:t>
      </w:r>
    </w:p>
    <w:p w:rsidR="00567CC6" w:rsidRDefault="00567CC6" w:rsidP="00567CC6"/>
    <w:p w:rsidR="00736050" w:rsidRDefault="00A42937" w:rsidP="00567CC6">
      <w:r>
        <w:t>The auditors</w:t>
      </w:r>
      <w:r w:rsidR="0000547A">
        <w:t>’</w:t>
      </w:r>
      <w:r>
        <w:t xml:space="preserve"> c</w:t>
      </w:r>
      <w:r w:rsidRPr="009F3F77">
        <w:t>omments on training frequency included specific training dates (suggesting one-off training days) or general</w:t>
      </w:r>
      <w:r>
        <w:t>ised comments such as</w:t>
      </w:r>
      <w:r w:rsidRPr="009F3F77">
        <w:t xml:space="preserve"> </w:t>
      </w:r>
      <w:r w:rsidR="0000547A">
        <w:t>‘</w:t>
      </w:r>
      <w:r w:rsidRPr="009F3F77">
        <w:t>ongoing</w:t>
      </w:r>
      <w:r w:rsidR="0000547A">
        <w:t>’</w:t>
      </w:r>
      <w:r w:rsidRPr="009F3F77">
        <w:t xml:space="preserve"> or </w:t>
      </w:r>
      <w:r w:rsidR="0000547A">
        <w:t>‘</w:t>
      </w:r>
      <w:r w:rsidRPr="009F3F77">
        <w:t>regular</w:t>
      </w:r>
      <w:r w:rsidR="0000547A">
        <w:t>’</w:t>
      </w:r>
      <w:r w:rsidRPr="009F3F77">
        <w:t xml:space="preserve">. </w:t>
      </w:r>
      <w:r w:rsidR="0000547A">
        <w:t>‘</w:t>
      </w:r>
      <w:r w:rsidRPr="009F3F77">
        <w:t>Mandatory</w:t>
      </w:r>
      <w:r w:rsidR="0000547A">
        <w:t>’</w:t>
      </w:r>
      <w:r w:rsidRPr="009F3F77">
        <w:t xml:space="preserve"> training was reported for six</w:t>
      </w:r>
      <w:r>
        <w:t xml:space="preserve"> provider</w:t>
      </w:r>
      <w:r w:rsidRPr="009F3F77">
        <w:t>s</w:t>
      </w:r>
      <w:r>
        <w:t>. This</w:t>
      </w:r>
      <w:r w:rsidRPr="009F3F77">
        <w:t xml:space="preserve"> included compulsory education days and mandatory annual in-service training topics.</w:t>
      </w:r>
      <w:r>
        <w:t xml:space="preserve"> </w:t>
      </w:r>
      <w:r w:rsidRPr="009F3F77">
        <w:t xml:space="preserve">Attendance levels </w:t>
      </w:r>
      <w:r>
        <w:t>were</w:t>
      </w:r>
      <w:r w:rsidRPr="009F3F77">
        <w:t xml:space="preserve"> commented </w:t>
      </w:r>
      <w:r w:rsidRPr="00EB2DCA">
        <w:t>on for 13 providers</w:t>
      </w:r>
      <w:r w:rsidRPr="009F3F77">
        <w:t>. Mixed attendance levels were reported</w:t>
      </w:r>
      <w:r>
        <w:t>,</w:t>
      </w:r>
      <w:r w:rsidRPr="009F3F77">
        <w:t xml:space="preserve"> from </w:t>
      </w:r>
      <w:r w:rsidR="0000547A">
        <w:t>‘</w:t>
      </w:r>
      <w:r w:rsidRPr="009F3F77">
        <w:t>low</w:t>
      </w:r>
      <w:r w:rsidR="0000547A">
        <w:t>’</w:t>
      </w:r>
      <w:r w:rsidRPr="009F3F77">
        <w:t xml:space="preserve"> to </w:t>
      </w:r>
      <w:r w:rsidR="0000547A">
        <w:t>‘</w:t>
      </w:r>
      <w:r w:rsidRPr="009F3F77">
        <w:t>good</w:t>
      </w:r>
      <w:r w:rsidR="0000547A">
        <w:t>’</w:t>
      </w:r>
      <w:r w:rsidRPr="009F3F77">
        <w:t xml:space="preserve"> to </w:t>
      </w:r>
      <w:r w:rsidR="0000547A">
        <w:t>‘</w:t>
      </w:r>
      <w:r w:rsidRPr="009F3F77">
        <w:t>all staff attending</w:t>
      </w:r>
      <w:r w:rsidR="0000547A">
        <w:t>’</w:t>
      </w:r>
      <w:r>
        <w:t>.</w:t>
      </w:r>
    </w:p>
    <w:p w:rsidR="00A42937" w:rsidRPr="009F3F77" w:rsidRDefault="00A42937" w:rsidP="00567CC6"/>
    <w:p w:rsidR="00A42937" w:rsidRPr="009F3F77" w:rsidRDefault="00A42937" w:rsidP="00567CC6">
      <w:pPr>
        <w:pStyle w:val="Heading2"/>
      </w:pPr>
      <w:bookmarkStart w:id="60" w:name="_Toc486365106"/>
      <w:bookmarkStart w:id="61" w:name="_Toc487996083"/>
      <w:bookmarkStart w:id="62" w:name="_Toc521393321"/>
      <w:bookmarkStart w:id="63" w:name="_Toc523383225"/>
      <w:r>
        <w:lastRenderedPageBreak/>
        <w:t>Practice area 7: Staff knowledge and understanding</w:t>
      </w:r>
      <w:bookmarkEnd w:id="60"/>
      <w:bookmarkEnd w:id="61"/>
      <w:bookmarkEnd w:id="62"/>
      <w:bookmarkEnd w:id="63"/>
    </w:p>
    <w:p w:rsidR="00736050" w:rsidRDefault="00A42937" w:rsidP="00567CC6">
      <w:r>
        <w:t xml:space="preserve">All staff interviewed at 506 providers were aware of PIPM, </w:t>
      </w:r>
      <w:r w:rsidRPr="0046415F">
        <w:t xml:space="preserve">including risk assessment, </w:t>
      </w:r>
      <w:r>
        <w:t xml:space="preserve">adverse </w:t>
      </w:r>
      <w:r w:rsidRPr="0046415F">
        <w:t>event reporting and treatment of an</w:t>
      </w:r>
      <w:r w:rsidRPr="009F3F77">
        <w:t xml:space="preserve">y </w:t>
      </w:r>
      <w:r>
        <w:t>pressure injuries</w:t>
      </w:r>
      <w:r w:rsidRPr="009F3F77">
        <w:t>.</w:t>
      </w:r>
      <w:r>
        <w:t xml:space="preserve"> The auditors interviewed a</w:t>
      </w:r>
      <w:r w:rsidRPr="009F3F77">
        <w:t xml:space="preserve"> range of staff</w:t>
      </w:r>
      <w:r>
        <w:t xml:space="preserve">, including </w:t>
      </w:r>
      <w:r w:rsidRPr="009F3F77">
        <w:t xml:space="preserve">care staff, registered nurses, clinical leaders and </w:t>
      </w:r>
      <w:r>
        <w:t>m</w:t>
      </w:r>
      <w:r w:rsidRPr="009F3F77">
        <w:t>anagers</w:t>
      </w:r>
      <w:r>
        <w:t xml:space="preserve"> </w:t>
      </w:r>
      <w:r w:rsidRPr="009F3F77">
        <w:t>/</w:t>
      </w:r>
      <w:r>
        <w:t xml:space="preserve"> t</w:t>
      </w:r>
      <w:r w:rsidRPr="009F3F77">
        <w:t xml:space="preserve">eam </w:t>
      </w:r>
      <w:r>
        <w:t>l</w:t>
      </w:r>
      <w:r w:rsidRPr="009F3F77">
        <w:t>eaders.</w:t>
      </w:r>
    </w:p>
    <w:p w:rsidR="00567CC6" w:rsidRDefault="00567CC6" w:rsidP="00567CC6"/>
    <w:p w:rsidR="00A42937" w:rsidRPr="00147562" w:rsidRDefault="00A42937" w:rsidP="00567CC6">
      <w:r>
        <w:t>The auditors mentioned t</w:t>
      </w:r>
      <w:r w:rsidRPr="009F3F77">
        <w:t xml:space="preserve">wo strategies </w:t>
      </w:r>
      <w:r>
        <w:t xml:space="preserve">used by providers to support the oversight of pressure injuries and wound care management: a </w:t>
      </w:r>
      <w:r w:rsidR="0000547A">
        <w:t>‘</w:t>
      </w:r>
      <w:r>
        <w:t>w</w:t>
      </w:r>
      <w:r w:rsidRPr="009F3F77">
        <w:t xml:space="preserve">ound </w:t>
      </w:r>
      <w:r>
        <w:t>c</w:t>
      </w:r>
      <w:r w:rsidRPr="009F3F77">
        <w:t xml:space="preserve">are </w:t>
      </w:r>
      <w:r>
        <w:t>c</w:t>
      </w:r>
      <w:r w:rsidRPr="009F3F77">
        <w:t>hampion</w:t>
      </w:r>
      <w:r w:rsidR="0000547A">
        <w:t>’</w:t>
      </w:r>
      <w:r w:rsidRPr="009F3F77">
        <w:t xml:space="preserve"> and </w:t>
      </w:r>
      <w:r w:rsidR="0000547A">
        <w:t>‘</w:t>
      </w:r>
      <w:r>
        <w:t>pressure injury</w:t>
      </w:r>
      <w:r w:rsidRPr="009F3F77">
        <w:t xml:space="preserve"> registers</w:t>
      </w:r>
      <w:r w:rsidR="0000547A">
        <w:t>’</w:t>
      </w:r>
      <w:r w:rsidRPr="009F3F77">
        <w:t xml:space="preserve">. The </w:t>
      </w:r>
      <w:r>
        <w:t>w</w:t>
      </w:r>
      <w:r w:rsidRPr="009F3F77">
        <w:t xml:space="preserve">ound </w:t>
      </w:r>
      <w:r>
        <w:t>c</w:t>
      </w:r>
      <w:r w:rsidRPr="009F3F77">
        <w:t xml:space="preserve">are </w:t>
      </w:r>
      <w:r>
        <w:t>c</w:t>
      </w:r>
      <w:r w:rsidRPr="009F3F77">
        <w:t>hampion</w:t>
      </w:r>
      <w:r>
        <w:t xml:space="preserve"> was described as the person who</w:t>
      </w:r>
      <w:r w:rsidRPr="009F3F77">
        <w:t xml:space="preserve"> carried out the internal audit</w:t>
      </w:r>
      <w:r>
        <w:t>s</w:t>
      </w:r>
      <w:r w:rsidRPr="009F3F77">
        <w:t xml:space="preserve">, </w:t>
      </w:r>
      <w:r w:rsidRPr="00147562">
        <w:t>viewed all wounds, oversaw wound management and provided regular wound care training. Pressure injury registers were implemented to help monitor the number, type and progress of pressure injuries.</w:t>
      </w:r>
    </w:p>
    <w:p w:rsidR="00567CC6" w:rsidRPr="00147562" w:rsidRDefault="00567CC6" w:rsidP="00567CC6"/>
    <w:p w:rsidR="00736050" w:rsidRPr="00147562" w:rsidRDefault="00A42937" w:rsidP="00567CC6">
      <w:r w:rsidRPr="00147562">
        <w:t xml:space="preserve">There were no specific references to understanding the bundle of care approach to maintaining skin integrity (SSKIN), pain management or use of pro re </w:t>
      </w:r>
      <w:proofErr w:type="spellStart"/>
      <w:r w:rsidRPr="00147562">
        <w:t>nata</w:t>
      </w:r>
      <w:proofErr w:type="spellEnd"/>
      <w:r w:rsidRPr="00147562">
        <w:t xml:space="preserve"> (PRN) – as needed – medication.</w:t>
      </w:r>
    </w:p>
    <w:p w:rsidR="00567CC6" w:rsidRPr="00147562" w:rsidRDefault="00567CC6" w:rsidP="00567CC6"/>
    <w:p w:rsidR="00A42937" w:rsidRDefault="00A42937" w:rsidP="00567CC6">
      <w:pPr>
        <w:pStyle w:val="Heading1"/>
      </w:pPr>
      <w:bookmarkStart w:id="64" w:name="Care_staff_-_PI_reporting:42905&amp;Admin%^l"/>
      <w:bookmarkStart w:id="65" w:name="_Toc521393322"/>
      <w:bookmarkStart w:id="66" w:name="_Toc523383226"/>
      <w:bookmarkEnd w:id="30"/>
      <w:bookmarkEnd w:id="64"/>
      <w:r>
        <w:lastRenderedPageBreak/>
        <w:t>Summary</w:t>
      </w:r>
      <w:bookmarkEnd w:id="65"/>
      <w:bookmarkEnd w:id="66"/>
    </w:p>
    <w:p w:rsidR="00736050" w:rsidRDefault="00A42937" w:rsidP="004542D9">
      <w:r>
        <w:t>The purpose of this work was to raise the profile of PIPM in the aged residential care sector by auditing the evidence (documentation) to demonstrate implementation of PIPM across seven defined practice areas. The audit also reported on the number of pressure injuries identified in documentation as being treated on the day of audit.</w:t>
      </w:r>
    </w:p>
    <w:p w:rsidR="004542D9" w:rsidRDefault="004542D9" w:rsidP="004542D9"/>
    <w:p w:rsidR="00A42937" w:rsidRDefault="00A42937" w:rsidP="004542D9">
      <w:r>
        <w:t xml:space="preserve">Audits were completed at 528 aged care providers out of 659 certified at that time. During the period 1 January 2016 </w:t>
      </w:r>
      <w:r w:rsidR="004606E7">
        <w:t>to</w:t>
      </w:r>
      <w:r>
        <w:t xml:space="preserve"> 31 March 2017, a total of 821 pressure injuries were reported. These were reported in 299 of the 528 providers.</w:t>
      </w:r>
    </w:p>
    <w:p w:rsidR="00A42937" w:rsidRDefault="00A42937" w:rsidP="004542D9">
      <w:pPr>
        <w:pStyle w:val="Bullet"/>
      </w:pPr>
      <w:r>
        <w:t>The majority of pressure injuries were stage 2 (413 of 818 that were coded).</w:t>
      </w:r>
    </w:p>
    <w:p w:rsidR="00A42937" w:rsidRDefault="00A42937" w:rsidP="004542D9">
      <w:pPr>
        <w:pStyle w:val="Bullet"/>
      </w:pPr>
      <w:r>
        <w:t>There were 196 (of 818 that were coded) injuries at stage 3 and above.</w:t>
      </w:r>
    </w:p>
    <w:p w:rsidR="00A42937" w:rsidRDefault="00A42937" w:rsidP="004542D9">
      <w:pPr>
        <w:pStyle w:val="Bullet"/>
      </w:pPr>
      <w:r>
        <w:t>In all, 782 residents accounted for 821 injuries. The majority of residents with a pressure injury (608 of the 775 that were coded) were receiving hospital-level care.</w:t>
      </w:r>
    </w:p>
    <w:p w:rsidR="00736050" w:rsidRDefault="00A42937" w:rsidP="004542D9">
      <w:pPr>
        <w:pStyle w:val="Bullet"/>
      </w:pPr>
      <w:r>
        <w:t>Among the residents who had pressure injuries (782), 33 had more than one injury – 28</w:t>
      </w:r>
      <w:r w:rsidR="004542D9">
        <w:t> </w:t>
      </w:r>
      <w:r>
        <w:t>residents had two injuries, four had three injuries, and one resident had four injuries.</w:t>
      </w:r>
    </w:p>
    <w:p w:rsidR="00736050" w:rsidRDefault="00A42937" w:rsidP="004542D9">
      <w:pPr>
        <w:pStyle w:val="Bullet"/>
      </w:pPr>
      <w:r>
        <w:t xml:space="preserve">There were 198 injuries (of </w:t>
      </w:r>
      <w:r w:rsidRPr="0037664D">
        <w:t>the 808</w:t>
      </w:r>
      <w:r>
        <w:t xml:space="preserve"> that were coded) reported as being non-facility acquired.</w:t>
      </w:r>
    </w:p>
    <w:p w:rsidR="004542D9" w:rsidRDefault="004542D9" w:rsidP="004542D9"/>
    <w:p w:rsidR="00A42937" w:rsidRPr="00B40005" w:rsidRDefault="00A42937" w:rsidP="004542D9">
      <w:r>
        <w:t xml:space="preserve">No correlations could be found </w:t>
      </w:r>
      <w:r w:rsidRPr="00B40005">
        <w:t xml:space="preserve">between implementation of the seven practice areas and the number of pressure injuries in aged residential care </w:t>
      </w:r>
      <w:r>
        <w:t>providers</w:t>
      </w:r>
      <w:r w:rsidRPr="00B40005">
        <w:t xml:space="preserve">. Based on </w:t>
      </w:r>
      <w:r>
        <w:t>the results of this audit work</w:t>
      </w:r>
      <w:r w:rsidRPr="00B40005">
        <w:t xml:space="preserve">, it is therefore not possible to say that a greater number of pressure injuries would result </w:t>
      </w:r>
      <w:r>
        <w:t>from</w:t>
      </w:r>
      <w:r w:rsidRPr="00B40005">
        <w:t xml:space="preserve"> not implementing the seven practice areas. However</w:t>
      </w:r>
      <w:r>
        <w:t>,</w:t>
      </w:r>
      <w:r w:rsidRPr="00B40005">
        <w:t xml:space="preserve"> </w:t>
      </w:r>
      <w:r>
        <w:t>the following</w:t>
      </w:r>
      <w:r w:rsidRPr="00B40005">
        <w:t xml:space="preserve"> </w:t>
      </w:r>
      <w:r>
        <w:t xml:space="preserve">factors </w:t>
      </w:r>
      <w:r w:rsidRPr="00B40005">
        <w:t>did emerge</w:t>
      </w:r>
      <w:r>
        <w:t>.</w:t>
      </w:r>
    </w:p>
    <w:p w:rsidR="00A42937" w:rsidRDefault="00A42937" w:rsidP="004542D9">
      <w:pPr>
        <w:pStyle w:val="Bullet"/>
      </w:pPr>
      <w:r>
        <w:t>Generally, aged residential care providers have looked to implement pressure injury prevention and management strategies that align to the seven practice areas.</w:t>
      </w:r>
    </w:p>
    <w:p w:rsidR="00A42937" w:rsidRDefault="00A42937" w:rsidP="004542D9">
      <w:pPr>
        <w:pStyle w:val="Bullet"/>
      </w:pPr>
      <w:r>
        <w:t xml:space="preserve">Based on the audit data obtained, there are indications that the </w:t>
      </w:r>
      <w:r w:rsidRPr="00B814DD">
        <w:t xml:space="preserve">absence of pressure relieving equipment </w:t>
      </w:r>
      <w:r>
        <w:t xml:space="preserve">might contribute to the </w:t>
      </w:r>
      <w:r w:rsidRPr="00B814DD">
        <w:t xml:space="preserve">severity of </w:t>
      </w:r>
      <w:r>
        <w:t>pressure injurie</w:t>
      </w:r>
      <w:r w:rsidRPr="00B814DD">
        <w:t>s</w:t>
      </w:r>
      <w:r>
        <w:t xml:space="preserve">, </w:t>
      </w:r>
      <w:r w:rsidRPr="00B814DD">
        <w:t xml:space="preserve">with a higher percentage of </w:t>
      </w:r>
      <w:r>
        <w:t xml:space="preserve">pressure injuries at </w:t>
      </w:r>
      <w:r w:rsidRPr="00B814DD">
        <w:t>stage 3</w:t>
      </w:r>
      <w:r>
        <w:t xml:space="preserve"> and above. (Note: The auditors identified only 21 providers (of 528) as lacking suitable equipment.)</w:t>
      </w:r>
    </w:p>
    <w:p w:rsidR="00A42937" w:rsidRPr="00665145" w:rsidRDefault="00A42937" w:rsidP="004542D9">
      <w:pPr>
        <w:pStyle w:val="Bullet"/>
        <w:rPr>
          <w:rFonts w:ascii="Calibri" w:hAnsi="Calibri"/>
          <w:color w:val="000000"/>
          <w:lang w:eastAsia="en-NZ"/>
        </w:rPr>
      </w:pPr>
      <w:r>
        <w:t>T</w:t>
      </w:r>
      <w:r w:rsidRPr="006F505D">
        <w:t>he practice areas</w:t>
      </w:r>
      <w:r>
        <w:t xml:space="preserve"> of</w:t>
      </w:r>
      <w:r w:rsidRPr="006F505D">
        <w:t>: meeting minutes (481</w:t>
      </w:r>
      <w:r>
        <w:t xml:space="preserve"> of 528</w:t>
      </w:r>
      <w:r w:rsidRPr="006F505D">
        <w:t>), internal audit programme (472</w:t>
      </w:r>
      <w:r w:rsidR="004542D9">
        <w:t> </w:t>
      </w:r>
      <w:r>
        <w:t>of 528</w:t>
      </w:r>
      <w:r w:rsidRPr="006F505D">
        <w:t>), adverse event reporting (470</w:t>
      </w:r>
      <w:r>
        <w:t xml:space="preserve"> of 528</w:t>
      </w:r>
      <w:r w:rsidRPr="006F505D">
        <w:t xml:space="preserve">) and </w:t>
      </w:r>
      <w:r>
        <w:t xml:space="preserve">annual </w:t>
      </w:r>
      <w:r w:rsidRPr="006F505D">
        <w:t xml:space="preserve">training </w:t>
      </w:r>
      <w:r>
        <w:t xml:space="preserve">programmes </w:t>
      </w:r>
      <w:r w:rsidRPr="006F505D">
        <w:t>(484</w:t>
      </w:r>
      <w:r w:rsidR="004542D9">
        <w:t> </w:t>
      </w:r>
      <w:r>
        <w:t>of 528</w:t>
      </w:r>
      <w:r w:rsidRPr="006F505D">
        <w:t>) have the lowest attainment rates of those audited in this study</w:t>
      </w:r>
      <w:r>
        <w:t>. T</w:t>
      </w:r>
      <w:r w:rsidRPr="006F505D">
        <w:t xml:space="preserve">hese </w:t>
      </w:r>
      <w:r>
        <w:t xml:space="preserve">areas </w:t>
      </w:r>
      <w:r w:rsidRPr="006F505D">
        <w:t xml:space="preserve">could </w:t>
      </w:r>
      <w:r>
        <w:t>benefit from</w:t>
      </w:r>
      <w:r w:rsidRPr="006F505D">
        <w:t xml:space="preserve"> target</w:t>
      </w:r>
      <w:r>
        <w:t>ing in the future</w:t>
      </w:r>
      <w:r w:rsidRPr="006F505D">
        <w:t>.</w:t>
      </w:r>
      <w:bookmarkStart w:id="67" w:name="_Appendix_A:_Data"/>
      <w:bookmarkEnd w:id="67"/>
    </w:p>
    <w:p w:rsidR="00A42937" w:rsidRPr="00FA7FD6" w:rsidRDefault="00A42937" w:rsidP="004542D9">
      <w:pPr>
        <w:rPr>
          <w:lang w:eastAsia="en-NZ"/>
        </w:rPr>
      </w:pPr>
    </w:p>
    <w:p w:rsidR="00A42937" w:rsidRPr="0037664D" w:rsidRDefault="00A42937" w:rsidP="004542D9">
      <w:pPr>
        <w:pStyle w:val="Heading2"/>
      </w:pPr>
      <w:bookmarkStart w:id="68" w:name="_Toc521393323"/>
      <w:bookmarkStart w:id="69" w:name="_Toc523383227"/>
      <w:r w:rsidRPr="0037664D">
        <w:lastRenderedPageBreak/>
        <w:t>Points for future consideration</w:t>
      </w:r>
      <w:bookmarkEnd w:id="68"/>
      <w:bookmarkEnd w:id="69"/>
    </w:p>
    <w:p w:rsidR="00A42937" w:rsidRPr="0037664D" w:rsidRDefault="00A42937" w:rsidP="004542D9">
      <w:pPr>
        <w:keepNext/>
      </w:pPr>
      <w:r w:rsidRPr="0037664D">
        <w:t xml:space="preserve">It is recognised that PIPM is an area for ongoing focus in </w:t>
      </w:r>
      <w:r>
        <w:t xml:space="preserve">aged-related residential care </w:t>
      </w:r>
      <w:r w:rsidRPr="0037664D">
        <w:t>(as it is in hospital and community care settings).</w:t>
      </w:r>
    </w:p>
    <w:p w:rsidR="004542D9" w:rsidRDefault="004542D9" w:rsidP="004542D9">
      <w:pPr>
        <w:keepNext/>
      </w:pPr>
    </w:p>
    <w:p w:rsidR="00A42937" w:rsidRPr="0037664D" w:rsidRDefault="00A42937" w:rsidP="004542D9">
      <w:r w:rsidRPr="0037664D">
        <w:t>Evidence shows most pressure injuries are preventable – early identification of people at risk and subsequent effective management needs to be a high priority for all care providers to reduce significant harm to this group of people.</w:t>
      </w:r>
    </w:p>
    <w:p w:rsidR="004542D9" w:rsidRDefault="004542D9" w:rsidP="004542D9"/>
    <w:p w:rsidR="00736050" w:rsidRDefault="00A42937" w:rsidP="004542D9">
      <w:r w:rsidRPr="0037664D">
        <w:t xml:space="preserve">There are key actions that are recognised and promoted globally to reduce the risk and impact of pressure injuries. For example, the SSKIN bundle </w:t>
      </w:r>
      <w:r>
        <w:t xml:space="preserve">of care </w:t>
      </w:r>
      <w:r w:rsidRPr="0037664D">
        <w:t>provides a useful approach to ensure that no prevention element is missed.</w:t>
      </w:r>
      <w:r w:rsidRPr="004542D9">
        <w:rPr>
          <w:rStyle w:val="FootnoteReference"/>
        </w:rPr>
        <w:footnoteReference w:id="12"/>
      </w:r>
    </w:p>
    <w:p w:rsidR="004542D9" w:rsidRDefault="004542D9" w:rsidP="004542D9"/>
    <w:p w:rsidR="00A42937" w:rsidRPr="0037664D" w:rsidRDefault="00A42937" w:rsidP="004542D9">
      <w:r>
        <w:t>The five-step SSKIN approach covers</w:t>
      </w:r>
      <w:r w:rsidRPr="0037664D">
        <w:t>:</w:t>
      </w:r>
    </w:p>
    <w:p w:rsidR="00A42937" w:rsidRPr="0037664D" w:rsidRDefault="00A42937" w:rsidP="004542D9">
      <w:pPr>
        <w:pStyle w:val="Bullet"/>
        <w:rPr>
          <w:lang w:eastAsia="en-US"/>
        </w:rPr>
      </w:pPr>
      <w:r w:rsidRPr="0037664D">
        <w:rPr>
          <w:lang w:eastAsia="en-US"/>
        </w:rPr>
        <w:t xml:space="preserve">Surface – </w:t>
      </w:r>
      <w:r>
        <w:rPr>
          <w:lang w:eastAsia="en-US"/>
        </w:rPr>
        <w:t>P</w:t>
      </w:r>
      <w:r w:rsidRPr="0037664D">
        <w:rPr>
          <w:lang w:eastAsia="en-US"/>
        </w:rPr>
        <w:t>rovide a supportive and pressure</w:t>
      </w:r>
      <w:r>
        <w:rPr>
          <w:lang w:eastAsia="en-US"/>
        </w:rPr>
        <w:t>-</w:t>
      </w:r>
      <w:r w:rsidRPr="0037664D">
        <w:rPr>
          <w:lang w:eastAsia="en-US"/>
        </w:rPr>
        <w:t>relieving surface</w:t>
      </w:r>
      <w:r>
        <w:rPr>
          <w:lang w:eastAsia="en-US"/>
        </w:rPr>
        <w:t xml:space="preserve"> for the patient to rest on.</w:t>
      </w:r>
    </w:p>
    <w:p w:rsidR="00A42937" w:rsidRPr="0037664D" w:rsidRDefault="00A42937" w:rsidP="004542D9">
      <w:pPr>
        <w:pStyle w:val="Bullet"/>
        <w:rPr>
          <w:lang w:eastAsia="en-US"/>
        </w:rPr>
      </w:pPr>
      <w:r w:rsidRPr="0037664D">
        <w:rPr>
          <w:lang w:eastAsia="en-US"/>
        </w:rPr>
        <w:t xml:space="preserve">Skin </w:t>
      </w:r>
      <w:r>
        <w:rPr>
          <w:lang w:eastAsia="en-US"/>
        </w:rPr>
        <w:t>i</w:t>
      </w:r>
      <w:r w:rsidRPr="0037664D">
        <w:rPr>
          <w:lang w:eastAsia="en-US"/>
        </w:rPr>
        <w:t xml:space="preserve">nspection – </w:t>
      </w:r>
      <w:r>
        <w:rPr>
          <w:lang w:eastAsia="en-US"/>
        </w:rPr>
        <w:t>U</w:t>
      </w:r>
      <w:r w:rsidRPr="0037664D">
        <w:rPr>
          <w:lang w:eastAsia="en-US"/>
        </w:rPr>
        <w:t>ndertake regular checks for discolouration and pain on bony prominences (such as hips and heels) and under or around medical devices</w:t>
      </w:r>
      <w:r>
        <w:rPr>
          <w:lang w:eastAsia="en-US"/>
        </w:rPr>
        <w:t>.</w:t>
      </w:r>
    </w:p>
    <w:p w:rsidR="00A42937" w:rsidRPr="0037664D" w:rsidRDefault="00A42937" w:rsidP="004542D9">
      <w:pPr>
        <w:pStyle w:val="Bullet"/>
        <w:rPr>
          <w:lang w:eastAsia="en-US"/>
        </w:rPr>
      </w:pPr>
      <w:r w:rsidRPr="0037664D">
        <w:rPr>
          <w:lang w:eastAsia="en-US"/>
        </w:rPr>
        <w:t xml:space="preserve">Keep moving – </w:t>
      </w:r>
      <w:r>
        <w:rPr>
          <w:lang w:eastAsia="en-US"/>
        </w:rPr>
        <w:t>Encourage the patient to c</w:t>
      </w:r>
      <w:r w:rsidRPr="0037664D">
        <w:rPr>
          <w:lang w:eastAsia="en-US"/>
        </w:rPr>
        <w:t>hange position often</w:t>
      </w:r>
      <w:r>
        <w:rPr>
          <w:lang w:eastAsia="en-US"/>
        </w:rPr>
        <w:t>.</w:t>
      </w:r>
    </w:p>
    <w:p w:rsidR="00A42937" w:rsidRPr="0037664D" w:rsidRDefault="00A42937" w:rsidP="004542D9">
      <w:pPr>
        <w:pStyle w:val="Bullet"/>
        <w:rPr>
          <w:lang w:eastAsia="en-US"/>
        </w:rPr>
      </w:pPr>
      <w:r w:rsidRPr="0037664D">
        <w:rPr>
          <w:lang w:eastAsia="en-US"/>
        </w:rPr>
        <w:t>Incontinence</w:t>
      </w:r>
      <w:r>
        <w:rPr>
          <w:lang w:eastAsia="en-US"/>
        </w:rPr>
        <w:t xml:space="preserve"> </w:t>
      </w:r>
      <w:r w:rsidRPr="0037664D">
        <w:rPr>
          <w:lang w:eastAsia="en-US"/>
        </w:rPr>
        <w:t xml:space="preserve">– </w:t>
      </w:r>
      <w:r>
        <w:rPr>
          <w:lang w:eastAsia="en-US"/>
        </w:rPr>
        <w:t>Make sure the patient</w:t>
      </w:r>
      <w:r w:rsidR="0000547A">
        <w:rPr>
          <w:lang w:eastAsia="en-US"/>
        </w:rPr>
        <w:t>’</w:t>
      </w:r>
      <w:r>
        <w:rPr>
          <w:lang w:eastAsia="en-US"/>
        </w:rPr>
        <w:t>s</w:t>
      </w:r>
      <w:r w:rsidRPr="0037664D">
        <w:rPr>
          <w:lang w:eastAsia="en-US"/>
        </w:rPr>
        <w:t xml:space="preserve"> skin </w:t>
      </w:r>
      <w:r>
        <w:rPr>
          <w:lang w:eastAsia="en-US"/>
        </w:rPr>
        <w:t xml:space="preserve">remains </w:t>
      </w:r>
      <w:r w:rsidRPr="0037664D">
        <w:rPr>
          <w:lang w:eastAsia="en-US"/>
        </w:rPr>
        <w:t>dry and clean</w:t>
      </w:r>
      <w:r>
        <w:rPr>
          <w:lang w:eastAsia="en-US"/>
        </w:rPr>
        <w:t>.</w:t>
      </w:r>
    </w:p>
    <w:p w:rsidR="00A42937" w:rsidRPr="000B17B8" w:rsidRDefault="00A42937" w:rsidP="004542D9">
      <w:pPr>
        <w:pStyle w:val="Bullet"/>
        <w:rPr>
          <w:lang w:eastAsia="en-US"/>
        </w:rPr>
      </w:pPr>
      <w:r w:rsidRPr="0037664D">
        <w:rPr>
          <w:lang w:eastAsia="en-US"/>
        </w:rPr>
        <w:t xml:space="preserve">Nutrition – </w:t>
      </w:r>
      <w:r>
        <w:rPr>
          <w:lang w:eastAsia="en-US"/>
        </w:rPr>
        <w:t xml:space="preserve">Support the patient to </w:t>
      </w:r>
      <w:r w:rsidRPr="0037664D">
        <w:rPr>
          <w:lang w:eastAsia="en-US"/>
        </w:rPr>
        <w:t>eat healthily and drink plenty of fluids.</w:t>
      </w:r>
    </w:p>
    <w:p w:rsidR="004542D9" w:rsidRDefault="004542D9" w:rsidP="004542D9">
      <w:pPr>
        <w:rPr>
          <w:rFonts w:eastAsiaTheme="minorHAnsi"/>
          <w:lang w:eastAsia="en-US"/>
        </w:rPr>
      </w:pPr>
    </w:p>
    <w:p w:rsidR="00A42937" w:rsidRDefault="00A42937" w:rsidP="004542D9">
      <w:pPr>
        <w:rPr>
          <w:rFonts w:eastAsiaTheme="minorHAnsi"/>
          <w:lang w:eastAsia="en-US"/>
        </w:rPr>
      </w:pPr>
      <w:r w:rsidRPr="0037664D">
        <w:rPr>
          <w:rFonts w:eastAsiaTheme="minorHAnsi"/>
          <w:lang w:eastAsia="en-US"/>
        </w:rPr>
        <w:t>Significant work is ongoing to create resources to support best-practice prevention and management in all health settings, including aged residential care.</w:t>
      </w:r>
      <w:r>
        <w:rPr>
          <w:rFonts w:eastAsiaTheme="minorHAnsi"/>
          <w:lang w:eastAsia="en-US"/>
        </w:rPr>
        <w:t xml:space="preserve"> Additional research, including on use of the SSKIN bundle of care in the New Zealand context is an area for future work.</w:t>
      </w:r>
      <w:r w:rsidRPr="0037664D">
        <w:rPr>
          <w:rFonts w:eastAsiaTheme="minorHAnsi"/>
          <w:lang w:eastAsia="en-US"/>
        </w:rPr>
        <w:t xml:space="preserve"> The ongoing challenge is to embed this systematically at</w:t>
      </w:r>
      <w:r>
        <w:rPr>
          <w:rFonts w:eastAsiaTheme="minorHAnsi"/>
          <w:lang w:eastAsia="en-US"/>
        </w:rPr>
        <w:t xml:space="preserve"> the</w:t>
      </w:r>
      <w:r w:rsidRPr="0037664D">
        <w:rPr>
          <w:rFonts w:eastAsiaTheme="minorHAnsi"/>
          <w:lang w:eastAsia="en-US"/>
        </w:rPr>
        <w:t xml:space="preserve"> clinical practice level to ensure harm is avoided and patients receive the best preventive care.</w:t>
      </w:r>
    </w:p>
    <w:p w:rsidR="004542D9" w:rsidRDefault="004542D9" w:rsidP="004542D9"/>
    <w:p w:rsidR="00A42937" w:rsidRDefault="00A42937" w:rsidP="004542D9">
      <w:pPr>
        <w:rPr>
          <w:rFonts w:asciiTheme="minorHAnsi" w:hAnsiTheme="minorHAnsi" w:cstheme="minorHAnsi"/>
        </w:rPr>
      </w:pPr>
      <w:r w:rsidRPr="0037664D">
        <w:t xml:space="preserve">An excellent starting point for all health professionals, carers and people giving and receiving care is the </w:t>
      </w:r>
      <w:hyperlink r:id="rId30" w:history="1">
        <w:r w:rsidRPr="000B17B8">
          <w:rPr>
            <w:rStyle w:val="Hyperlink"/>
            <w:rFonts w:cs="Arial"/>
            <w:i/>
          </w:rPr>
          <w:t>Guiding Principles for Pressure Injury Prevention and Management in New Zealand</w:t>
        </w:r>
      </w:hyperlink>
      <w:r w:rsidRPr="004542D9">
        <w:t>.</w:t>
      </w:r>
      <w:r w:rsidRPr="004542D9">
        <w:rPr>
          <w:rStyle w:val="FootnoteReference"/>
        </w:rPr>
        <w:footnoteReference w:id="13"/>
      </w:r>
    </w:p>
    <w:p w:rsidR="004542D9" w:rsidRDefault="004542D9" w:rsidP="004542D9"/>
    <w:p w:rsidR="00A42937" w:rsidRDefault="00A42937" w:rsidP="004542D9">
      <w:pPr>
        <w:rPr>
          <w:rFonts w:asciiTheme="minorHAnsi" w:hAnsiTheme="minorHAnsi" w:cstheme="minorHAnsi"/>
        </w:rPr>
      </w:pPr>
      <w:r w:rsidRPr="0037664D">
        <w:t>Some other useful resources can be found can be found on the New Zealand Wound Care Society</w:t>
      </w:r>
      <w:r w:rsidR="0000547A">
        <w:t>’</w:t>
      </w:r>
      <w:r w:rsidRPr="0037664D">
        <w:t>s website</w:t>
      </w:r>
      <w:r>
        <w:t xml:space="preserve"> (</w:t>
      </w:r>
      <w:hyperlink r:id="rId31" w:history="1">
        <w:r w:rsidRPr="002925F7">
          <w:rPr>
            <w:rStyle w:val="Hyperlink"/>
            <w:rFonts w:cs="Arial"/>
          </w:rPr>
          <w:t>www.nzwcs.org.nz/resources/stop-pi-day</w:t>
        </w:r>
      </w:hyperlink>
      <w:r>
        <w:t>).</w:t>
      </w:r>
    </w:p>
    <w:p w:rsidR="004542D9" w:rsidRDefault="004542D9" w:rsidP="004542D9"/>
    <w:p w:rsidR="00FC7568" w:rsidRPr="00A42937" w:rsidRDefault="00A42937" w:rsidP="00A42937">
      <w:r w:rsidRPr="0037664D">
        <w:t>Appropriate and consistent measurement is essential if health</w:t>
      </w:r>
      <w:r>
        <w:t xml:space="preserve"> </w:t>
      </w:r>
      <w:r w:rsidRPr="0037664D">
        <w:t xml:space="preserve">care providers are to </w:t>
      </w:r>
      <w:r>
        <w:t>continue to improve</w:t>
      </w:r>
      <w:r w:rsidRPr="0037664D">
        <w:t xml:space="preserve"> the way they manage the incidence and prevalence of pressure injuries. </w:t>
      </w:r>
      <w:r>
        <w:t>Pressure injuries are a reportable event. All severe pressure injuries at stage</w:t>
      </w:r>
      <w:r w:rsidR="004542D9">
        <w:t> </w:t>
      </w:r>
      <w:r>
        <w:t xml:space="preserve">3 and above need to be investigated and managed in accordance with local policy and reported to the relevant agency. </w:t>
      </w:r>
      <w:r w:rsidRPr="0037664D">
        <w:t xml:space="preserve">The </w:t>
      </w:r>
      <w:r>
        <w:t>HQSC</w:t>
      </w:r>
      <w:r w:rsidRPr="0037664D">
        <w:t xml:space="preserve"> has prepared national guidance, which, although focused on in hospital measurement, is valid across all care settings. Further details can be found on the </w:t>
      </w:r>
      <w:r>
        <w:t>HQSC</w:t>
      </w:r>
      <w:r w:rsidRPr="0037664D">
        <w:t xml:space="preserve"> website</w:t>
      </w:r>
      <w:r>
        <w:t xml:space="preserve"> (</w:t>
      </w:r>
      <w:hyperlink r:id="rId32" w:history="1">
        <w:r w:rsidRPr="00812075">
          <w:rPr>
            <w:rStyle w:val="Hyperlink"/>
            <w:rFonts w:cs="Arial"/>
          </w:rPr>
          <w:t>www.hqsc.govt.nz/our-programmes/pressure-injury-prevention/</w:t>
        </w:r>
      </w:hyperlink>
      <w:r>
        <w:t>).</w:t>
      </w:r>
    </w:p>
    <w:sectPr w:rsidR="00FC7568" w:rsidRPr="00A42937" w:rsidSect="004542D9">
      <w:headerReference w:type="default" r:id="rId33"/>
      <w:footerReference w:type="even" r:id="rId34"/>
      <w:footerReference w:type="default" r:id="rId35"/>
      <w:pgSz w:w="11907" w:h="16834" w:code="9"/>
      <w:pgMar w:top="1418" w:right="1559" w:bottom="1134" w:left="1843" w:header="284" w:footer="425"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F62" w:rsidRDefault="00396F62">
      <w:r>
        <w:separator/>
      </w:r>
    </w:p>
    <w:p w:rsidR="00396F62" w:rsidRDefault="00396F62"/>
  </w:endnote>
  <w:endnote w:type="continuationSeparator" w:id="0">
    <w:p w:rsidR="00396F62" w:rsidRDefault="00396F62">
      <w:r>
        <w:continuationSeparator/>
      </w:r>
    </w:p>
    <w:p w:rsidR="00396F62" w:rsidRDefault="00396F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1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AB8" w:rsidRDefault="00925AB8">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18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471"/>
    </w:tblGrid>
    <w:tr w:rsidR="0076350E" w:rsidTr="00293727">
      <w:trPr>
        <w:cantSplit/>
      </w:trPr>
      <w:tc>
        <w:tcPr>
          <w:tcW w:w="709" w:type="dxa"/>
          <w:vAlign w:val="center"/>
        </w:tcPr>
        <w:p w:rsidR="0076350E" w:rsidRPr="00931466" w:rsidRDefault="0076350E"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CB1E1A">
            <w:rPr>
              <w:rStyle w:val="PageNumber"/>
              <w:noProof/>
            </w:rPr>
            <w:t>14</w:t>
          </w:r>
          <w:r w:rsidRPr="00931466">
            <w:rPr>
              <w:rStyle w:val="PageNumber"/>
            </w:rPr>
            <w:fldChar w:fldCharType="end"/>
          </w:r>
        </w:p>
      </w:tc>
      <w:tc>
        <w:tcPr>
          <w:tcW w:w="8471" w:type="dxa"/>
          <w:vAlign w:val="center"/>
        </w:tcPr>
        <w:p w:rsidR="0076350E" w:rsidRDefault="0076350E" w:rsidP="000D58DD">
          <w:pPr>
            <w:pStyle w:val="RectoFooter"/>
            <w:jc w:val="left"/>
          </w:pPr>
          <w:r>
            <w:t>PRESSURE INJURIES IN AGED RESIDENTIAL CARE</w:t>
          </w:r>
        </w:p>
      </w:tc>
    </w:tr>
  </w:tbl>
  <w:p w:rsidR="0076350E" w:rsidRPr="00571223" w:rsidRDefault="0076350E" w:rsidP="00571223">
    <w:pPr>
      <w:pStyle w:val="VersoFooter"/>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188"/>
      <w:gridCol w:w="743"/>
    </w:tblGrid>
    <w:tr w:rsidR="0076350E" w:rsidTr="00293727">
      <w:tc>
        <w:tcPr>
          <w:tcW w:w="8188" w:type="dxa"/>
          <w:vAlign w:val="center"/>
        </w:tcPr>
        <w:p w:rsidR="0076350E" w:rsidRDefault="0076350E" w:rsidP="00FC7568">
          <w:pPr>
            <w:pStyle w:val="RectoFooter"/>
          </w:pPr>
          <w:r>
            <w:t>PRESSURE INJURIES IN AGED RESIDENTIAL CARE</w:t>
          </w:r>
        </w:p>
      </w:tc>
      <w:tc>
        <w:tcPr>
          <w:tcW w:w="743" w:type="dxa"/>
          <w:vAlign w:val="center"/>
        </w:tcPr>
        <w:p w:rsidR="0076350E" w:rsidRPr="00931466" w:rsidRDefault="0076350E" w:rsidP="00FC7568">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CB1E1A">
            <w:rPr>
              <w:rStyle w:val="PageNumber"/>
              <w:noProof/>
            </w:rPr>
            <w:t>15</w:t>
          </w:r>
          <w:r w:rsidRPr="00931466">
            <w:rPr>
              <w:rStyle w:val="PageNumber"/>
            </w:rPr>
            <w:fldChar w:fldCharType="end"/>
          </w:r>
        </w:p>
      </w:tc>
    </w:tr>
  </w:tbl>
  <w:p w:rsidR="0076350E" w:rsidRPr="004E35C0" w:rsidRDefault="0076350E">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50E" w:rsidRPr="00581136" w:rsidRDefault="0076350E" w:rsidP="00012F3D">
    <w:pPr>
      <w:pStyle w:val="Footer"/>
      <w:pBdr>
        <w:bottom w:val="single" w:sz="4" w:space="1" w:color="auto"/>
      </w:pBdr>
      <w:tabs>
        <w:tab w:val="right" w:pos="9639"/>
      </w:tabs>
      <w:rPr>
        <w:b/>
      </w:rPr>
    </w:pPr>
    <w:r w:rsidRPr="00581136">
      <w:rPr>
        <w:b/>
      </w:rPr>
      <w:t>Released 201</w:t>
    </w:r>
    <w:r>
      <w:rPr>
        <w:b/>
      </w:rPr>
      <w:t>8</w:t>
    </w:r>
    <w:r w:rsidRPr="00581136">
      <w:rPr>
        <w:b/>
      </w:rPr>
      <w:tab/>
      <w:t>health.govt.nz</w:t>
    </w:r>
  </w:p>
  <w:p w:rsidR="0076350E" w:rsidRPr="00BB10EB" w:rsidRDefault="0076350E">
    <w:pPr>
      <w:pStyle w:val="Foote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AB8" w:rsidRDefault="00925AB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50E" w:rsidRDefault="0076350E" w:rsidP="004D6689">
    <w:pPr>
      <w:pStyle w:val="Footer"/>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50E" w:rsidRDefault="0076350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567"/>
      <w:gridCol w:w="7904"/>
    </w:tblGrid>
    <w:tr w:rsidR="0076350E" w:rsidTr="00926083">
      <w:trPr>
        <w:cantSplit/>
      </w:trPr>
      <w:tc>
        <w:tcPr>
          <w:tcW w:w="1276" w:type="dxa"/>
          <w:vAlign w:val="center"/>
        </w:tcPr>
        <w:p w:rsidR="0076350E" w:rsidRDefault="0076350E" w:rsidP="0043478F">
          <w:pPr>
            <w:pStyle w:val="RectoFooter"/>
            <w:jc w:val="left"/>
          </w:pPr>
          <w:r w:rsidRPr="00931466">
            <w:rPr>
              <w:rFonts w:eastAsia="Arial Unicode MS"/>
              <w:noProof/>
              <w:szCs w:val="15"/>
              <w:lang w:eastAsia="en-NZ"/>
            </w:rPr>
            <w:drawing>
              <wp:inline distT="0" distB="0" distL="0" distR="0" wp14:anchorId="41D2FFE9" wp14:editId="56B05B45">
                <wp:extent cx="582612" cy="117475"/>
                <wp:effectExtent l="0" t="0" r="8255" b="0"/>
                <wp:docPr id="20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82612" cy="117475"/>
                        </a:xfrm>
                        <a:prstGeom prst="rect">
                          <a:avLst/>
                        </a:prstGeom>
                        <a:noFill/>
                        <a:extLst/>
                      </pic:spPr>
                    </pic:pic>
                  </a:graphicData>
                </a:graphic>
              </wp:inline>
            </w:drawing>
          </w:r>
        </w:p>
      </w:tc>
      <w:tc>
        <w:tcPr>
          <w:tcW w:w="567" w:type="dxa"/>
          <w:vAlign w:val="center"/>
        </w:tcPr>
        <w:p w:rsidR="0076350E" w:rsidRPr="00931466" w:rsidRDefault="0076350E"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iv</w:t>
          </w:r>
          <w:r w:rsidRPr="00931466">
            <w:rPr>
              <w:rStyle w:val="PageNumber"/>
            </w:rPr>
            <w:fldChar w:fldCharType="end"/>
          </w:r>
        </w:p>
      </w:tc>
      <w:tc>
        <w:tcPr>
          <w:tcW w:w="7904" w:type="dxa"/>
          <w:vAlign w:val="center"/>
        </w:tcPr>
        <w:p w:rsidR="0076350E" w:rsidRDefault="0076350E" w:rsidP="00926083">
          <w:pPr>
            <w:pStyle w:val="RectoFooter"/>
            <w:jc w:val="left"/>
          </w:pPr>
          <w:r>
            <w:t>pressure injuries in aged residential care</w:t>
          </w:r>
        </w:p>
      </w:tc>
    </w:tr>
  </w:tbl>
  <w:p w:rsidR="0076350E" w:rsidRPr="00571223" w:rsidRDefault="0076350E" w:rsidP="00571223">
    <w:pPr>
      <w:pStyle w:val="VersoFoote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851"/>
    </w:tblGrid>
    <w:tr w:rsidR="0076350E" w:rsidTr="00293727">
      <w:tc>
        <w:tcPr>
          <w:tcW w:w="8080" w:type="dxa"/>
          <w:vAlign w:val="center"/>
        </w:tcPr>
        <w:p w:rsidR="0076350E" w:rsidRDefault="0076350E" w:rsidP="00A42937">
          <w:pPr>
            <w:pStyle w:val="RectoFooter"/>
          </w:pPr>
          <w:r>
            <w:t>PRESSURE INJURIES IN AGED RESIDENTIAL CARE</w:t>
          </w:r>
        </w:p>
      </w:tc>
      <w:tc>
        <w:tcPr>
          <w:tcW w:w="851" w:type="dxa"/>
          <w:vAlign w:val="center"/>
        </w:tcPr>
        <w:p w:rsidR="0076350E" w:rsidRPr="00931466" w:rsidRDefault="0076350E" w:rsidP="00736050">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925AB8">
            <w:rPr>
              <w:rStyle w:val="PageNumber"/>
              <w:noProof/>
            </w:rPr>
            <w:t>iii</w:t>
          </w:r>
          <w:r w:rsidRPr="00931466">
            <w:rPr>
              <w:rStyle w:val="PageNumber"/>
            </w:rPr>
            <w:fldChar w:fldCharType="end"/>
          </w:r>
        </w:p>
      </w:tc>
    </w:tr>
  </w:tbl>
  <w:p w:rsidR="0076350E" w:rsidRPr="004E35C0" w:rsidRDefault="0076350E">
    <w:pPr>
      <w:pStyle w:val="Foote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50E" w:rsidRPr="00571223" w:rsidRDefault="0076350E" w:rsidP="00571223">
    <w:pPr>
      <w:pStyle w:val="VersoFooter"/>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708"/>
      <w:gridCol w:w="1276"/>
    </w:tblGrid>
    <w:tr w:rsidR="0076350E" w:rsidTr="00736050">
      <w:tc>
        <w:tcPr>
          <w:tcW w:w="7905" w:type="dxa"/>
          <w:vAlign w:val="center"/>
        </w:tcPr>
        <w:p w:rsidR="0076350E" w:rsidRDefault="0076350E" w:rsidP="00736050">
          <w:pPr>
            <w:pStyle w:val="RectoFooter"/>
          </w:pPr>
          <w:r>
            <w:t>[TITLE]</w:t>
          </w:r>
        </w:p>
      </w:tc>
      <w:tc>
        <w:tcPr>
          <w:tcW w:w="708" w:type="dxa"/>
          <w:vAlign w:val="center"/>
        </w:tcPr>
        <w:p w:rsidR="0076350E" w:rsidRPr="00931466" w:rsidRDefault="0076350E" w:rsidP="00736050">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w:t>
          </w:r>
          <w:r w:rsidRPr="00931466">
            <w:rPr>
              <w:rStyle w:val="PageNumber"/>
            </w:rPr>
            <w:fldChar w:fldCharType="end"/>
          </w:r>
        </w:p>
      </w:tc>
      <w:tc>
        <w:tcPr>
          <w:tcW w:w="1276" w:type="dxa"/>
          <w:shd w:val="clear" w:color="auto" w:fill="auto"/>
          <w:vAlign w:val="center"/>
        </w:tcPr>
        <w:p w:rsidR="0076350E" w:rsidRPr="00931466" w:rsidRDefault="0076350E" w:rsidP="00736050">
          <w:pPr>
            <w:pStyle w:val="Footer"/>
            <w:jc w:val="right"/>
            <w:rPr>
              <w:sz w:val="15"/>
              <w:szCs w:val="15"/>
            </w:rPr>
          </w:pPr>
          <w:bookmarkStart w:id="3" w:name="_GoBack"/>
          <w:bookmarkEnd w:id="3"/>
          <w:r w:rsidRPr="00931466">
            <w:rPr>
              <w:rFonts w:eastAsia="Arial Unicode MS"/>
              <w:noProof/>
              <w:sz w:val="15"/>
              <w:szCs w:val="15"/>
              <w:lang w:eastAsia="en-NZ"/>
            </w:rPr>
            <w:drawing>
              <wp:inline distT="0" distB="0" distL="0" distR="0" wp14:anchorId="26403F91" wp14:editId="09D3677C">
                <wp:extent cx="582612" cy="117475"/>
                <wp:effectExtent l="0" t="0" r="825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82612" cy="117475"/>
                        </a:xfrm>
                        <a:prstGeom prst="rect">
                          <a:avLst/>
                        </a:prstGeom>
                        <a:noFill/>
                        <a:extLst/>
                      </pic:spPr>
                    </pic:pic>
                  </a:graphicData>
                </a:graphic>
              </wp:inline>
            </w:drawing>
          </w:r>
        </w:p>
      </w:tc>
    </w:tr>
  </w:tbl>
  <w:p w:rsidR="0076350E" w:rsidRPr="004E35C0" w:rsidRDefault="0076350E">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F62" w:rsidRPr="00A26E6B" w:rsidRDefault="00396F62" w:rsidP="00A26E6B"/>
  </w:footnote>
  <w:footnote w:type="continuationSeparator" w:id="0">
    <w:p w:rsidR="00396F62" w:rsidRDefault="00396F62">
      <w:r>
        <w:continuationSeparator/>
      </w:r>
    </w:p>
    <w:p w:rsidR="00396F62" w:rsidRDefault="00396F62"/>
  </w:footnote>
  <w:footnote w:id="1">
    <w:p w:rsidR="0076350E" w:rsidRDefault="0076350E" w:rsidP="00736050">
      <w:pPr>
        <w:pStyle w:val="FootnoteText"/>
      </w:pPr>
      <w:r w:rsidRPr="00736050">
        <w:rPr>
          <w:rStyle w:val="FootnoteReference"/>
        </w:rPr>
        <w:footnoteRef/>
      </w:r>
      <w:r>
        <w:tab/>
        <w:t xml:space="preserve">KPMG report prepared for the Health Quality &amp; Safety Commission New Zealand, Ministry of Health and Accident Compensation Corporation, available on the Health Quality &amp; Safety Commission website: </w:t>
      </w:r>
      <w:hyperlink r:id="rId1" w:history="1">
        <w:r w:rsidRPr="002925F7">
          <w:rPr>
            <w:rStyle w:val="Hyperlink"/>
          </w:rPr>
          <w:t>www.hqsc.govt.nz/our-programmes/other-topics/publications-and-resources/publication/2362/</w:t>
        </w:r>
      </w:hyperlink>
    </w:p>
  </w:footnote>
  <w:footnote w:id="2">
    <w:p w:rsidR="0076350E" w:rsidRDefault="0076350E" w:rsidP="00736050">
      <w:pPr>
        <w:pStyle w:val="FootnoteText"/>
      </w:pPr>
      <w:r w:rsidRPr="00736050">
        <w:rPr>
          <w:rStyle w:val="FootnoteReference"/>
        </w:rPr>
        <w:footnoteRef/>
      </w:r>
      <w:r>
        <w:tab/>
        <w:t xml:space="preserve">NPUAP. 2016. National Pressure Ulcer Advisory Panel (NPUAP) announces a change in terminology from pressure ulcer to pressure injury and updates the stages of pressure injury. URL: </w:t>
      </w:r>
      <w:hyperlink r:id="rId2" w:history="1">
        <w:r w:rsidRPr="007B3673">
          <w:rPr>
            <w:rStyle w:val="Hyperlink"/>
          </w:rPr>
          <w:t>www.npuap.org/national-pressure-ulcer-advisory-panel-npuap-announces-a-change-in-terminology-from-pressure-ulcer-to-pressure-injury-and-updates-the-stages-of-pressure-injury/</w:t>
        </w:r>
      </w:hyperlink>
      <w:r>
        <w:t xml:space="preserve"> (accessed 11 July 2018).</w:t>
      </w:r>
    </w:p>
  </w:footnote>
  <w:footnote w:id="3">
    <w:p w:rsidR="0076350E" w:rsidRDefault="0076350E" w:rsidP="00736050">
      <w:pPr>
        <w:pStyle w:val="FootnoteText"/>
      </w:pPr>
      <w:r w:rsidRPr="00736050">
        <w:rPr>
          <w:rStyle w:val="FootnoteReference"/>
        </w:rPr>
        <w:footnoteRef/>
      </w:r>
      <w:r>
        <w:tab/>
        <w:t>S31 (5) of the Health and Disability Services (Safety) Act 2001 requires a person certified to provide health care services of any kind to give written notice of any incident that may be putting at risk the health of people receiving services.</w:t>
      </w:r>
    </w:p>
  </w:footnote>
  <w:footnote w:id="4">
    <w:p w:rsidR="0076350E" w:rsidRDefault="0076350E" w:rsidP="00736050">
      <w:pPr>
        <w:pStyle w:val="FootnoteText"/>
      </w:pPr>
      <w:r w:rsidRPr="00736050">
        <w:rPr>
          <w:rStyle w:val="FootnoteReference"/>
        </w:rPr>
        <w:footnoteRef/>
      </w:r>
      <w:r>
        <w:tab/>
        <w:t>A care package or ‘bundle’ that is organised around the five factors of SSKIN: Skin, Support Surfaces, Keep Moving, Incontinence, Nutrition.</w:t>
      </w:r>
    </w:p>
  </w:footnote>
  <w:footnote w:id="5">
    <w:p w:rsidR="0076350E" w:rsidRDefault="0076350E" w:rsidP="008B75D6">
      <w:pPr>
        <w:pStyle w:val="FootnoteText"/>
      </w:pPr>
      <w:r w:rsidRPr="008B75D6">
        <w:rPr>
          <w:rStyle w:val="FootnoteReference"/>
        </w:rPr>
        <w:footnoteRef/>
      </w:r>
      <w:r>
        <w:tab/>
        <w:t xml:space="preserve">The NPUAP/EPUAP pressure injury classification system provides a consistent and accurate means by which the severity of a pressure injury can be communicated and documented. (See NPUAP Pressure Injury Stages. URL: </w:t>
      </w:r>
      <w:hyperlink r:id="rId3" w:history="1">
        <w:r w:rsidRPr="0069441D">
          <w:rPr>
            <w:rStyle w:val="Hyperlink"/>
          </w:rPr>
          <w:t>www.npuap.org/resources/educational-and-clinical-resources/npuap-pressure-injury-stages/</w:t>
        </w:r>
      </w:hyperlink>
      <w:r>
        <w:t xml:space="preserve"> (accessed 12 July 2018).</w:t>
      </w:r>
    </w:p>
  </w:footnote>
  <w:footnote w:id="6">
    <w:p w:rsidR="0076350E" w:rsidRDefault="0076350E" w:rsidP="00164776">
      <w:pPr>
        <w:pStyle w:val="FootnoteText"/>
      </w:pPr>
      <w:r w:rsidRPr="00164776">
        <w:rPr>
          <w:rStyle w:val="FootnoteReference"/>
        </w:rPr>
        <w:footnoteRef/>
      </w:r>
      <w:r>
        <w:tab/>
        <w:t>A facility-acquired pressure injury is one that has occurred since admission to the aged residential care provider.</w:t>
      </w:r>
    </w:p>
  </w:footnote>
  <w:footnote w:id="7">
    <w:p w:rsidR="0076350E" w:rsidRDefault="0076350E" w:rsidP="00164776">
      <w:pPr>
        <w:pStyle w:val="FootnoteText"/>
      </w:pPr>
      <w:r w:rsidRPr="00164776">
        <w:rPr>
          <w:rStyle w:val="FootnoteReference"/>
        </w:rPr>
        <w:footnoteRef/>
      </w:r>
      <w:r>
        <w:tab/>
        <w:t>Thirteen injuries were not coded at audit as to where they were acquired.</w:t>
      </w:r>
    </w:p>
  </w:footnote>
  <w:footnote w:id="8">
    <w:p w:rsidR="0076350E" w:rsidRPr="005176A2" w:rsidRDefault="0076350E" w:rsidP="00567CC6">
      <w:pPr>
        <w:pStyle w:val="FootnoteText"/>
      </w:pPr>
      <w:r w:rsidRPr="00567CC6">
        <w:rPr>
          <w:rStyle w:val="FootnoteReference"/>
        </w:rPr>
        <w:footnoteRef/>
      </w:r>
      <w:r>
        <w:tab/>
        <w:t>‘Staff meetings’ includes ‘facility meetings’.</w:t>
      </w:r>
    </w:p>
  </w:footnote>
  <w:footnote w:id="9">
    <w:p w:rsidR="0076350E" w:rsidRPr="00887A2A" w:rsidRDefault="0076350E" w:rsidP="00567CC6">
      <w:pPr>
        <w:pStyle w:val="FootnoteText"/>
      </w:pPr>
      <w:r w:rsidRPr="00567CC6">
        <w:rPr>
          <w:rStyle w:val="FootnoteReference"/>
        </w:rPr>
        <w:footnoteRef/>
      </w:r>
      <w:r>
        <w:tab/>
        <w:t>‘Clinical meetings’ is inclusive of registered nurse (RN) and enrolled nurse (EN) meetings.</w:t>
      </w:r>
    </w:p>
  </w:footnote>
  <w:footnote w:id="10">
    <w:p w:rsidR="0076350E" w:rsidRPr="00AA6735" w:rsidRDefault="0076350E" w:rsidP="00567CC6">
      <w:pPr>
        <w:pStyle w:val="FootnoteText"/>
      </w:pPr>
      <w:r w:rsidRPr="00567CC6">
        <w:rPr>
          <w:rStyle w:val="FootnoteReference"/>
        </w:rPr>
        <w:footnoteRef/>
      </w:r>
      <w:r>
        <w:tab/>
        <w:t>Wound care courses may have covered pressure injury, but this could not be determined from the data.</w:t>
      </w:r>
    </w:p>
  </w:footnote>
  <w:footnote w:id="11">
    <w:p w:rsidR="0076350E" w:rsidRPr="00EB7AF0" w:rsidRDefault="0076350E" w:rsidP="00567CC6">
      <w:pPr>
        <w:pStyle w:val="FootnoteText"/>
      </w:pPr>
      <w:r w:rsidRPr="00567CC6">
        <w:rPr>
          <w:rStyle w:val="FootnoteReference"/>
        </w:rPr>
        <w:footnoteRef/>
      </w:r>
      <w:r>
        <w:tab/>
        <w:t>Informal meetings on topics related to a specific job.</w:t>
      </w:r>
    </w:p>
  </w:footnote>
  <w:footnote w:id="12">
    <w:p w:rsidR="0076350E" w:rsidRPr="000B17B8" w:rsidRDefault="0076350E" w:rsidP="004542D9">
      <w:pPr>
        <w:pStyle w:val="FootnoteText"/>
        <w:rPr>
          <w:rFonts w:cs="Arial"/>
        </w:rPr>
      </w:pPr>
      <w:r w:rsidRPr="004542D9">
        <w:rPr>
          <w:rStyle w:val="FootnoteReference"/>
        </w:rPr>
        <w:footnoteRef/>
      </w:r>
      <w:r>
        <w:tab/>
        <w:t xml:space="preserve">See: </w:t>
      </w:r>
      <w:hyperlink r:id="rId4" w:history="1">
        <w:r w:rsidRPr="002925F7">
          <w:rPr>
            <w:rStyle w:val="Hyperlink"/>
            <w:rFonts w:cs="Arial"/>
          </w:rPr>
          <w:t>https://improvement.nhs.uk/resources/Using-SSKIN-to-manage-and-prevent-pressure-damage/</w:t>
        </w:r>
      </w:hyperlink>
    </w:p>
  </w:footnote>
  <w:footnote w:id="13">
    <w:p w:rsidR="0076350E" w:rsidRDefault="0076350E" w:rsidP="004542D9">
      <w:pPr>
        <w:pStyle w:val="FootnoteText"/>
      </w:pPr>
      <w:r w:rsidRPr="004542D9">
        <w:rPr>
          <w:rStyle w:val="FootnoteReference"/>
        </w:rPr>
        <w:footnoteRef/>
      </w:r>
      <w:r>
        <w:tab/>
        <w:t xml:space="preserve">ACC. 2017. </w:t>
      </w:r>
      <w:r w:rsidRPr="00665145">
        <w:rPr>
          <w:i/>
        </w:rPr>
        <w:t>Guiding Principles for Pressure Injury Prevention and Management in New Zealand</w:t>
      </w:r>
      <w:r>
        <w:t xml:space="preserve">. Wellington: Clinical Services, Accident Compensation Corporation. URL: </w:t>
      </w:r>
      <w:r>
        <w:br/>
      </w:r>
      <w:hyperlink r:id="rId5" w:history="1">
        <w:r w:rsidRPr="002925F7">
          <w:rPr>
            <w:rStyle w:val="Hyperlink"/>
          </w:rPr>
          <w:t>www.acc.co.nz/assets/provider/acc7758-pressure-injury-prevention.pdf</w:t>
        </w:r>
      </w:hyperlink>
      <w:r>
        <w:t xml:space="preserve"> (accessed 12 July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AB8" w:rsidRDefault="00925A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98"/>
      <w:gridCol w:w="4741"/>
    </w:tblGrid>
    <w:tr w:rsidR="0076350E" w:rsidTr="00012F3D">
      <w:trPr>
        <w:cantSplit/>
      </w:trPr>
      <w:tc>
        <w:tcPr>
          <w:tcW w:w="4898" w:type="dxa"/>
        </w:tcPr>
        <w:p w:rsidR="0076350E" w:rsidRDefault="0076350E">
          <w:pPr>
            <w:pStyle w:val="Header"/>
          </w:pPr>
        </w:p>
      </w:tc>
      <w:tc>
        <w:tcPr>
          <w:tcW w:w="4741" w:type="dxa"/>
          <w:vAlign w:val="center"/>
        </w:tcPr>
        <w:p w:rsidR="0076350E" w:rsidRDefault="0076350E" w:rsidP="00BB10EB">
          <w:pPr>
            <w:pStyle w:val="Header"/>
            <w:jc w:val="right"/>
          </w:pPr>
        </w:p>
      </w:tc>
    </w:tr>
  </w:tbl>
  <w:p w:rsidR="0076350E" w:rsidRDefault="0076350E" w:rsidP="0087270C">
    <w:pPr>
      <w:pStyle w:val="Header"/>
      <w:jc w:val="right"/>
    </w:pPr>
    <w:r>
      <w:rPr>
        <w:noProof/>
        <w:lang w:eastAsia="en-NZ"/>
      </w:rPr>
      <w:drawing>
        <wp:inline distT="0" distB="0" distL="0" distR="0" wp14:anchorId="6180D95E" wp14:editId="271FC3B7">
          <wp:extent cx="1395076" cy="573578"/>
          <wp:effectExtent l="0" t="0" r="0" b="0"/>
          <wp:docPr id="8" name="Picture 8" descr="Ministry of Health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AB8" w:rsidRDefault="00925A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50E" w:rsidRDefault="0076350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50E" w:rsidRDefault="007635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23DC7796"/>
    <w:multiLevelType w:val="multilevel"/>
    <w:tmpl w:val="092076C8"/>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4"/>
  </w:num>
  <w:num w:numId="2">
    <w:abstractNumId w:val="2"/>
  </w:num>
  <w:num w:numId="3">
    <w:abstractNumId w:val="3"/>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025B8"/>
    <w:rsid w:val="0000547A"/>
    <w:rsid w:val="00012F3D"/>
    <w:rsid w:val="00025A6F"/>
    <w:rsid w:val="0002618D"/>
    <w:rsid w:val="00030B26"/>
    <w:rsid w:val="00032C0A"/>
    <w:rsid w:val="00035257"/>
    <w:rsid w:val="00054B44"/>
    <w:rsid w:val="0006228D"/>
    <w:rsid w:val="00072BD6"/>
    <w:rsid w:val="00075B78"/>
    <w:rsid w:val="00082CD6"/>
    <w:rsid w:val="0008437D"/>
    <w:rsid w:val="00085AFE"/>
    <w:rsid w:val="00094800"/>
    <w:rsid w:val="000B0730"/>
    <w:rsid w:val="000C0844"/>
    <w:rsid w:val="000D19F4"/>
    <w:rsid w:val="000D58DD"/>
    <w:rsid w:val="000F2AE2"/>
    <w:rsid w:val="000F2BFF"/>
    <w:rsid w:val="00102063"/>
    <w:rsid w:val="0010541C"/>
    <w:rsid w:val="00106F93"/>
    <w:rsid w:val="00111D50"/>
    <w:rsid w:val="00113B8E"/>
    <w:rsid w:val="0012053C"/>
    <w:rsid w:val="00122363"/>
    <w:rsid w:val="001342C7"/>
    <w:rsid w:val="0013585C"/>
    <w:rsid w:val="00142261"/>
    <w:rsid w:val="00142954"/>
    <w:rsid w:val="001460E0"/>
    <w:rsid w:val="001472F0"/>
    <w:rsid w:val="00147562"/>
    <w:rsid w:val="00147F71"/>
    <w:rsid w:val="00150A6E"/>
    <w:rsid w:val="0016468A"/>
    <w:rsid w:val="00164776"/>
    <w:rsid w:val="0018662D"/>
    <w:rsid w:val="00194E01"/>
    <w:rsid w:val="00195DF0"/>
    <w:rsid w:val="00197427"/>
    <w:rsid w:val="001A21B4"/>
    <w:rsid w:val="001A5CF5"/>
    <w:rsid w:val="001B39D2"/>
    <w:rsid w:val="001B4BF8"/>
    <w:rsid w:val="001C4326"/>
    <w:rsid w:val="001D3541"/>
    <w:rsid w:val="001D3E4E"/>
    <w:rsid w:val="001E0694"/>
    <w:rsid w:val="001E254A"/>
    <w:rsid w:val="001E7386"/>
    <w:rsid w:val="001F45A7"/>
    <w:rsid w:val="00201A01"/>
    <w:rsid w:val="0020754B"/>
    <w:rsid w:val="002104D3"/>
    <w:rsid w:val="00213A33"/>
    <w:rsid w:val="0021763B"/>
    <w:rsid w:val="00246DB1"/>
    <w:rsid w:val="002476B5"/>
    <w:rsid w:val="002520CC"/>
    <w:rsid w:val="00253ECF"/>
    <w:rsid w:val="002546A1"/>
    <w:rsid w:val="002628F4"/>
    <w:rsid w:val="00275D08"/>
    <w:rsid w:val="002858E3"/>
    <w:rsid w:val="0029190A"/>
    <w:rsid w:val="00292C5A"/>
    <w:rsid w:val="00293727"/>
    <w:rsid w:val="00295241"/>
    <w:rsid w:val="002A4DFC"/>
    <w:rsid w:val="002B047D"/>
    <w:rsid w:val="002B732B"/>
    <w:rsid w:val="002B76A7"/>
    <w:rsid w:val="002C2219"/>
    <w:rsid w:val="002C2552"/>
    <w:rsid w:val="002D0DF2"/>
    <w:rsid w:val="002D23BD"/>
    <w:rsid w:val="002D6F13"/>
    <w:rsid w:val="002E0B47"/>
    <w:rsid w:val="002F4685"/>
    <w:rsid w:val="002F7213"/>
    <w:rsid w:val="0030382F"/>
    <w:rsid w:val="0030408D"/>
    <w:rsid w:val="003060E4"/>
    <w:rsid w:val="003160E7"/>
    <w:rsid w:val="0031739E"/>
    <w:rsid w:val="003309CA"/>
    <w:rsid w:val="003325AB"/>
    <w:rsid w:val="003332D1"/>
    <w:rsid w:val="0033412B"/>
    <w:rsid w:val="003404D3"/>
    <w:rsid w:val="00341161"/>
    <w:rsid w:val="00343365"/>
    <w:rsid w:val="003445F4"/>
    <w:rsid w:val="00353501"/>
    <w:rsid w:val="00353734"/>
    <w:rsid w:val="003606F8"/>
    <w:rsid w:val="003648EF"/>
    <w:rsid w:val="003673E6"/>
    <w:rsid w:val="00377264"/>
    <w:rsid w:val="003779D2"/>
    <w:rsid w:val="00380834"/>
    <w:rsid w:val="00385E38"/>
    <w:rsid w:val="00396F62"/>
    <w:rsid w:val="003A26A5"/>
    <w:rsid w:val="003A3761"/>
    <w:rsid w:val="003A4943"/>
    <w:rsid w:val="003A512D"/>
    <w:rsid w:val="003A5FEA"/>
    <w:rsid w:val="003B1D10"/>
    <w:rsid w:val="003C76D4"/>
    <w:rsid w:val="003D137D"/>
    <w:rsid w:val="003D2CC5"/>
    <w:rsid w:val="003E04C1"/>
    <w:rsid w:val="003E0887"/>
    <w:rsid w:val="003E7C46"/>
    <w:rsid w:val="003F1FC2"/>
    <w:rsid w:val="003F2106"/>
    <w:rsid w:val="003F52A7"/>
    <w:rsid w:val="003F7013"/>
    <w:rsid w:val="0040240C"/>
    <w:rsid w:val="00413021"/>
    <w:rsid w:val="004301C6"/>
    <w:rsid w:val="00434638"/>
    <w:rsid w:val="0043478F"/>
    <w:rsid w:val="00434A25"/>
    <w:rsid w:val="0043602B"/>
    <w:rsid w:val="00440BE0"/>
    <w:rsid w:val="00442C1C"/>
    <w:rsid w:val="0044584B"/>
    <w:rsid w:val="00447CB7"/>
    <w:rsid w:val="004542D9"/>
    <w:rsid w:val="00455CC9"/>
    <w:rsid w:val="004606E7"/>
    <w:rsid w:val="00460826"/>
    <w:rsid w:val="00460EA7"/>
    <w:rsid w:val="0046195B"/>
    <w:rsid w:val="0046362D"/>
    <w:rsid w:val="0046596D"/>
    <w:rsid w:val="00487C04"/>
    <w:rsid w:val="004907E1"/>
    <w:rsid w:val="004A035B"/>
    <w:rsid w:val="004A2108"/>
    <w:rsid w:val="004A38D7"/>
    <w:rsid w:val="004A778C"/>
    <w:rsid w:val="004B48C7"/>
    <w:rsid w:val="004C2E6A"/>
    <w:rsid w:val="004C64B8"/>
    <w:rsid w:val="004D2A2D"/>
    <w:rsid w:val="004D55A1"/>
    <w:rsid w:val="004D6689"/>
    <w:rsid w:val="004E1D1D"/>
    <w:rsid w:val="004E35C0"/>
    <w:rsid w:val="004E7AC8"/>
    <w:rsid w:val="004F0C94"/>
    <w:rsid w:val="005019AE"/>
    <w:rsid w:val="00503749"/>
    <w:rsid w:val="00504CF4"/>
    <w:rsid w:val="0050635B"/>
    <w:rsid w:val="005151C2"/>
    <w:rsid w:val="0053199F"/>
    <w:rsid w:val="00533B90"/>
    <w:rsid w:val="005410F8"/>
    <w:rsid w:val="005448EC"/>
    <w:rsid w:val="00545963"/>
    <w:rsid w:val="00550256"/>
    <w:rsid w:val="00553165"/>
    <w:rsid w:val="00553958"/>
    <w:rsid w:val="00556BB7"/>
    <w:rsid w:val="0055763D"/>
    <w:rsid w:val="00561516"/>
    <w:rsid w:val="005621F2"/>
    <w:rsid w:val="00567B58"/>
    <w:rsid w:val="00567CC6"/>
    <w:rsid w:val="00571223"/>
    <w:rsid w:val="005763E0"/>
    <w:rsid w:val="00581136"/>
    <w:rsid w:val="00581EB8"/>
    <w:rsid w:val="005A0869"/>
    <w:rsid w:val="005A27CA"/>
    <w:rsid w:val="005A43BD"/>
    <w:rsid w:val="005E226E"/>
    <w:rsid w:val="005E2636"/>
    <w:rsid w:val="006015D7"/>
    <w:rsid w:val="00601B21"/>
    <w:rsid w:val="006041F0"/>
    <w:rsid w:val="00605C6D"/>
    <w:rsid w:val="006120CA"/>
    <w:rsid w:val="00613FAB"/>
    <w:rsid w:val="00623F41"/>
    <w:rsid w:val="00624174"/>
    <w:rsid w:val="006246AE"/>
    <w:rsid w:val="00626CF8"/>
    <w:rsid w:val="006314AF"/>
    <w:rsid w:val="00634ED8"/>
    <w:rsid w:val="00636D7D"/>
    <w:rsid w:val="00637408"/>
    <w:rsid w:val="00642868"/>
    <w:rsid w:val="00645358"/>
    <w:rsid w:val="00647AFE"/>
    <w:rsid w:val="006512BC"/>
    <w:rsid w:val="00653A5A"/>
    <w:rsid w:val="006575F4"/>
    <w:rsid w:val="006579E6"/>
    <w:rsid w:val="00660682"/>
    <w:rsid w:val="00663EDC"/>
    <w:rsid w:val="00671078"/>
    <w:rsid w:val="006758CA"/>
    <w:rsid w:val="00680A04"/>
    <w:rsid w:val="00684BE2"/>
    <w:rsid w:val="00686D80"/>
    <w:rsid w:val="00694895"/>
    <w:rsid w:val="00697E2E"/>
    <w:rsid w:val="006A25A2"/>
    <w:rsid w:val="006B0E73"/>
    <w:rsid w:val="006B1E3D"/>
    <w:rsid w:val="006B4A4D"/>
    <w:rsid w:val="006B5695"/>
    <w:rsid w:val="006B7B2E"/>
    <w:rsid w:val="006C247D"/>
    <w:rsid w:val="006C6CD7"/>
    <w:rsid w:val="006C78EB"/>
    <w:rsid w:val="006D1660"/>
    <w:rsid w:val="006D63E5"/>
    <w:rsid w:val="006E3911"/>
    <w:rsid w:val="006F1B67"/>
    <w:rsid w:val="006F4D9C"/>
    <w:rsid w:val="0070091D"/>
    <w:rsid w:val="00702854"/>
    <w:rsid w:val="0071741C"/>
    <w:rsid w:val="00736050"/>
    <w:rsid w:val="00742B90"/>
    <w:rsid w:val="0074434D"/>
    <w:rsid w:val="007605B8"/>
    <w:rsid w:val="0076350E"/>
    <w:rsid w:val="00765710"/>
    <w:rsid w:val="00771B1E"/>
    <w:rsid w:val="00773C95"/>
    <w:rsid w:val="0078171E"/>
    <w:rsid w:val="0078658E"/>
    <w:rsid w:val="007920E2"/>
    <w:rsid w:val="0079566E"/>
    <w:rsid w:val="00795B34"/>
    <w:rsid w:val="007A067F"/>
    <w:rsid w:val="007B1770"/>
    <w:rsid w:val="007B4D3E"/>
    <w:rsid w:val="007B7C70"/>
    <w:rsid w:val="007D2151"/>
    <w:rsid w:val="007D3B90"/>
    <w:rsid w:val="007D42CC"/>
    <w:rsid w:val="007D5DE4"/>
    <w:rsid w:val="007D7C3A"/>
    <w:rsid w:val="007E0777"/>
    <w:rsid w:val="007E1341"/>
    <w:rsid w:val="007E1B41"/>
    <w:rsid w:val="007E1EC4"/>
    <w:rsid w:val="007E30B9"/>
    <w:rsid w:val="007E74F1"/>
    <w:rsid w:val="007F0F0C"/>
    <w:rsid w:val="007F1288"/>
    <w:rsid w:val="00800A8A"/>
    <w:rsid w:val="0080155C"/>
    <w:rsid w:val="008052E1"/>
    <w:rsid w:val="00822F2C"/>
    <w:rsid w:val="00823DEE"/>
    <w:rsid w:val="008305E8"/>
    <w:rsid w:val="00836165"/>
    <w:rsid w:val="0084640C"/>
    <w:rsid w:val="00856088"/>
    <w:rsid w:val="00860826"/>
    <w:rsid w:val="00860E21"/>
    <w:rsid w:val="00863117"/>
    <w:rsid w:val="0086388B"/>
    <w:rsid w:val="008642E5"/>
    <w:rsid w:val="00870A36"/>
    <w:rsid w:val="0087270C"/>
    <w:rsid w:val="00872D93"/>
    <w:rsid w:val="00880470"/>
    <w:rsid w:val="00880D94"/>
    <w:rsid w:val="00886F64"/>
    <w:rsid w:val="008924DE"/>
    <w:rsid w:val="008A3755"/>
    <w:rsid w:val="008B19DC"/>
    <w:rsid w:val="008B264F"/>
    <w:rsid w:val="008B6F83"/>
    <w:rsid w:val="008B75D6"/>
    <w:rsid w:val="008B7FD8"/>
    <w:rsid w:val="008C2973"/>
    <w:rsid w:val="008C6324"/>
    <w:rsid w:val="008C64C4"/>
    <w:rsid w:val="008D74D5"/>
    <w:rsid w:val="008E3A07"/>
    <w:rsid w:val="008E537B"/>
    <w:rsid w:val="008F29BE"/>
    <w:rsid w:val="008F4AE5"/>
    <w:rsid w:val="008F51EB"/>
    <w:rsid w:val="00900197"/>
    <w:rsid w:val="00902F55"/>
    <w:rsid w:val="0090582B"/>
    <w:rsid w:val="009060C0"/>
    <w:rsid w:val="009133F5"/>
    <w:rsid w:val="0091756F"/>
    <w:rsid w:val="00920A27"/>
    <w:rsid w:val="00921216"/>
    <w:rsid w:val="009216CC"/>
    <w:rsid w:val="00925AB8"/>
    <w:rsid w:val="00926083"/>
    <w:rsid w:val="00930D08"/>
    <w:rsid w:val="00931466"/>
    <w:rsid w:val="00932D69"/>
    <w:rsid w:val="00935589"/>
    <w:rsid w:val="00944647"/>
    <w:rsid w:val="0095565C"/>
    <w:rsid w:val="00966F9A"/>
    <w:rsid w:val="00977B8A"/>
    <w:rsid w:val="009817E0"/>
    <w:rsid w:val="00982971"/>
    <w:rsid w:val="009845AD"/>
    <w:rsid w:val="00984835"/>
    <w:rsid w:val="009933EF"/>
    <w:rsid w:val="00995BA0"/>
    <w:rsid w:val="0099670D"/>
    <w:rsid w:val="009A418B"/>
    <w:rsid w:val="009A426F"/>
    <w:rsid w:val="009A42D5"/>
    <w:rsid w:val="009A4473"/>
    <w:rsid w:val="009B05C9"/>
    <w:rsid w:val="009B286C"/>
    <w:rsid w:val="009B6F0F"/>
    <w:rsid w:val="009C151C"/>
    <w:rsid w:val="009C440A"/>
    <w:rsid w:val="009D5125"/>
    <w:rsid w:val="009D60B8"/>
    <w:rsid w:val="009D7D4B"/>
    <w:rsid w:val="009E36ED"/>
    <w:rsid w:val="009E3C8C"/>
    <w:rsid w:val="009E6B77"/>
    <w:rsid w:val="009F460A"/>
    <w:rsid w:val="00A043FB"/>
    <w:rsid w:val="00A06BE4"/>
    <w:rsid w:val="00A0729C"/>
    <w:rsid w:val="00A07779"/>
    <w:rsid w:val="00A1166A"/>
    <w:rsid w:val="00A20B2E"/>
    <w:rsid w:val="00A24F33"/>
    <w:rsid w:val="00A25069"/>
    <w:rsid w:val="00A26E6B"/>
    <w:rsid w:val="00A27D29"/>
    <w:rsid w:val="00A3068F"/>
    <w:rsid w:val="00A30B77"/>
    <w:rsid w:val="00A3145B"/>
    <w:rsid w:val="00A339D0"/>
    <w:rsid w:val="00A41002"/>
    <w:rsid w:val="00A4201A"/>
    <w:rsid w:val="00A42937"/>
    <w:rsid w:val="00A5465D"/>
    <w:rsid w:val="00A553CE"/>
    <w:rsid w:val="00A5677A"/>
    <w:rsid w:val="00A56DCC"/>
    <w:rsid w:val="00A625E8"/>
    <w:rsid w:val="00A63DFF"/>
    <w:rsid w:val="00A6490D"/>
    <w:rsid w:val="00A7415D"/>
    <w:rsid w:val="00A80363"/>
    <w:rsid w:val="00A80939"/>
    <w:rsid w:val="00A83E9D"/>
    <w:rsid w:val="00A87C05"/>
    <w:rsid w:val="00A9169D"/>
    <w:rsid w:val="00AA240C"/>
    <w:rsid w:val="00AA71D8"/>
    <w:rsid w:val="00AC101C"/>
    <w:rsid w:val="00AD4CF1"/>
    <w:rsid w:val="00AD5988"/>
    <w:rsid w:val="00AF7800"/>
    <w:rsid w:val="00B072E0"/>
    <w:rsid w:val="00B1007E"/>
    <w:rsid w:val="00B253F6"/>
    <w:rsid w:val="00B26675"/>
    <w:rsid w:val="00B305DB"/>
    <w:rsid w:val="00B332F8"/>
    <w:rsid w:val="00B3492B"/>
    <w:rsid w:val="00B4646F"/>
    <w:rsid w:val="00B55C7D"/>
    <w:rsid w:val="00B63038"/>
    <w:rsid w:val="00B64BD8"/>
    <w:rsid w:val="00B66AC4"/>
    <w:rsid w:val="00B701D1"/>
    <w:rsid w:val="00B73AF2"/>
    <w:rsid w:val="00B7551A"/>
    <w:rsid w:val="00B773F1"/>
    <w:rsid w:val="00B86AB1"/>
    <w:rsid w:val="00BB10EB"/>
    <w:rsid w:val="00BB2A06"/>
    <w:rsid w:val="00BB2CBB"/>
    <w:rsid w:val="00BB4198"/>
    <w:rsid w:val="00BC03EE"/>
    <w:rsid w:val="00BC59F1"/>
    <w:rsid w:val="00BF3DE1"/>
    <w:rsid w:val="00BF4843"/>
    <w:rsid w:val="00BF5205"/>
    <w:rsid w:val="00C05132"/>
    <w:rsid w:val="00C119AF"/>
    <w:rsid w:val="00C12508"/>
    <w:rsid w:val="00C23728"/>
    <w:rsid w:val="00C2415F"/>
    <w:rsid w:val="00C313A9"/>
    <w:rsid w:val="00C441CF"/>
    <w:rsid w:val="00C45AA2"/>
    <w:rsid w:val="00C47475"/>
    <w:rsid w:val="00C4792C"/>
    <w:rsid w:val="00C55BEF"/>
    <w:rsid w:val="00C601AF"/>
    <w:rsid w:val="00C66296"/>
    <w:rsid w:val="00C72368"/>
    <w:rsid w:val="00C7394D"/>
    <w:rsid w:val="00C77282"/>
    <w:rsid w:val="00C84DE5"/>
    <w:rsid w:val="00C86248"/>
    <w:rsid w:val="00C90B31"/>
    <w:rsid w:val="00CA4C33"/>
    <w:rsid w:val="00CA6F4A"/>
    <w:rsid w:val="00CB19BD"/>
    <w:rsid w:val="00CB1E1A"/>
    <w:rsid w:val="00CC0FBE"/>
    <w:rsid w:val="00CD18A6"/>
    <w:rsid w:val="00CD2119"/>
    <w:rsid w:val="00CD237A"/>
    <w:rsid w:val="00CD36AC"/>
    <w:rsid w:val="00CE13A3"/>
    <w:rsid w:val="00CE36BC"/>
    <w:rsid w:val="00CF1747"/>
    <w:rsid w:val="00CF60ED"/>
    <w:rsid w:val="00D15B4F"/>
    <w:rsid w:val="00D16220"/>
    <w:rsid w:val="00D23323"/>
    <w:rsid w:val="00D2392A"/>
    <w:rsid w:val="00D25FFE"/>
    <w:rsid w:val="00D4476F"/>
    <w:rsid w:val="00D50573"/>
    <w:rsid w:val="00D54D50"/>
    <w:rsid w:val="00D560B4"/>
    <w:rsid w:val="00D66797"/>
    <w:rsid w:val="00D7087C"/>
    <w:rsid w:val="00D70C3C"/>
    <w:rsid w:val="00D71DF7"/>
    <w:rsid w:val="00D72BE5"/>
    <w:rsid w:val="00D80E6B"/>
    <w:rsid w:val="00D81462"/>
    <w:rsid w:val="00D82F26"/>
    <w:rsid w:val="00D863D0"/>
    <w:rsid w:val="00D86FB9"/>
    <w:rsid w:val="00D87C87"/>
    <w:rsid w:val="00D90BB4"/>
    <w:rsid w:val="00D90E07"/>
    <w:rsid w:val="00D932C2"/>
    <w:rsid w:val="00D95932"/>
    <w:rsid w:val="00DB39CF"/>
    <w:rsid w:val="00DB7256"/>
    <w:rsid w:val="00DC0401"/>
    <w:rsid w:val="00DC20BD"/>
    <w:rsid w:val="00DD0BCD"/>
    <w:rsid w:val="00DD447A"/>
    <w:rsid w:val="00DE3B20"/>
    <w:rsid w:val="00DE6C94"/>
    <w:rsid w:val="00DE6FD7"/>
    <w:rsid w:val="00E10F0B"/>
    <w:rsid w:val="00E230C6"/>
    <w:rsid w:val="00E23271"/>
    <w:rsid w:val="00E24F80"/>
    <w:rsid w:val="00E259F3"/>
    <w:rsid w:val="00E30985"/>
    <w:rsid w:val="00E33238"/>
    <w:rsid w:val="00E376B7"/>
    <w:rsid w:val="00E4486C"/>
    <w:rsid w:val="00E460B6"/>
    <w:rsid w:val="00E511D5"/>
    <w:rsid w:val="00E60249"/>
    <w:rsid w:val="00E65269"/>
    <w:rsid w:val="00E76D66"/>
    <w:rsid w:val="00EA796A"/>
    <w:rsid w:val="00EB1856"/>
    <w:rsid w:val="00EC50CE"/>
    <w:rsid w:val="00EC5B34"/>
    <w:rsid w:val="00ED021E"/>
    <w:rsid w:val="00ED323C"/>
    <w:rsid w:val="00EE2D5C"/>
    <w:rsid w:val="00EE4ADE"/>
    <w:rsid w:val="00EE5CB7"/>
    <w:rsid w:val="00F0220F"/>
    <w:rsid w:val="00F024FE"/>
    <w:rsid w:val="00F05AD4"/>
    <w:rsid w:val="00F10EB6"/>
    <w:rsid w:val="00F13F07"/>
    <w:rsid w:val="00F140B2"/>
    <w:rsid w:val="00F20E39"/>
    <w:rsid w:val="00F25970"/>
    <w:rsid w:val="00F311A9"/>
    <w:rsid w:val="00F5180D"/>
    <w:rsid w:val="00F63781"/>
    <w:rsid w:val="00F67496"/>
    <w:rsid w:val="00F801BA"/>
    <w:rsid w:val="00F815D4"/>
    <w:rsid w:val="00F9366A"/>
    <w:rsid w:val="00F946C9"/>
    <w:rsid w:val="00FA74EE"/>
    <w:rsid w:val="00FC3711"/>
    <w:rsid w:val="00FC46E7"/>
    <w:rsid w:val="00FC5D25"/>
    <w:rsid w:val="00FC7568"/>
    <w:rsid w:val="00FD0D7E"/>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CD5A091-E061-418C-BD01-85C0AA850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9"/>
    <w:qFormat/>
    <w:rsid w:val="00736050"/>
    <w:pPr>
      <w:pageBreakBefore/>
      <w:spacing w:after="360"/>
      <w:outlineLvl w:val="0"/>
    </w:pPr>
    <w:rPr>
      <w:rFonts w:ascii="Georgia" w:hAnsi="Georgia"/>
      <w:spacing w:val="-10"/>
      <w:sz w:val="72"/>
    </w:rPr>
  </w:style>
  <w:style w:type="paragraph" w:styleId="Heading2">
    <w:name w:val="heading 2"/>
    <w:basedOn w:val="Normal"/>
    <w:next w:val="Normal"/>
    <w:link w:val="Heading2Char"/>
    <w:uiPriority w:val="9"/>
    <w:qFormat/>
    <w:rsid w:val="005A0869"/>
    <w:pPr>
      <w:keepNext/>
      <w:spacing w:before="480" w:after="180"/>
      <w:outlineLvl w:val="1"/>
    </w:pPr>
    <w:rPr>
      <w:b/>
      <w:color w:val="1C1C1C"/>
      <w:spacing w:val="-5"/>
      <w:sz w:val="48"/>
    </w:rPr>
  </w:style>
  <w:style w:type="paragraph" w:styleId="Heading3">
    <w:name w:val="heading 3"/>
    <w:basedOn w:val="Normal"/>
    <w:next w:val="Normal"/>
    <w:link w:val="Heading3Char"/>
    <w:uiPriority w:val="9"/>
    <w:qFormat/>
    <w:rsid w:val="00CC0FBE"/>
    <w:pPr>
      <w:keepNext/>
      <w:spacing w:before="360" w:after="240"/>
      <w:outlineLvl w:val="2"/>
    </w:pPr>
    <w:rPr>
      <w:rFonts w:ascii="Calibri" w:hAnsi="Calibri"/>
      <w:color w:val="595959" w:themeColor="text1" w:themeTint="A6"/>
      <w:spacing w:val="-5"/>
      <w:sz w:val="36"/>
    </w:rPr>
  </w:style>
  <w:style w:type="paragraph" w:styleId="Heading4">
    <w:name w:val="heading 4"/>
    <w:basedOn w:val="Normal"/>
    <w:next w:val="Normal"/>
    <w:link w:val="Heading4Char"/>
    <w:uiPriority w:val="9"/>
    <w:qFormat/>
    <w:rsid w:val="003F7013"/>
    <w:pPr>
      <w:keepNext/>
      <w:spacing w:before="240" w:after="120"/>
      <w:outlineLvl w:val="3"/>
    </w:pPr>
    <w:rPr>
      <w:rFonts w:ascii="Calibri" w:hAnsi="Calibri"/>
      <w:sz w:val="28"/>
    </w:rPr>
  </w:style>
  <w:style w:type="paragraph" w:styleId="Heading5">
    <w:name w:val="heading 5"/>
    <w:basedOn w:val="Normal"/>
    <w:next w:val="Normal"/>
    <w:link w:val="Heading5Char"/>
    <w:uiPriority w:val="1"/>
    <w:qFormat/>
    <w:rsid w:val="0013585C"/>
    <w:pPr>
      <w:keepNext/>
      <w:spacing w:before="120" w:after="120"/>
      <w:outlineLvl w:val="4"/>
    </w:pPr>
    <w:rPr>
      <w:u w:val="single"/>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571223"/>
    <w:pPr>
      <w:keepNext/>
      <w:keepLines/>
      <w:spacing w:before="480" w:after="240"/>
      <w:outlineLvl w:val="7"/>
    </w:pPr>
    <w:rPr>
      <w:rFonts w:ascii="Calibri" w:eastAsia="MS Gothic" w:hAnsi="Calibri"/>
      <w:color w:val="595959" w:themeColor="text1" w:themeTint="A6"/>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uiPriority w:val="39"/>
    <w:rsid w:val="002B76A7"/>
    <w:pPr>
      <w:tabs>
        <w:tab w:val="right" w:pos="8080"/>
      </w:tabs>
      <w:spacing w:before="120"/>
      <w:ind w:left="1276" w:right="567" w:hanging="1276"/>
    </w:pPr>
  </w:style>
  <w:style w:type="paragraph" w:customStyle="1" w:styleId="Bullet">
    <w:name w:val="Bullet"/>
    <w:basedOn w:val="Normal"/>
    <w:qFormat/>
    <w:rsid w:val="00164776"/>
    <w:pPr>
      <w:numPr>
        <w:numId w:val="1"/>
      </w:numPr>
      <w:tabs>
        <w:tab w:val="clear" w:pos="284"/>
      </w:tabs>
      <w:spacing w:before="90"/>
    </w:pPr>
  </w:style>
  <w:style w:type="paragraph" w:styleId="Quote">
    <w:name w:val="Quote"/>
    <w:basedOn w:val="Normal"/>
    <w:next w:val="Normal"/>
    <w:link w:val="QuoteChar"/>
    <w:uiPriority w:val="29"/>
    <w:qFormat/>
    <w:pPr>
      <w:spacing w:before="120"/>
      <w:ind w:left="284" w:right="284"/>
    </w:p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paragraph" w:styleId="Header">
    <w:name w:val="header"/>
    <w:basedOn w:val="Normal"/>
    <w:link w:val="HeaderChar"/>
    <w:uiPriority w:val="99"/>
    <w:qFormat/>
    <w:rsid w:val="00D25FFE"/>
  </w:style>
  <w:style w:type="paragraph" w:styleId="Title">
    <w:name w:val="Title"/>
    <w:basedOn w:val="Normal"/>
    <w:next w:val="Normal"/>
    <w:link w:val="TitleChar"/>
    <w:uiPriority w:val="10"/>
    <w:qFormat/>
    <w:rsid w:val="00012F3D"/>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uiPriority w:val="99"/>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164776"/>
    <w:pPr>
      <w:numPr>
        <w:numId w:val="2"/>
      </w:numPr>
      <w:spacing w:before="60"/>
      <w:ind w:left="568" w:hanging="284"/>
    </w:pPr>
  </w:style>
  <w:style w:type="paragraph" w:customStyle="1" w:styleId="TableText">
    <w:name w:val="TableText"/>
    <w:basedOn w:val="Normal"/>
    <w:qFormat/>
    <w:rsid w:val="009C440A"/>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qFormat/>
    <w:rsid w:val="00E30985"/>
    <w:pPr>
      <w:spacing w:before="240" w:line="264" w:lineRule="auto"/>
    </w:pPr>
    <w:rPr>
      <w:b/>
      <w:color w:val="FFFFFF" w:themeColor="background1"/>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Normal"/>
    <w:qFormat/>
    <w:rsid w:val="00012F3D"/>
    <w:pPr>
      <w:spacing w:before="840"/>
      <w:ind w:right="3402"/>
    </w:pPr>
    <w:rPr>
      <w:rFonts w:ascii="Segoe UI Semibold" w:hAnsi="Segoe UI Semibold" w:cs="Segoe UI Semibold"/>
      <w:sz w:val="2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99"/>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uiPriority w:val="9"/>
    <w:rsid w:val="00736050"/>
    <w:rPr>
      <w:rFonts w:ascii="Georgia" w:hAnsi="Georgia"/>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9"/>
    <w:rsid w:val="005A0869"/>
    <w:rPr>
      <w:rFonts w:ascii="Segoe UI" w:hAnsi="Segoe UI"/>
      <w:b/>
      <w:color w:val="1C1C1C"/>
      <w:spacing w:val="-5"/>
      <w:sz w:val="48"/>
      <w:lang w:eastAsia="en-GB"/>
    </w:rPr>
  </w:style>
  <w:style w:type="character" w:customStyle="1" w:styleId="Heading3Char">
    <w:name w:val="Heading 3 Char"/>
    <w:link w:val="Heading3"/>
    <w:uiPriority w:val="9"/>
    <w:rsid w:val="00CC0FBE"/>
    <w:rPr>
      <w:rFonts w:ascii="Calibri" w:hAnsi="Calibri"/>
      <w:color w:val="595959" w:themeColor="text1" w:themeTint="A6"/>
      <w:spacing w:val="-5"/>
      <w:sz w:val="36"/>
      <w:lang w:eastAsia="en-GB"/>
    </w:rPr>
  </w:style>
  <w:style w:type="paragraph" w:customStyle="1" w:styleId="Year">
    <w:name w:val="Year"/>
    <w:basedOn w:val="Subhead"/>
    <w:next w:val="Subhead"/>
    <w:qFormat/>
    <w:rsid w:val="008E3A07"/>
    <w:pPr>
      <w:pBdr>
        <w:bottom w:val="single" w:sz="48" w:space="6" w:color="auto"/>
      </w:pBdr>
    </w:pPr>
    <w:rPr>
      <w:sz w:val="56"/>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571223"/>
    <w:rPr>
      <w:rFonts w:ascii="Calibri" w:eastAsia="MS Gothic" w:hAnsi="Calibri"/>
      <w:color w:val="595959" w:themeColor="text1" w:themeTint="A6"/>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9"/>
    <w:rsid w:val="003F7013"/>
    <w:rPr>
      <w:rFonts w:ascii="Calibri" w:hAnsi="Calibri"/>
      <w:sz w:val="28"/>
      <w:lang w:eastAsia="en-GB"/>
    </w:rPr>
  </w:style>
  <w:style w:type="character" w:customStyle="1" w:styleId="Heading5Char">
    <w:name w:val="Heading 5 Char"/>
    <w:link w:val="Heading5"/>
    <w:rsid w:val="00122363"/>
    <w:rPr>
      <w:rFonts w:ascii="Georgia" w:hAnsi="Georgia"/>
      <w:sz w:val="22"/>
      <w:u w:val="single"/>
      <w:lang w:eastAsia="en-GB"/>
    </w:rPr>
  </w:style>
  <w:style w:type="character" w:customStyle="1" w:styleId="QuoteChar">
    <w:name w:val="Quote Char"/>
    <w:link w:val="Quote"/>
    <w:uiPriority w:val="29"/>
    <w:rsid w:val="00122363"/>
    <w:rPr>
      <w:rFonts w:ascii="Georgia" w:hAnsi="Georgia"/>
      <w:sz w:val="22"/>
      <w:lang w:eastAsia="en-GB"/>
    </w:rPr>
  </w:style>
  <w:style w:type="character" w:customStyle="1" w:styleId="TitleChar">
    <w:name w:val="Title Char"/>
    <w:link w:val="Title"/>
    <w:uiPriority w:val="10"/>
    <w:rsid w:val="00012F3D"/>
    <w:rPr>
      <w:rFonts w:ascii="Segoe UI Black" w:hAnsi="Segoe UI Black" w:cs="Lucida Sans Unicode"/>
      <w:b/>
      <w:sz w:val="72"/>
      <w:szCs w:val="72"/>
      <w:lang w:eastAsia="en-GB"/>
    </w:rPr>
  </w:style>
  <w:style w:type="paragraph" w:customStyle="1" w:styleId="Number">
    <w:name w:val="Number"/>
    <w:basedOn w:val="Normal"/>
    <w:rsid w:val="00F140B2"/>
    <w:pPr>
      <w:numPr>
        <w:numId w:val="5"/>
      </w:numPr>
      <w:spacing w:before="180"/>
    </w:pPr>
    <w:rPr>
      <w:szCs w:val="24"/>
    </w:rPr>
  </w:style>
  <w:style w:type="paragraph" w:customStyle="1" w:styleId="Letter">
    <w:name w:val="Letter"/>
    <w:basedOn w:val="Normal"/>
    <w:qFormat/>
    <w:rsid w:val="00F140B2"/>
    <w:pPr>
      <w:numPr>
        <w:ilvl w:val="1"/>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E30985"/>
    <w:pPr>
      <w:keepNext/>
      <w:spacing w:after="120"/>
    </w:pPr>
    <w:rPr>
      <w:rFonts w:eastAsia="Arial Unicode MS"/>
    </w:rPr>
  </w:style>
  <w:style w:type="paragraph" w:customStyle="1" w:styleId="Shadedboxtext">
    <w:name w:val="Shaded box text"/>
    <w:basedOn w:val="Normal"/>
    <w:qFormat/>
    <w:rsid w:val="00E30985"/>
    <w:pPr>
      <w:spacing w:line="228" w:lineRule="auto"/>
      <w:ind w:right="142"/>
    </w:pPr>
    <w:rPr>
      <w:rFonts w:eastAsia="Arial Unicode MS"/>
    </w:rPr>
  </w:style>
  <w:style w:type="paragraph" w:styleId="BalloonText">
    <w:name w:val="Balloon Text"/>
    <w:basedOn w:val="Normal"/>
    <w:link w:val="BalloonTextChar"/>
    <w:uiPriority w:val="99"/>
    <w:semiHidden/>
    <w:unhideWhenUsed/>
    <w:rsid w:val="0076350E"/>
    <w:rPr>
      <w:rFonts w:cs="Segoe UI"/>
      <w:sz w:val="18"/>
      <w:szCs w:val="18"/>
    </w:rPr>
  </w:style>
  <w:style w:type="character" w:customStyle="1" w:styleId="BalloonTextChar">
    <w:name w:val="Balloon Text Char"/>
    <w:basedOn w:val="DefaultParagraphFont"/>
    <w:link w:val="BalloonText"/>
    <w:uiPriority w:val="99"/>
    <w:semiHidden/>
    <w:rsid w:val="0076350E"/>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image" Target="media/image7.png"/><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6.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png"/><Relationship Id="rId32" Type="http://schemas.openxmlformats.org/officeDocument/2006/relationships/hyperlink" Target="http://www.hqsc.govt.nz/our-programmes/pressure-injury-preventio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footer" Target="footer9.xml"/><Relationship Id="rId28" Type="http://schemas.openxmlformats.org/officeDocument/2006/relationships/image" Target="media/image10.png"/><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yperlink" Target="http://www.nzwcs.org.nz/resources/stop-pi-da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oter" Target="footer8.xml"/><Relationship Id="rId27" Type="http://schemas.openxmlformats.org/officeDocument/2006/relationships/image" Target="media/image9.png"/><Relationship Id="rId30" Type="http://schemas.openxmlformats.org/officeDocument/2006/relationships/hyperlink" Target="https://www.acc.co.nz/assets/provider/acc7758-pressure-injury-prevention.pdf" TargetMode="External"/><Relationship Id="rId35" Type="http://schemas.openxmlformats.org/officeDocument/2006/relationships/footer" Target="footer11.xml"/></Relationships>
</file>

<file path=word/_rels/footer6.xml.rels><?xml version="1.0" encoding="UTF-8" standalone="yes"?>
<Relationships xmlns="http://schemas.openxmlformats.org/package/2006/relationships"><Relationship Id="rId1" Type="http://schemas.openxmlformats.org/officeDocument/2006/relationships/image" Target="media/image5.png"/></Relationships>
</file>

<file path=word/_rels/footer9.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www.npuap.org/resources/educational-and-clinical-resources/npuap-pressure-injury-stages/" TargetMode="External"/><Relationship Id="rId2" Type="http://schemas.openxmlformats.org/officeDocument/2006/relationships/hyperlink" Target="http://www.npuap.org/national-pressure-ulcer-advisory-panel-npuap-announces-a-change-in-terminology-from-pressure-ulcer-to-pressure-injury-and-updates-the-stages-of-pressure-injury/" TargetMode="External"/><Relationship Id="rId1" Type="http://schemas.openxmlformats.org/officeDocument/2006/relationships/hyperlink" Target="http://www.hqsc.govt.nz/our-programmes/other-topics/publications-and-resources/publication/2362/" TargetMode="External"/><Relationship Id="rId5" Type="http://schemas.openxmlformats.org/officeDocument/2006/relationships/hyperlink" Target="http://www.acc.co.nz/assets/provider/acc7758-pressure-injury-prevention.pdf" TargetMode="External"/><Relationship Id="rId4" Type="http://schemas.openxmlformats.org/officeDocument/2006/relationships/hyperlink" Target="https://improvement.nhs.uk/resources/Using-SSKIN-to-manage-and-prevent-pressure-damag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E4F5D-F6D9-4B84-95C6-5C637A7B3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4</TotalTime>
  <Pages>19</Pages>
  <Words>3512</Words>
  <Characters>20694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Pressure Injuries in Aged Residential Care: 1 January 2016 to 31 March 2017</vt:lpstr>
    </vt:vector>
  </TitlesOfParts>
  <Company>Microsoft</Company>
  <LinksUpToDate>false</LinksUpToDate>
  <CharactersWithSpaces>24158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Pressure Injuries in Aged Residential Care: 1 January 2016 to 31 March 2017</dc:title>
  <dc:creator>Ministry of Health</dc:creator>
  <cp:lastModifiedBy>Berni Marwick</cp:lastModifiedBy>
  <cp:revision>4</cp:revision>
  <cp:lastPrinted>2018-09-20T22:33:00Z</cp:lastPrinted>
  <dcterms:created xsi:type="dcterms:W3CDTF">2018-11-01T03:17:00Z</dcterms:created>
  <dcterms:modified xsi:type="dcterms:W3CDTF">2018-11-01T03:19:00Z</dcterms:modified>
</cp:coreProperties>
</file>