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D2A57" w14:textId="77777777" w:rsidR="00455CC9" w:rsidRDefault="00DC205D" w:rsidP="00CC419D">
      <w:pPr>
        <w:pStyle w:val="Title"/>
      </w:pPr>
      <w:r>
        <w:t>Technical Guidelines for Tuberculin Skin Test</w:t>
      </w:r>
    </w:p>
    <w:p w14:paraId="320E4225" w14:textId="77777777" w:rsidR="00C86248" w:rsidRDefault="00C86248" w:rsidP="00343365">
      <w:pPr>
        <w:pStyle w:val="Subhead"/>
      </w:pPr>
    </w:p>
    <w:p w14:paraId="680C468D" w14:textId="77777777"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14:paraId="39FB8982" w14:textId="77777777" w:rsidR="00E37B93" w:rsidRDefault="00E37B93" w:rsidP="00E93392">
      <w:pPr>
        <w:pStyle w:val="BoxHeading"/>
      </w:pPr>
      <w:r>
        <w:lastRenderedPageBreak/>
        <w:t>Acknowledgements</w:t>
      </w:r>
    </w:p>
    <w:p w14:paraId="01D7047E" w14:textId="77777777" w:rsidR="00E37B93" w:rsidRDefault="00E37B93" w:rsidP="00E93392">
      <w:pPr>
        <w:pStyle w:val="Box"/>
      </w:pPr>
      <w:r w:rsidRPr="00173DD5">
        <w:t>The Ministry of Health would like to acknowledge all those who have contributed to the development of these guidelines.</w:t>
      </w:r>
    </w:p>
    <w:p w14:paraId="30D3F518" w14:textId="77777777" w:rsidR="00A80363" w:rsidRPr="00442C1C" w:rsidRDefault="00A80363" w:rsidP="00E93392">
      <w:pPr>
        <w:pStyle w:val="Imprint"/>
        <w:spacing w:before="5640"/>
      </w:pPr>
      <w:r>
        <w:t xml:space="preserve">Citation: </w:t>
      </w:r>
      <w:r w:rsidR="00442C1C">
        <w:t xml:space="preserve">Ministry of Health. </w:t>
      </w:r>
      <w:r w:rsidR="00DC205D">
        <w:t>2018</w:t>
      </w:r>
      <w:r w:rsidR="00442C1C">
        <w:t xml:space="preserve">. </w:t>
      </w:r>
      <w:r w:rsidR="008E3A07">
        <w:rPr>
          <w:i/>
        </w:rPr>
        <w:t>T</w:t>
      </w:r>
      <w:r w:rsidR="00DC205D">
        <w:rPr>
          <w:i/>
        </w:rPr>
        <w:t>echnical Guidelines for Tuberculin Skin Test</w:t>
      </w:r>
      <w:r w:rsidR="00442C1C">
        <w:t>. Wellington: Ministry of Health.</w:t>
      </w:r>
    </w:p>
    <w:p w14:paraId="4E6E70B6" w14:textId="77777777" w:rsidR="00C86248" w:rsidRDefault="00C86248">
      <w:pPr>
        <w:pStyle w:val="Imprint"/>
      </w:pPr>
      <w:r>
        <w:t xml:space="preserve">Published in </w:t>
      </w:r>
      <w:r w:rsidR="0067709D">
        <w:t>August</w:t>
      </w:r>
      <w:r w:rsidR="00DC205D">
        <w:t xml:space="preserve"> 2018</w:t>
      </w:r>
      <w:r w:rsidR="005019AE">
        <w:br/>
      </w:r>
      <w:r>
        <w:t>by the</w:t>
      </w:r>
      <w:r w:rsidR="00442C1C">
        <w:t xml:space="preserve"> </w:t>
      </w:r>
      <w:r>
        <w:t>Ministry of Health</w:t>
      </w:r>
      <w:r>
        <w:br/>
        <w:t>PO Box 5013, Wellington</w:t>
      </w:r>
      <w:r w:rsidR="00A80363">
        <w:t xml:space="preserve"> 614</w:t>
      </w:r>
      <w:r w:rsidR="006041F0">
        <w:t>0</w:t>
      </w:r>
      <w:r>
        <w:t>, New Zealand</w:t>
      </w:r>
    </w:p>
    <w:p w14:paraId="7DE6E289" w14:textId="77777777" w:rsidR="00082CD6" w:rsidRPr="009C0F2D" w:rsidRDefault="00D863D0" w:rsidP="00082CD6">
      <w:pPr>
        <w:pStyle w:val="Imprint"/>
      </w:pPr>
      <w:r>
        <w:t>ISBN</w:t>
      </w:r>
      <w:r w:rsidR="00442C1C">
        <w:t xml:space="preserve"> </w:t>
      </w:r>
      <w:r w:rsidR="00E37B93" w:rsidRPr="00E37B93">
        <w:rPr>
          <w:lang w:val="en-US"/>
        </w:rPr>
        <w:t>978-1-98-853986-7</w:t>
      </w:r>
      <w:r w:rsidR="00442C1C">
        <w:t xml:space="preserve"> </w:t>
      </w:r>
      <w:r>
        <w:t>(</w:t>
      </w:r>
      <w:r w:rsidR="00442C1C">
        <w:t>online</w:t>
      </w:r>
      <w:r>
        <w:t>)</w:t>
      </w:r>
      <w:r w:rsidR="00082CD6">
        <w:br/>
      </w:r>
      <w:r w:rsidR="00082CD6" w:rsidRPr="009C0F2D">
        <w:t xml:space="preserve">HP </w:t>
      </w:r>
      <w:r w:rsidR="00E37B93">
        <w:t>6918</w:t>
      </w:r>
    </w:p>
    <w:p w14:paraId="1D8D9B9B" w14:textId="77777777" w:rsidR="00C86248" w:rsidRPr="00E61894" w:rsidRDefault="008E3A07">
      <w:pPr>
        <w:pStyle w:val="Imprint"/>
        <w:rPr>
          <w:rStyle w:val="Hyperlink"/>
          <w:rFonts w:eastAsia="MS Gothic"/>
        </w:rPr>
      </w:pPr>
      <w:r>
        <w:t>This document is available at health.govt.nz</w:t>
      </w:r>
    </w:p>
    <w:p w14:paraId="5C974A45" w14:textId="77777777" w:rsidR="00C86248" w:rsidRDefault="008C64C4">
      <w:pPr>
        <w:jc w:val="center"/>
      </w:pPr>
      <w:r>
        <w:rPr>
          <w:noProof/>
          <w:lang w:eastAsia="en-NZ"/>
        </w:rPr>
        <w:drawing>
          <wp:inline distT="0" distB="0" distL="0" distR="0" wp14:anchorId="083E12D6" wp14:editId="50653FC8">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14:paraId="3309256A" w14:textId="77777777" w:rsidR="007E74F1" w:rsidRPr="001F45A7" w:rsidRDefault="007E74F1" w:rsidP="001F45A7">
      <w:pPr>
        <w:spacing w:before="240"/>
        <w:ind w:right="-851"/>
        <w:rPr>
          <w:sz w:val="18"/>
          <w:szCs w:val="18"/>
        </w:rPr>
      </w:pPr>
      <w:r w:rsidRPr="001F45A7">
        <w:rPr>
          <w:b/>
          <w:noProof/>
          <w:sz w:val="18"/>
          <w:szCs w:val="18"/>
          <w:lang w:eastAsia="en-NZ"/>
        </w:rPr>
        <w:drawing>
          <wp:inline distT="0" distB="0" distL="0" distR="0" wp14:anchorId="574CC3A8" wp14:editId="36FAE25E">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w:t>
      </w:r>
      <w:proofErr w:type="spellStart"/>
      <w:r w:rsidRPr="001F45A7">
        <w:rPr>
          <w:sz w:val="18"/>
          <w:szCs w:val="18"/>
        </w:rPr>
        <w:t>ie</w:t>
      </w:r>
      <w:proofErr w:type="spellEnd"/>
      <w:r w:rsidRPr="001F45A7">
        <w:rPr>
          <w:sz w:val="18"/>
          <w:szCs w:val="18"/>
        </w:rPr>
        <w:t xml:space="preserve">, copy and redistribute the material in any medium or format; adapt </w:t>
      </w:r>
      <w:proofErr w:type="spellStart"/>
      <w:r w:rsidRPr="001F45A7">
        <w:rPr>
          <w:sz w:val="18"/>
          <w:szCs w:val="18"/>
        </w:rPr>
        <w:t>ie</w:t>
      </w:r>
      <w:proofErr w:type="spellEnd"/>
      <w:r w:rsidRPr="001F45A7">
        <w:rPr>
          <w:sz w:val="18"/>
          <w:szCs w:val="18"/>
        </w:rPr>
        <w:t xml:space="preserve">, remix, transform and build upon the material. </w:t>
      </w:r>
      <w:r w:rsidRPr="001F45A7">
        <w:rPr>
          <w:bCs/>
          <w:sz w:val="18"/>
          <w:szCs w:val="18"/>
        </w:rPr>
        <w:t>You must give appropriate credit, provide a link to the licence and indicate if changes were made.</w:t>
      </w:r>
    </w:p>
    <w:p w14:paraId="00ED2004" w14:textId="77777777"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14:paraId="23F1D807" w14:textId="77777777" w:rsidR="00E93392" w:rsidRDefault="00E93392" w:rsidP="00E93392">
      <w:pPr>
        <w:pStyle w:val="IntroHead"/>
      </w:pPr>
      <w:bookmarkStart w:id="0" w:name="_Toc405792991"/>
      <w:bookmarkStart w:id="1" w:name="_Toc405793224"/>
      <w:r>
        <w:lastRenderedPageBreak/>
        <w:t>Contents</w:t>
      </w:r>
    </w:p>
    <w:p w14:paraId="14C1412C" w14:textId="5359EB04" w:rsidR="00766F4B" w:rsidRDefault="00766F4B">
      <w:pPr>
        <w:pStyle w:val="TOC1"/>
        <w:rPr>
          <w:rFonts w:asciiTheme="minorHAnsi" w:eastAsiaTheme="minorEastAsia" w:hAnsiTheme="minorHAnsi" w:cstheme="minorBidi"/>
          <w:b w:val="0"/>
          <w:noProof/>
          <w:szCs w:val="22"/>
          <w:lang w:eastAsia="en-NZ"/>
        </w:rPr>
      </w:pPr>
      <w:r>
        <w:fldChar w:fldCharType="begin"/>
      </w:r>
      <w:r>
        <w:instrText xml:space="preserve"> TOC \o "1-2" \h \z </w:instrText>
      </w:r>
      <w:r>
        <w:fldChar w:fldCharType="separate"/>
      </w:r>
      <w:hyperlink w:anchor="_Toc16154514" w:history="1">
        <w:r w:rsidRPr="00A353CB">
          <w:rPr>
            <w:rStyle w:val="Hyperlink"/>
            <w:noProof/>
          </w:rPr>
          <w:t>Recommended reading</w:t>
        </w:r>
        <w:r>
          <w:rPr>
            <w:noProof/>
            <w:webHidden/>
          </w:rPr>
          <w:tab/>
        </w:r>
        <w:r>
          <w:rPr>
            <w:noProof/>
            <w:webHidden/>
          </w:rPr>
          <w:fldChar w:fldCharType="begin"/>
        </w:r>
        <w:r>
          <w:rPr>
            <w:noProof/>
            <w:webHidden/>
          </w:rPr>
          <w:instrText xml:space="preserve"> PAGEREF _Toc16154514 \h </w:instrText>
        </w:r>
        <w:r>
          <w:rPr>
            <w:noProof/>
            <w:webHidden/>
          </w:rPr>
        </w:r>
        <w:r>
          <w:rPr>
            <w:noProof/>
            <w:webHidden/>
          </w:rPr>
          <w:fldChar w:fldCharType="separate"/>
        </w:r>
        <w:r>
          <w:rPr>
            <w:noProof/>
            <w:webHidden/>
          </w:rPr>
          <w:t>iv</w:t>
        </w:r>
        <w:r>
          <w:rPr>
            <w:noProof/>
            <w:webHidden/>
          </w:rPr>
          <w:fldChar w:fldCharType="end"/>
        </w:r>
      </w:hyperlink>
    </w:p>
    <w:p w14:paraId="54EE036F" w14:textId="509CA153" w:rsidR="00766F4B" w:rsidRDefault="00766F4B">
      <w:pPr>
        <w:pStyle w:val="TOC1"/>
        <w:rPr>
          <w:rFonts w:asciiTheme="minorHAnsi" w:eastAsiaTheme="minorEastAsia" w:hAnsiTheme="minorHAnsi" w:cstheme="minorBidi"/>
          <w:b w:val="0"/>
          <w:noProof/>
          <w:szCs w:val="22"/>
          <w:lang w:eastAsia="en-NZ"/>
        </w:rPr>
      </w:pPr>
      <w:hyperlink w:anchor="_Toc16154515" w:history="1">
        <w:r w:rsidRPr="00A353CB">
          <w:rPr>
            <w:rStyle w:val="Hyperlink"/>
            <w:noProof/>
          </w:rPr>
          <w:t>Introduction</w:t>
        </w:r>
        <w:r>
          <w:rPr>
            <w:noProof/>
            <w:webHidden/>
          </w:rPr>
          <w:tab/>
        </w:r>
        <w:r>
          <w:rPr>
            <w:noProof/>
            <w:webHidden/>
          </w:rPr>
          <w:fldChar w:fldCharType="begin"/>
        </w:r>
        <w:r>
          <w:rPr>
            <w:noProof/>
            <w:webHidden/>
          </w:rPr>
          <w:instrText xml:space="preserve"> PAGEREF _Toc16154515 \h </w:instrText>
        </w:r>
        <w:r>
          <w:rPr>
            <w:noProof/>
            <w:webHidden/>
          </w:rPr>
        </w:r>
        <w:r>
          <w:rPr>
            <w:noProof/>
            <w:webHidden/>
          </w:rPr>
          <w:fldChar w:fldCharType="separate"/>
        </w:r>
        <w:r>
          <w:rPr>
            <w:noProof/>
            <w:webHidden/>
          </w:rPr>
          <w:t>1</w:t>
        </w:r>
        <w:r>
          <w:rPr>
            <w:noProof/>
            <w:webHidden/>
          </w:rPr>
          <w:fldChar w:fldCharType="end"/>
        </w:r>
      </w:hyperlink>
    </w:p>
    <w:p w14:paraId="4A0699FB" w14:textId="757AF6CE" w:rsidR="00766F4B" w:rsidRDefault="00766F4B">
      <w:pPr>
        <w:pStyle w:val="TOC2"/>
        <w:rPr>
          <w:rFonts w:asciiTheme="minorHAnsi" w:eastAsiaTheme="minorEastAsia" w:hAnsiTheme="minorHAnsi" w:cstheme="minorBidi"/>
          <w:noProof/>
          <w:szCs w:val="22"/>
          <w:lang w:eastAsia="en-NZ"/>
        </w:rPr>
      </w:pPr>
      <w:hyperlink w:anchor="_Toc16154516" w:history="1">
        <w:r w:rsidRPr="00A353CB">
          <w:rPr>
            <w:rStyle w:val="Hyperlink"/>
            <w:noProof/>
          </w:rPr>
          <w:t>Tuberculosis control in New Zealand</w:t>
        </w:r>
        <w:r>
          <w:rPr>
            <w:noProof/>
            <w:webHidden/>
          </w:rPr>
          <w:tab/>
        </w:r>
        <w:r>
          <w:rPr>
            <w:noProof/>
            <w:webHidden/>
          </w:rPr>
          <w:fldChar w:fldCharType="begin"/>
        </w:r>
        <w:r>
          <w:rPr>
            <w:noProof/>
            <w:webHidden/>
          </w:rPr>
          <w:instrText xml:space="preserve"> PAGEREF _Toc16154516 \h </w:instrText>
        </w:r>
        <w:r>
          <w:rPr>
            <w:noProof/>
            <w:webHidden/>
          </w:rPr>
        </w:r>
        <w:r>
          <w:rPr>
            <w:noProof/>
            <w:webHidden/>
          </w:rPr>
          <w:fldChar w:fldCharType="separate"/>
        </w:r>
        <w:r>
          <w:rPr>
            <w:noProof/>
            <w:webHidden/>
          </w:rPr>
          <w:t>1</w:t>
        </w:r>
        <w:r>
          <w:rPr>
            <w:noProof/>
            <w:webHidden/>
          </w:rPr>
          <w:fldChar w:fldCharType="end"/>
        </w:r>
      </w:hyperlink>
    </w:p>
    <w:p w14:paraId="7A4E1828" w14:textId="6C47FC01" w:rsidR="00766F4B" w:rsidRDefault="00766F4B">
      <w:pPr>
        <w:pStyle w:val="TOC2"/>
        <w:rPr>
          <w:rFonts w:asciiTheme="minorHAnsi" w:eastAsiaTheme="minorEastAsia" w:hAnsiTheme="minorHAnsi" w:cstheme="minorBidi"/>
          <w:noProof/>
          <w:szCs w:val="22"/>
          <w:lang w:eastAsia="en-NZ"/>
        </w:rPr>
      </w:pPr>
      <w:hyperlink w:anchor="_Toc16154517" w:history="1">
        <w:r w:rsidRPr="00A353CB">
          <w:rPr>
            <w:rStyle w:val="Hyperlink"/>
            <w:noProof/>
          </w:rPr>
          <w:t>Tuberculin skin test (Mantoux) and interferon gamma release assays</w:t>
        </w:r>
        <w:r>
          <w:rPr>
            <w:noProof/>
            <w:webHidden/>
          </w:rPr>
          <w:tab/>
        </w:r>
        <w:r>
          <w:rPr>
            <w:noProof/>
            <w:webHidden/>
          </w:rPr>
          <w:fldChar w:fldCharType="begin"/>
        </w:r>
        <w:r>
          <w:rPr>
            <w:noProof/>
            <w:webHidden/>
          </w:rPr>
          <w:instrText xml:space="preserve"> PAGEREF _Toc16154517 \h </w:instrText>
        </w:r>
        <w:r>
          <w:rPr>
            <w:noProof/>
            <w:webHidden/>
          </w:rPr>
        </w:r>
        <w:r>
          <w:rPr>
            <w:noProof/>
            <w:webHidden/>
          </w:rPr>
          <w:fldChar w:fldCharType="separate"/>
        </w:r>
        <w:r>
          <w:rPr>
            <w:noProof/>
            <w:webHidden/>
          </w:rPr>
          <w:t>1</w:t>
        </w:r>
        <w:r>
          <w:rPr>
            <w:noProof/>
            <w:webHidden/>
          </w:rPr>
          <w:fldChar w:fldCharType="end"/>
        </w:r>
      </w:hyperlink>
    </w:p>
    <w:p w14:paraId="2101BEE7" w14:textId="3DDAC284" w:rsidR="00766F4B" w:rsidRDefault="00766F4B">
      <w:pPr>
        <w:pStyle w:val="TOC2"/>
        <w:rPr>
          <w:rFonts w:asciiTheme="minorHAnsi" w:eastAsiaTheme="minorEastAsia" w:hAnsiTheme="minorHAnsi" w:cstheme="minorBidi"/>
          <w:noProof/>
          <w:szCs w:val="22"/>
          <w:lang w:eastAsia="en-NZ"/>
        </w:rPr>
      </w:pPr>
      <w:hyperlink w:anchor="_Toc16154518" w:history="1">
        <w:r w:rsidRPr="00A353CB">
          <w:rPr>
            <w:rStyle w:val="Hyperlink"/>
            <w:noProof/>
          </w:rPr>
          <w:t>Mantoux before BCG vaccination</w:t>
        </w:r>
        <w:r>
          <w:rPr>
            <w:noProof/>
            <w:webHidden/>
          </w:rPr>
          <w:tab/>
        </w:r>
        <w:r>
          <w:rPr>
            <w:noProof/>
            <w:webHidden/>
          </w:rPr>
          <w:fldChar w:fldCharType="begin"/>
        </w:r>
        <w:r>
          <w:rPr>
            <w:noProof/>
            <w:webHidden/>
          </w:rPr>
          <w:instrText xml:space="preserve"> PAGEREF _Toc16154518 \h </w:instrText>
        </w:r>
        <w:r>
          <w:rPr>
            <w:noProof/>
            <w:webHidden/>
          </w:rPr>
        </w:r>
        <w:r>
          <w:rPr>
            <w:noProof/>
            <w:webHidden/>
          </w:rPr>
          <w:fldChar w:fldCharType="separate"/>
        </w:r>
        <w:r>
          <w:rPr>
            <w:noProof/>
            <w:webHidden/>
          </w:rPr>
          <w:t>2</w:t>
        </w:r>
        <w:r>
          <w:rPr>
            <w:noProof/>
            <w:webHidden/>
          </w:rPr>
          <w:fldChar w:fldCharType="end"/>
        </w:r>
      </w:hyperlink>
    </w:p>
    <w:p w14:paraId="5B056DDF" w14:textId="3049A832" w:rsidR="00766F4B" w:rsidRDefault="00766F4B">
      <w:pPr>
        <w:pStyle w:val="TOC2"/>
        <w:rPr>
          <w:rFonts w:asciiTheme="minorHAnsi" w:eastAsiaTheme="minorEastAsia" w:hAnsiTheme="minorHAnsi" w:cstheme="minorBidi"/>
          <w:noProof/>
          <w:szCs w:val="22"/>
          <w:lang w:eastAsia="en-NZ"/>
        </w:rPr>
      </w:pPr>
      <w:hyperlink w:anchor="_Toc16154519" w:history="1">
        <w:r w:rsidRPr="00A353CB">
          <w:rPr>
            <w:rStyle w:val="Hyperlink"/>
            <w:noProof/>
          </w:rPr>
          <w:t>Storage and disposal of the tuberculin solution</w:t>
        </w:r>
        <w:r>
          <w:rPr>
            <w:noProof/>
            <w:webHidden/>
          </w:rPr>
          <w:tab/>
        </w:r>
        <w:r>
          <w:rPr>
            <w:noProof/>
            <w:webHidden/>
          </w:rPr>
          <w:fldChar w:fldCharType="begin"/>
        </w:r>
        <w:r>
          <w:rPr>
            <w:noProof/>
            <w:webHidden/>
          </w:rPr>
          <w:instrText xml:space="preserve"> PAGEREF _Toc16154519 \h </w:instrText>
        </w:r>
        <w:r>
          <w:rPr>
            <w:noProof/>
            <w:webHidden/>
          </w:rPr>
        </w:r>
        <w:r>
          <w:rPr>
            <w:noProof/>
            <w:webHidden/>
          </w:rPr>
          <w:fldChar w:fldCharType="separate"/>
        </w:r>
        <w:r>
          <w:rPr>
            <w:noProof/>
            <w:webHidden/>
          </w:rPr>
          <w:t>2</w:t>
        </w:r>
        <w:r>
          <w:rPr>
            <w:noProof/>
            <w:webHidden/>
          </w:rPr>
          <w:fldChar w:fldCharType="end"/>
        </w:r>
      </w:hyperlink>
    </w:p>
    <w:p w14:paraId="7A54E890" w14:textId="5DD02140" w:rsidR="00766F4B" w:rsidRDefault="00766F4B">
      <w:pPr>
        <w:pStyle w:val="TOC2"/>
        <w:rPr>
          <w:rFonts w:asciiTheme="minorHAnsi" w:eastAsiaTheme="minorEastAsia" w:hAnsiTheme="minorHAnsi" w:cstheme="minorBidi"/>
          <w:noProof/>
          <w:szCs w:val="22"/>
          <w:lang w:eastAsia="en-NZ"/>
        </w:rPr>
      </w:pPr>
      <w:hyperlink w:anchor="_Toc16154520" w:history="1">
        <w:r w:rsidRPr="00A353CB">
          <w:rPr>
            <w:rStyle w:val="Hyperlink"/>
            <w:noProof/>
          </w:rPr>
          <w:t>Contraindications for Mantoux testing</w:t>
        </w:r>
        <w:r>
          <w:rPr>
            <w:noProof/>
            <w:webHidden/>
          </w:rPr>
          <w:tab/>
        </w:r>
        <w:r>
          <w:rPr>
            <w:noProof/>
            <w:webHidden/>
          </w:rPr>
          <w:fldChar w:fldCharType="begin"/>
        </w:r>
        <w:r>
          <w:rPr>
            <w:noProof/>
            <w:webHidden/>
          </w:rPr>
          <w:instrText xml:space="preserve"> PAGEREF _Toc16154520 \h </w:instrText>
        </w:r>
        <w:r>
          <w:rPr>
            <w:noProof/>
            <w:webHidden/>
          </w:rPr>
        </w:r>
        <w:r>
          <w:rPr>
            <w:noProof/>
            <w:webHidden/>
          </w:rPr>
          <w:fldChar w:fldCharType="separate"/>
        </w:r>
        <w:r>
          <w:rPr>
            <w:noProof/>
            <w:webHidden/>
          </w:rPr>
          <w:t>2</w:t>
        </w:r>
        <w:r>
          <w:rPr>
            <w:noProof/>
            <w:webHidden/>
          </w:rPr>
          <w:fldChar w:fldCharType="end"/>
        </w:r>
      </w:hyperlink>
    </w:p>
    <w:p w14:paraId="266AD360" w14:textId="4D43F298" w:rsidR="00766F4B" w:rsidRDefault="00766F4B">
      <w:pPr>
        <w:pStyle w:val="TOC1"/>
        <w:rPr>
          <w:rFonts w:asciiTheme="minorHAnsi" w:eastAsiaTheme="minorEastAsia" w:hAnsiTheme="minorHAnsi" w:cstheme="minorBidi"/>
          <w:b w:val="0"/>
          <w:noProof/>
          <w:szCs w:val="22"/>
          <w:lang w:eastAsia="en-NZ"/>
        </w:rPr>
      </w:pPr>
      <w:hyperlink w:anchor="_Toc16154521" w:history="1">
        <w:r w:rsidRPr="00A353CB">
          <w:rPr>
            <w:rStyle w:val="Hyperlink"/>
            <w:noProof/>
          </w:rPr>
          <w:t>Administering the test</w:t>
        </w:r>
        <w:r>
          <w:rPr>
            <w:noProof/>
            <w:webHidden/>
          </w:rPr>
          <w:tab/>
        </w:r>
        <w:r>
          <w:rPr>
            <w:noProof/>
            <w:webHidden/>
          </w:rPr>
          <w:fldChar w:fldCharType="begin"/>
        </w:r>
        <w:r>
          <w:rPr>
            <w:noProof/>
            <w:webHidden/>
          </w:rPr>
          <w:instrText xml:space="preserve"> PAGEREF _Toc16154521 \h </w:instrText>
        </w:r>
        <w:r>
          <w:rPr>
            <w:noProof/>
            <w:webHidden/>
          </w:rPr>
        </w:r>
        <w:r>
          <w:rPr>
            <w:noProof/>
            <w:webHidden/>
          </w:rPr>
          <w:fldChar w:fldCharType="separate"/>
        </w:r>
        <w:r>
          <w:rPr>
            <w:noProof/>
            <w:webHidden/>
          </w:rPr>
          <w:t>4</w:t>
        </w:r>
        <w:r>
          <w:rPr>
            <w:noProof/>
            <w:webHidden/>
          </w:rPr>
          <w:fldChar w:fldCharType="end"/>
        </w:r>
      </w:hyperlink>
    </w:p>
    <w:p w14:paraId="6B3BD57A" w14:textId="44AB27BC" w:rsidR="00766F4B" w:rsidRDefault="00766F4B">
      <w:pPr>
        <w:pStyle w:val="TOC1"/>
        <w:rPr>
          <w:rFonts w:asciiTheme="minorHAnsi" w:eastAsiaTheme="minorEastAsia" w:hAnsiTheme="minorHAnsi" w:cstheme="minorBidi"/>
          <w:b w:val="0"/>
          <w:noProof/>
          <w:szCs w:val="22"/>
          <w:lang w:eastAsia="en-NZ"/>
        </w:rPr>
      </w:pPr>
      <w:hyperlink w:anchor="_Toc16154522" w:history="1">
        <w:r w:rsidRPr="00A353CB">
          <w:rPr>
            <w:rStyle w:val="Hyperlink"/>
            <w:noProof/>
          </w:rPr>
          <w:t>Measuring and recording reactions</w:t>
        </w:r>
        <w:r>
          <w:rPr>
            <w:noProof/>
            <w:webHidden/>
          </w:rPr>
          <w:tab/>
        </w:r>
        <w:r>
          <w:rPr>
            <w:noProof/>
            <w:webHidden/>
          </w:rPr>
          <w:fldChar w:fldCharType="begin"/>
        </w:r>
        <w:r>
          <w:rPr>
            <w:noProof/>
            <w:webHidden/>
          </w:rPr>
          <w:instrText xml:space="preserve"> PAGEREF _Toc16154522 \h </w:instrText>
        </w:r>
        <w:r>
          <w:rPr>
            <w:noProof/>
            <w:webHidden/>
          </w:rPr>
        </w:r>
        <w:r>
          <w:rPr>
            <w:noProof/>
            <w:webHidden/>
          </w:rPr>
          <w:fldChar w:fldCharType="separate"/>
        </w:r>
        <w:r>
          <w:rPr>
            <w:noProof/>
            <w:webHidden/>
          </w:rPr>
          <w:t>6</w:t>
        </w:r>
        <w:r>
          <w:rPr>
            <w:noProof/>
            <w:webHidden/>
          </w:rPr>
          <w:fldChar w:fldCharType="end"/>
        </w:r>
      </w:hyperlink>
    </w:p>
    <w:p w14:paraId="71798DB9" w14:textId="56A189F9" w:rsidR="00766F4B" w:rsidRDefault="00766F4B">
      <w:pPr>
        <w:pStyle w:val="TOC1"/>
        <w:rPr>
          <w:rFonts w:asciiTheme="minorHAnsi" w:eastAsiaTheme="minorEastAsia" w:hAnsiTheme="minorHAnsi" w:cstheme="minorBidi"/>
          <w:b w:val="0"/>
          <w:noProof/>
          <w:szCs w:val="22"/>
          <w:lang w:eastAsia="en-NZ"/>
        </w:rPr>
      </w:pPr>
      <w:hyperlink w:anchor="_Toc16154523" w:history="1">
        <w:r w:rsidRPr="00A353CB">
          <w:rPr>
            <w:rStyle w:val="Hyperlink"/>
            <w:noProof/>
          </w:rPr>
          <w:t>Interpreting the results</w:t>
        </w:r>
        <w:r>
          <w:rPr>
            <w:noProof/>
            <w:webHidden/>
          </w:rPr>
          <w:tab/>
        </w:r>
        <w:r>
          <w:rPr>
            <w:noProof/>
            <w:webHidden/>
          </w:rPr>
          <w:fldChar w:fldCharType="begin"/>
        </w:r>
        <w:r>
          <w:rPr>
            <w:noProof/>
            <w:webHidden/>
          </w:rPr>
          <w:instrText xml:space="preserve"> PAGEREF _Toc16154523 \h </w:instrText>
        </w:r>
        <w:r>
          <w:rPr>
            <w:noProof/>
            <w:webHidden/>
          </w:rPr>
        </w:r>
        <w:r>
          <w:rPr>
            <w:noProof/>
            <w:webHidden/>
          </w:rPr>
          <w:fldChar w:fldCharType="separate"/>
        </w:r>
        <w:r>
          <w:rPr>
            <w:noProof/>
            <w:webHidden/>
          </w:rPr>
          <w:t>7</w:t>
        </w:r>
        <w:r>
          <w:rPr>
            <w:noProof/>
            <w:webHidden/>
          </w:rPr>
          <w:fldChar w:fldCharType="end"/>
        </w:r>
      </w:hyperlink>
    </w:p>
    <w:p w14:paraId="5F3EDB54" w14:textId="79799E7B" w:rsidR="00766F4B" w:rsidRDefault="00766F4B">
      <w:pPr>
        <w:pStyle w:val="TOC2"/>
        <w:rPr>
          <w:rFonts w:asciiTheme="minorHAnsi" w:eastAsiaTheme="minorEastAsia" w:hAnsiTheme="minorHAnsi" w:cstheme="minorBidi"/>
          <w:noProof/>
          <w:szCs w:val="22"/>
          <w:lang w:eastAsia="en-NZ"/>
        </w:rPr>
      </w:pPr>
      <w:hyperlink w:anchor="_Toc16154524" w:history="1">
        <w:r w:rsidRPr="00A353CB">
          <w:rPr>
            <w:rStyle w:val="Hyperlink"/>
            <w:noProof/>
          </w:rPr>
          <w:t>Mantoux cutting points</w:t>
        </w:r>
        <w:r>
          <w:rPr>
            <w:noProof/>
            <w:webHidden/>
          </w:rPr>
          <w:tab/>
        </w:r>
        <w:r>
          <w:rPr>
            <w:noProof/>
            <w:webHidden/>
          </w:rPr>
          <w:fldChar w:fldCharType="begin"/>
        </w:r>
        <w:r>
          <w:rPr>
            <w:noProof/>
            <w:webHidden/>
          </w:rPr>
          <w:instrText xml:space="preserve"> PAGEREF _Toc16154524 \h </w:instrText>
        </w:r>
        <w:r>
          <w:rPr>
            <w:noProof/>
            <w:webHidden/>
          </w:rPr>
        </w:r>
        <w:r>
          <w:rPr>
            <w:noProof/>
            <w:webHidden/>
          </w:rPr>
          <w:fldChar w:fldCharType="separate"/>
        </w:r>
        <w:r>
          <w:rPr>
            <w:noProof/>
            <w:webHidden/>
          </w:rPr>
          <w:t>7</w:t>
        </w:r>
        <w:r>
          <w:rPr>
            <w:noProof/>
            <w:webHidden/>
          </w:rPr>
          <w:fldChar w:fldCharType="end"/>
        </w:r>
      </w:hyperlink>
    </w:p>
    <w:p w14:paraId="09711FBA" w14:textId="2025127D" w:rsidR="00766F4B" w:rsidRDefault="00766F4B">
      <w:pPr>
        <w:pStyle w:val="TOC2"/>
        <w:rPr>
          <w:rFonts w:asciiTheme="minorHAnsi" w:eastAsiaTheme="minorEastAsia" w:hAnsiTheme="minorHAnsi" w:cstheme="minorBidi"/>
          <w:noProof/>
          <w:szCs w:val="22"/>
          <w:lang w:eastAsia="en-NZ"/>
        </w:rPr>
      </w:pPr>
      <w:hyperlink w:anchor="_Toc16154525" w:history="1">
        <w:r w:rsidRPr="00A353CB">
          <w:rPr>
            <w:rStyle w:val="Hyperlink"/>
            <w:noProof/>
          </w:rPr>
          <w:t>Notes on cutting points</w:t>
        </w:r>
        <w:r>
          <w:rPr>
            <w:noProof/>
            <w:webHidden/>
          </w:rPr>
          <w:tab/>
        </w:r>
        <w:r>
          <w:rPr>
            <w:noProof/>
            <w:webHidden/>
          </w:rPr>
          <w:fldChar w:fldCharType="begin"/>
        </w:r>
        <w:r>
          <w:rPr>
            <w:noProof/>
            <w:webHidden/>
          </w:rPr>
          <w:instrText xml:space="preserve"> PAGEREF _Toc16154525 \h </w:instrText>
        </w:r>
        <w:r>
          <w:rPr>
            <w:noProof/>
            <w:webHidden/>
          </w:rPr>
        </w:r>
        <w:r>
          <w:rPr>
            <w:noProof/>
            <w:webHidden/>
          </w:rPr>
          <w:fldChar w:fldCharType="separate"/>
        </w:r>
        <w:r>
          <w:rPr>
            <w:noProof/>
            <w:webHidden/>
          </w:rPr>
          <w:t>8</w:t>
        </w:r>
        <w:r>
          <w:rPr>
            <w:noProof/>
            <w:webHidden/>
          </w:rPr>
          <w:fldChar w:fldCharType="end"/>
        </w:r>
      </w:hyperlink>
    </w:p>
    <w:p w14:paraId="53DADFDC" w14:textId="73D05C5C" w:rsidR="00766F4B" w:rsidRDefault="00766F4B">
      <w:pPr>
        <w:pStyle w:val="TOC2"/>
        <w:rPr>
          <w:rFonts w:asciiTheme="minorHAnsi" w:eastAsiaTheme="minorEastAsia" w:hAnsiTheme="minorHAnsi" w:cstheme="minorBidi"/>
          <w:noProof/>
          <w:szCs w:val="22"/>
          <w:lang w:eastAsia="en-NZ"/>
        </w:rPr>
      </w:pPr>
      <w:hyperlink w:anchor="_Toc16154526" w:history="1">
        <w:r w:rsidRPr="00A353CB">
          <w:rPr>
            <w:rStyle w:val="Hyperlink"/>
            <w:noProof/>
          </w:rPr>
          <w:t>Mantoux conversion</w:t>
        </w:r>
        <w:r>
          <w:rPr>
            <w:noProof/>
            <w:webHidden/>
          </w:rPr>
          <w:tab/>
        </w:r>
        <w:r>
          <w:rPr>
            <w:noProof/>
            <w:webHidden/>
          </w:rPr>
          <w:fldChar w:fldCharType="begin"/>
        </w:r>
        <w:r>
          <w:rPr>
            <w:noProof/>
            <w:webHidden/>
          </w:rPr>
          <w:instrText xml:space="preserve"> PAGEREF _Toc16154526 \h </w:instrText>
        </w:r>
        <w:r>
          <w:rPr>
            <w:noProof/>
            <w:webHidden/>
          </w:rPr>
        </w:r>
        <w:r>
          <w:rPr>
            <w:noProof/>
            <w:webHidden/>
          </w:rPr>
          <w:fldChar w:fldCharType="separate"/>
        </w:r>
        <w:r>
          <w:rPr>
            <w:noProof/>
            <w:webHidden/>
          </w:rPr>
          <w:t>8</w:t>
        </w:r>
        <w:r>
          <w:rPr>
            <w:noProof/>
            <w:webHidden/>
          </w:rPr>
          <w:fldChar w:fldCharType="end"/>
        </w:r>
      </w:hyperlink>
    </w:p>
    <w:p w14:paraId="0ECAEB18" w14:textId="338ECA58" w:rsidR="00766F4B" w:rsidRDefault="00766F4B">
      <w:pPr>
        <w:pStyle w:val="TOC2"/>
        <w:rPr>
          <w:rFonts w:asciiTheme="minorHAnsi" w:eastAsiaTheme="minorEastAsia" w:hAnsiTheme="minorHAnsi" w:cstheme="minorBidi"/>
          <w:noProof/>
          <w:szCs w:val="22"/>
          <w:lang w:eastAsia="en-NZ"/>
        </w:rPr>
      </w:pPr>
      <w:hyperlink w:anchor="_Toc16154527" w:history="1">
        <w:r w:rsidRPr="00A353CB">
          <w:rPr>
            <w:rStyle w:val="Hyperlink"/>
            <w:noProof/>
          </w:rPr>
          <w:t>Adverse reactions following testing</w:t>
        </w:r>
        <w:r>
          <w:rPr>
            <w:noProof/>
            <w:webHidden/>
          </w:rPr>
          <w:tab/>
        </w:r>
        <w:r>
          <w:rPr>
            <w:noProof/>
            <w:webHidden/>
          </w:rPr>
          <w:fldChar w:fldCharType="begin"/>
        </w:r>
        <w:r>
          <w:rPr>
            <w:noProof/>
            <w:webHidden/>
          </w:rPr>
          <w:instrText xml:space="preserve"> PAGEREF _Toc16154527 \h </w:instrText>
        </w:r>
        <w:r>
          <w:rPr>
            <w:noProof/>
            <w:webHidden/>
          </w:rPr>
        </w:r>
        <w:r>
          <w:rPr>
            <w:noProof/>
            <w:webHidden/>
          </w:rPr>
          <w:fldChar w:fldCharType="separate"/>
        </w:r>
        <w:r>
          <w:rPr>
            <w:noProof/>
            <w:webHidden/>
          </w:rPr>
          <w:t>9</w:t>
        </w:r>
        <w:r>
          <w:rPr>
            <w:noProof/>
            <w:webHidden/>
          </w:rPr>
          <w:fldChar w:fldCharType="end"/>
        </w:r>
      </w:hyperlink>
    </w:p>
    <w:p w14:paraId="19A9A7FA" w14:textId="1FEF2D86" w:rsidR="00766F4B" w:rsidRDefault="00766F4B">
      <w:pPr>
        <w:pStyle w:val="TOC2"/>
        <w:rPr>
          <w:rFonts w:asciiTheme="minorHAnsi" w:eastAsiaTheme="minorEastAsia" w:hAnsiTheme="minorHAnsi" w:cstheme="minorBidi"/>
          <w:noProof/>
          <w:szCs w:val="22"/>
          <w:lang w:eastAsia="en-NZ"/>
        </w:rPr>
      </w:pPr>
      <w:hyperlink w:anchor="_Toc16154528" w:history="1">
        <w:r w:rsidRPr="00A353CB">
          <w:rPr>
            <w:rStyle w:val="Hyperlink"/>
            <w:noProof/>
          </w:rPr>
          <w:t>Circumstances that do not prevent a Mantoux test?</w:t>
        </w:r>
        <w:r>
          <w:rPr>
            <w:noProof/>
            <w:webHidden/>
          </w:rPr>
          <w:tab/>
        </w:r>
        <w:r>
          <w:rPr>
            <w:noProof/>
            <w:webHidden/>
          </w:rPr>
          <w:fldChar w:fldCharType="begin"/>
        </w:r>
        <w:r>
          <w:rPr>
            <w:noProof/>
            <w:webHidden/>
          </w:rPr>
          <w:instrText xml:space="preserve"> PAGEREF _Toc16154528 \h </w:instrText>
        </w:r>
        <w:r>
          <w:rPr>
            <w:noProof/>
            <w:webHidden/>
          </w:rPr>
        </w:r>
        <w:r>
          <w:rPr>
            <w:noProof/>
            <w:webHidden/>
          </w:rPr>
          <w:fldChar w:fldCharType="separate"/>
        </w:r>
        <w:r>
          <w:rPr>
            <w:noProof/>
            <w:webHidden/>
          </w:rPr>
          <w:t>9</w:t>
        </w:r>
        <w:r>
          <w:rPr>
            <w:noProof/>
            <w:webHidden/>
          </w:rPr>
          <w:fldChar w:fldCharType="end"/>
        </w:r>
      </w:hyperlink>
    </w:p>
    <w:p w14:paraId="1C9DD466" w14:textId="79A76D46" w:rsidR="00766F4B" w:rsidRDefault="00766F4B">
      <w:pPr>
        <w:pStyle w:val="TOC1"/>
        <w:rPr>
          <w:rFonts w:asciiTheme="minorHAnsi" w:eastAsiaTheme="minorEastAsia" w:hAnsiTheme="minorHAnsi" w:cstheme="minorBidi"/>
          <w:b w:val="0"/>
          <w:noProof/>
          <w:szCs w:val="22"/>
          <w:lang w:eastAsia="en-NZ"/>
        </w:rPr>
      </w:pPr>
      <w:hyperlink w:anchor="_Toc16154529" w:history="1">
        <w:r w:rsidRPr="00A353CB">
          <w:rPr>
            <w:rStyle w:val="Hyperlink"/>
            <w:noProof/>
          </w:rPr>
          <w:t>Post-Mantoux test</w:t>
        </w:r>
        <w:r>
          <w:rPr>
            <w:noProof/>
            <w:webHidden/>
          </w:rPr>
          <w:tab/>
        </w:r>
        <w:r>
          <w:rPr>
            <w:noProof/>
            <w:webHidden/>
          </w:rPr>
          <w:fldChar w:fldCharType="begin"/>
        </w:r>
        <w:r>
          <w:rPr>
            <w:noProof/>
            <w:webHidden/>
          </w:rPr>
          <w:instrText xml:space="preserve"> PAGEREF _Toc16154529 \h </w:instrText>
        </w:r>
        <w:r>
          <w:rPr>
            <w:noProof/>
            <w:webHidden/>
          </w:rPr>
        </w:r>
        <w:r>
          <w:rPr>
            <w:noProof/>
            <w:webHidden/>
          </w:rPr>
          <w:fldChar w:fldCharType="separate"/>
        </w:r>
        <w:r>
          <w:rPr>
            <w:noProof/>
            <w:webHidden/>
          </w:rPr>
          <w:t>10</w:t>
        </w:r>
        <w:r>
          <w:rPr>
            <w:noProof/>
            <w:webHidden/>
          </w:rPr>
          <w:fldChar w:fldCharType="end"/>
        </w:r>
      </w:hyperlink>
    </w:p>
    <w:p w14:paraId="6DEA17D5" w14:textId="6C706F8A" w:rsidR="00766F4B" w:rsidRDefault="00766F4B">
      <w:pPr>
        <w:pStyle w:val="TOC1"/>
        <w:rPr>
          <w:rFonts w:asciiTheme="minorHAnsi" w:eastAsiaTheme="minorEastAsia" w:hAnsiTheme="minorHAnsi" w:cstheme="minorBidi"/>
          <w:b w:val="0"/>
          <w:noProof/>
          <w:szCs w:val="22"/>
          <w:lang w:eastAsia="en-NZ"/>
        </w:rPr>
      </w:pPr>
      <w:hyperlink w:anchor="_Toc16154530" w:history="1">
        <w:r w:rsidRPr="00A353CB">
          <w:rPr>
            <w:rStyle w:val="Hyperlink"/>
            <w:noProof/>
          </w:rPr>
          <w:t>References</w:t>
        </w:r>
        <w:r>
          <w:rPr>
            <w:noProof/>
            <w:webHidden/>
          </w:rPr>
          <w:tab/>
        </w:r>
        <w:r>
          <w:rPr>
            <w:noProof/>
            <w:webHidden/>
          </w:rPr>
          <w:fldChar w:fldCharType="begin"/>
        </w:r>
        <w:r>
          <w:rPr>
            <w:noProof/>
            <w:webHidden/>
          </w:rPr>
          <w:instrText xml:space="preserve"> PAGEREF _Toc16154530 \h </w:instrText>
        </w:r>
        <w:r>
          <w:rPr>
            <w:noProof/>
            <w:webHidden/>
          </w:rPr>
        </w:r>
        <w:r>
          <w:rPr>
            <w:noProof/>
            <w:webHidden/>
          </w:rPr>
          <w:fldChar w:fldCharType="separate"/>
        </w:r>
        <w:r>
          <w:rPr>
            <w:noProof/>
            <w:webHidden/>
          </w:rPr>
          <w:t>11</w:t>
        </w:r>
        <w:r>
          <w:rPr>
            <w:noProof/>
            <w:webHidden/>
          </w:rPr>
          <w:fldChar w:fldCharType="end"/>
        </w:r>
      </w:hyperlink>
    </w:p>
    <w:p w14:paraId="58C908E9" w14:textId="1AD05A11" w:rsidR="00E93392" w:rsidRDefault="00766F4B" w:rsidP="00E93392">
      <w:r>
        <w:fldChar w:fldCharType="end"/>
      </w:r>
    </w:p>
    <w:p w14:paraId="3367B148" w14:textId="77777777" w:rsidR="00E93392" w:rsidRDefault="00E93392" w:rsidP="00E93392">
      <w:pPr>
        <w:pStyle w:val="TOC1"/>
        <w:keepNext/>
      </w:pPr>
      <w:r>
        <w:t>List of Tables</w:t>
      </w:r>
    </w:p>
    <w:p w14:paraId="1725DEE0" w14:textId="4BBF8C92" w:rsidR="00766F4B" w:rsidRDefault="00766F4B">
      <w:pPr>
        <w:pStyle w:val="TOC3"/>
        <w:rPr>
          <w:rFonts w:asciiTheme="minorHAnsi" w:eastAsiaTheme="minorEastAsia" w:hAnsiTheme="minorHAnsi" w:cstheme="minorBidi"/>
          <w:noProof/>
          <w:szCs w:val="22"/>
          <w:lang w:eastAsia="en-NZ"/>
        </w:rPr>
      </w:pPr>
      <w:r>
        <w:rPr>
          <w:sz w:val="20"/>
        </w:rPr>
        <w:fldChar w:fldCharType="begin"/>
      </w:r>
      <w:r>
        <w:rPr>
          <w:sz w:val="20"/>
        </w:rPr>
        <w:instrText xml:space="preserve"> TOC \h \z \t "Table,3" </w:instrText>
      </w:r>
      <w:r>
        <w:rPr>
          <w:sz w:val="20"/>
        </w:rPr>
        <w:fldChar w:fldCharType="separate"/>
      </w:r>
      <w:hyperlink w:anchor="_Toc16154556" w:history="1">
        <w:r w:rsidRPr="00A11BAA">
          <w:rPr>
            <w:rStyle w:val="Hyperlink"/>
            <w:noProof/>
          </w:rPr>
          <w:t>Table 1: Definition of a positive Mantoux test in New Zeala</w:t>
        </w:r>
        <w:r w:rsidRPr="00A11BAA">
          <w:rPr>
            <w:rStyle w:val="Hyperlink"/>
            <w:noProof/>
          </w:rPr>
          <w:t>n</w:t>
        </w:r>
        <w:r w:rsidRPr="00A11BAA">
          <w:rPr>
            <w:rStyle w:val="Hyperlink"/>
            <w:noProof/>
          </w:rPr>
          <w:t>d (cutting points)</w:t>
        </w:r>
        <w:r>
          <w:rPr>
            <w:noProof/>
            <w:webHidden/>
          </w:rPr>
          <w:tab/>
        </w:r>
        <w:r>
          <w:rPr>
            <w:noProof/>
            <w:webHidden/>
          </w:rPr>
          <w:fldChar w:fldCharType="begin"/>
        </w:r>
        <w:r>
          <w:rPr>
            <w:noProof/>
            <w:webHidden/>
          </w:rPr>
          <w:instrText xml:space="preserve"> PAGEREF _Toc16154556 \h </w:instrText>
        </w:r>
        <w:r>
          <w:rPr>
            <w:noProof/>
            <w:webHidden/>
          </w:rPr>
        </w:r>
        <w:r>
          <w:rPr>
            <w:noProof/>
            <w:webHidden/>
          </w:rPr>
          <w:fldChar w:fldCharType="separate"/>
        </w:r>
        <w:r>
          <w:rPr>
            <w:noProof/>
            <w:webHidden/>
          </w:rPr>
          <w:t>7</w:t>
        </w:r>
        <w:r>
          <w:rPr>
            <w:noProof/>
            <w:webHidden/>
          </w:rPr>
          <w:fldChar w:fldCharType="end"/>
        </w:r>
      </w:hyperlink>
    </w:p>
    <w:p w14:paraId="6E237788" w14:textId="4070F120" w:rsidR="00E93392" w:rsidRDefault="00766F4B" w:rsidP="00E93392">
      <w:r>
        <w:rPr>
          <w:sz w:val="20"/>
        </w:rPr>
        <w:fldChar w:fldCharType="end"/>
      </w:r>
    </w:p>
    <w:p w14:paraId="61AD836E" w14:textId="77777777" w:rsidR="00E93392" w:rsidRDefault="00E93392" w:rsidP="00E93392">
      <w:pPr>
        <w:pStyle w:val="TOC1"/>
      </w:pPr>
      <w:r>
        <w:t>List of Figures</w:t>
      </w:r>
    </w:p>
    <w:p w14:paraId="51E34420" w14:textId="12651FDA" w:rsidR="00766F4B" w:rsidRDefault="00766F4B">
      <w:pPr>
        <w:pStyle w:val="TOC3"/>
        <w:rPr>
          <w:rFonts w:asciiTheme="minorHAnsi" w:eastAsiaTheme="minorEastAsia" w:hAnsiTheme="minorHAnsi" w:cstheme="minorBidi"/>
          <w:noProof/>
          <w:szCs w:val="22"/>
          <w:lang w:eastAsia="en-NZ"/>
        </w:rPr>
      </w:pPr>
      <w:r>
        <w:fldChar w:fldCharType="begin"/>
      </w:r>
      <w:r>
        <w:instrText xml:space="preserve"> TOC \h \z \t "Figure,3" </w:instrText>
      </w:r>
      <w:r>
        <w:fldChar w:fldCharType="separate"/>
      </w:r>
      <w:hyperlink w:anchor="_Toc16154625" w:history="1">
        <w:r w:rsidRPr="00A45A3F">
          <w:rPr>
            <w:rStyle w:val="Hyperlink"/>
            <w:noProof/>
          </w:rPr>
          <w:t>Figure 1: Administering the Mantoux test</w:t>
        </w:r>
        <w:r>
          <w:rPr>
            <w:noProof/>
            <w:webHidden/>
          </w:rPr>
          <w:tab/>
        </w:r>
        <w:r>
          <w:rPr>
            <w:noProof/>
            <w:webHidden/>
          </w:rPr>
          <w:fldChar w:fldCharType="begin"/>
        </w:r>
        <w:r>
          <w:rPr>
            <w:noProof/>
            <w:webHidden/>
          </w:rPr>
          <w:instrText xml:space="preserve"> PAGEREF _Toc16154625 \h </w:instrText>
        </w:r>
        <w:r>
          <w:rPr>
            <w:noProof/>
            <w:webHidden/>
          </w:rPr>
        </w:r>
        <w:r>
          <w:rPr>
            <w:noProof/>
            <w:webHidden/>
          </w:rPr>
          <w:fldChar w:fldCharType="separate"/>
        </w:r>
        <w:r>
          <w:rPr>
            <w:noProof/>
            <w:webHidden/>
          </w:rPr>
          <w:t>5</w:t>
        </w:r>
        <w:r>
          <w:rPr>
            <w:noProof/>
            <w:webHidden/>
          </w:rPr>
          <w:fldChar w:fldCharType="end"/>
        </w:r>
      </w:hyperlink>
    </w:p>
    <w:p w14:paraId="16B96CF3" w14:textId="1E66371D" w:rsidR="00766F4B" w:rsidRDefault="00766F4B">
      <w:pPr>
        <w:pStyle w:val="TOC3"/>
        <w:rPr>
          <w:rFonts w:asciiTheme="minorHAnsi" w:eastAsiaTheme="minorEastAsia" w:hAnsiTheme="minorHAnsi" w:cstheme="minorBidi"/>
          <w:noProof/>
          <w:szCs w:val="22"/>
          <w:lang w:eastAsia="en-NZ"/>
        </w:rPr>
      </w:pPr>
      <w:hyperlink w:anchor="_Toc16154626" w:history="1">
        <w:r w:rsidRPr="00A45A3F">
          <w:rPr>
            <w:rStyle w:val="Hyperlink"/>
            <w:noProof/>
          </w:rPr>
          <w:t>Figure 2: Mantoux reactions showing induration</w:t>
        </w:r>
        <w:r>
          <w:rPr>
            <w:noProof/>
            <w:webHidden/>
          </w:rPr>
          <w:tab/>
        </w:r>
        <w:r>
          <w:rPr>
            <w:noProof/>
            <w:webHidden/>
          </w:rPr>
          <w:fldChar w:fldCharType="begin"/>
        </w:r>
        <w:r>
          <w:rPr>
            <w:noProof/>
            <w:webHidden/>
          </w:rPr>
          <w:instrText xml:space="preserve"> PAGEREF _Toc16154626 \h </w:instrText>
        </w:r>
        <w:r>
          <w:rPr>
            <w:noProof/>
            <w:webHidden/>
          </w:rPr>
        </w:r>
        <w:r>
          <w:rPr>
            <w:noProof/>
            <w:webHidden/>
          </w:rPr>
          <w:fldChar w:fldCharType="separate"/>
        </w:r>
        <w:r>
          <w:rPr>
            <w:noProof/>
            <w:webHidden/>
          </w:rPr>
          <w:t>6</w:t>
        </w:r>
        <w:r>
          <w:rPr>
            <w:noProof/>
            <w:webHidden/>
          </w:rPr>
          <w:fldChar w:fldCharType="end"/>
        </w:r>
      </w:hyperlink>
    </w:p>
    <w:p w14:paraId="5F9C5068" w14:textId="081B0DD5" w:rsidR="00E93392" w:rsidRDefault="00766F4B" w:rsidP="00E93392">
      <w:r>
        <w:fldChar w:fldCharType="end"/>
      </w:r>
      <w:bookmarkStart w:id="2" w:name="_GoBack"/>
      <w:bookmarkEnd w:id="2"/>
    </w:p>
    <w:p w14:paraId="0AC59248" w14:textId="77777777" w:rsidR="00DC205D" w:rsidRPr="002E2695" w:rsidRDefault="00DC205D" w:rsidP="00DB3A8F">
      <w:pPr>
        <w:pStyle w:val="Heading1"/>
      </w:pPr>
      <w:bookmarkStart w:id="3" w:name="_Toc518977018"/>
      <w:bookmarkStart w:id="4" w:name="_Toc16154514"/>
      <w:r w:rsidRPr="002E2695">
        <w:lastRenderedPageBreak/>
        <w:t>Recommended reading</w:t>
      </w:r>
      <w:bookmarkEnd w:id="3"/>
      <w:bookmarkEnd w:id="4"/>
    </w:p>
    <w:p w14:paraId="5889883B" w14:textId="52A0B7A2" w:rsidR="00DC205D" w:rsidRDefault="00DC205D" w:rsidP="00DC205D">
      <w:r>
        <w:t xml:space="preserve">These guidelines can be read as a stand-alone document, but it is recommended that you refer to chapters in the </w:t>
      </w:r>
      <w:r w:rsidRPr="00F97A42">
        <w:rPr>
          <w:i/>
        </w:rPr>
        <w:t xml:space="preserve">Guidelines for Tuberculosis Control in New Zealand </w:t>
      </w:r>
      <w:r w:rsidR="00321DA6" w:rsidRPr="00F97A42">
        <w:rPr>
          <w:i/>
        </w:rPr>
        <w:t>201</w:t>
      </w:r>
      <w:r w:rsidR="00321DA6">
        <w:rPr>
          <w:i/>
        </w:rPr>
        <w:t>9</w:t>
      </w:r>
      <w:r w:rsidR="00321DA6">
        <w:t xml:space="preserve"> </w:t>
      </w:r>
      <w:r w:rsidR="00A952D2">
        <w:t xml:space="preserve">(Ministry of Health 2019) at: </w:t>
      </w:r>
      <w:hyperlink r:id="rId14" w:history="1">
        <w:r w:rsidR="00A952D2" w:rsidRPr="00176F06">
          <w:rPr>
            <w:rStyle w:val="Hyperlink"/>
          </w:rPr>
          <w:t>www.health.govt.nz/publication/guidelines-tuberculosis-control-new-zealand-2019</w:t>
        </w:r>
      </w:hyperlink>
      <w:r>
        <w:t>.</w:t>
      </w:r>
    </w:p>
    <w:p w14:paraId="2F3C227D" w14:textId="77777777" w:rsidR="00DC205D" w:rsidRDefault="00DC205D" w:rsidP="00DC205D"/>
    <w:p w14:paraId="3103F432" w14:textId="37F3C84F" w:rsidR="00DC205D" w:rsidRPr="00F97A42" w:rsidRDefault="00DC205D" w:rsidP="00DC205D">
      <w:pPr>
        <w:rPr>
          <w:rStyle w:val="Hyperlink"/>
        </w:rPr>
      </w:pPr>
      <w:r>
        <w:t xml:space="preserve">For information on the BCG vaccine, please refer to the latest edition of the </w:t>
      </w:r>
      <w:r w:rsidRPr="00F97A42">
        <w:rPr>
          <w:i/>
        </w:rPr>
        <w:t xml:space="preserve">Immunisation </w:t>
      </w:r>
      <w:r>
        <w:rPr>
          <w:i/>
        </w:rPr>
        <w:t>H</w:t>
      </w:r>
      <w:r w:rsidRPr="00F97A42">
        <w:rPr>
          <w:i/>
        </w:rPr>
        <w:t>andbook</w:t>
      </w:r>
      <w:r>
        <w:t xml:space="preserve"> </w:t>
      </w:r>
      <w:r>
        <w:rPr>
          <w:szCs w:val="22"/>
        </w:rPr>
        <w:t xml:space="preserve">(sections 2.2.3 and A 4.1.3 and chapter 20; Ministry of Health 2018) at: </w:t>
      </w:r>
      <w:hyperlink r:id="rId15" w:history="1">
        <w:r w:rsidRPr="00DC205D">
          <w:rPr>
            <w:rStyle w:val="Hyperlink"/>
          </w:rPr>
          <w:t>www.health.govt.nz/publication/immunisation-handbook-2017</w:t>
        </w:r>
      </w:hyperlink>
    </w:p>
    <w:p w14:paraId="7FBBF362" w14:textId="77777777" w:rsidR="00DC205D" w:rsidRDefault="00DC205D" w:rsidP="00DC205D"/>
    <w:p w14:paraId="6874F2E8" w14:textId="77777777" w:rsidR="00DC205D" w:rsidRPr="00AF69BA" w:rsidRDefault="00DC205D" w:rsidP="00DC205D">
      <w:r>
        <w:t xml:space="preserve">The Tuberculosis Act 1948 was repealed on 4 January 2017 by section 15 of </w:t>
      </w:r>
      <w:r w:rsidRPr="00AF69BA">
        <w:t>Health (Protection) Amendment Act 2016 (no</w:t>
      </w:r>
      <w:r>
        <w:t>.</w:t>
      </w:r>
      <w:r w:rsidRPr="00AF69BA">
        <w:t xml:space="preserve"> 35)</w:t>
      </w:r>
      <w:r>
        <w:t xml:space="preserve">. See: </w:t>
      </w:r>
      <w:hyperlink r:id="rId16" w:history="1">
        <w:r w:rsidRPr="00DC205D">
          <w:rPr>
            <w:rStyle w:val="Hyperlink"/>
          </w:rPr>
          <w:t>www.legislation.govt.nz/act/public/2016/0035/latest/DLM6223006.html</w:t>
        </w:r>
      </w:hyperlink>
    </w:p>
    <w:p w14:paraId="6997954E" w14:textId="77777777" w:rsidR="003D137D" w:rsidRPr="003D137D" w:rsidRDefault="003D137D" w:rsidP="00DC205D"/>
    <w:bookmarkEnd w:id="0"/>
    <w:bookmarkEnd w:id="1"/>
    <w:p w14:paraId="7747C82B" w14:textId="77777777" w:rsidR="00C86248" w:rsidRDefault="00C86248">
      <w:pPr>
        <w:sectPr w:rsidR="00C86248" w:rsidSect="009D5125">
          <w:headerReference w:type="even" r:id="rId17"/>
          <w:headerReference w:type="default" r:id="rId18"/>
          <w:footerReference w:type="even" r:id="rId19"/>
          <w:footerReference w:type="default" r:id="rId20"/>
          <w:pgSz w:w="11907" w:h="16840" w:code="9"/>
          <w:pgMar w:top="851" w:right="1134" w:bottom="1134" w:left="1134" w:header="284" w:footer="567" w:gutter="284"/>
          <w:pgNumType w:fmt="lowerRoman"/>
          <w:cols w:space="720"/>
        </w:sectPr>
      </w:pPr>
    </w:p>
    <w:p w14:paraId="17D71CF9" w14:textId="77777777" w:rsidR="008C2973" w:rsidRDefault="00DC205D" w:rsidP="008E3A07">
      <w:pPr>
        <w:pStyle w:val="Heading1"/>
      </w:pPr>
      <w:bookmarkStart w:id="5" w:name="_Toc16154515"/>
      <w:r>
        <w:lastRenderedPageBreak/>
        <w:t>Introduction</w:t>
      </w:r>
      <w:bookmarkEnd w:id="5"/>
    </w:p>
    <w:p w14:paraId="327F3FF8" w14:textId="77777777" w:rsidR="00DC205D" w:rsidRPr="00FF75F2" w:rsidRDefault="00DC205D" w:rsidP="00DC205D">
      <w:pPr>
        <w:pStyle w:val="Heading2"/>
      </w:pPr>
      <w:bookmarkStart w:id="6" w:name="_Toc296940194"/>
      <w:bookmarkStart w:id="7" w:name="_Toc375234801"/>
      <w:bookmarkStart w:id="8" w:name="_Toc518977020"/>
      <w:bookmarkStart w:id="9" w:name="_Toc16154516"/>
      <w:r w:rsidRPr="00FF75F2">
        <w:t>Tuberculosis control in New Zealand</w:t>
      </w:r>
      <w:bookmarkEnd w:id="6"/>
      <w:bookmarkEnd w:id="7"/>
      <w:bookmarkEnd w:id="8"/>
      <w:bookmarkEnd w:id="9"/>
    </w:p>
    <w:p w14:paraId="56C5D9D2" w14:textId="638D1288" w:rsidR="00DC205D" w:rsidRPr="00173DD5" w:rsidRDefault="00DC205D" w:rsidP="00DC205D">
      <w:r w:rsidRPr="00173DD5">
        <w:t xml:space="preserve">The principal control measures for </w:t>
      </w:r>
      <w:r>
        <w:t>tuberculosis (TB) in New Zealand</w:t>
      </w:r>
      <w:r w:rsidRPr="00173DD5">
        <w:t xml:space="preserve"> are case finding, treatment of active and latent TB infection, contact tracing and selective screening. </w:t>
      </w:r>
      <w:r>
        <w:t>For more detail on these c</w:t>
      </w:r>
      <w:r w:rsidRPr="00173DD5">
        <w:t>ontrol measures</w:t>
      </w:r>
      <w:r>
        <w:t>, see</w:t>
      </w:r>
      <w:r w:rsidRPr="00173DD5">
        <w:t xml:space="preserve"> the</w:t>
      </w:r>
      <w:r>
        <w:t xml:space="preserve"> Ministry of Health’s (201</w:t>
      </w:r>
      <w:r w:rsidR="00A952D2">
        <w:t>9</w:t>
      </w:r>
      <w:r>
        <w:t>)</w:t>
      </w:r>
      <w:r w:rsidRPr="00173DD5">
        <w:t xml:space="preserve"> </w:t>
      </w:r>
      <w:r w:rsidRPr="00173DD5">
        <w:rPr>
          <w:i/>
        </w:rPr>
        <w:t>Guidelines for Tuberculosis Control in New Zealand</w:t>
      </w:r>
      <w:r w:rsidRPr="00173DD5">
        <w:t xml:space="preserve"> </w:t>
      </w:r>
      <w:r w:rsidR="00321DA6" w:rsidRPr="00F97A42">
        <w:rPr>
          <w:i/>
        </w:rPr>
        <w:t>201</w:t>
      </w:r>
      <w:r w:rsidR="00321DA6">
        <w:rPr>
          <w:i/>
        </w:rPr>
        <w:t>9</w:t>
      </w:r>
      <w:r w:rsidR="00A952D2">
        <w:rPr>
          <w:i/>
        </w:rPr>
        <w:t xml:space="preserve"> </w:t>
      </w:r>
      <w:r w:rsidRPr="00173DD5">
        <w:t>(</w:t>
      </w:r>
      <w:hyperlink r:id="rId21" w:history="1">
        <w:r w:rsidR="00A952D2" w:rsidRPr="00176F06">
          <w:rPr>
            <w:rStyle w:val="Hyperlink"/>
          </w:rPr>
          <w:t>www.health.govt.nz/publication/guidelines-tuberculosis-control-new-zealand-2019</w:t>
        </w:r>
      </w:hyperlink>
      <w:r>
        <w:t>).</w:t>
      </w:r>
    </w:p>
    <w:p w14:paraId="7F422720" w14:textId="77777777" w:rsidR="00DC205D" w:rsidRDefault="00DC205D" w:rsidP="00DC205D"/>
    <w:p w14:paraId="27E3EEA9" w14:textId="443D1897" w:rsidR="00DC205D" w:rsidRDefault="00DC205D" w:rsidP="00DC205D">
      <w:r w:rsidRPr="00173DD5">
        <w:t>B</w:t>
      </w:r>
      <w:r>
        <w:t>acillus Calmette-</w:t>
      </w:r>
      <w:proofErr w:type="spellStart"/>
      <w:r>
        <w:t>Guèrin</w:t>
      </w:r>
      <w:proofErr w:type="spellEnd"/>
      <w:r>
        <w:t xml:space="preserve"> (BCG)</w:t>
      </w:r>
      <w:r w:rsidRPr="00173DD5">
        <w:t xml:space="preserve"> is offered to groups or individuals who are at in</w:t>
      </w:r>
      <w:r>
        <w:t>creased risk of contracting TB.</w:t>
      </w:r>
      <w:r w:rsidRPr="00173DD5">
        <w:t xml:space="preserve"> </w:t>
      </w:r>
      <w:r>
        <w:t>For the</w:t>
      </w:r>
      <w:r w:rsidRPr="00173DD5">
        <w:t xml:space="preserve"> current recommendations for BCG use in New Zealand</w:t>
      </w:r>
      <w:r>
        <w:t>, see</w:t>
      </w:r>
      <w:r w:rsidRPr="00173DD5">
        <w:t xml:space="preserve"> the most recent edition of the Ministry of Health</w:t>
      </w:r>
      <w:r>
        <w:t>’s (2018)</w:t>
      </w:r>
      <w:r w:rsidRPr="00173DD5">
        <w:t xml:space="preserve"> </w:t>
      </w:r>
      <w:r w:rsidRPr="00173DD5">
        <w:rPr>
          <w:i/>
        </w:rPr>
        <w:t>Immunisation Handbook</w:t>
      </w:r>
      <w:r w:rsidRPr="00792364">
        <w:t xml:space="preserve"> </w:t>
      </w:r>
      <w:r>
        <w:t>(</w:t>
      </w:r>
      <w:hyperlink r:id="rId22" w:history="1">
        <w:r w:rsidR="00A952D2" w:rsidRPr="00176F06">
          <w:rPr>
            <w:rStyle w:val="Hyperlink"/>
          </w:rPr>
          <w:t>www.health.govt.nz/publication/immunisation-handbook-2017</w:t>
        </w:r>
      </w:hyperlink>
      <w:r w:rsidR="00A952D2">
        <w:t xml:space="preserve"> </w:t>
      </w:r>
      <w:r>
        <w:t>).</w:t>
      </w:r>
    </w:p>
    <w:p w14:paraId="6E47A2EE" w14:textId="77777777" w:rsidR="00DC205D" w:rsidRPr="00B1371C" w:rsidRDefault="00DC205D" w:rsidP="00DC205D"/>
    <w:p w14:paraId="4D4286FC" w14:textId="77777777" w:rsidR="00DC205D" w:rsidRPr="00FF75F2" w:rsidRDefault="00DC205D" w:rsidP="00DC205D">
      <w:pPr>
        <w:pStyle w:val="Heading2"/>
      </w:pPr>
      <w:bookmarkStart w:id="10" w:name="_Toc296940195"/>
      <w:bookmarkStart w:id="11" w:name="_Toc375234802"/>
      <w:bookmarkStart w:id="12" w:name="_Toc518977021"/>
      <w:bookmarkStart w:id="13" w:name="_Toc16154517"/>
      <w:r w:rsidRPr="00FF75F2">
        <w:t xml:space="preserve">Tuberculin skin test (Mantoux) </w:t>
      </w:r>
      <w:bookmarkEnd w:id="10"/>
      <w:bookmarkEnd w:id="11"/>
      <w:r w:rsidRPr="00FF75F2">
        <w:t>and interferon gamma release assays</w:t>
      </w:r>
      <w:bookmarkEnd w:id="12"/>
      <w:bookmarkEnd w:id="13"/>
    </w:p>
    <w:p w14:paraId="0C415B93" w14:textId="77777777" w:rsidR="00DC205D" w:rsidRPr="00173DD5" w:rsidRDefault="00DC205D" w:rsidP="00DC205D">
      <w:r w:rsidRPr="00173DD5">
        <w:t>Current or previous TB infection and previous BCG immunisation lead</w:t>
      </w:r>
      <w:r>
        <w:t xml:space="preserve"> the body</w:t>
      </w:r>
      <w:r w:rsidRPr="00173DD5">
        <w:t xml:space="preserve"> to develop a cellular immune response.</w:t>
      </w:r>
    </w:p>
    <w:p w14:paraId="4262CAB4" w14:textId="77777777" w:rsidR="00DC205D" w:rsidRDefault="00DC205D" w:rsidP="00DC205D"/>
    <w:p w14:paraId="63072CFC" w14:textId="77777777" w:rsidR="00DC205D" w:rsidRDefault="00DC205D" w:rsidP="00DC205D">
      <w:r w:rsidRPr="00173DD5">
        <w:t>The immune response can be detected by measuring dermal induration after the injection of tuberculin puriﬁed protein derivative, termed a tuberculin skin test</w:t>
      </w:r>
      <w:r>
        <w:t xml:space="preserve"> (TST).</w:t>
      </w:r>
      <w:r w:rsidRPr="00173DD5">
        <w:t xml:space="preserve"> The Mantoux test is the preferred tuberculin skin test in New Zealand.</w:t>
      </w:r>
      <w:r>
        <w:t xml:space="preserve"> (For its purposes, this document will use the term Mantoux to describe tuberculin skin testing.)</w:t>
      </w:r>
    </w:p>
    <w:p w14:paraId="2555B855" w14:textId="77777777" w:rsidR="00DC205D" w:rsidRDefault="00DC205D" w:rsidP="00DC205D"/>
    <w:p w14:paraId="648D6739" w14:textId="5FFA652B" w:rsidR="00DC205D" w:rsidRPr="00173DD5" w:rsidRDefault="00DC205D" w:rsidP="00DC205D">
      <w:r w:rsidRPr="00173DD5">
        <w:t>Alternatively the immune response can be measured by detecti</w:t>
      </w:r>
      <w:r>
        <w:t>ng</w:t>
      </w:r>
      <w:r w:rsidRPr="00173DD5">
        <w:t xml:space="preserve"> interferon gamma released by T-lymphocytes when exposed to specific TB antigens, more formally known as interferon gamma release assays (IGRA). </w:t>
      </w:r>
      <w:r w:rsidRPr="00173DD5">
        <w:rPr>
          <w:szCs w:val="22"/>
        </w:rPr>
        <w:t>IGRA testing can detect current or previous TB infection, but not previous BCG immunisation</w:t>
      </w:r>
      <w:r w:rsidRPr="00173DD5">
        <w:t xml:space="preserve">. </w:t>
      </w:r>
      <w:r>
        <w:t xml:space="preserve">(See chapter 2 of the </w:t>
      </w:r>
      <w:r w:rsidRPr="00F97A42">
        <w:rPr>
          <w:i/>
        </w:rPr>
        <w:t xml:space="preserve">Guidelines for Tuberculosis Control in New Zealand </w:t>
      </w:r>
      <w:r w:rsidR="00321DA6" w:rsidRPr="00F97A42">
        <w:rPr>
          <w:i/>
        </w:rPr>
        <w:t>201</w:t>
      </w:r>
      <w:r w:rsidR="00321DA6">
        <w:rPr>
          <w:i/>
        </w:rPr>
        <w:t>9</w:t>
      </w:r>
      <w:r>
        <w:t>, Ministry of Health 201</w:t>
      </w:r>
      <w:r w:rsidR="00A952D2">
        <w:t>9</w:t>
      </w:r>
      <w:r>
        <w:t>.)</w:t>
      </w:r>
    </w:p>
    <w:p w14:paraId="1FBDE773" w14:textId="77777777" w:rsidR="00DC205D" w:rsidRDefault="00DC205D" w:rsidP="00DC205D"/>
    <w:p w14:paraId="5364F647" w14:textId="444D371F" w:rsidR="00DC205D" w:rsidRDefault="00DC205D" w:rsidP="00DC205D">
      <w:r w:rsidRPr="00173DD5">
        <w:t>While</w:t>
      </w:r>
      <w:r>
        <w:t xml:space="preserve"> New Zealand has used</w:t>
      </w:r>
      <w:r w:rsidRPr="00173DD5">
        <w:t xml:space="preserve"> the Mantoux test for many years, IGRA is a much newer test and </w:t>
      </w:r>
      <w:r>
        <w:t xml:space="preserve">researchers are still gathering </w:t>
      </w:r>
      <w:r w:rsidRPr="00173DD5">
        <w:t>evidence for</w:t>
      </w:r>
      <w:r>
        <w:t xml:space="preserve"> its use.</w:t>
      </w:r>
      <w:r w:rsidRPr="00173DD5">
        <w:t xml:space="preserve"> Either pre-vaccination test ca</w:t>
      </w:r>
      <w:r>
        <w:t>n be used for people aged over seven years. See the</w:t>
      </w:r>
      <w:r w:rsidRPr="00F97A42">
        <w:rPr>
          <w:i/>
        </w:rPr>
        <w:t xml:space="preserve"> Guidelines for Tuberculosis Control in New Zealand </w:t>
      </w:r>
      <w:r w:rsidR="00321DA6" w:rsidRPr="00F97A42">
        <w:rPr>
          <w:i/>
        </w:rPr>
        <w:t>201</w:t>
      </w:r>
      <w:r w:rsidR="00321DA6">
        <w:rPr>
          <w:i/>
        </w:rPr>
        <w:t>9</w:t>
      </w:r>
      <w:r w:rsidR="00321DA6" w:rsidRPr="00173DD5">
        <w:t xml:space="preserve"> </w:t>
      </w:r>
      <w:r w:rsidRPr="00173DD5">
        <w:t>(Ministry of Health 201</w:t>
      </w:r>
      <w:r w:rsidR="00A952D2">
        <w:t>9</w:t>
      </w:r>
      <w:r w:rsidRPr="00173DD5">
        <w:t>) for further information on IGRA testing (</w:t>
      </w:r>
      <w:r>
        <w:t xml:space="preserve">including the </w:t>
      </w:r>
      <w:r w:rsidRPr="00173DD5">
        <w:t>underlying principle, administration, interpretation and selected literature findings).</w:t>
      </w:r>
    </w:p>
    <w:p w14:paraId="6348D0EA" w14:textId="77777777" w:rsidR="00DC205D" w:rsidRPr="00173DD5" w:rsidRDefault="00DC205D" w:rsidP="00DC205D"/>
    <w:p w14:paraId="7B839A04" w14:textId="77777777" w:rsidR="00DC205D" w:rsidRDefault="00DC205D" w:rsidP="00DC205D">
      <w:r w:rsidRPr="00173DD5">
        <w:t xml:space="preserve">Most BCG vaccinations are given to infants under </w:t>
      </w:r>
      <w:r>
        <w:t>six</w:t>
      </w:r>
      <w:r w:rsidRPr="00173DD5">
        <w:t xml:space="preserve"> months of age. These infants do not require pre-vaccination testing </w:t>
      </w:r>
      <w:r>
        <w:t>if they have no</w:t>
      </w:r>
      <w:r w:rsidRPr="00173DD5">
        <w:t xml:space="preserve"> identifiable risk factors</w:t>
      </w:r>
      <w:bookmarkStart w:id="14" w:name="_Ref381342796"/>
      <w:r>
        <w:t>.</w:t>
      </w:r>
      <w:r w:rsidRPr="00DC205D">
        <w:rPr>
          <w:rStyle w:val="FootnoteReference"/>
        </w:rPr>
        <w:footnoteReference w:id="1"/>
      </w:r>
      <w:bookmarkEnd w:id="14"/>
    </w:p>
    <w:p w14:paraId="02B872B5" w14:textId="77777777" w:rsidR="00DC205D" w:rsidRDefault="00DC205D" w:rsidP="00DC205D"/>
    <w:p w14:paraId="791548EA" w14:textId="77777777" w:rsidR="00DC205D" w:rsidRDefault="00DC205D" w:rsidP="00DC205D">
      <w:r w:rsidRPr="00731D17">
        <w:t>The Mantoux test is recommended for children aged seven</w:t>
      </w:r>
      <w:r>
        <w:t xml:space="preserve"> years</w:t>
      </w:r>
      <w:r w:rsidRPr="00731D17">
        <w:t xml:space="preserve"> and under.</w:t>
      </w:r>
    </w:p>
    <w:p w14:paraId="409B3DEF" w14:textId="77777777" w:rsidR="00DC205D" w:rsidRPr="00173DD5" w:rsidRDefault="00DC205D" w:rsidP="00DC205D"/>
    <w:p w14:paraId="1EA3CD39" w14:textId="77777777" w:rsidR="00DC205D" w:rsidRPr="00173DD5" w:rsidRDefault="00DC205D" w:rsidP="00DC205D">
      <w:pPr>
        <w:pStyle w:val="Box"/>
        <w:rPr>
          <w:snapToGrid w:val="0"/>
        </w:rPr>
      </w:pPr>
      <w:r w:rsidRPr="00173DD5">
        <w:rPr>
          <w:snapToGrid w:val="0"/>
        </w:rPr>
        <w:lastRenderedPageBreak/>
        <w:t>Note that</w:t>
      </w:r>
      <w:r>
        <w:rPr>
          <w:snapToGrid w:val="0"/>
        </w:rPr>
        <w:t>,</w:t>
      </w:r>
      <w:r w:rsidRPr="00173DD5">
        <w:rPr>
          <w:snapToGrid w:val="0"/>
        </w:rPr>
        <w:t xml:space="preserve"> following review of the available literature and local data, the age cut-off for pre-vaccination Mantoux has changed from </w:t>
      </w:r>
      <w:r>
        <w:rPr>
          <w:snapToGrid w:val="0"/>
        </w:rPr>
        <w:t>older</w:t>
      </w:r>
      <w:r w:rsidRPr="00173DD5">
        <w:rPr>
          <w:snapToGrid w:val="0"/>
        </w:rPr>
        <w:t xml:space="preserve"> than 12 weeks to </w:t>
      </w:r>
      <w:r>
        <w:rPr>
          <w:snapToGrid w:val="0"/>
        </w:rPr>
        <w:t>older</w:t>
      </w:r>
      <w:r w:rsidRPr="00173DD5">
        <w:rPr>
          <w:snapToGrid w:val="0"/>
        </w:rPr>
        <w:t xml:space="preserve"> than </w:t>
      </w:r>
      <w:r>
        <w:rPr>
          <w:snapToGrid w:val="0"/>
        </w:rPr>
        <w:t>six</w:t>
      </w:r>
      <w:r w:rsidRPr="00173DD5">
        <w:rPr>
          <w:snapToGrid w:val="0"/>
        </w:rPr>
        <w:t xml:space="preserve"> months in children with no identifiable risk factors</w:t>
      </w:r>
      <w:r>
        <w:rPr>
          <w:snapToGrid w:val="0"/>
        </w:rPr>
        <w:t>.</w:t>
      </w:r>
      <w:r w:rsidRPr="00173DD5">
        <w:rPr>
          <w:snapToGrid w:val="0"/>
          <w:szCs w:val="22"/>
          <w:vertAlign w:val="superscript"/>
        </w:rPr>
        <w:t>1</w:t>
      </w:r>
    </w:p>
    <w:p w14:paraId="0D04BD8E" w14:textId="77777777" w:rsidR="00DC205D" w:rsidRDefault="00DC205D" w:rsidP="00DC205D"/>
    <w:p w14:paraId="09E8ACC2" w14:textId="161BF237" w:rsidR="00DC205D" w:rsidRDefault="00DC205D" w:rsidP="00DC205D">
      <w:r w:rsidRPr="00173DD5">
        <w:t xml:space="preserve">All </w:t>
      </w:r>
      <w:r w:rsidRPr="00173DD5">
        <w:rPr>
          <w:snapToGrid w:val="0"/>
        </w:rPr>
        <w:t xml:space="preserve">people over </w:t>
      </w:r>
      <w:r>
        <w:rPr>
          <w:snapToGrid w:val="0"/>
        </w:rPr>
        <w:t>six</w:t>
      </w:r>
      <w:r w:rsidRPr="00173DD5">
        <w:rPr>
          <w:snapToGrid w:val="0"/>
        </w:rPr>
        <w:t xml:space="preserve"> months of age</w:t>
      </w:r>
      <w:r>
        <w:rPr>
          <w:snapToGrid w:val="0"/>
        </w:rPr>
        <w:t>,</w:t>
      </w:r>
      <w:r w:rsidRPr="00173DD5">
        <w:rPr>
          <w:snapToGrid w:val="0"/>
        </w:rPr>
        <w:t xml:space="preserve"> and</w:t>
      </w:r>
      <w:r>
        <w:rPr>
          <w:snapToGrid w:val="0"/>
        </w:rPr>
        <w:t xml:space="preserve"> infants under six months of age who have been exposed to active TB, </w:t>
      </w:r>
      <w:r w:rsidRPr="00173DD5">
        <w:t>require pre-vaccination testing with either a Mantoux</w:t>
      </w:r>
      <w:r>
        <w:t xml:space="preserve"> test</w:t>
      </w:r>
      <w:r w:rsidRPr="00173DD5">
        <w:t xml:space="preserve"> or</w:t>
      </w:r>
      <w:r>
        <w:t xml:space="preserve"> (if over seven years of age) an</w:t>
      </w:r>
      <w:r w:rsidRPr="00173DD5">
        <w:t xml:space="preserve"> IGRA test</w:t>
      </w:r>
      <w:r>
        <w:t>.</w:t>
      </w:r>
      <w:r w:rsidRPr="00173DD5">
        <w:t xml:space="preserve"> </w:t>
      </w:r>
      <w:r>
        <w:t>Perform the</w:t>
      </w:r>
      <w:r w:rsidRPr="00173DD5">
        <w:t xml:space="preserve"> pre-vaccination test no more than four weeks</w:t>
      </w:r>
      <w:r w:rsidRPr="00173DD5">
        <w:rPr>
          <w:b/>
        </w:rPr>
        <w:t xml:space="preserve"> </w:t>
      </w:r>
      <w:r w:rsidRPr="00173DD5">
        <w:t>before the intended vaccination.</w:t>
      </w:r>
      <w:bookmarkStart w:id="15" w:name="_Toc296940196"/>
      <w:bookmarkStart w:id="16" w:name="_Toc375234803"/>
      <w:r>
        <w:t xml:space="preserve"> (See chapter 5 of the </w:t>
      </w:r>
      <w:r w:rsidRPr="00F97A42">
        <w:rPr>
          <w:i/>
        </w:rPr>
        <w:t xml:space="preserve">Guidelines for Tuberculosis Control in New Zealand </w:t>
      </w:r>
      <w:r w:rsidR="00321DA6" w:rsidRPr="00F97A42">
        <w:rPr>
          <w:i/>
        </w:rPr>
        <w:t>201</w:t>
      </w:r>
      <w:r w:rsidR="00321DA6">
        <w:rPr>
          <w:i/>
        </w:rPr>
        <w:t>9</w:t>
      </w:r>
      <w:r>
        <w:t xml:space="preserve">, </w:t>
      </w:r>
      <w:r w:rsidRPr="00173DD5">
        <w:t>Ministry of Health 201</w:t>
      </w:r>
      <w:r w:rsidR="00A952D2">
        <w:t>9</w:t>
      </w:r>
      <w:r>
        <w:t>.</w:t>
      </w:r>
      <w:r w:rsidRPr="00880416">
        <w:t>)</w:t>
      </w:r>
    </w:p>
    <w:p w14:paraId="3E383C7C" w14:textId="77777777" w:rsidR="00DC205D" w:rsidRPr="00880416" w:rsidRDefault="00DC205D" w:rsidP="00DC205D"/>
    <w:p w14:paraId="0E7528C2" w14:textId="77777777" w:rsidR="00DC205D" w:rsidRPr="00FF75F2" w:rsidRDefault="00DC205D" w:rsidP="00DC205D">
      <w:pPr>
        <w:pStyle w:val="Heading2"/>
      </w:pPr>
      <w:bookmarkStart w:id="17" w:name="_Toc518977022"/>
      <w:bookmarkStart w:id="18" w:name="_Toc16154518"/>
      <w:r w:rsidRPr="00FF75F2">
        <w:t xml:space="preserve">Mantoux </w:t>
      </w:r>
      <w:bookmarkEnd w:id="15"/>
      <w:bookmarkEnd w:id="16"/>
      <w:r>
        <w:t xml:space="preserve">before </w:t>
      </w:r>
      <w:r w:rsidRPr="00FF75F2">
        <w:t>BCG vaccination</w:t>
      </w:r>
      <w:bookmarkEnd w:id="17"/>
      <w:bookmarkEnd w:id="18"/>
    </w:p>
    <w:p w14:paraId="3FA9476F" w14:textId="77777777" w:rsidR="00DC205D" w:rsidRDefault="00DC205D" w:rsidP="00DC205D">
      <w:r>
        <w:t xml:space="preserve">The person who performs Mantoux testing should be proficient with the procedure and have experience in reading the results. Authorised vaccinators must have BCG endorsement to be able to administer BCG vaccine. </w:t>
      </w:r>
      <w:r>
        <w:rPr>
          <w:b/>
        </w:rPr>
        <w:t>It is recommended that p</w:t>
      </w:r>
      <w:r w:rsidRPr="00F4780F">
        <w:rPr>
          <w:b/>
        </w:rPr>
        <w:t xml:space="preserve">ublic </w:t>
      </w:r>
      <w:r>
        <w:rPr>
          <w:b/>
        </w:rPr>
        <w:t>h</w:t>
      </w:r>
      <w:r w:rsidRPr="00F4780F">
        <w:rPr>
          <w:b/>
        </w:rPr>
        <w:t xml:space="preserve">ealth </w:t>
      </w:r>
      <w:r>
        <w:rPr>
          <w:b/>
        </w:rPr>
        <w:t>u</w:t>
      </w:r>
      <w:r w:rsidRPr="00F4780F">
        <w:rPr>
          <w:b/>
        </w:rPr>
        <w:t>nits establish their own process for ensuring proficiency.</w:t>
      </w:r>
      <w:r>
        <w:t xml:space="preserve"> </w:t>
      </w:r>
      <w:r w:rsidRPr="00173DD5">
        <w:t>A Mantoux test is usually given in the right arm</w:t>
      </w:r>
      <w:r>
        <w:t>.</w:t>
      </w:r>
      <w:r w:rsidRPr="00173DD5">
        <w:t xml:space="preserve"> (</w:t>
      </w:r>
      <w:r>
        <w:t xml:space="preserve">If a </w:t>
      </w:r>
      <w:r w:rsidRPr="00173DD5">
        <w:t xml:space="preserve">second </w:t>
      </w:r>
      <w:r>
        <w:t>test is</w:t>
      </w:r>
      <w:r w:rsidRPr="00173DD5">
        <w:t xml:space="preserve"> necessary, </w:t>
      </w:r>
      <w:r>
        <w:t xml:space="preserve">do it </w:t>
      </w:r>
      <w:r w:rsidRPr="00173DD5">
        <w:t>in the opposite arm</w:t>
      </w:r>
      <w:r>
        <w:t>.</w:t>
      </w:r>
      <w:r w:rsidRPr="00173DD5">
        <w:t>)</w:t>
      </w:r>
    </w:p>
    <w:p w14:paraId="5C264690" w14:textId="77777777" w:rsidR="00DC205D" w:rsidRPr="00173DD5" w:rsidRDefault="00DC205D" w:rsidP="00DC205D"/>
    <w:p w14:paraId="436DE8F7" w14:textId="77777777" w:rsidR="00DC205D" w:rsidRPr="00FF75F2" w:rsidRDefault="00DC205D" w:rsidP="00DC205D">
      <w:pPr>
        <w:pStyle w:val="Heading2"/>
      </w:pPr>
      <w:bookmarkStart w:id="19" w:name="_Toc296940197"/>
      <w:bookmarkStart w:id="20" w:name="_Toc375234804"/>
      <w:bookmarkStart w:id="21" w:name="_Toc518977023"/>
      <w:bookmarkStart w:id="22" w:name="_Toc16154519"/>
      <w:r w:rsidRPr="00FF75F2">
        <w:t xml:space="preserve">Storage and disposal of the </w:t>
      </w:r>
      <w:r>
        <w:t>t</w:t>
      </w:r>
      <w:r w:rsidRPr="00FF75F2">
        <w:t>uberculin solution</w:t>
      </w:r>
      <w:bookmarkEnd w:id="19"/>
      <w:bookmarkEnd w:id="20"/>
      <w:bookmarkEnd w:id="21"/>
      <w:bookmarkEnd w:id="22"/>
    </w:p>
    <w:p w14:paraId="6A8F1FB9" w14:textId="77777777" w:rsidR="00DC205D" w:rsidRPr="00173DD5" w:rsidRDefault="00DC205D" w:rsidP="00DC205D">
      <w:pPr>
        <w:pStyle w:val="Bullet"/>
      </w:pPr>
      <w:r w:rsidRPr="00173DD5">
        <w:t>Store</w:t>
      </w:r>
      <w:r>
        <w:t xml:space="preserve"> the tuberculin solution at a temperature</w:t>
      </w:r>
      <w:r w:rsidRPr="00173DD5">
        <w:t xml:space="preserve"> between 2°C and 8°C.</w:t>
      </w:r>
    </w:p>
    <w:p w14:paraId="0FC0EDCD" w14:textId="77777777" w:rsidR="00DC205D" w:rsidRPr="00173DD5" w:rsidRDefault="00DC205D" w:rsidP="00DC205D">
      <w:pPr>
        <w:pStyle w:val="Bullet"/>
      </w:pPr>
      <w:r w:rsidRPr="00173DD5">
        <w:t xml:space="preserve">Protect </w:t>
      </w:r>
      <w:r>
        <w:t xml:space="preserve">it </w:t>
      </w:r>
      <w:r w:rsidRPr="00173DD5">
        <w:t>from light.</w:t>
      </w:r>
    </w:p>
    <w:p w14:paraId="776F9308" w14:textId="77777777" w:rsidR="00DC205D" w:rsidRDefault="00DC205D" w:rsidP="00DC205D">
      <w:pPr>
        <w:pStyle w:val="Bullet"/>
      </w:pPr>
      <w:r w:rsidRPr="00173DD5">
        <w:t xml:space="preserve">Once </w:t>
      </w:r>
      <w:r>
        <w:t xml:space="preserve">you have </w:t>
      </w:r>
      <w:r w:rsidRPr="00173DD5">
        <w:t>opened</w:t>
      </w:r>
      <w:r>
        <w:t xml:space="preserve"> a vial</w:t>
      </w:r>
      <w:r w:rsidRPr="00173DD5">
        <w:t xml:space="preserve">, date </w:t>
      </w:r>
      <w:r>
        <w:t xml:space="preserve">it </w:t>
      </w:r>
      <w:r w:rsidRPr="00173DD5">
        <w:t xml:space="preserve">and discard </w:t>
      </w:r>
      <w:r>
        <w:t xml:space="preserve">it </w:t>
      </w:r>
      <w:r w:rsidRPr="00173DD5">
        <w:t>after one month.</w:t>
      </w:r>
    </w:p>
    <w:p w14:paraId="0E6897A4" w14:textId="77777777" w:rsidR="00DC205D" w:rsidRDefault="00DC205D" w:rsidP="00DC205D"/>
    <w:p w14:paraId="5D8E1A43" w14:textId="77777777" w:rsidR="00DC205D" w:rsidRPr="00DC205D" w:rsidRDefault="00DC205D" w:rsidP="00DC205D">
      <w:pPr>
        <w:pStyle w:val="Heading2"/>
      </w:pPr>
      <w:bookmarkStart w:id="23" w:name="_Toc518977024"/>
      <w:bookmarkStart w:id="24" w:name="_Toc16154520"/>
      <w:r w:rsidRPr="00FF75F2">
        <w:t>Contraindications for Mantoux testing</w:t>
      </w:r>
      <w:r w:rsidRPr="00DC205D">
        <w:rPr>
          <w:rStyle w:val="FootnoteReference"/>
        </w:rPr>
        <w:footnoteReference w:id="2"/>
      </w:r>
      <w:bookmarkEnd w:id="23"/>
      <w:bookmarkEnd w:id="24"/>
    </w:p>
    <w:p w14:paraId="2F925236" w14:textId="77777777" w:rsidR="00DC205D" w:rsidRDefault="00DC205D" w:rsidP="00DC205D">
      <w:r>
        <w:t>Do</w:t>
      </w:r>
      <w:r w:rsidRPr="00652FDD">
        <w:t xml:space="preserve"> </w:t>
      </w:r>
      <w:r w:rsidRPr="00AF69BA">
        <w:rPr>
          <w:b/>
        </w:rPr>
        <w:t>not</w:t>
      </w:r>
      <w:r w:rsidRPr="00DC205D">
        <w:t xml:space="preserve"> </w:t>
      </w:r>
      <w:r>
        <w:t xml:space="preserve">perform </w:t>
      </w:r>
      <w:r w:rsidRPr="00652FDD">
        <w:t>a Mantoux test</w:t>
      </w:r>
      <w:r w:rsidRPr="007A3A71">
        <w:t xml:space="preserve"> </w:t>
      </w:r>
      <w:r>
        <w:t>with</w:t>
      </w:r>
      <w:r w:rsidRPr="00652FDD">
        <w:t xml:space="preserve"> people</w:t>
      </w:r>
      <w:r>
        <w:t xml:space="preserve"> who have:</w:t>
      </w:r>
    </w:p>
    <w:p w14:paraId="1B689B3D" w14:textId="77777777" w:rsidR="00DC205D" w:rsidRPr="00652FDD" w:rsidRDefault="00DC205D" w:rsidP="00DC205D">
      <w:pPr>
        <w:pStyle w:val="Bullet"/>
      </w:pPr>
      <w:r w:rsidRPr="00652FDD">
        <w:t>documented Mantoux reactions &gt;15</w:t>
      </w:r>
      <w:r>
        <w:t xml:space="preserve"> </w:t>
      </w:r>
      <w:r w:rsidRPr="00652FDD">
        <w:t>mm in the past; repeating the test will not provide any new diagnostic information and will create discomfort</w:t>
      </w:r>
    </w:p>
    <w:p w14:paraId="171840CA" w14:textId="77777777" w:rsidR="00DC205D" w:rsidRPr="00652FDD" w:rsidRDefault="00DC205D" w:rsidP="00DC205D">
      <w:pPr>
        <w:pStyle w:val="Bullet"/>
      </w:pPr>
      <w:r w:rsidRPr="00652FDD">
        <w:t>previous</w:t>
      </w:r>
      <w:r>
        <w:t>ly had</w:t>
      </w:r>
      <w:r w:rsidRPr="00652FDD">
        <w:t xml:space="preserve"> TB disease or </w:t>
      </w:r>
      <w:r>
        <w:t xml:space="preserve">have a </w:t>
      </w:r>
      <w:r w:rsidRPr="00652FDD">
        <w:t>latent TB infection; useful diagnostic information will not be gained and significant discomfort is likely</w:t>
      </w:r>
    </w:p>
    <w:p w14:paraId="187A3FC1" w14:textId="77777777" w:rsidR="00DC205D" w:rsidRPr="00652FDD" w:rsidRDefault="00DC205D" w:rsidP="00DC205D">
      <w:pPr>
        <w:pStyle w:val="Bullet"/>
      </w:pPr>
      <w:r>
        <w:t xml:space="preserve">previously had </w:t>
      </w:r>
      <w:r w:rsidRPr="00652FDD">
        <w:t xml:space="preserve">severe blistering or other hypersensitivity reactions following Mantoux testing, or </w:t>
      </w:r>
      <w:r>
        <w:t>have</w:t>
      </w:r>
      <w:r w:rsidRPr="00652FDD">
        <w:t xml:space="preserve"> extensive burns or eczema over Mantoux testing sites</w:t>
      </w:r>
      <w:r>
        <w:t>; these people are more likely to have</w:t>
      </w:r>
      <w:r w:rsidRPr="00652FDD">
        <w:t xml:space="preserve"> adverse</w:t>
      </w:r>
      <w:r>
        <w:t xml:space="preserve"> reactions or severe reactions</w:t>
      </w:r>
    </w:p>
    <w:p w14:paraId="24EC95B3" w14:textId="77777777" w:rsidR="00DC205D" w:rsidRPr="00652FDD" w:rsidRDefault="00DC205D" w:rsidP="00DC205D">
      <w:pPr>
        <w:pStyle w:val="Bullet"/>
      </w:pPr>
      <w:r w:rsidRPr="00652FDD">
        <w:t>major viral infections</w:t>
      </w:r>
    </w:p>
    <w:p w14:paraId="2337AB8D" w14:textId="77777777" w:rsidR="00DC205D" w:rsidRDefault="00DC205D" w:rsidP="00DC205D">
      <w:pPr>
        <w:pStyle w:val="Bullet"/>
        <w:keepLines/>
      </w:pPr>
      <w:r w:rsidRPr="00652FDD">
        <w:lastRenderedPageBreak/>
        <w:t>received measles vaccination within the past four weeks</w:t>
      </w:r>
      <w:r>
        <w:t>; evidence</w:t>
      </w:r>
      <w:r w:rsidRPr="00652FDD">
        <w:t xml:space="preserve"> show</w:t>
      </w:r>
      <w:r>
        <w:t>s that this makes</w:t>
      </w:r>
      <w:r w:rsidRPr="00652FDD">
        <w:t xml:space="preserve"> false-negative Mantoux results</w:t>
      </w:r>
      <w:r>
        <w:t xml:space="preserve"> more likely</w:t>
      </w:r>
      <w:r w:rsidRPr="00652FDD">
        <w:t xml:space="preserve">. While no data are available </w:t>
      </w:r>
      <w:r>
        <w:t>on how</w:t>
      </w:r>
      <w:r w:rsidRPr="00250D92">
        <w:t xml:space="preserve"> </w:t>
      </w:r>
      <w:r w:rsidRPr="00652FDD">
        <w:t xml:space="preserve">other live virus vaccinations </w:t>
      </w:r>
      <w:r>
        <w:t>a</w:t>
      </w:r>
      <w:r w:rsidRPr="00652FDD">
        <w:t>ffect Mantoux results</w:t>
      </w:r>
      <w:r>
        <w:t>,</w:t>
      </w:r>
      <w:r w:rsidRPr="00652FDD">
        <w:t xml:space="preserve"> it would seem prudent to follow the same guidance</w:t>
      </w:r>
      <w:r>
        <w:t xml:space="preserve"> for them as well</w:t>
      </w:r>
      <w:r w:rsidRPr="00652FDD">
        <w:t xml:space="preserve">. However, if </w:t>
      </w:r>
      <w:r>
        <w:t xml:space="preserve">it means that you might miss </w:t>
      </w:r>
      <w:r w:rsidRPr="00652FDD">
        <w:t xml:space="preserve">the opportunity to perform the Mantoux test, </w:t>
      </w:r>
      <w:r>
        <w:t xml:space="preserve">do not delay </w:t>
      </w:r>
      <w:r w:rsidRPr="00652FDD">
        <w:t xml:space="preserve">the test </w:t>
      </w:r>
      <w:r>
        <w:t>because of</w:t>
      </w:r>
      <w:r w:rsidRPr="00652FDD">
        <w:t xml:space="preserve"> live virus vaccines, as these are theoretical considerations. Note that </w:t>
      </w:r>
      <w:r>
        <w:t xml:space="preserve">you may administer </w:t>
      </w:r>
      <w:r w:rsidRPr="00652FDD">
        <w:t>a Mantoux test before or on the same day as live virus vaccina</w:t>
      </w:r>
      <w:r>
        <w:t>tions, but at a different site.</w:t>
      </w:r>
    </w:p>
    <w:p w14:paraId="29BD0A8E" w14:textId="77777777" w:rsidR="00DC205D" w:rsidRPr="00652FDD" w:rsidRDefault="00DC205D" w:rsidP="00DC205D"/>
    <w:p w14:paraId="544AA441" w14:textId="77777777" w:rsidR="00DC205D" w:rsidRDefault="00DC205D" w:rsidP="00DC205D">
      <w:pPr>
        <w:pStyle w:val="Heading1"/>
      </w:pPr>
      <w:bookmarkStart w:id="25" w:name="_Toc518977025"/>
      <w:bookmarkStart w:id="26" w:name="_Toc296940198"/>
      <w:bookmarkStart w:id="27" w:name="_Toc375234805"/>
      <w:bookmarkStart w:id="28" w:name="_Toc16154521"/>
      <w:r w:rsidRPr="00FF75F2">
        <w:lastRenderedPageBreak/>
        <w:t>Administering the test</w:t>
      </w:r>
      <w:bookmarkEnd w:id="25"/>
      <w:bookmarkEnd w:id="28"/>
    </w:p>
    <w:p w14:paraId="4E8C3412" w14:textId="77777777" w:rsidR="00DC205D" w:rsidRPr="00FF75F2" w:rsidRDefault="00DC205D" w:rsidP="00DC205D">
      <w:r>
        <w:t>S</w:t>
      </w:r>
      <w:r w:rsidRPr="00FF75F2">
        <w:t xml:space="preserve">ee Figure </w:t>
      </w:r>
      <w:r>
        <w:t>1</w:t>
      </w:r>
      <w:bookmarkEnd w:id="26"/>
      <w:bookmarkEnd w:id="27"/>
      <w:r>
        <w:t xml:space="preserve"> for photos of the key steps in administering the test.</w:t>
      </w:r>
    </w:p>
    <w:p w14:paraId="73B663F0" w14:textId="77777777" w:rsidR="00DC205D" w:rsidRDefault="00DC205D" w:rsidP="00DC205D"/>
    <w:p w14:paraId="3724E061" w14:textId="77777777" w:rsidR="00DC205D" w:rsidRDefault="00DC205D" w:rsidP="00DC205D">
      <w:r w:rsidRPr="00BB0AC0">
        <w:t xml:space="preserve">Public </w:t>
      </w:r>
      <w:r>
        <w:t>h</w:t>
      </w:r>
      <w:r w:rsidRPr="00BB0AC0">
        <w:t xml:space="preserve">ealth </w:t>
      </w:r>
      <w:r>
        <w:t>u</w:t>
      </w:r>
      <w:r w:rsidRPr="00BB0AC0">
        <w:t>nits should have a locally agreed policy on who can administer a Mantoux test</w:t>
      </w:r>
      <w:r>
        <w:t xml:space="preserve">. The previous recommendation was that staff who administer BCG vaccine </w:t>
      </w:r>
      <w:r w:rsidRPr="00E65B56">
        <w:t xml:space="preserve">are best placed to </w:t>
      </w:r>
      <w:r>
        <w:t>administer the test.</w:t>
      </w:r>
    </w:p>
    <w:p w14:paraId="1CC0BC30" w14:textId="77777777" w:rsidR="00DC205D" w:rsidRPr="00BB0AC0" w:rsidRDefault="00DC205D" w:rsidP="00DC205D"/>
    <w:p w14:paraId="290033D6" w14:textId="77777777" w:rsidR="00DC205D" w:rsidRDefault="00DC205D" w:rsidP="00DC205D">
      <w:r w:rsidRPr="00173DD5">
        <w:t xml:space="preserve">The Mantoux test </w:t>
      </w:r>
      <w:r>
        <w:t>involves</w:t>
      </w:r>
      <w:r w:rsidRPr="00173DD5">
        <w:t xml:space="preserve"> injecting 0.1</w:t>
      </w:r>
      <w:r>
        <w:t xml:space="preserve"> </w:t>
      </w:r>
      <w:r w:rsidRPr="00173DD5">
        <w:t>m</w:t>
      </w:r>
      <w:r>
        <w:t>L</w:t>
      </w:r>
      <w:r w:rsidRPr="00173DD5">
        <w:t xml:space="preserve"> 5TU PPD (5 tuberculin units purified protein derivative) intradermally into the flexor surface of the mid-forearm.</w:t>
      </w:r>
    </w:p>
    <w:p w14:paraId="07D16DA4" w14:textId="77777777" w:rsidR="00DC205D" w:rsidRPr="00173DD5" w:rsidRDefault="00DC205D" w:rsidP="00DC205D"/>
    <w:p w14:paraId="0867D857" w14:textId="77777777" w:rsidR="00DC205D" w:rsidRPr="00173DD5" w:rsidRDefault="00DC205D" w:rsidP="00DC205D">
      <w:r w:rsidRPr="00173DD5">
        <w:t>Use either an insulin syringe or a tuberculin syringe with a 20</w:t>
      </w:r>
      <w:r>
        <w:t>-g</w:t>
      </w:r>
      <w:r w:rsidRPr="00173DD5">
        <w:t xml:space="preserve">auge (G) needle. If the vial has been previously opened, swab the vial with an alcohol swab and allow it </w:t>
      </w:r>
      <w:r>
        <w:t>to dry before use.</w:t>
      </w:r>
    </w:p>
    <w:p w14:paraId="12E33815" w14:textId="77777777" w:rsidR="00DC205D" w:rsidRPr="00173DD5" w:rsidRDefault="00DC205D" w:rsidP="00DC205D">
      <w:pPr>
        <w:pStyle w:val="Bullet"/>
      </w:pPr>
      <w:r w:rsidRPr="00173DD5">
        <w:t>With an insulin syringe</w:t>
      </w:r>
      <w:r>
        <w:t>, you do not</w:t>
      </w:r>
      <w:r w:rsidRPr="00173DD5">
        <w:t xml:space="preserve"> need to change the needle. The needle is very fine and does</w:t>
      </w:r>
      <w:r>
        <w:t xml:space="preserve"> not become blunt or dislodged.</w:t>
      </w:r>
    </w:p>
    <w:p w14:paraId="31EB3321" w14:textId="77777777" w:rsidR="00DC205D" w:rsidRPr="00173DD5" w:rsidRDefault="00DC205D" w:rsidP="00DC205D">
      <w:pPr>
        <w:pStyle w:val="Bullet"/>
      </w:pPr>
      <w:r w:rsidRPr="00173DD5">
        <w:t xml:space="preserve">With </w:t>
      </w:r>
      <w:r>
        <w:t>a</w:t>
      </w:r>
      <w:r w:rsidRPr="00173DD5">
        <w:t xml:space="preserve"> tuberculin syringe, </w:t>
      </w:r>
      <w:r>
        <w:t>you need</w:t>
      </w:r>
      <w:r w:rsidRPr="00173DD5">
        <w:t xml:space="preserve"> to change the needle to a new 26G or 27G needle because</w:t>
      </w:r>
      <w:r>
        <w:t>:</w:t>
      </w:r>
    </w:p>
    <w:p w14:paraId="271546FE" w14:textId="77777777" w:rsidR="00DC205D" w:rsidRPr="00173DD5" w:rsidRDefault="00DC205D" w:rsidP="00DC205D">
      <w:pPr>
        <w:pStyle w:val="Dash"/>
      </w:pPr>
      <w:r w:rsidRPr="00173DD5">
        <w:t>they are the correct size for administration</w:t>
      </w:r>
    </w:p>
    <w:p w14:paraId="7651351E" w14:textId="77777777" w:rsidR="00DC205D" w:rsidRDefault="00DC205D" w:rsidP="00DC205D">
      <w:pPr>
        <w:pStyle w:val="Dash"/>
      </w:pPr>
      <w:r w:rsidRPr="00173DD5">
        <w:t>penetrating the bung may blunt the needle.</w:t>
      </w:r>
    </w:p>
    <w:p w14:paraId="246FBE9B" w14:textId="77777777" w:rsidR="00DC205D" w:rsidRDefault="00DC205D" w:rsidP="00DC205D"/>
    <w:p w14:paraId="6DEFF9C7" w14:textId="77777777" w:rsidR="00DC205D" w:rsidRDefault="00DC205D" w:rsidP="00DC205D">
      <w:r>
        <w:t>Follow these steps in administering the test.</w:t>
      </w:r>
    </w:p>
    <w:p w14:paraId="2A4E2D59" w14:textId="77777777" w:rsidR="00DC205D" w:rsidRDefault="00DC205D" w:rsidP="00DC205D">
      <w:pPr>
        <w:pStyle w:val="Number"/>
      </w:pPr>
      <w:r>
        <w:t>Gather all necessary equipment. Perform hand hygiene in line with the 5 moments for hand hygiene.</w:t>
      </w:r>
      <w:r w:rsidRPr="00DC205D">
        <w:rPr>
          <w:rStyle w:val="FootnoteReference"/>
        </w:rPr>
        <w:footnoteReference w:id="3"/>
      </w:r>
    </w:p>
    <w:p w14:paraId="142E7219" w14:textId="77777777" w:rsidR="00DC205D" w:rsidRPr="00FB5F04" w:rsidRDefault="00DC205D" w:rsidP="00DC205D">
      <w:pPr>
        <w:pStyle w:val="Number"/>
      </w:pPr>
      <w:r>
        <w:t>Expel any air from the syringe and then</w:t>
      </w:r>
      <w:r w:rsidRPr="00FB5F04">
        <w:t xml:space="preserve"> draw 0.1</w:t>
      </w:r>
      <w:r>
        <w:t xml:space="preserve"> </w:t>
      </w:r>
      <w:r w:rsidRPr="00FB5F04">
        <w:t xml:space="preserve">mL of tuberculin into the syringe Insert the needle into the most superficial layers of the skin </w:t>
      </w:r>
      <w:r>
        <w:t xml:space="preserve">(on the inside of forearm) </w:t>
      </w:r>
      <w:r w:rsidRPr="00FB5F04">
        <w:t>with the bevel of the needle upward, until the bevel is just covered</w:t>
      </w:r>
      <w:r>
        <w:t>,</w:t>
      </w:r>
      <w:r w:rsidRPr="00FB5F04">
        <w:t xml:space="preserve"> and slowly inject the solution</w:t>
      </w:r>
      <w:r>
        <w:t>.</w:t>
      </w:r>
    </w:p>
    <w:p w14:paraId="54DBD67D" w14:textId="77777777" w:rsidR="00DC205D" w:rsidRPr="00CE70EC" w:rsidRDefault="00DC205D" w:rsidP="00DC205D">
      <w:pPr>
        <w:pStyle w:val="Number"/>
      </w:pPr>
      <w:r w:rsidRPr="00CE70EC">
        <w:t xml:space="preserve">If </w:t>
      </w:r>
      <w:r>
        <w:t xml:space="preserve">you have carried out </w:t>
      </w:r>
      <w:r w:rsidRPr="00CE70EC">
        <w:t xml:space="preserve">the intradermal injection correctly, a definite white </w:t>
      </w:r>
      <w:r>
        <w:t>bleb of</w:t>
      </w:r>
      <w:r w:rsidRPr="00CE70EC">
        <w:t xml:space="preserve"> at least 6</w:t>
      </w:r>
      <w:r>
        <w:t> </w:t>
      </w:r>
      <w:r w:rsidRPr="00CE70EC">
        <w:t xml:space="preserve">mm in diameter will appear at the needle point. This will soon disappear. </w:t>
      </w:r>
      <w:r>
        <w:t>You do not need to apply</w:t>
      </w:r>
      <w:r w:rsidRPr="00CE70EC">
        <w:t xml:space="preserve"> dressing or use alcohol swabs on the site.</w:t>
      </w:r>
    </w:p>
    <w:p w14:paraId="10C0561A" w14:textId="77777777" w:rsidR="00DC205D" w:rsidRPr="00CE70EC" w:rsidRDefault="00DC205D" w:rsidP="00DC205D">
      <w:pPr>
        <w:pStyle w:val="Number"/>
      </w:pPr>
      <w:r w:rsidRPr="00CE70EC">
        <w:t xml:space="preserve">If the </w:t>
      </w:r>
      <w:r>
        <w:t>bleb</w:t>
      </w:r>
      <w:r w:rsidRPr="00CE70EC">
        <w:t xml:space="preserve"> is less </w:t>
      </w:r>
      <w:r w:rsidRPr="006F2473">
        <w:t>than 6 mm in diameter</w:t>
      </w:r>
      <w:r w:rsidRPr="00CE70EC">
        <w:t>, then</w:t>
      </w:r>
      <w:r>
        <w:t xml:space="preserve"> administer</w:t>
      </w:r>
      <w:r w:rsidRPr="00CE70EC">
        <w:t xml:space="preserve"> the test again. </w:t>
      </w:r>
      <w:r>
        <w:t>The first dose may have been inadequate because t</w:t>
      </w:r>
      <w:r w:rsidRPr="00CE70EC">
        <w:t xml:space="preserve">he needle bevel </w:t>
      </w:r>
      <w:r>
        <w:t>was</w:t>
      </w:r>
      <w:r w:rsidRPr="00CE70EC">
        <w:t xml:space="preserve"> inserted too deeply or </w:t>
      </w:r>
      <w:r>
        <w:t>some tuberculin has leaked out.</w:t>
      </w:r>
      <w:r w:rsidRPr="00CE70EC" w:rsidDel="00FB5F04">
        <w:t xml:space="preserve"> </w:t>
      </w:r>
      <w:r w:rsidRPr="00CE70EC">
        <w:t xml:space="preserve">If leakage occurs at the insertion site, </w:t>
      </w:r>
      <w:r>
        <w:t xml:space="preserve">you may not have inserted </w:t>
      </w:r>
      <w:r w:rsidRPr="00CE70EC">
        <w:t>the needle bevel far enough for the bevel to be covered by the skin.</w:t>
      </w:r>
    </w:p>
    <w:p w14:paraId="3DB3CB02" w14:textId="77777777" w:rsidR="00DC205D" w:rsidRDefault="00DC205D" w:rsidP="00DC205D">
      <w:pPr>
        <w:pStyle w:val="Number"/>
      </w:pPr>
      <w:r w:rsidRPr="00CE70EC">
        <w:t>If the tuberculin test must be repeated, use another site at least 50 mm from the original site.</w:t>
      </w:r>
    </w:p>
    <w:p w14:paraId="357FE1F8" w14:textId="77777777" w:rsidR="00DC205D" w:rsidRPr="00F20B64" w:rsidRDefault="00DC205D" w:rsidP="00DC205D">
      <w:pPr>
        <w:pStyle w:val="Number"/>
      </w:pPr>
      <w:r>
        <w:t>Dispose of used equipment safely and clean your hands.</w:t>
      </w:r>
    </w:p>
    <w:p w14:paraId="060CC38F" w14:textId="77777777" w:rsidR="00DC205D" w:rsidRDefault="00DC205D" w:rsidP="00DC205D"/>
    <w:p w14:paraId="32B6FDF9" w14:textId="77777777" w:rsidR="00DC205D" w:rsidRDefault="00DC205D" w:rsidP="00DC205D">
      <w:pPr>
        <w:rPr>
          <w:rStyle w:val="Hyperlink"/>
        </w:rPr>
      </w:pPr>
      <w:r w:rsidRPr="00173DD5">
        <w:t xml:space="preserve">See the </w:t>
      </w:r>
      <w:proofErr w:type="spellStart"/>
      <w:r w:rsidRPr="00173DD5">
        <w:t>Med</w:t>
      </w:r>
      <w:r>
        <w:t>s</w:t>
      </w:r>
      <w:r w:rsidRPr="00173DD5">
        <w:t>afe</w:t>
      </w:r>
      <w:proofErr w:type="spellEnd"/>
      <w:r w:rsidRPr="00173DD5">
        <w:t xml:space="preserve"> </w:t>
      </w:r>
      <w:r>
        <w:t>d</w:t>
      </w:r>
      <w:r w:rsidRPr="00173DD5">
        <w:t>ata</w:t>
      </w:r>
      <w:r>
        <w:t xml:space="preserve"> </w:t>
      </w:r>
      <w:r w:rsidRPr="00173DD5">
        <w:t>sheet (Sanofi Pasteur Limited 2007) for further information on the tuberculin solution:</w:t>
      </w:r>
      <w:r>
        <w:t xml:space="preserve"> </w:t>
      </w:r>
      <w:hyperlink r:id="rId23" w:history="1">
        <w:r w:rsidRPr="00DC205D">
          <w:rPr>
            <w:rStyle w:val="Hyperlink"/>
          </w:rPr>
          <w:t>www.medsafe.govt.nz/profs/Datasheet/t/Tubersolinj.pdf</w:t>
        </w:r>
      </w:hyperlink>
    </w:p>
    <w:p w14:paraId="3139F5B3" w14:textId="77777777" w:rsidR="00DC205D" w:rsidRPr="00173DD5" w:rsidRDefault="00DC205D" w:rsidP="00DC205D"/>
    <w:p w14:paraId="1793AF5E" w14:textId="77777777" w:rsidR="00DC205D" w:rsidRDefault="00DC205D" w:rsidP="00DC205D">
      <w:pPr>
        <w:pStyle w:val="Figure"/>
      </w:pPr>
      <w:bookmarkStart w:id="29" w:name="_Toc518889895"/>
      <w:bookmarkStart w:id="30" w:name="_Toc16154625"/>
      <w:r w:rsidRPr="00901DFC">
        <w:lastRenderedPageBreak/>
        <w:t>Figure</w:t>
      </w:r>
      <w:r>
        <w:t xml:space="preserve"> </w:t>
      </w:r>
      <w:r w:rsidR="00004D98">
        <w:rPr>
          <w:noProof/>
        </w:rPr>
        <w:fldChar w:fldCharType="begin"/>
      </w:r>
      <w:r w:rsidR="00004D98">
        <w:rPr>
          <w:noProof/>
        </w:rPr>
        <w:instrText xml:space="preserve"> SEQ Figure \* ARABIC </w:instrText>
      </w:r>
      <w:r w:rsidR="00004D98">
        <w:rPr>
          <w:noProof/>
        </w:rPr>
        <w:fldChar w:fldCharType="separate"/>
      </w:r>
      <w:r w:rsidR="00CF32B6">
        <w:rPr>
          <w:noProof/>
        </w:rPr>
        <w:t>1</w:t>
      </w:r>
      <w:r w:rsidR="00004D98">
        <w:rPr>
          <w:noProof/>
        </w:rPr>
        <w:fldChar w:fldCharType="end"/>
      </w:r>
      <w:r w:rsidRPr="00901DFC">
        <w:t>: Administering the Mantoux test</w:t>
      </w:r>
      <w:bookmarkEnd w:id="29"/>
      <w:bookmarkEnd w:id="30"/>
    </w:p>
    <w:tbl>
      <w:tblPr>
        <w:tblStyle w:val="TableGrid"/>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85"/>
        <w:gridCol w:w="4786"/>
      </w:tblGrid>
      <w:tr w:rsidR="00DC205D" w14:paraId="23D554FE" w14:textId="77777777" w:rsidTr="00F561F0">
        <w:trPr>
          <w:cantSplit/>
        </w:trPr>
        <w:tc>
          <w:tcPr>
            <w:tcW w:w="4785" w:type="dxa"/>
          </w:tcPr>
          <w:p w14:paraId="17BB6CBD" w14:textId="77777777" w:rsidR="00DC205D" w:rsidRDefault="00DC205D" w:rsidP="00DC205D">
            <w:pPr>
              <w:pStyle w:val="TableText"/>
            </w:pPr>
            <w:r>
              <w:rPr>
                <w:rFonts w:cs="Arial"/>
                <w:noProof/>
                <w:szCs w:val="18"/>
                <w:lang w:eastAsia="en-NZ"/>
              </w:rPr>
              <w:drawing>
                <wp:inline distT="0" distB="0" distL="0" distR="0" wp14:anchorId="51CAFDEC" wp14:editId="737C3567">
                  <wp:extent cx="2785745" cy="1828800"/>
                  <wp:effectExtent l="0" t="0" r="0" b="0"/>
                  <wp:docPr id="8" name="Picture 8" descr="DSC0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2582"/>
                          <pic:cNvPicPr>
                            <a:picLocks noChangeAspect="1" noChangeArrowheads="1"/>
                          </pic:cNvPicPr>
                        </pic:nvPicPr>
                        <pic:blipFill>
                          <a:blip r:embed="rId24">
                            <a:grayscl/>
                            <a:extLst>
                              <a:ext uri="{28A0092B-C50C-407E-A947-70E740481C1C}">
                                <a14:useLocalDpi xmlns:a14="http://schemas.microsoft.com/office/drawing/2010/main" val="0"/>
                              </a:ext>
                            </a:extLst>
                          </a:blip>
                          <a:srcRect/>
                          <a:stretch>
                            <a:fillRect/>
                          </a:stretch>
                        </pic:blipFill>
                        <pic:spPr bwMode="auto">
                          <a:xfrm>
                            <a:off x="0" y="0"/>
                            <a:ext cx="2785745" cy="1828800"/>
                          </a:xfrm>
                          <a:prstGeom prst="rect">
                            <a:avLst/>
                          </a:prstGeom>
                          <a:noFill/>
                          <a:ln>
                            <a:noFill/>
                          </a:ln>
                        </pic:spPr>
                      </pic:pic>
                    </a:graphicData>
                  </a:graphic>
                </wp:inline>
              </w:drawing>
            </w:r>
          </w:p>
        </w:tc>
        <w:tc>
          <w:tcPr>
            <w:tcW w:w="4786" w:type="dxa"/>
          </w:tcPr>
          <w:p w14:paraId="0C473BFF" w14:textId="77777777" w:rsidR="00DC205D" w:rsidRDefault="00DC205D" w:rsidP="00DC205D">
            <w:pPr>
              <w:pStyle w:val="TableText"/>
            </w:pPr>
            <w:r>
              <w:rPr>
                <w:rFonts w:cs="Arial"/>
                <w:noProof/>
                <w:szCs w:val="18"/>
                <w:lang w:eastAsia="en-NZ"/>
              </w:rPr>
              <w:drawing>
                <wp:inline distT="0" distB="0" distL="0" distR="0" wp14:anchorId="7F19951E" wp14:editId="137AA4E6">
                  <wp:extent cx="2757170" cy="1828800"/>
                  <wp:effectExtent l="0" t="0" r="5080" b="0"/>
                  <wp:docPr id="7" name="Picture 7" descr="DSC02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2584"/>
                          <pic:cNvPicPr>
                            <a:picLocks noChangeAspect="1" noChangeArrowheads="1"/>
                          </pic:cNvPicPr>
                        </pic:nvPicPr>
                        <pic:blipFill>
                          <a:blip r:embed="rId25">
                            <a:grayscl/>
                            <a:extLst>
                              <a:ext uri="{28A0092B-C50C-407E-A947-70E740481C1C}">
                                <a14:useLocalDpi xmlns:a14="http://schemas.microsoft.com/office/drawing/2010/main" val="0"/>
                              </a:ext>
                            </a:extLst>
                          </a:blip>
                          <a:srcRect/>
                          <a:stretch>
                            <a:fillRect/>
                          </a:stretch>
                        </pic:blipFill>
                        <pic:spPr bwMode="auto">
                          <a:xfrm>
                            <a:off x="0" y="0"/>
                            <a:ext cx="2757170" cy="1828800"/>
                          </a:xfrm>
                          <a:prstGeom prst="rect">
                            <a:avLst/>
                          </a:prstGeom>
                          <a:noFill/>
                          <a:ln>
                            <a:noFill/>
                          </a:ln>
                        </pic:spPr>
                      </pic:pic>
                    </a:graphicData>
                  </a:graphic>
                </wp:inline>
              </w:drawing>
            </w:r>
          </w:p>
        </w:tc>
      </w:tr>
      <w:tr w:rsidR="00DC205D" w14:paraId="50786604" w14:textId="77777777" w:rsidTr="00F561F0">
        <w:trPr>
          <w:cantSplit/>
        </w:trPr>
        <w:tc>
          <w:tcPr>
            <w:tcW w:w="4785" w:type="dxa"/>
          </w:tcPr>
          <w:p w14:paraId="4A2A6652" w14:textId="77777777" w:rsidR="00DC205D" w:rsidRDefault="00F561F0" w:rsidP="00F561F0">
            <w:pPr>
              <w:pStyle w:val="TableText"/>
              <w:ind w:left="425" w:right="567" w:hanging="425"/>
            </w:pPr>
            <w:r>
              <w:rPr>
                <w:rFonts w:cs="Arial"/>
                <w:szCs w:val="18"/>
              </w:rPr>
              <w:t>1.</w:t>
            </w:r>
            <w:r>
              <w:rPr>
                <w:rFonts w:cs="Arial"/>
                <w:szCs w:val="18"/>
              </w:rPr>
              <w:tab/>
            </w:r>
            <w:r w:rsidRPr="00173DD5">
              <w:rPr>
                <w:rFonts w:cs="Arial"/>
                <w:szCs w:val="18"/>
              </w:rPr>
              <w:t>Draw 0.1 mL of tuberculin into the syringe and remove any air bubbles. Hold the skin taut.</w:t>
            </w:r>
          </w:p>
        </w:tc>
        <w:tc>
          <w:tcPr>
            <w:tcW w:w="4786" w:type="dxa"/>
          </w:tcPr>
          <w:p w14:paraId="57A42DA8" w14:textId="77777777" w:rsidR="00DC205D" w:rsidRDefault="00F561F0" w:rsidP="00F561F0">
            <w:pPr>
              <w:pStyle w:val="TableText"/>
              <w:ind w:left="425" w:right="567" w:hanging="425"/>
            </w:pPr>
            <w:r>
              <w:t>2.</w:t>
            </w:r>
            <w:r>
              <w:tab/>
            </w:r>
            <w:r w:rsidRPr="00173DD5">
              <w:t>Insert the needle into the most superficial layers of the skin with the bevel of the needle upward, until the bevel is just covered, and slowly inject the solution.</w:t>
            </w:r>
          </w:p>
        </w:tc>
      </w:tr>
      <w:tr w:rsidR="00DC205D" w14:paraId="7AAC0394" w14:textId="77777777" w:rsidTr="00F561F0">
        <w:trPr>
          <w:cantSplit/>
        </w:trPr>
        <w:tc>
          <w:tcPr>
            <w:tcW w:w="4785" w:type="dxa"/>
          </w:tcPr>
          <w:p w14:paraId="35EE7514" w14:textId="77777777" w:rsidR="00DC205D" w:rsidRDefault="00F561F0" w:rsidP="00DC205D">
            <w:pPr>
              <w:pStyle w:val="TableText"/>
            </w:pPr>
            <w:r>
              <w:rPr>
                <w:rFonts w:cs="Arial"/>
                <w:noProof/>
                <w:szCs w:val="18"/>
                <w:lang w:eastAsia="en-NZ"/>
              </w:rPr>
              <w:drawing>
                <wp:inline distT="0" distB="0" distL="0" distR="0" wp14:anchorId="6314CEEA" wp14:editId="3052CC2A">
                  <wp:extent cx="2795270" cy="1819275"/>
                  <wp:effectExtent l="0" t="0" r="5080" b="9525"/>
                  <wp:docPr id="6" name="Picture 6" descr="DSC02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2585"/>
                          <pic:cNvPicPr>
                            <a:picLocks noChangeAspect="1" noChangeArrowheads="1"/>
                          </pic:cNvPicPr>
                        </pic:nvPicPr>
                        <pic:blipFill>
                          <a:blip r:embed="rId26">
                            <a:grayscl/>
                            <a:extLst>
                              <a:ext uri="{28A0092B-C50C-407E-A947-70E740481C1C}">
                                <a14:useLocalDpi xmlns:a14="http://schemas.microsoft.com/office/drawing/2010/main" val="0"/>
                              </a:ext>
                            </a:extLst>
                          </a:blip>
                          <a:srcRect/>
                          <a:stretch>
                            <a:fillRect/>
                          </a:stretch>
                        </pic:blipFill>
                        <pic:spPr bwMode="auto">
                          <a:xfrm>
                            <a:off x="0" y="0"/>
                            <a:ext cx="2795270" cy="1819275"/>
                          </a:xfrm>
                          <a:prstGeom prst="rect">
                            <a:avLst/>
                          </a:prstGeom>
                          <a:noFill/>
                          <a:ln>
                            <a:noFill/>
                          </a:ln>
                        </pic:spPr>
                      </pic:pic>
                    </a:graphicData>
                  </a:graphic>
                </wp:inline>
              </w:drawing>
            </w:r>
          </w:p>
        </w:tc>
        <w:tc>
          <w:tcPr>
            <w:tcW w:w="4786" w:type="dxa"/>
          </w:tcPr>
          <w:p w14:paraId="180E6100" w14:textId="77777777" w:rsidR="00DC205D" w:rsidRDefault="00F561F0" w:rsidP="00DC205D">
            <w:pPr>
              <w:pStyle w:val="TableText"/>
            </w:pPr>
            <w:r>
              <w:rPr>
                <w:rFonts w:cs="Arial"/>
                <w:noProof/>
                <w:lang w:eastAsia="en-NZ"/>
              </w:rPr>
              <w:drawing>
                <wp:inline distT="0" distB="0" distL="0" distR="0" wp14:anchorId="736F22F9" wp14:editId="099DA1BF">
                  <wp:extent cx="2766695" cy="1828800"/>
                  <wp:effectExtent l="0" t="0" r="0" b="0"/>
                  <wp:docPr id="5" name="Picture 5" descr="DSC02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2587"/>
                          <pic:cNvPicPr>
                            <a:picLocks noChangeAspect="1" noChangeArrowheads="1"/>
                          </pic:cNvPicPr>
                        </pic:nvPicPr>
                        <pic:blipFill>
                          <a:blip r:embed="rId27">
                            <a:grayscl/>
                            <a:extLst>
                              <a:ext uri="{28A0092B-C50C-407E-A947-70E740481C1C}">
                                <a14:useLocalDpi xmlns:a14="http://schemas.microsoft.com/office/drawing/2010/main" val="0"/>
                              </a:ext>
                            </a:extLst>
                          </a:blip>
                          <a:srcRect/>
                          <a:stretch>
                            <a:fillRect/>
                          </a:stretch>
                        </pic:blipFill>
                        <pic:spPr bwMode="auto">
                          <a:xfrm>
                            <a:off x="0" y="0"/>
                            <a:ext cx="2766695" cy="1828800"/>
                          </a:xfrm>
                          <a:prstGeom prst="rect">
                            <a:avLst/>
                          </a:prstGeom>
                          <a:noFill/>
                          <a:ln>
                            <a:noFill/>
                          </a:ln>
                        </pic:spPr>
                      </pic:pic>
                    </a:graphicData>
                  </a:graphic>
                </wp:inline>
              </w:drawing>
            </w:r>
          </w:p>
        </w:tc>
      </w:tr>
      <w:tr w:rsidR="00F561F0" w14:paraId="3C87E8DC" w14:textId="77777777" w:rsidTr="00F561F0">
        <w:trPr>
          <w:cantSplit/>
        </w:trPr>
        <w:tc>
          <w:tcPr>
            <w:tcW w:w="9571" w:type="dxa"/>
            <w:gridSpan w:val="2"/>
          </w:tcPr>
          <w:p w14:paraId="34124904" w14:textId="77777777" w:rsidR="00F561F0" w:rsidRDefault="00F561F0" w:rsidP="00F561F0">
            <w:pPr>
              <w:pStyle w:val="TableText"/>
              <w:ind w:left="425" w:hanging="425"/>
            </w:pPr>
            <w:r>
              <w:rPr>
                <w:rFonts w:cs="Arial"/>
                <w:szCs w:val="18"/>
              </w:rPr>
              <w:t>3.</w:t>
            </w:r>
            <w:r>
              <w:rPr>
                <w:rFonts w:cs="Arial"/>
                <w:szCs w:val="18"/>
              </w:rPr>
              <w:tab/>
            </w:r>
            <w:r w:rsidRPr="00173DD5">
              <w:rPr>
                <w:rFonts w:cs="Arial"/>
                <w:szCs w:val="18"/>
              </w:rPr>
              <w:t xml:space="preserve">A definite white </w:t>
            </w:r>
            <w:r>
              <w:rPr>
                <w:rFonts w:cs="Arial"/>
                <w:szCs w:val="18"/>
              </w:rPr>
              <w:t xml:space="preserve">bleb or weal </w:t>
            </w:r>
            <w:r w:rsidRPr="00173DD5">
              <w:rPr>
                <w:rFonts w:cs="Arial"/>
                <w:szCs w:val="18"/>
              </w:rPr>
              <w:t>will appear at the needle po</w:t>
            </w:r>
            <w:r>
              <w:rPr>
                <w:rFonts w:cs="Arial"/>
                <w:szCs w:val="18"/>
              </w:rPr>
              <w:t>int. This will soon disappear.</w:t>
            </w:r>
          </w:p>
        </w:tc>
      </w:tr>
    </w:tbl>
    <w:p w14:paraId="44FD018F" w14:textId="77777777" w:rsidR="00DC205D" w:rsidRDefault="00DC205D" w:rsidP="00F561F0">
      <w:pPr>
        <w:pStyle w:val="Source"/>
      </w:pPr>
      <w:bookmarkStart w:id="31" w:name="_Toc296952195"/>
      <w:r w:rsidRPr="00173DD5">
        <w:t>Source: Auckland Regional Public Health Service</w:t>
      </w:r>
      <w:bookmarkEnd w:id="31"/>
    </w:p>
    <w:p w14:paraId="3931A949" w14:textId="77777777" w:rsidR="00F561F0" w:rsidRPr="00F561F0" w:rsidRDefault="00F561F0" w:rsidP="00F561F0"/>
    <w:p w14:paraId="4138234C" w14:textId="77777777" w:rsidR="00DC205D" w:rsidRPr="00FF75F2" w:rsidRDefault="00DC205D" w:rsidP="00F561F0">
      <w:pPr>
        <w:pStyle w:val="Heading1"/>
      </w:pPr>
      <w:bookmarkStart w:id="32" w:name="_Toc296940199"/>
      <w:bookmarkStart w:id="33" w:name="_Toc375234806"/>
      <w:bookmarkStart w:id="34" w:name="_Toc518977026"/>
      <w:bookmarkStart w:id="35" w:name="_Toc16154522"/>
      <w:r w:rsidRPr="00FF75F2">
        <w:lastRenderedPageBreak/>
        <w:t>Measuring and recording reactions</w:t>
      </w:r>
      <w:bookmarkEnd w:id="32"/>
      <w:bookmarkEnd w:id="33"/>
      <w:bookmarkEnd w:id="34"/>
      <w:bookmarkEnd w:id="35"/>
    </w:p>
    <w:p w14:paraId="21AEE2EB" w14:textId="77777777" w:rsidR="00DC205D" w:rsidRPr="00173DD5" w:rsidRDefault="00DC205D" w:rsidP="00F561F0">
      <w:r>
        <w:t>Read t</w:t>
      </w:r>
      <w:r w:rsidRPr="00173DD5">
        <w:t>he Mantoux reaction 48–72 hours after administration. If this</w:t>
      </w:r>
      <w:r>
        <w:t xml:space="preserve"> timeframe</w:t>
      </w:r>
      <w:r w:rsidRPr="00173DD5">
        <w:t xml:space="preserve"> is not possible, </w:t>
      </w:r>
      <w:r>
        <w:t xml:space="preserve">you may </w:t>
      </w:r>
      <w:r w:rsidRPr="00173DD5">
        <w:t xml:space="preserve">read </w:t>
      </w:r>
      <w:r>
        <w:t xml:space="preserve">it </w:t>
      </w:r>
      <w:r w:rsidRPr="00173DD5">
        <w:t>after</w:t>
      </w:r>
      <w:r>
        <w:t xml:space="preserve"> 72 hours and up to seven days later. H</w:t>
      </w:r>
      <w:r w:rsidRPr="00173DD5">
        <w:t xml:space="preserve">owever, as all the literature </w:t>
      </w:r>
      <w:r>
        <w:t>on</w:t>
      </w:r>
      <w:r w:rsidRPr="00173DD5">
        <w:t xml:space="preserve"> the risk of developing TB is based on reading Mantoux tests at 48</w:t>
      </w:r>
      <w:r>
        <w:t>–</w:t>
      </w:r>
      <w:r w:rsidRPr="00173DD5">
        <w:t>72 hours,</w:t>
      </w:r>
      <w:r>
        <w:t xml:space="preserve"> the reliability of</w:t>
      </w:r>
      <w:r w:rsidRPr="00173DD5">
        <w:t xml:space="preserve"> the interpretation of Mantoux tests that are read after 72 hours and up to seven days</w:t>
      </w:r>
      <w:r>
        <w:t xml:space="preserve"> later</w:t>
      </w:r>
      <w:r w:rsidRPr="00173DD5">
        <w:t xml:space="preserve"> is uncertain (Menzies and Doherty 2006).</w:t>
      </w:r>
    </w:p>
    <w:p w14:paraId="4D440FB6" w14:textId="77777777" w:rsidR="00F561F0" w:rsidRDefault="00F561F0" w:rsidP="00F561F0"/>
    <w:p w14:paraId="471B97C0" w14:textId="77777777" w:rsidR="00DC205D" w:rsidRPr="00173DD5" w:rsidRDefault="00DC205D" w:rsidP="00F561F0">
      <w:r w:rsidRPr="00173DD5">
        <w:t xml:space="preserve">The exception is when </w:t>
      </w:r>
      <w:r>
        <w:t xml:space="preserve">you conduct </w:t>
      </w:r>
      <w:r w:rsidRPr="00173DD5">
        <w:t>the two-step Mantoux to identify the booster effect</w:t>
      </w:r>
      <w:r>
        <w:t>. In this case,</w:t>
      </w:r>
      <w:r w:rsidRPr="00173DD5">
        <w:t xml:space="preserve"> read </w:t>
      </w:r>
      <w:r>
        <w:t xml:space="preserve">the reaction </w:t>
      </w:r>
      <w:r w:rsidRPr="00173DD5">
        <w:t>at 48 hours</w:t>
      </w:r>
      <w:r>
        <w:t>.</w:t>
      </w:r>
      <w:r w:rsidRPr="00F561F0">
        <w:rPr>
          <w:rStyle w:val="FootnoteReference"/>
        </w:rPr>
        <w:footnoteReference w:id="4"/>
      </w:r>
    </w:p>
    <w:p w14:paraId="08998A67" w14:textId="77777777" w:rsidR="00F561F0" w:rsidRDefault="00F561F0" w:rsidP="00F561F0"/>
    <w:p w14:paraId="055F493E" w14:textId="77777777" w:rsidR="00DC205D" w:rsidRDefault="00DC205D" w:rsidP="00F561F0">
      <w:r>
        <w:t>You read t</w:t>
      </w:r>
      <w:r w:rsidRPr="00173DD5">
        <w:t xml:space="preserve">he Mantoux test </w:t>
      </w:r>
      <w:r>
        <w:t xml:space="preserve">by </w:t>
      </w:r>
      <w:r w:rsidRPr="00173DD5">
        <w:t xml:space="preserve">observing the presence or absence of induration (the area of raised tissue that can be felt and seen), not redness. </w:t>
      </w:r>
      <w:r>
        <w:t>You may determine the</w:t>
      </w:r>
      <w:r w:rsidRPr="00173DD5">
        <w:t xml:space="preserve"> induration by inspection and palpation. It is important </w:t>
      </w:r>
      <w:r>
        <w:t>to carry out</w:t>
      </w:r>
      <w:r w:rsidRPr="00173DD5">
        <w:t xml:space="preserve"> readings in good light.</w:t>
      </w:r>
    </w:p>
    <w:p w14:paraId="33898F5D" w14:textId="77777777" w:rsidR="00F561F0" w:rsidRDefault="00F561F0" w:rsidP="00F561F0"/>
    <w:p w14:paraId="3F4DB355" w14:textId="77777777" w:rsidR="00DC205D" w:rsidRPr="00173DD5" w:rsidRDefault="00DC205D" w:rsidP="00F561F0">
      <w:r>
        <w:t>Most people find it easier to identify the edge of the induration on each side by drawing a line on the skin with a ballpoint pen, advancing the tip towards the induration until they feel the edge of the induration (as in Figure 2).</w:t>
      </w:r>
    </w:p>
    <w:p w14:paraId="22E5A7D6" w14:textId="77777777" w:rsidR="00F561F0" w:rsidRDefault="00F561F0" w:rsidP="00F561F0"/>
    <w:p w14:paraId="5F647C0E" w14:textId="77777777" w:rsidR="00DC205D" w:rsidRDefault="00DC205D" w:rsidP="00F561F0">
      <w:r w:rsidRPr="00173DD5">
        <w:t>Use a transparent ruler</w:t>
      </w:r>
      <w:r w:rsidRPr="004955B3">
        <w:t xml:space="preserve"> </w:t>
      </w:r>
      <w:r>
        <w:t xml:space="preserve">that is </w:t>
      </w:r>
      <w:r w:rsidRPr="00173DD5">
        <w:t>marked in millimetres</w:t>
      </w:r>
      <w:r>
        <w:t xml:space="preserve"> (and that you clean, according to local policy, between uses)</w:t>
      </w:r>
      <w:r w:rsidRPr="00173DD5">
        <w:t xml:space="preserve"> to measure the induration (and </w:t>
      </w:r>
      <w:r w:rsidRPr="00AF69BA">
        <w:t>only</w:t>
      </w:r>
      <w:r w:rsidRPr="00173DD5">
        <w:rPr>
          <w:i/>
        </w:rPr>
        <w:t xml:space="preserve"> </w:t>
      </w:r>
      <w:r w:rsidRPr="00173DD5">
        <w:t xml:space="preserve">the induration – </w:t>
      </w:r>
      <w:r w:rsidRPr="00AF69BA">
        <w:t>not</w:t>
      </w:r>
      <w:r w:rsidRPr="00344597">
        <w:rPr>
          <w:i/>
        </w:rPr>
        <w:t xml:space="preserve"> </w:t>
      </w:r>
      <w:r>
        <w:t>the entire area of redness).</w:t>
      </w:r>
      <w:r w:rsidRPr="00173DD5">
        <w:t xml:space="preserve"> Measure transversely to the long axis of the forearm (</w:t>
      </w:r>
      <w:proofErr w:type="spellStart"/>
      <w:r>
        <w:t>ie</w:t>
      </w:r>
      <w:proofErr w:type="spellEnd"/>
      <w:r>
        <w:t xml:space="preserve">, </w:t>
      </w:r>
      <w:r w:rsidRPr="00173DD5">
        <w:t xml:space="preserve">across the width of the forearm) and record the result in millimetres. This is the method recommended by the American Thoracic Society </w:t>
      </w:r>
      <w:r w:rsidRPr="00173DD5">
        <w:fldChar w:fldCharType="begin"/>
      </w:r>
      <w:r w:rsidRPr="00173DD5">
        <w:instrText xml:space="preserve"> ADDIN EN.CITE &lt;EndNote&gt;&lt;Cite&gt;&lt;Author&gt;American Thoracic Society&lt;/Author&gt;&lt;Year&gt;2000&lt;/Year&gt;&lt;RecNum&gt;15&lt;/RecNum&gt;&lt;record&gt;&lt;rec-number&gt;15&lt;/rec-number&gt;&lt;foreign-keys&gt;&lt;key app="EN" db-id="9p5pr95xrpzsrae2w2qx0av3sfv9ea9x2s5e"&gt;15&lt;/key&gt;&lt;/foreign-keys&gt;&lt;ref-type name="Journal Article"&gt;17&lt;/ref-type&gt;&lt;contributors&gt;&lt;authors&gt;&lt;author&gt;American Thoracic Society,&lt;/author&gt;&lt;/authors&gt;&lt;/contributors&gt;&lt;titles&gt;&lt;title&gt;Diagnostic Standards and Classification of Tuberculosis in Adults and Children.&lt;/title&gt;&lt;secondary-title&gt;Am J Resp Crit Care Med &lt;/secondary-title&gt;&lt;/titles&gt;&lt;periodical&gt;&lt;full-title&gt;Am J Resp Crit Care Med&lt;/full-title&gt;&lt;/periodical&gt;&lt;pages&gt;1376-95&lt;/pages&gt;&lt;volume&gt;161&lt;/volume&gt;&lt;dates&gt;&lt;year&gt;2000&lt;/year&gt;&lt;/dates&gt;&lt;urls&gt;&lt;/urls&gt;&lt;/record&gt;&lt;/Cite&gt;&lt;/EndNote&gt;</w:instrText>
      </w:r>
      <w:r w:rsidRPr="00173DD5">
        <w:fldChar w:fldCharType="separate"/>
      </w:r>
      <w:r w:rsidRPr="00173DD5">
        <w:t>(2000)</w:t>
      </w:r>
      <w:r w:rsidRPr="00173DD5">
        <w:fldChar w:fldCharType="end"/>
      </w:r>
      <w:r w:rsidRPr="00173DD5">
        <w:t xml:space="preserve"> and </w:t>
      </w:r>
      <w:r>
        <w:t>produces data that are</w:t>
      </w:r>
      <w:r w:rsidRPr="00173DD5">
        <w:t xml:space="preserve"> inter</w:t>
      </w:r>
      <w:r>
        <w:t>nationally comparable.</w:t>
      </w:r>
      <w:r w:rsidRPr="00173DD5">
        <w:t xml:space="preserve"> See Figure</w:t>
      </w:r>
      <w:r w:rsidR="00F561F0">
        <w:t> </w:t>
      </w:r>
      <w:r>
        <w:t>2</w:t>
      </w:r>
      <w:r w:rsidRPr="00173DD5">
        <w:t xml:space="preserve"> for photos </w:t>
      </w:r>
      <w:r>
        <w:t>of</w:t>
      </w:r>
      <w:r w:rsidRPr="00173DD5">
        <w:t xml:space="preserve"> Mantoux reactions.</w:t>
      </w:r>
    </w:p>
    <w:p w14:paraId="2CF81195" w14:textId="77777777" w:rsidR="00F561F0" w:rsidRPr="00173DD5" w:rsidRDefault="00F561F0" w:rsidP="00F561F0"/>
    <w:p w14:paraId="43C75B91" w14:textId="77777777" w:rsidR="00DC205D" w:rsidRDefault="00DC205D" w:rsidP="00F561F0">
      <w:pPr>
        <w:pStyle w:val="Figure"/>
      </w:pPr>
      <w:bookmarkStart w:id="36" w:name="_Toc518889896"/>
      <w:bookmarkStart w:id="37" w:name="_Toc16154626"/>
      <w:r w:rsidRPr="00901DFC">
        <w:t>Figure</w:t>
      </w:r>
      <w:r>
        <w:t xml:space="preserve"> </w:t>
      </w:r>
      <w:r w:rsidR="00004D98">
        <w:rPr>
          <w:noProof/>
        </w:rPr>
        <w:fldChar w:fldCharType="begin"/>
      </w:r>
      <w:r w:rsidR="00004D98">
        <w:rPr>
          <w:noProof/>
        </w:rPr>
        <w:instrText xml:space="preserve"> SEQ Figure \* ARABIC </w:instrText>
      </w:r>
      <w:r w:rsidR="00004D98">
        <w:rPr>
          <w:noProof/>
        </w:rPr>
        <w:fldChar w:fldCharType="separate"/>
      </w:r>
      <w:r w:rsidR="00CF32B6">
        <w:rPr>
          <w:noProof/>
        </w:rPr>
        <w:t>2</w:t>
      </w:r>
      <w:r w:rsidR="00004D98">
        <w:rPr>
          <w:noProof/>
        </w:rPr>
        <w:fldChar w:fldCharType="end"/>
      </w:r>
      <w:r w:rsidRPr="00901DFC">
        <w:t>: Mantoux reactions showing induration</w:t>
      </w:r>
      <w:bookmarkEnd w:id="36"/>
      <w:bookmarkEnd w:id="37"/>
    </w:p>
    <w:tbl>
      <w:tblPr>
        <w:tblStyle w:val="TableGrid"/>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85"/>
        <w:gridCol w:w="4786"/>
      </w:tblGrid>
      <w:tr w:rsidR="00F561F0" w14:paraId="1CEE4412" w14:textId="77777777" w:rsidTr="00E37B93">
        <w:trPr>
          <w:cantSplit/>
        </w:trPr>
        <w:tc>
          <w:tcPr>
            <w:tcW w:w="4785" w:type="dxa"/>
          </w:tcPr>
          <w:p w14:paraId="5210ACBB" w14:textId="77777777" w:rsidR="00F561F0" w:rsidRDefault="00F561F0" w:rsidP="00E37B93">
            <w:pPr>
              <w:pStyle w:val="TableText"/>
            </w:pPr>
            <w:r>
              <w:rPr>
                <w:rFonts w:cs="Arial"/>
                <w:noProof/>
                <w:lang w:eastAsia="en-NZ"/>
              </w:rPr>
              <w:drawing>
                <wp:inline distT="0" distB="0" distL="0" distR="0" wp14:anchorId="7F52D674" wp14:editId="27FA1794">
                  <wp:extent cx="2798445" cy="1816100"/>
                  <wp:effectExtent l="0" t="0" r="1905" b="0"/>
                  <wp:docPr id="4" name="Picture 4" descr="DSC0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26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98445" cy="1816100"/>
                          </a:xfrm>
                          <a:prstGeom prst="rect">
                            <a:avLst/>
                          </a:prstGeom>
                          <a:noFill/>
                          <a:ln>
                            <a:noFill/>
                          </a:ln>
                        </pic:spPr>
                      </pic:pic>
                    </a:graphicData>
                  </a:graphic>
                </wp:inline>
              </w:drawing>
            </w:r>
          </w:p>
        </w:tc>
        <w:tc>
          <w:tcPr>
            <w:tcW w:w="4786" w:type="dxa"/>
          </w:tcPr>
          <w:p w14:paraId="64BF60B7" w14:textId="77777777" w:rsidR="00F561F0" w:rsidRDefault="00F561F0" w:rsidP="00E37B93">
            <w:pPr>
              <w:pStyle w:val="TableText"/>
            </w:pPr>
            <w:r>
              <w:rPr>
                <w:rFonts w:cs="Arial"/>
                <w:noProof/>
                <w:sz w:val="2"/>
                <w:lang w:eastAsia="en-NZ"/>
              </w:rPr>
              <w:drawing>
                <wp:inline distT="0" distB="0" distL="0" distR="0" wp14:anchorId="406750EC" wp14:editId="56984480">
                  <wp:extent cx="2803525" cy="1816100"/>
                  <wp:effectExtent l="0" t="0" r="0" b="0"/>
                  <wp:docPr id="1" name="Picture 1" descr="DSC0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026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3525" cy="1816100"/>
                          </a:xfrm>
                          <a:prstGeom prst="rect">
                            <a:avLst/>
                          </a:prstGeom>
                          <a:noFill/>
                          <a:ln>
                            <a:noFill/>
                          </a:ln>
                        </pic:spPr>
                      </pic:pic>
                    </a:graphicData>
                  </a:graphic>
                </wp:inline>
              </w:drawing>
            </w:r>
          </w:p>
        </w:tc>
      </w:tr>
      <w:tr w:rsidR="00F561F0" w14:paraId="137B63DA" w14:textId="77777777" w:rsidTr="00E37B93">
        <w:trPr>
          <w:cantSplit/>
        </w:trPr>
        <w:tc>
          <w:tcPr>
            <w:tcW w:w="9571" w:type="dxa"/>
            <w:gridSpan w:val="2"/>
          </w:tcPr>
          <w:p w14:paraId="7BB6161D" w14:textId="77777777" w:rsidR="00F561F0" w:rsidRDefault="00F561F0" w:rsidP="00F561F0">
            <w:pPr>
              <w:pStyle w:val="TableText"/>
              <w:ind w:left="425" w:right="567" w:hanging="425"/>
            </w:pPr>
            <w:r>
              <w:t>P</w:t>
            </w:r>
            <w:r w:rsidRPr="00173DD5">
              <w:t>hotos show Mantoux reactions</w:t>
            </w:r>
            <w:r>
              <w:t xml:space="preserve"> at</w:t>
            </w:r>
            <w:r w:rsidRPr="00173DD5">
              <w:t xml:space="preserve"> </w:t>
            </w:r>
            <w:r>
              <w:t>(</w:t>
            </w:r>
            <w:r w:rsidRPr="00173DD5">
              <w:t xml:space="preserve">a) 15 mm and </w:t>
            </w:r>
            <w:r>
              <w:t>(</w:t>
            </w:r>
            <w:r w:rsidRPr="00173DD5">
              <w:t>b) 9 mm</w:t>
            </w:r>
            <w:r>
              <w:t>.</w:t>
            </w:r>
          </w:p>
        </w:tc>
      </w:tr>
    </w:tbl>
    <w:p w14:paraId="7FB26BD9" w14:textId="77777777" w:rsidR="00F561F0" w:rsidRDefault="00F561F0" w:rsidP="00F561F0">
      <w:pPr>
        <w:pStyle w:val="Source"/>
      </w:pPr>
      <w:r w:rsidRPr="00173DD5">
        <w:t>Source: Auckland Regional Public Health Service</w:t>
      </w:r>
    </w:p>
    <w:p w14:paraId="7AE052DF" w14:textId="77777777" w:rsidR="00F561F0" w:rsidRPr="00F561F0" w:rsidRDefault="00F561F0" w:rsidP="00F561F0"/>
    <w:p w14:paraId="0AD83CB6" w14:textId="77777777" w:rsidR="00DC205D" w:rsidRPr="00FF75F2" w:rsidRDefault="00DC205D" w:rsidP="00F561F0">
      <w:pPr>
        <w:pStyle w:val="Heading1"/>
      </w:pPr>
      <w:bookmarkStart w:id="38" w:name="_Toc296940200"/>
      <w:bookmarkStart w:id="39" w:name="_Toc375234807"/>
      <w:bookmarkStart w:id="40" w:name="_Toc518977027"/>
      <w:bookmarkStart w:id="41" w:name="_Toc16154523"/>
      <w:r>
        <w:lastRenderedPageBreak/>
        <w:t>Interpreting the r</w:t>
      </w:r>
      <w:r w:rsidRPr="00FF75F2">
        <w:t>esults</w:t>
      </w:r>
      <w:bookmarkEnd w:id="38"/>
      <w:bookmarkEnd w:id="39"/>
      <w:bookmarkEnd w:id="40"/>
      <w:bookmarkEnd w:id="41"/>
    </w:p>
    <w:p w14:paraId="249DC3CC" w14:textId="77777777" w:rsidR="00DC205D" w:rsidRPr="00FF75F2" w:rsidRDefault="00DC205D" w:rsidP="00F561F0">
      <w:pPr>
        <w:pStyle w:val="Heading2"/>
      </w:pPr>
      <w:bookmarkStart w:id="42" w:name="_Toc282079235"/>
      <w:bookmarkStart w:id="43" w:name="_Toc296940201"/>
      <w:bookmarkStart w:id="44" w:name="_Toc375234808"/>
      <w:bookmarkStart w:id="45" w:name="_Toc518977028"/>
      <w:bookmarkStart w:id="46" w:name="_Toc16154524"/>
      <w:r w:rsidRPr="00FF75F2">
        <w:t>Mantoux cutting points</w:t>
      </w:r>
      <w:bookmarkEnd w:id="42"/>
      <w:bookmarkEnd w:id="43"/>
      <w:bookmarkEnd w:id="44"/>
      <w:bookmarkEnd w:id="45"/>
      <w:bookmarkEnd w:id="46"/>
    </w:p>
    <w:p w14:paraId="536D2CFE" w14:textId="77777777" w:rsidR="00DC205D" w:rsidRPr="00173DD5" w:rsidRDefault="00DC205D" w:rsidP="00F561F0">
      <w:r w:rsidRPr="00173DD5">
        <w:t xml:space="preserve">Factors other than TB infection </w:t>
      </w:r>
      <w:r>
        <w:t>can increase t</w:t>
      </w:r>
      <w:r w:rsidRPr="00173DD5">
        <w:t>he Mantoux response</w:t>
      </w:r>
      <w:r>
        <w:t xml:space="preserve">. These factors include </w:t>
      </w:r>
      <w:r w:rsidRPr="00173DD5">
        <w:t>boosting by tuberculin, exposure to environmental non-tuberculosis mycobacteria, a</w:t>
      </w:r>
      <w:r>
        <w:t>nd BCG vaccination.</w:t>
      </w:r>
      <w:r w:rsidRPr="00173DD5">
        <w:t xml:space="preserve"> </w:t>
      </w:r>
      <w:r>
        <w:t xml:space="preserve">You </w:t>
      </w:r>
      <w:r w:rsidRPr="00173DD5">
        <w:t>need to consider</w:t>
      </w:r>
      <w:r>
        <w:t xml:space="preserve"> them</w:t>
      </w:r>
      <w:r w:rsidRPr="00173DD5">
        <w:t xml:space="preserve"> when interpreting a Mantoux response. The larger the Mantoux response, the more likely it</w:t>
      </w:r>
      <w:r>
        <w:t xml:space="preserve"> is that it</w:t>
      </w:r>
      <w:r w:rsidRPr="00173DD5">
        <w:t xml:space="preserve"> represents </w:t>
      </w:r>
      <w:r>
        <w:t xml:space="preserve">a </w:t>
      </w:r>
      <w:r w:rsidRPr="00173DD5">
        <w:t>previous infection with</w:t>
      </w:r>
      <w:r>
        <w:t xml:space="preserve"> </w:t>
      </w:r>
      <w:r>
        <w:rPr>
          <w:i/>
        </w:rPr>
        <w:t>Mycobacterium t</w:t>
      </w:r>
      <w:r w:rsidRPr="00173DD5">
        <w:rPr>
          <w:i/>
        </w:rPr>
        <w:t xml:space="preserve">uberculosis. </w:t>
      </w:r>
      <w:r w:rsidRPr="00173DD5">
        <w:t xml:space="preserve">Some positive tests will blister. </w:t>
      </w:r>
      <w:r>
        <w:t>As noted above, however, t</w:t>
      </w:r>
      <w:r w:rsidRPr="00173DD5">
        <w:t>he reading is determined by the area of induration.</w:t>
      </w:r>
    </w:p>
    <w:p w14:paraId="1E63FBD8" w14:textId="77777777" w:rsidR="00F561F0" w:rsidRDefault="00F561F0" w:rsidP="00F561F0"/>
    <w:p w14:paraId="7CC152B3" w14:textId="77777777" w:rsidR="00DC205D" w:rsidRDefault="00DC205D" w:rsidP="00F561F0">
      <w:r>
        <w:t>Table 1 shows t</w:t>
      </w:r>
      <w:r w:rsidRPr="00173DD5">
        <w:t xml:space="preserve">he Mantoux ‘cutting points’ </w:t>
      </w:r>
      <w:r>
        <w:t xml:space="preserve">that </w:t>
      </w:r>
      <w:r w:rsidRPr="00173DD5">
        <w:t xml:space="preserve">are considered </w:t>
      </w:r>
      <w:r>
        <w:t>measurements of</w:t>
      </w:r>
      <w:r w:rsidRPr="00173DD5">
        <w:t xml:space="preserve"> a posit</w:t>
      </w:r>
      <w:r>
        <w:t>ive Mantoux result.</w:t>
      </w:r>
      <w:r w:rsidRPr="00173DD5">
        <w:t xml:space="preserve"> Mantoux measurements </w:t>
      </w:r>
      <w:r>
        <w:t>lower</w:t>
      </w:r>
      <w:r w:rsidRPr="00173DD5">
        <w:t xml:space="preserve"> than those outlined in </w:t>
      </w:r>
      <w:r>
        <w:t xml:space="preserve">the </w:t>
      </w:r>
      <w:r w:rsidRPr="00173DD5">
        <w:t>table</w:t>
      </w:r>
      <w:r>
        <w:t xml:space="preserve"> </w:t>
      </w:r>
      <w:r w:rsidRPr="00173DD5">
        <w:t>are considered to be negative Mantoux results.</w:t>
      </w:r>
    </w:p>
    <w:p w14:paraId="1F8E96F0" w14:textId="77777777" w:rsidR="00F561F0" w:rsidRDefault="00F561F0" w:rsidP="00F561F0"/>
    <w:p w14:paraId="3C413D0B" w14:textId="77777777" w:rsidR="00DC205D" w:rsidRPr="00173DD5" w:rsidRDefault="00DC205D" w:rsidP="00F561F0">
      <w:r w:rsidRPr="00BD1E43">
        <w:t>Note</w:t>
      </w:r>
      <w:r w:rsidR="00F561F0">
        <w:t xml:space="preserve">: </w:t>
      </w:r>
      <w:r>
        <w:t>If the Mantoux test is:</w:t>
      </w:r>
    </w:p>
    <w:p w14:paraId="2DCFB041" w14:textId="77777777" w:rsidR="00DC205D" w:rsidRPr="00173DD5" w:rsidRDefault="00DC205D" w:rsidP="00F561F0">
      <w:pPr>
        <w:pStyle w:val="Bullet"/>
      </w:pPr>
      <w:r w:rsidRPr="00173DD5">
        <w:t>positive, refer the patient to a respiratory physician, tuberculo</w:t>
      </w:r>
      <w:r>
        <w:t>sis specialist or paediatrician</w:t>
      </w:r>
    </w:p>
    <w:p w14:paraId="13A97E9D" w14:textId="77777777" w:rsidR="00DC205D" w:rsidRDefault="00DC205D" w:rsidP="00F561F0">
      <w:pPr>
        <w:pStyle w:val="Bullet"/>
      </w:pPr>
      <w:r w:rsidRPr="00764D4B">
        <w:t xml:space="preserve">negative, </w:t>
      </w:r>
      <w:r>
        <w:t>discuss with an expert in this field for advice.</w:t>
      </w:r>
    </w:p>
    <w:p w14:paraId="686B0E12" w14:textId="77777777" w:rsidR="00F561F0" w:rsidRPr="00B63BC7" w:rsidRDefault="00F561F0" w:rsidP="00F561F0"/>
    <w:p w14:paraId="6E07BBDA" w14:textId="77777777" w:rsidR="00DC205D" w:rsidRPr="00901DFC" w:rsidRDefault="00DC205D" w:rsidP="00F561F0">
      <w:pPr>
        <w:pStyle w:val="Table"/>
      </w:pPr>
      <w:bookmarkStart w:id="47" w:name="_Toc518889900"/>
      <w:bookmarkStart w:id="48" w:name="_Toc16154556"/>
      <w:r w:rsidRPr="00901DFC">
        <w:t xml:space="preserve">Table </w:t>
      </w:r>
      <w:r w:rsidR="00004D98">
        <w:rPr>
          <w:noProof/>
        </w:rPr>
        <w:fldChar w:fldCharType="begin"/>
      </w:r>
      <w:r w:rsidR="00004D98">
        <w:rPr>
          <w:noProof/>
        </w:rPr>
        <w:instrText xml:space="preserve"> SEQ Table \* ARABIC \s 1 </w:instrText>
      </w:r>
      <w:r w:rsidR="00004D98">
        <w:rPr>
          <w:noProof/>
        </w:rPr>
        <w:fldChar w:fldCharType="separate"/>
      </w:r>
      <w:r w:rsidR="00CF32B6">
        <w:rPr>
          <w:noProof/>
        </w:rPr>
        <w:t>1</w:t>
      </w:r>
      <w:r w:rsidR="00004D98">
        <w:rPr>
          <w:noProof/>
        </w:rPr>
        <w:fldChar w:fldCharType="end"/>
      </w:r>
      <w:r>
        <w:t>:</w:t>
      </w:r>
      <w:r w:rsidRPr="00901DFC">
        <w:t xml:space="preserve"> Definition of a positive Mantoux test in New Zealand (cutting points)</w:t>
      </w:r>
      <w:bookmarkEnd w:id="47"/>
      <w:bookmarkEnd w:id="48"/>
    </w:p>
    <w:tbl>
      <w:tblPr>
        <w:tblW w:w="0" w:type="auto"/>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4680"/>
        <w:gridCol w:w="1416"/>
        <w:gridCol w:w="1417"/>
        <w:gridCol w:w="1843"/>
      </w:tblGrid>
      <w:tr w:rsidR="00DC205D" w:rsidRPr="00F561F0" w14:paraId="03040168" w14:textId="77777777" w:rsidTr="00F561F0">
        <w:trPr>
          <w:cantSplit/>
        </w:trPr>
        <w:tc>
          <w:tcPr>
            <w:tcW w:w="4680" w:type="dxa"/>
            <w:tcBorders>
              <w:top w:val="single" w:sz="4" w:space="0" w:color="auto"/>
              <w:bottom w:val="single" w:sz="4" w:space="0" w:color="auto"/>
            </w:tcBorders>
            <w:shd w:val="clear" w:color="auto" w:fill="auto"/>
          </w:tcPr>
          <w:p w14:paraId="39BE88F1" w14:textId="77777777" w:rsidR="00DC205D" w:rsidRPr="00F561F0" w:rsidRDefault="00DC205D" w:rsidP="00F561F0">
            <w:pPr>
              <w:pStyle w:val="TableText"/>
              <w:ind w:right="113"/>
              <w:rPr>
                <w:b/>
              </w:rPr>
            </w:pPr>
            <w:r w:rsidRPr="00F561F0">
              <w:rPr>
                <w:b/>
              </w:rPr>
              <w:t>Category</w:t>
            </w:r>
          </w:p>
        </w:tc>
        <w:tc>
          <w:tcPr>
            <w:tcW w:w="1416" w:type="dxa"/>
            <w:tcBorders>
              <w:top w:val="single" w:sz="4" w:space="0" w:color="auto"/>
              <w:bottom w:val="single" w:sz="4" w:space="0" w:color="auto"/>
            </w:tcBorders>
            <w:shd w:val="clear" w:color="auto" w:fill="auto"/>
          </w:tcPr>
          <w:p w14:paraId="5D984B02" w14:textId="77777777" w:rsidR="00DC205D" w:rsidRPr="00F561F0" w:rsidRDefault="00DC205D" w:rsidP="00F561F0">
            <w:pPr>
              <w:pStyle w:val="TableText"/>
              <w:jc w:val="center"/>
              <w:rPr>
                <w:b/>
              </w:rPr>
            </w:pPr>
            <w:r w:rsidRPr="00F561F0">
              <w:rPr>
                <w:b/>
              </w:rPr>
              <w:t>Adults</w:t>
            </w:r>
            <w:r w:rsidRPr="00F561F0">
              <w:rPr>
                <w:b/>
              </w:rPr>
              <w:br/>
              <w:t>(&gt; 15 years)</w:t>
            </w:r>
          </w:p>
        </w:tc>
        <w:tc>
          <w:tcPr>
            <w:tcW w:w="1417" w:type="dxa"/>
            <w:tcBorders>
              <w:top w:val="single" w:sz="4" w:space="0" w:color="auto"/>
              <w:bottom w:val="single" w:sz="4" w:space="0" w:color="auto"/>
            </w:tcBorders>
            <w:shd w:val="clear" w:color="auto" w:fill="auto"/>
          </w:tcPr>
          <w:p w14:paraId="3682742D" w14:textId="77777777" w:rsidR="00DC205D" w:rsidRPr="00F561F0" w:rsidRDefault="00DC205D" w:rsidP="00F561F0">
            <w:pPr>
              <w:pStyle w:val="TableText"/>
              <w:jc w:val="center"/>
              <w:rPr>
                <w:b/>
              </w:rPr>
            </w:pPr>
            <w:r w:rsidRPr="00F561F0">
              <w:rPr>
                <w:b/>
              </w:rPr>
              <w:t>Older children</w:t>
            </w:r>
            <w:r w:rsidRPr="00F561F0">
              <w:rPr>
                <w:b/>
              </w:rPr>
              <w:br/>
              <w:t>(5–14 years)</w:t>
            </w:r>
          </w:p>
        </w:tc>
        <w:tc>
          <w:tcPr>
            <w:tcW w:w="1843" w:type="dxa"/>
            <w:tcBorders>
              <w:top w:val="single" w:sz="4" w:space="0" w:color="auto"/>
              <w:bottom w:val="single" w:sz="4" w:space="0" w:color="auto"/>
            </w:tcBorders>
            <w:shd w:val="clear" w:color="auto" w:fill="auto"/>
          </w:tcPr>
          <w:p w14:paraId="45AFC421" w14:textId="77777777" w:rsidR="00DC205D" w:rsidRPr="00F561F0" w:rsidRDefault="00DC205D" w:rsidP="00F561F0">
            <w:pPr>
              <w:pStyle w:val="TableText"/>
              <w:jc w:val="center"/>
              <w:rPr>
                <w:b/>
              </w:rPr>
            </w:pPr>
            <w:r w:rsidRPr="00F561F0">
              <w:rPr>
                <w:b/>
              </w:rPr>
              <w:t>Younger children</w:t>
            </w:r>
            <w:r w:rsidRPr="00F561F0">
              <w:rPr>
                <w:b/>
              </w:rPr>
              <w:br/>
              <w:t>(&lt; 5 years)</w:t>
            </w:r>
          </w:p>
        </w:tc>
      </w:tr>
      <w:tr w:rsidR="00DC205D" w:rsidRPr="00173DD5" w14:paraId="7CDBF5BC" w14:textId="77777777" w:rsidTr="00F561F0">
        <w:trPr>
          <w:cantSplit/>
        </w:trPr>
        <w:tc>
          <w:tcPr>
            <w:tcW w:w="4680" w:type="dxa"/>
            <w:tcBorders>
              <w:top w:val="single" w:sz="4" w:space="0" w:color="auto"/>
            </w:tcBorders>
            <w:shd w:val="clear" w:color="auto" w:fill="auto"/>
          </w:tcPr>
          <w:p w14:paraId="4BB696F9" w14:textId="77777777" w:rsidR="00DC205D" w:rsidRPr="00173DD5" w:rsidRDefault="00DC205D" w:rsidP="00F561F0">
            <w:pPr>
              <w:pStyle w:val="TableText"/>
              <w:ind w:right="113"/>
            </w:pPr>
            <w:r w:rsidRPr="00173DD5">
              <w:t>New Zealand born</w:t>
            </w:r>
          </w:p>
        </w:tc>
        <w:tc>
          <w:tcPr>
            <w:tcW w:w="1416" w:type="dxa"/>
            <w:tcBorders>
              <w:top w:val="single" w:sz="4" w:space="0" w:color="auto"/>
            </w:tcBorders>
            <w:shd w:val="clear" w:color="auto" w:fill="auto"/>
          </w:tcPr>
          <w:p w14:paraId="36CA9E09" w14:textId="77777777" w:rsidR="00DC205D" w:rsidRPr="00173DD5" w:rsidRDefault="00DC205D" w:rsidP="00F561F0">
            <w:pPr>
              <w:pStyle w:val="TableText"/>
              <w:jc w:val="center"/>
            </w:pPr>
          </w:p>
        </w:tc>
        <w:tc>
          <w:tcPr>
            <w:tcW w:w="1417" w:type="dxa"/>
            <w:tcBorders>
              <w:top w:val="single" w:sz="4" w:space="0" w:color="auto"/>
            </w:tcBorders>
            <w:shd w:val="clear" w:color="auto" w:fill="auto"/>
          </w:tcPr>
          <w:p w14:paraId="161D8601" w14:textId="77777777" w:rsidR="00DC205D" w:rsidRPr="00173DD5" w:rsidRDefault="00DC205D" w:rsidP="00F561F0">
            <w:pPr>
              <w:pStyle w:val="TableText"/>
              <w:jc w:val="center"/>
            </w:pPr>
          </w:p>
        </w:tc>
        <w:tc>
          <w:tcPr>
            <w:tcW w:w="1843" w:type="dxa"/>
            <w:tcBorders>
              <w:top w:val="single" w:sz="4" w:space="0" w:color="auto"/>
            </w:tcBorders>
            <w:shd w:val="clear" w:color="auto" w:fill="auto"/>
          </w:tcPr>
          <w:p w14:paraId="05AA99D3" w14:textId="77777777" w:rsidR="00DC205D" w:rsidRPr="00173DD5" w:rsidRDefault="00DC205D" w:rsidP="00F561F0">
            <w:pPr>
              <w:pStyle w:val="TableText"/>
              <w:jc w:val="center"/>
            </w:pPr>
          </w:p>
        </w:tc>
      </w:tr>
      <w:tr w:rsidR="00DC205D" w:rsidRPr="00173DD5" w14:paraId="154C7184" w14:textId="77777777" w:rsidTr="00F561F0">
        <w:trPr>
          <w:cantSplit/>
        </w:trPr>
        <w:tc>
          <w:tcPr>
            <w:tcW w:w="4680" w:type="dxa"/>
            <w:shd w:val="clear" w:color="auto" w:fill="auto"/>
          </w:tcPr>
          <w:p w14:paraId="1D6F3572" w14:textId="77777777" w:rsidR="00DC205D" w:rsidRPr="00173DD5" w:rsidRDefault="00DC205D" w:rsidP="00F561F0">
            <w:pPr>
              <w:pStyle w:val="TableBullet"/>
              <w:ind w:right="113"/>
            </w:pPr>
            <w:r w:rsidRPr="00173DD5">
              <w:t>No BCG vaccination</w:t>
            </w:r>
          </w:p>
        </w:tc>
        <w:tc>
          <w:tcPr>
            <w:tcW w:w="1416" w:type="dxa"/>
            <w:shd w:val="clear" w:color="auto" w:fill="auto"/>
          </w:tcPr>
          <w:p w14:paraId="4E620B8A" w14:textId="77777777" w:rsidR="00DC205D" w:rsidRPr="00173DD5" w:rsidRDefault="00DC205D" w:rsidP="00F561F0">
            <w:pPr>
              <w:pStyle w:val="TableText"/>
              <w:spacing w:before="0"/>
              <w:jc w:val="center"/>
            </w:pPr>
            <w:r>
              <w:t>&gt;</w:t>
            </w:r>
            <w:r w:rsidRPr="00173DD5">
              <w:t xml:space="preserve"> 10 mm</w:t>
            </w:r>
          </w:p>
        </w:tc>
        <w:tc>
          <w:tcPr>
            <w:tcW w:w="1417" w:type="dxa"/>
            <w:shd w:val="clear" w:color="auto" w:fill="auto"/>
          </w:tcPr>
          <w:p w14:paraId="22617EA8" w14:textId="77777777" w:rsidR="00DC205D" w:rsidRPr="00173DD5" w:rsidRDefault="00DC205D" w:rsidP="00F561F0">
            <w:pPr>
              <w:pStyle w:val="TableText"/>
              <w:spacing w:before="0"/>
              <w:jc w:val="center"/>
            </w:pPr>
            <w:r>
              <w:t>&gt;</w:t>
            </w:r>
            <w:r w:rsidRPr="00173DD5">
              <w:t xml:space="preserve"> 10 mm</w:t>
            </w:r>
          </w:p>
        </w:tc>
        <w:tc>
          <w:tcPr>
            <w:tcW w:w="1843" w:type="dxa"/>
            <w:shd w:val="clear" w:color="auto" w:fill="auto"/>
          </w:tcPr>
          <w:p w14:paraId="1144BE7D" w14:textId="77777777" w:rsidR="00DC205D" w:rsidRPr="00173DD5" w:rsidRDefault="00DC205D" w:rsidP="00F561F0">
            <w:pPr>
              <w:pStyle w:val="TableText"/>
              <w:spacing w:before="0"/>
              <w:jc w:val="center"/>
            </w:pPr>
            <w:r>
              <w:t>&gt;</w:t>
            </w:r>
            <w:r w:rsidRPr="00173DD5">
              <w:t xml:space="preserve"> 5 mm</w:t>
            </w:r>
          </w:p>
        </w:tc>
      </w:tr>
      <w:tr w:rsidR="00DC205D" w:rsidRPr="00173DD5" w14:paraId="164B1C5F" w14:textId="77777777" w:rsidTr="00F561F0">
        <w:trPr>
          <w:cantSplit/>
        </w:trPr>
        <w:tc>
          <w:tcPr>
            <w:tcW w:w="4680" w:type="dxa"/>
            <w:tcBorders>
              <w:bottom w:val="single" w:sz="4" w:space="0" w:color="A6A6A6" w:themeColor="background1" w:themeShade="A6"/>
            </w:tcBorders>
            <w:shd w:val="clear" w:color="auto" w:fill="auto"/>
          </w:tcPr>
          <w:p w14:paraId="30AB9FF5" w14:textId="77777777" w:rsidR="00DC205D" w:rsidRPr="00173DD5" w:rsidRDefault="00DC205D" w:rsidP="00F561F0">
            <w:pPr>
              <w:pStyle w:val="TableBullet"/>
              <w:ind w:right="113"/>
            </w:pPr>
            <w:r w:rsidRPr="00173DD5">
              <w:t>Previous BCG vaccination</w:t>
            </w:r>
          </w:p>
        </w:tc>
        <w:tc>
          <w:tcPr>
            <w:tcW w:w="1416" w:type="dxa"/>
            <w:tcBorders>
              <w:bottom w:val="single" w:sz="4" w:space="0" w:color="A6A6A6" w:themeColor="background1" w:themeShade="A6"/>
            </w:tcBorders>
            <w:shd w:val="clear" w:color="auto" w:fill="auto"/>
          </w:tcPr>
          <w:p w14:paraId="43244D06" w14:textId="77777777" w:rsidR="00DC205D" w:rsidRPr="00173DD5" w:rsidRDefault="00DC205D" w:rsidP="00F561F0">
            <w:pPr>
              <w:pStyle w:val="TableText"/>
              <w:spacing w:before="0"/>
              <w:jc w:val="center"/>
            </w:pPr>
            <w:r>
              <w:t>&gt;</w:t>
            </w:r>
            <w:r w:rsidRPr="00173DD5">
              <w:t xml:space="preserve"> 15 mm</w:t>
            </w:r>
          </w:p>
        </w:tc>
        <w:tc>
          <w:tcPr>
            <w:tcW w:w="1417" w:type="dxa"/>
            <w:tcBorders>
              <w:bottom w:val="single" w:sz="4" w:space="0" w:color="A6A6A6" w:themeColor="background1" w:themeShade="A6"/>
            </w:tcBorders>
            <w:shd w:val="clear" w:color="auto" w:fill="auto"/>
          </w:tcPr>
          <w:p w14:paraId="62ABC2E8" w14:textId="77777777" w:rsidR="00DC205D" w:rsidRPr="00173DD5" w:rsidRDefault="00DC205D" w:rsidP="00F561F0">
            <w:pPr>
              <w:pStyle w:val="TableText"/>
              <w:spacing w:before="0"/>
              <w:jc w:val="center"/>
            </w:pPr>
            <w:r>
              <w:t>&gt;</w:t>
            </w:r>
            <w:r w:rsidRPr="00173DD5">
              <w:t xml:space="preserve"> 10 mm</w:t>
            </w:r>
          </w:p>
        </w:tc>
        <w:tc>
          <w:tcPr>
            <w:tcW w:w="1843" w:type="dxa"/>
            <w:tcBorders>
              <w:bottom w:val="single" w:sz="4" w:space="0" w:color="A6A6A6" w:themeColor="background1" w:themeShade="A6"/>
            </w:tcBorders>
            <w:shd w:val="clear" w:color="auto" w:fill="auto"/>
          </w:tcPr>
          <w:p w14:paraId="7261356A" w14:textId="77777777" w:rsidR="00DC205D" w:rsidRPr="00173DD5" w:rsidRDefault="00DC205D" w:rsidP="00F561F0">
            <w:pPr>
              <w:pStyle w:val="TableText"/>
              <w:spacing w:before="0"/>
              <w:jc w:val="center"/>
            </w:pPr>
            <w:r>
              <w:t>&gt;</w:t>
            </w:r>
            <w:r w:rsidRPr="00173DD5">
              <w:t>10 mm</w:t>
            </w:r>
          </w:p>
        </w:tc>
      </w:tr>
      <w:tr w:rsidR="00DC205D" w:rsidRPr="00173DD5" w14:paraId="7A54E708" w14:textId="77777777" w:rsidTr="00F561F0">
        <w:trPr>
          <w:cantSplit/>
        </w:trPr>
        <w:tc>
          <w:tcPr>
            <w:tcW w:w="4680" w:type="dxa"/>
            <w:tcBorders>
              <w:top w:val="single" w:sz="4" w:space="0" w:color="A6A6A6" w:themeColor="background1" w:themeShade="A6"/>
              <w:bottom w:val="nil"/>
            </w:tcBorders>
            <w:shd w:val="clear" w:color="auto" w:fill="auto"/>
          </w:tcPr>
          <w:p w14:paraId="5A8C1B89" w14:textId="77777777" w:rsidR="00DC205D" w:rsidRPr="00173DD5" w:rsidRDefault="00DC205D" w:rsidP="00F561F0">
            <w:pPr>
              <w:pStyle w:val="TableText"/>
              <w:ind w:right="113"/>
            </w:pPr>
            <w:r w:rsidRPr="00173DD5">
              <w:t>Following residence in a high-incidence country*</w:t>
            </w:r>
          </w:p>
        </w:tc>
        <w:tc>
          <w:tcPr>
            <w:tcW w:w="1416" w:type="dxa"/>
            <w:tcBorders>
              <w:top w:val="single" w:sz="4" w:space="0" w:color="A6A6A6" w:themeColor="background1" w:themeShade="A6"/>
              <w:bottom w:val="nil"/>
            </w:tcBorders>
            <w:shd w:val="clear" w:color="auto" w:fill="auto"/>
          </w:tcPr>
          <w:p w14:paraId="4C094B5C" w14:textId="77777777" w:rsidR="00DC205D" w:rsidRPr="00173DD5" w:rsidRDefault="00DC205D" w:rsidP="00F561F0">
            <w:pPr>
              <w:pStyle w:val="TableText"/>
              <w:jc w:val="center"/>
            </w:pPr>
          </w:p>
        </w:tc>
        <w:tc>
          <w:tcPr>
            <w:tcW w:w="1417" w:type="dxa"/>
            <w:tcBorders>
              <w:top w:val="single" w:sz="4" w:space="0" w:color="A6A6A6" w:themeColor="background1" w:themeShade="A6"/>
              <w:bottom w:val="nil"/>
            </w:tcBorders>
            <w:shd w:val="clear" w:color="auto" w:fill="auto"/>
          </w:tcPr>
          <w:p w14:paraId="1B9CD42D" w14:textId="77777777" w:rsidR="00DC205D" w:rsidRPr="00173DD5" w:rsidRDefault="00DC205D" w:rsidP="00F561F0">
            <w:pPr>
              <w:pStyle w:val="TableText"/>
              <w:jc w:val="center"/>
            </w:pPr>
          </w:p>
        </w:tc>
        <w:tc>
          <w:tcPr>
            <w:tcW w:w="1843" w:type="dxa"/>
            <w:tcBorders>
              <w:top w:val="single" w:sz="4" w:space="0" w:color="A6A6A6" w:themeColor="background1" w:themeShade="A6"/>
              <w:bottom w:val="nil"/>
            </w:tcBorders>
            <w:shd w:val="clear" w:color="auto" w:fill="auto"/>
          </w:tcPr>
          <w:p w14:paraId="6A848E53" w14:textId="77777777" w:rsidR="00DC205D" w:rsidRPr="00173DD5" w:rsidRDefault="00DC205D" w:rsidP="00F561F0">
            <w:pPr>
              <w:pStyle w:val="TableText"/>
              <w:jc w:val="center"/>
            </w:pPr>
          </w:p>
        </w:tc>
      </w:tr>
      <w:tr w:rsidR="00DC205D" w:rsidRPr="00173DD5" w14:paraId="449E6C5C" w14:textId="77777777" w:rsidTr="00F561F0">
        <w:trPr>
          <w:cantSplit/>
        </w:trPr>
        <w:tc>
          <w:tcPr>
            <w:tcW w:w="4680" w:type="dxa"/>
            <w:tcBorders>
              <w:top w:val="nil"/>
            </w:tcBorders>
            <w:shd w:val="clear" w:color="auto" w:fill="auto"/>
          </w:tcPr>
          <w:p w14:paraId="263018CA" w14:textId="77777777" w:rsidR="00DC205D" w:rsidRPr="00173DD5" w:rsidRDefault="00DC205D" w:rsidP="00F561F0">
            <w:pPr>
              <w:pStyle w:val="TableBullet"/>
              <w:ind w:right="113"/>
            </w:pPr>
            <w:r w:rsidRPr="00173DD5">
              <w:t>No BCG vaccination</w:t>
            </w:r>
          </w:p>
        </w:tc>
        <w:tc>
          <w:tcPr>
            <w:tcW w:w="1416" w:type="dxa"/>
            <w:tcBorders>
              <w:top w:val="nil"/>
            </w:tcBorders>
            <w:shd w:val="clear" w:color="auto" w:fill="auto"/>
          </w:tcPr>
          <w:p w14:paraId="1E33D307" w14:textId="77777777" w:rsidR="00DC205D" w:rsidRPr="00173DD5" w:rsidRDefault="00DC205D" w:rsidP="00F561F0">
            <w:pPr>
              <w:pStyle w:val="TableText"/>
              <w:spacing w:before="0"/>
              <w:jc w:val="center"/>
            </w:pPr>
            <w:r>
              <w:t>&gt;</w:t>
            </w:r>
            <w:r w:rsidRPr="00173DD5">
              <w:t>10 mm</w:t>
            </w:r>
          </w:p>
        </w:tc>
        <w:tc>
          <w:tcPr>
            <w:tcW w:w="1417" w:type="dxa"/>
            <w:tcBorders>
              <w:top w:val="nil"/>
            </w:tcBorders>
            <w:shd w:val="clear" w:color="auto" w:fill="auto"/>
          </w:tcPr>
          <w:p w14:paraId="45337E9F" w14:textId="77777777" w:rsidR="00DC205D" w:rsidRPr="00173DD5" w:rsidRDefault="00DC205D" w:rsidP="00F561F0">
            <w:pPr>
              <w:pStyle w:val="TableText"/>
              <w:spacing w:before="0"/>
              <w:jc w:val="center"/>
            </w:pPr>
            <w:r>
              <w:t>&gt;</w:t>
            </w:r>
            <w:r w:rsidRPr="00173DD5">
              <w:t xml:space="preserve"> 10 mm</w:t>
            </w:r>
          </w:p>
        </w:tc>
        <w:tc>
          <w:tcPr>
            <w:tcW w:w="1843" w:type="dxa"/>
            <w:tcBorders>
              <w:top w:val="nil"/>
            </w:tcBorders>
            <w:shd w:val="clear" w:color="auto" w:fill="auto"/>
          </w:tcPr>
          <w:p w14:paraId="638D73C0" w14:textId="77777777" w:rsidR="00DC205D" w:rsidRPr="00173DD5" w:rsidRDefault="00DC205D" w:rsidP="00F561F0">
            <w:pPr>
              <w:pStyle w:val="TableText"/>
              <w:spacing w:before="0"/>
              <w:jc w:val="center"/>
            </w:pPr>
            <w:r>
              <w:t>&gt;</w:t>
            </w:r>
            <w:r w:rsidRPr="00173DD5">
              <w:t xml:space="preserve"> 5 mm</w:t>
            </w:r>
          </w:p>
        </w:tc>
      </w:tr>
      <w:tr w:rsidR="00DC205D" w:rsidRPr="00173DD5" w14:paraId="0FBBF299" w14:textId="77777777" w:rsidTr="00F561F0">
        <w:trPr>
          <w:cantSplit/>
        </w:trPr>
        <w:tc>
          <w:tcPr>
            <w:tcW w:w="4680" w:type="dxa"/>
            <w:tcBorders>
              <w:bottom w:val="single" w:sz="4" w:space="0" w:color="A6A6A6" w:themeColor="background1" w:themeShade="A6"/>
            </w:tcBorders>
            <w:shd w:val="clear" w:color="auto" w:fill="auto"/>
          </w:tcPr>
          <w:p w14:paraId="0CAFD693" w14:textId="77777777" w:rsidR="00DC205D" w:rsidRPr="00173DD5" w:rsidRDefault="00DC205D" w:rsidP="00F561F0">
            <w:pPr>
              <w:pStyle w:val="TableBullet"/>
              <w:ind w:right="113"/>
            </w:pPr>
            <w:r w:rsidRPr="00173DD5">
              <w:t>Previous BCG vaccination</w:t>
            </w:r>
          </w:p>
        </w:tc>
        <w:tc>
          <w:tcPr>
            <w:tcW w:w="1416" w:type="dxa"/>
            <w:tcBorders>
              <w:bottom w:val="single" w:sz="4" w:space="0" w:color="A6A6A6" w:themeColor="background1" w:themeShade="A6"/>
            </w:tcBorders>
            <w:shd w:val="clear" w:color="auto" w:fill="auto"/>
          </w:tcPr>
          <w:p w14:paraId="50C76E03" w14:textId="77777777" w:rsidR="00DC205D" w:rsidRPr="00173DD5" w:rsidRDefault="00DC205D" w:rsidP="00F561F0">
            <w:pPr>
              <w:pStyle w:val="TableText"/>
              <w:spacing w:before="0"/>
              <w:jc w:val="center"/>
            </w:pPr>
            <w:r>
              <w:t>&gt;</w:t>
            </w:r>
            <w:r w:rsidRPr="00173DD5">
              <w:t xml:space="preserve"> 10 mm</w:t>
            </w:r>
          </w:p>
        </w:tc>
        <w:tc>
          <w:tcPr>
            <w:tcW w:w="1417" w:type="dxa"/>
            <w:tcBorders>
              <w:bottom w:val="single" w:sz="4" w:space="0" w:color="A6A6A6" w:themeColor="background1" w:themeShade="A6"/>
            </w:tcBorders>
            <w:shd w:val="clear" w:color="auto" w:fill="auto"/>
          </w:tcPr>
          <w:p w14:paraId="0DD4542A" w14:textId="77777777" w:rsidR="00DC205D" w:rsidRPr="00173DD5" w:rsidRDefault="00DC205D" w:rsidP="00F561F0">
            <w:pPr>
              <w:pStyle w:val="TableText"/>
              <w:spacing w:before="0"/>
              <w:jc w:val="center"/>
            </w:pPr>
            <w:r>
              <w:t>&gt;</w:t>
            </w:r>
            <w:r w:rsidRPr="00173DD5">
              <w:t>10 mm</w:t>
            </w:r>
          </w:p>
        </w:tc>
        <w:tc>
          <w:tcPr>
            <w:tcW w:w="1843" w:type="dxa"/>
            <w:tcBorders>
              <w:bottom w:val="single" w:sz="4" w:space="0" w:color="A6A6A6" w:themeColor="background1" w:themeShade="A6"/>
            </w:tcBorders>
            <w:shd w:val="clear" w:color="auto" w:fill="auto"/>
          </w:tcPr>
          <w:p w14:paraId="25AD9864" w14:textId="77777777" w:rsidR="00DC205D" w:rsidRPr="00173DD5" w:rsidRDefault="00DC205D" w:rsidP="00F561F0">
            <w:pPr>
              <w:pStyle w:val="TableText"/>
              <w:spacing w:before="0"/>
              <w:jc w:val="center"/>
            </w:pPr>
            <w:r>
              <w:t>&gt;</w:t>
            </w:r>
            <w:r w:rsidRPr="00173DD5">
              <w:t>10 mm</w:t>
            </w:r>
          </w:p>
        </w:tc>
      </w:tr>
      <w:tr w:rsidR="00DC205D" w:rsidRPr="00173DD5" w14:paraId="0216793F" w14:textId="77777777" w:rsidTr="00F561F0">
        <w:trPr>
          <w:cantSplit/>
        </w:trPr>
        <w:tc>
          <w:tcPr>
            <w:tcW w:w="4680" w:type="dxa"/>
            <w:tcBorders>
              <w:top w:val="single" w:sz="4" w:space="0" w:color="A6A6A6" w:themeColor="background1" w:themeShade="A6"/>
              <w:bottom w:val="single" w:sz="4" w:space="0" w:color="A6A6A6" w:themeColor="background1" w:themeShade="A6"/>
            </w:tcBorders>
            <w:shd w:val="clear" w:color="auto" w:fill="auto"/>
          </w:tcPr>
          <w:p w14:paraId="385688E3" w14:textId="77777777" w:rsidR="00DC205D" w:rsidRPr="00173DD5" w:rsidRDefault="00DC205D" w:rsidP="00F561F0">
            <w:pPr>
              <w:pStyle w:val="TableText"/>
              <w:ind w:right="113"/>
            </w:pPr>
            <w:r w:rsidRPr="00173DD5">
              <w:t>With immunosuppressive illness or taking immunosuppressive drugs (with or without BCG vaccination)</w:t>
            </w:r>
          </w:p>
        </w:tc>
        <w:tc>
          <w:tcPr>
            <w:tcW w:w="1416" w:type="dxa"/>
            <w:tcBorders>
              <w:top w:val="single" w:sz="4" w:space="0" w:color="A6A6A6" w:themeColor="background1" w:themeShade="A6"/>
              <w:bottom w:val="single" w:sz="4" w:space="0" w:color="A6A6A6" w:themeColor="background1" w:themeShade="A6"/>
            </w:tcBorders>
            <w:shd w:val="clear" w:color="auto" w:fill="auto"/>
          </w:tcPr>
          <w:p w14:paraId="6ACE33DF" w14:textId="77777777" w:rsidR="00DC205D" w:rsidRPr="00173DD5" w:rsidRDefault="00DC205D" w:rsidP="00F561F0">
            <w:pPr>
              <w:pStyle w:val="TableText"/>
              <w:jc w:val="center"/>
            </w:pPr>
            <w:r w:rsidRPr="00173DD5">
              <w:t>5–10 mm</w:t>
            </w:r>
          </w:p>
        </w:tc>
        <w:tc>
          <w:tcPr>
            <w:tcW w:w="1417" w:type="dxa"/>
            <w:tcBorders>
              <w:top w:val="single" w:sz="4" w:space="0" w:color="A6A6A6" w:themeColor="background1" w:themeShade="A6"/>
              <w:bottom w:val="single" w:sz="4" w:space="0" w:color="A6A6A6" w:themeColor="background1" w:themeShade="A6"/>
            </w:tcBorders>
            <w:shd w:val="clear" w:color="auto" w:fill="auto"/>
          </w:tcPr>
          <w:p w14:paraId="03A8CFD3" w14:textId="77777777" w:rsidR="00DC205D" w:rsidRPr="00173DD5" w:rsidRDefault="00DC205D" w:rsidP="00F561F0">
            <w:pPr>
              <w:pStyle w:val="TableText"/>
              <w:jc w:val="center"/>
            </w:pPr>
            <w:r>
              <w:t xml:space="preserve">&gt; </w:t>
            </w:r>
            <w:r w:rsidRPr="00173DD5">
              <w:t>5 mm</w:t>
            </w:r>
          </w:p>
        </w:tc>
        <w:tc>
          <w:tcPr>
            <w:tcW w:w="1843" w:type="dxa"/>
            <w:tcBorders>
              <w:top w:val="single" w:sz="4" w:space="0" w:color="A6A6A6" w:themeColor="background1" w:themeShade="A6"/>
              <w:bottom w:val="single" w:sz="4" w:space="0" w:color="A6A6A6" w:themeColor="background1" w:themeShade="A6"/>
            </w:tcBorders>
            <w:shd w:val="clear" w:color="auto" w:fill="auto"/>
          </w:tcPr>
          <w:p w14:paraId="7E399502" w14:textId="77777777" w:rsidR="00DC205D" w:rsidRPr="00173DD5" w:rsidRDefault="00DC205D" w:rsidP="00F561F0">
            <w:pPr>
              <w:pStyle w:val="TableText"/>
              <w:jc w:val="center"/>
            </w:pPr>
            <w:r>
              <w:t>&gt;</w:t>
            </w:r>
            <w:r w:rsidRPr="00173DD5">
              <w:t xml:space="preserve"> 5 mm</w:t>
            </w:r>
          </w:p>
        </w:tc>
      </w:tr>
      <w:tr w:rsidR="00DC205D" w:rsidRPr="00173DD5" w14:paraId="6AA2A475" w14:textId="77777777" w:rsidTr="00F561F0">
        <w:trPr>
          <w:cantSplit/>
        </w:trPr>
        <w:tc>
          <w:tcPr>
            <w:tcW w:w="4680" w:type="dxa"/>
            <w:tcBorders>
              <w:top w:val="single" w:sz="4" w:space="0" w:color="A6A6A6" w:themeColor="background1" w:themeShade="A6"/>
              <w:bottom w:val="single" w:sz="4" w:space="0" w:color="A6A6A6" w:themeColor="background1" w:themeShade="A6"/>
            </w:tcBorders>
            <w:shd w:val="clear" w:color="auto" w:fill="auto"/>
          </w:tcPr>
          <w:p w14:paraId="333621C1" w14:textId="77777777" w:rsidR="00DC205D" w:rsidRPr="00173DD5" w:rsidRDefault="00DC205D" w:rsidP="00F561F0">
            <w:pPr>
              <w:pStyle w:val="TableText"/>
              <w:ind w:right="113"/>
            </w:pPr>
            <w:r w:rsidRPr="00173DD5">
              <w:t>HIV/AIDS (with or without BCG vaccination)</w:t>
            </w:r>
          </w:p>
        </w:tc>
        <w:tc>
          <w:tcPr>
            <w:tcW w:w="1416" w:type="dxa"/>
            <w:tcBorders>
              <w:top w:val="single" w:sz="4" w:space="0" w:color="A6A6A6" w:themeColor="background1" w:themeShade="A6"/>
              <w:bottom w:val="single" w:sz="4" w:space="0" w:color="A6A6A6" w:themeColor="background1" w:themeShade="A6"/>
            </w:tcBorders>
            <w:shd w:val="clear" w:color="auto" w:fill="auto"/>
          </w:tcPr>
          <w:p w14:paraId="3EB9C7FA" w14:textId="77777777" w:rsidR="00DC205D" w:rsidRPr="00173DD5" w:rsidRDefault="00DC205D" w:rsidP="00F561F0">
            <w:pPr>
              <w:pStyle w:val="TableText"/>
              <w:jc w:val="center"/>
            </w:pPr>
            <w:r>
              <w:t>&gt;</w:t>
            </w:r>
            <w:r w:rsidRPr="00173DD5">
              <w:t xml:space="preserve"> 5 mm</w:t>
            </w:r>
          </w:p>
        </w:tc>
        <w:tc>
          <w:tcPr>
            <w:tcW w:w="1417" w:type="dxa"/>
            <w:tcBorders>
              <w:top w:val="single" w:sz="4" w:space="0" w:color="A6A6A6" w:themeColor="background1" w:themeShade="A6"/>
              <w:bottom w:val="single" w:sz="4" w:space="0" w:color="A6A6A6" w:themeColor="background1" w:themeShade="A6"/>
            </w:tcBorders>
            <w:shd w:val="clear" w:color="auto" w:fill="auto"/>
          </w:tcPr>
          <w:p w14:paraId="78398AA6" w14:textId="77777777" w:rsidR="00DC205D" w:rsidRPr="00173DD5" w:rsidRDefault="00DC205D" w:rsidP="00F561F0">
            <w:pPr>
              <w:pStyle w:val="TableText"/>
              <w:jc w:val="center"/>
            </w:pPr>
            <w:r>
              <w:t>&gt;</w:t>
            </w:r>
            <w:r w:rsidRPr="00173DD5">
              <w:t xml:space="preserve"> 5 mm</w:t>
            </w:r>
          </w:p>
        </w:tc>
        <w:tc>
          <w:tcPr>
            <w:tcW w:w="1843" w:type="dxa"/>
            <w:tcBorders>
              <w:top w:val="single" w:sz="4" w:space="0" w:color="A6A6A6" w:themeColor="background1" w:themeShade="A6"/>
              <w:bottom w:val="single" w:sz="4" w:space="0" w:color="A6A6A6" w:themeColor="background1" w:themeShade="A6"/>
            </w:tcBorders>
            <w:shd w:val="clear" w:color="auto" w:fill="auto"/>
          </w:tcPr>
          <w:p w14:paraId="5288F16C" w14:textId="77777777" w:rsidR="00DC205D" w:rsidRPr="00173DD5" w:rsidRDefault="00DC205D" w:rsidP="00F561F0">
            <w:pPr>
              <w:pStyle w:val="TableText"/>
              <w:jc w:val="center"/>
            </w:pPr>
            <w:r>
              <w:t>&gt;</w:t>
            </w:r>
            <w:r w:rsidRPr="00173DD5">
              <w:t xml:space="preserve"> 5 mm</w:t>
            </w:r>
          </w:p>
        </w:tc>
      </w:tr>
      <w:tr w:rsidR="00DC205D" w:rsidRPr="00173DD5" w14:paraId="0AF97086" w14:textId="77777777" w:rsidTr="00F561F0">
        <w:trPr>
          <w:cantSplit/>
        </w:trPr>
        <w:tc>
          <w:tcPr>
            <w:tcW w:w="4680" w:type="dxa"/>
            <w:tcBorders>
              <w:top w:val="single" w:sz="4" w:space="0" w:color="A6A6A6" w:themeColor="background1" w:themeShade="A6"/>
            </w:tcBorders>
            <w:shd w:val="clear" w:color="auto" w:fill="auto"/>
          </w:tcPr>
          <w:p w14:paraId="7C8C0FBE" w14:textId="77777777" w:rsidR="00DC205D" w:rsidRPr="00173DD5" w:rsidRDefault="00DC205D" w:rsidP="00F561F0">
            <w:pPr>
              <w:pStyle w:val="TableText"/>
              <w:ind w:right="113"/>
            </w:pPr>
            <w:r w:rsidRPr="00173DD5">
              <w:t>Close contacts of smear-positive cases (any origin) (with or without BCG vaccination)</w:t>
            </w:r>
          </w:p>
        </w:tc>
        <w:tc>
          <w:tcPr>
            <w:tcW w:w="1416" w:type="dxa"/>
            <w:tcBorders>
              <w:top w:val="single" w:sz="4" w:space="0" w:color="A6A6A6" w:themeColor="background1" w:themeShade="A6"/>
            </w:tcBorders>
            <w:shd w:val="clear" w:color="auto" w:fill="auto"/>
          </w:tcPr>
          <w:p w14:paraId="2444D3CD" w14:textId="77777777" w:rsidR="00DC205D" w:rsidRPr="00173DD5" w:rsidRDefault="00DC205D" w:rsidP="00F561F0">
            <w:pPr>
              <w:pStyle w:val="TableText"/>
              <w:jc w:val="center"/>
            </w:pPr>
            <w:r>
              <w:t>&gt;</w:t>
            </w:r>
            <w:r w:rsidRPr="00173DD5">
              <w:t>10 mm</w:t>
            </w:r>
          </w:p>
        </w:tc>
        <w:tc>
          <w:tcPr>
            <w:tcW w:w="1417" w:type="dxa"/>
            <w:tcBorders>
              <w:top w:val="single" w:sz="4" w:space="0" w:color="A6A6A6" w:themeColor="background1" w:themeShade="A6"/>
            </w:tcBorders>
            <w:shd w:val="clear" w:color="auto" w:fill="auto"/>
          </w:tcPr>
          <w:p w14:paraId="7F7E28F9" w14:textId="77777777" w:rsidR="00DC205D" w:rsidRPr="00173DD5" w:rsidRDefault="00DC205D" w:rsidP="00F561F0">
            <w:pPr>
              <w:pStyle w:val="TableText"/>
              <w:jc w:val="center"/>
            </w:pPr>
            <w:r>
              <w:t>&gt;</w:t>
            </w:r>
            <w:r w:rsidRPr="00173DD5">
              <w:t xml:space="preserve"> 5 mm</w:t>
            </w:r>
          </w:p>
        </w:tc>
        <w:tc>
          <w:tcPr>
            <w:tcW w:w="1843" w:type="dxa"/>
            <w:tcBorders>
              <w:top w:val="single" w:sz="4" w:space="0" w:color="A6A6A6" w:themeColor="background1" w:themeShade="A6"/>
            </w:tcBorders>
            <w:shd w:val="clear" w:color="auto" w:fill="auto"/>
          </w:tcPr>
          <w:p w14:paraId="25F6DFEE" w14:textId="77777777" w:rsidR="00DC205D" w:rsidRPr="00173DD5" w:rsidRDefault="00DC205D" w:rsidP="00F561F0">
            <w:pPr>
              <w:pStyle w:val="TableText"/>
              <w:jc w:val="center"/>
            </w:pPr>
            <w:r>
              <w:t>&gt;</w:t>
            </w:r>
            <w:r w:rsidRPr="00173DD5">
              <w:t>5 mm</w:t>
            </w:r>
          </w:p>
        </w:tc>
      </w:tr>
    </w:tbl>
    <w:p w14:paraId="1E5E8DF6" w14:textId="77777777" w:rsidR="00DC205D" w:rsidRDefault="00DC205D" w:rsidP="00F561F0">
      <w:pPr>
        <w:pStyle w:val="Note"/>
      </w:pPr>
      <w:r w:rsidRPr="00344597">
        <w:t xml:space="preserve">* See </w:t>
      </w:r>
      <w:r>
        <w:t>notes</w:t>
      </w:r>
      <w:r w:rsidRPr="00344597">
        <w:t xml:space="preserve"> on cutting points below</w:t>
      </w:r>
      <w:r>
        <w:t>.</w:t>
      </w:r>
    </w:p>
    <w:p w14:paraId="2C78E292" w14:textId="77777777" w:rsidR="00F561F0" w:rsidRPr="00F561F0" w:rsidRDefault="00F561F0" w:rsidP="00F561F0"/>
    <w:p w14:paraId="3498CA77" w14:textId="77777777" w:rsidR="00DC205D" w:rsidRPr="00FF75F2" w:rsidRDefault="00DC205D" w:rsidP="00F561F0">
      <w:pPr>
        <w:pStyle w:val="Heading2"/>
      </w:pPr>
      <w:bookmarkStart w:id="49" w:name="_Toc282079236"/>
      <w:bookmarkStart w:id="50" w:name="_Toc296940202"/>
      <w:bookmarkStart w:id="51" w:name="_Toc375234809"/>
      <w:bookmarkStart w:id="52" w:name="_Toc518977029"/>
      <w:bookmarkStart w:id="53" w:name="_Toc16154525"/>
      <w:r w:rsidRPr="00FF75F2">
        <w:lastRenderedPageBreak/>
        <w:t>Notes on cutting points</w:t>
      </w:r>
      <w:bookmarkEnd w:id="49"/>
      <w:bookmarkEnd w:id="50"/>
      <w:bookmarkEnd w:id="51"/>
      <w:bookmarkEnd w:id="52"/>
      <w:bookmarkEnd w:id="53"/>
    </w:p>
    <w:p w14:paraId="649BFF62" w14:textId="77777777" w:rsidR="00DC205D" w:rsidRPr="00173DD5" w:rsidRDefault="00DC205D" w:rsidP="00F561F0">
      <w:pPr>
        <w:pStyle w:val="Bullet"/>
        <w:keepNext/>
      </w:pPr>
      <w:r>
        <w:t>Because c</w:t>
      </w:r>
      <w:r w:rsidRPr="00173DD5">
        <w:t>hildren are at greater risk of developing severe and life-threatening TB disease if untreated</w:t>
      </w:r>
      <w:r>
        <w:t>,</w:t>
      </w:r>
      <w:r w:rsidRPr="00173DD5">
        <w:t xml:space="preserve"> cutting points for children are conservative. Children younger than 12 weeks may be unable to produce an immunologic response</w:t>
      </w:r>
      <w:r>
        <w:t xml:space="preserve"> (</w:t>
      </w:r>
      <w:proofErr w:type="spellStart"/>
      <w:r>
        <w:t>ie</w:t>
      </w:r>
      <w:proofErr w:type="spellEnd"/>
      <w:r>
        <w:t>, may have a false negative Mantoux test)</w:t>
      </w:r>
      <w:r w:rsidRPr="00173DD5">
        <w:t>.</w:t>
      </w:r>
    </w:p>
    <w:p w14:paraId="4FA14FBB" w14:textId="77777777" w:rsidR="00DC205D" w:rsidRPr="00173DD5" w:rsidRDefault="00DC205D" w:rsidP="00F561F0">
      <w:pPr>
        <w:pStyle w:val="Bullet"/>
        <w:keepNext/>
      </w:pPr>
      <w:r w:rsidRPr="00173DD5">
        <w:t>Consider the actual risk and level of exposure for people from a high-incidence country on an individual basis.</w:t>
      </w:r>
    </w:p>
    <w:p w14:paraId="7A7C9FCF" w14:textId="77777777" w:rsidR="00DC205D" w:rsidRPr="00173DD5" w:rsidRDefault="00DC205D" w:rsidP="00F561F0">
      <w:pPr>
        <w:pStyle w:val="Bullet"/>
        <w:keepNext/>
      </w:pPr>
      <w:r>
        <w:t>Where</w:t>
      </w:r>
      <w:r w:rsidRPr="00173DD5">
        <w:t xml:space="preserve"> adults </w:t>
      </w:r>
      <w:r>
        <w:t xml:space="preserve">have </w:t>
      </w:r>
      <w:r w:rsidRPr="00173DD5">
        <w:t xml:space="preserve">immunosuppressive illness or </w:t>
      </w:r>
      <w:r>
        <w:t xml:space="preserve">are </w:t>
      </w:r>
      <w:r w:rsidRPr="00173DD5">
        <w:t xml:space="preserve">taking immunosuppressive drugs, </w:t>
      </w:r>
      <w:r>
        <w:t xml:space="preserve">document </w:t>
      </w:r>
      <w:r w:rsidRPr="00173DD5">
        <w:t xml:space="preserve">the degree and duration of immune suppression and </w:t>
      </w:r>
      <w:r>
        <w:t xml:space="preserve">identify </w:t>
      </w:r>
      <w:r w:rsidRPr="00173DD5">
        <w:t>the appropriate cutting point, as described here.</w:t>
      </w:r>
    </w:p>
    <w:p w14:paraId="1A0BB11A" w14:textId="77777777" w:rsidR="00DC205D" w:rsidRPr="00173DD5" w:rsidRDefault="00DC205D" w:rsidP="00F561F0">
      <w:pPr>
        <w:pStyle w:val="Bullet"/>
      </w:pPr>
      <w:r w:rsidRPr="00173DD5">
        <w:t>The 5</w:t>
      </w:r>
      <w:r>
        <w:t xml:space="preserve"> </w:t>
      </w:r>
      <w:r w:rsidRPr="00173DD5">
        <w:t>mm cutting point is appropriate for people with:</w:t>
      </w:r>
    </w:p>
    <w:p w14:paraId="4D95F14F" w14:textId="77777777" w:rsidR="00DC205D" w:rsidRPr="00173DD5" w:rsidRDefault="00DC205D" w:rsidP="00F561F0">
      <w:pPr>
        <w:pStyle w:val="Dash"/>
      </w:pPr>
      <w:r w:rsidRPr="00173DD5">
        <w:t>immunosuppressive treatment for organ transplantation</w:t>
      </w:r>
    </w:p>
    <w:p w14:paraId="0C574CC1" w14:textId="77777777" w:rsidR="00DC205D" w:rsidRPr="00173DD5" w:rsidRDefault="00DC205D" w:rsidP="00F561F0">
      <w:pPr>
        <w:pStyle w:val="Dash"/>
      </w:pPr>
      <w:r w:rsidRPr="00173DD5">
        <w:t>aggressive immunosuppressive cancer treatment</w:t>
      </w:r>
    </w:p>
    <w:p w14:paraId="0C282E8E" w14:textId="77777777" w:rsidR="00DC205D" w:rsidRPr="00173DD5" w:rsidRDefault="00DC205D" w:rsidP="00F561F0">
      <w:pPr>
        <w:pStyle w:val="Dash"/>
      </w:pPr>
      <w:r w:rsidRPr="00173DD5">
        <w:t>cytotoxic immun</w:t>
      </w:r>
      <w:r>
        <w:t>o</w:t>
      </w:r>
      <w:r w:rsidRPr="00173DD5">
        <w:t>suppressive agents such as cyclophosphamide or methotrexate</w:t>
      </w:r>
    </w:p>
    <w:p w14:paraId="7C8EB807" w14:textId="77777777" w:rsidR="00DC205D" w:rsidRDefault="00DC205D" w:rsidP="00F561F0">
      <w:pPr>
        <w:pStyle w:val="Dash"/>
      </w:pPr>
      <w:r w:rsidRPr="00AF69BA">
        <w:t>systemic corticosteroid treatment that is prolonged (</w:t>
      </w:r>
      <w:proofErr w:type="spellStart"/>
      <w:r w:rsidRPr="00AF69BA">
        <w:t>eg</w:t>
      </w:r>
      <w:proofErr w:type="spellEnd"/>
      <w:r w:rsidRPr="00AF69BA">
        <w:t>, for more than six weeks) and in a dose of prednisone equal to or greater than 15 mg/day (or equivalent with another steroid); the higher the dose, the gre</w:t>
      </w:r>
      <w:r>
        <w:t>ater the risk of reactivating TB</w:t>
      </w:r>
    </w:p>
    <w:p w14:paraId="0A36D876" w14:textId="77777777" w:rsidR="00DC205D" w:rsidRPr="00AF69BA" w:rsidRDefault="00DC205D" w:rsidP="00F561F0">
      <w:pPr>
        <w:pStyle w:val="Dash"/>
      </w:pPr>
      <w:r w:rsidRPr="00AF69BA">
        <w:t>a combination of other immunosuppressive conditions (</w:t>
      </w:r>
      <w:proofErr w:type="spellStart"/>
      <w:r w:rsidRPr="00AF69BA">
        <w:t>eg</w:t>
      </w:r>
      <w:proofErr w:type="spellEnd"/>
      <w:r w:rsidRPr="00AF69BA">
        <w:t>, prednisone less than 15</w:t>
      </w:r>
      <w:r w:rsidR="00F561F0">
        <w:t> </w:t>
      </w:r>
      <w:r w:rsidRPr="00AF69BA">
        <w:t xml:space="preserve">mg/day plus diabetes mellitus </w:t>
      </w:r>
      <w:r>
        <w:t>(on treatment) and</w:t>
      </w:r>
      <w:r w:rsidRPr="00AF69BA">
        <w:t xml:space="preserve"> moderately</w:t>
      </w:r>
      <w:r>
        <w:t xml:space="preserve"> or </w:t>
      </w:r>
      <w:r w:rsidRPr="00AF69BA">
        <w:t>severely advanced malignancy</w:t>
      </w:r>
      <w:r>
        <w:t xml:space="preserve">. </w:t>
      </w:r>
      <w:r w:rsidRPr="00AF69BA">
        <w:t>(</w:t>
      </w:r>
      <w:r>
        <w:t>T</w:t>
      </w:r>
      <w:r w:rsidRPr="00AF69BA">
        <w:t>his advice is empirical, not evidence based</w:t>
      </w:r>
      <w:r>
        <w:t>.</w:t>
      </w:r>
      <w:r w:rsidRPr="00AF69BA">
        <w:t>)</w:t>
      </w:r>
    </w:p>
    <w:p w14:paraId="751ADA57" w14:textId="77777777" w:rsidR="00DC205D" w:rsidRDefault="00DC205D" w:rsidP="00F561F0">
      <w:pPr>
        <w:pStyle w:val="Dash"/>
      </w:pPr>
      <w:r w:rsidRPr="00173DD5">
        <w:t>end</w:t>
      </w:r>
      <w:r>
        <w:t>-</w:t>
      </w:r>
      <w:r w:rsidRPr="00173DD5">
        <w:t>stage renal failure.</w:t>
      </w:r>
    </w:p>
    <w:p w14:paraId="223733A5" w14:textId="77777777" w:rsidR="00DC205D" w:rsidRPr="00B63BC7" w:rsidRDefault="00DC205D" w:rsidP="00F561F0">
      <w:pPr>
        <w:pStyle w:val="Bullet"/>
      </w:pPr>
      <w:r w:rsidRPr="00B63BC7">
        <w:t>The 10 mm cutting point is appropriate for</w:t>
      </w:r>
      <w:r>
        <w:t xml:space="preserve"> people who</w:t>
      </w:r>
      <w:r w:rsidRPr="00B63BC7">
        <w:t>:</w:t>
      </w:r>
    </w:p>
    <w:p w14:paraId="3AC4F41E" w14:textId="77777777" w:rsidR="00DC205D" w:rsidRPr="00173DD5" w:rsidRDefault="00DC205D" w:rsidP="00F561F0">
      <w:pPr>
        <w:pStyle w:val="Dash"/>
      </w:pPr>
      <w:r>
        <w:t>are</w:t>
      </w:r>
      <w:r w:rsidRPr="00173DD5">
        <w:t xml:space="preserve"> on long</w:t>
      </w:r>
      <w:r>
        <w:t>-</w:t>
      </w:r>
      <w:r w:rsidRPr="00173DD5">
        <w:t>term doses of prednisone less than 15</w:t>
      </w:r>
      <w:r>
        <w:t xml:space="preserve"> </w:t>
      </w:r>
      <w:r w:rsidRPr="00173DD5">
        <w:t>mg/day</w:t>
      </w:r>
    </w:p>
    <w:p w14:paraId="30D5FF10" w14:textId="77777777" w:rsidR="00DC205D" w:rsidRPr="00173DD5" w:rsidRDefault="00DC205D" w:rsidP="00F561F0">
      <w:pPr>
        <w:pStyle w:val="Dash"/>
      </w:pPr>
      <w:r>
        <w:t>have</w:t>
      </w:r>
      <w:r w:rsidRPr="00173DD5">
        <w:t xml:space="preserve"> diabetes mellitus (including insulin dependent)</w:t>
      </w:r>
    </w:p>
    <w:p w14:paraId="1CA6CC53" w14:textId="77777777" w:rsidR="00DC205D" w:rsidRDefault="00DC205D" w:rsidP="00F561F0">
      <w:pPr>
        <w:pStyle w:val="Dash"/>
      </w:pPr>
      <w:r>
        <w:t>have</w:t>
      </w:r>
      <w:r w:rsidRPr="00173DD5">
        <w:t xml:space="preserve"> alcoholism, malnutrition or disseminated malignancy</w:t>
      </w:r>
      <w:r>
        <w:t>.</w:t>
      </w:r>
    </w:p>
    <w:p w14:paraId="45F958E1" w14:textId="77777777" w:rsidR="00F561F0" w:rsidRDefault="00F561F0" w:rsidP="00F561F0"/>
    <w:p w14:paraId="09D38995" w14:textId="77777777" w:rsidR="00DC205D" w:rsidRPr="00FF75F2" w:rsidRDefault="00DC205D" w:rsidP="00F561F0">
      <w:pPr>
        <w:pStyle w:val="Heading2"/>
      </w:pPr>
      <w:bookmarkStart w:id="54" w:name="_Toc296940203"/>
      <w:bookmarkStart w:id="55" w:name="_Toc375234810"/>
      <w:bookmarkStart w:id="56" w:name="_Toc518977030"/>
      <w:bookmarkStart w:id="57" w:name="_Toc16154526"/>
      <w:r w:rsidRPr="00FF75F2">
        <w:t xml:space="preserve">Mantoux </w:t>
      </w:r>
      <w:r>
        <w:t>c</w:t>
      </w:r>
      <w:r w:rsidRPr="00FF75F2">
        <w:t>onversion</w:t>
      </w:r>
      <w:bookmarkEnd w:id="54"/>
      <w:bookmarkEnd w:id="55"/>
      <w:bookmarkEnd w:id="56"/>
      <w:bookmarkEnd w:id="57"/>
    </w:p>
    <w:p w14:paraId="1351C471" w14:textId="77777777" w:rsidR="00DC205D" w:rsidRDefault="00DC205D" w:rsidP="00F561F0">
      <w:r w:rsidRPr="002A770A">
        <w:t>Mantoux conversion is relevant for repeat testing of contacts. Repeated Mantoux tests can result in larger reaction sizes, which can be due to non-specific variation, boosting</w:t>
      </w:r>
      <w:r w:rsidRPr="00F561F0">
        <w:rPr>
          <w:rStyle w:val="FootnoteReference"/>
        </w:rPr>
        <w:footnoteReference w:id="5"/>
      </w:r>
      <w:r w:rsidRPr="002A770A">
        <w:t xml:space="preserve"> or true Mantoux conversion</w:t>
      </w:r>
      <w:r w:rsidRPr="00F561F0">
        <w:rPr>
          <w:rStyle w:val="FootnoteReference"/>
        </w:rPr>
        <w:footnoteReference w:id="6"/>
      </w:r>
      <w:r w:rsidRPr="002A770A">
        <w:t xml:space="preserve"> (Menzies and Doherty 2006). Non-specific increases occur because of differences in administration or reading, as well as because of minor variation in the individual’s response. Increases due to non-specific variation are small, between 2 and 3 </w:t>
      </w:r>
      <w:r w:rsidR="00F561F0">
        <w:t>mm.</w:t>
      </w:r>
    </w:p>
    <w:p w14:paraId="42E9D614" w14:textId="77777777" w:rsidR="00F561F0" w:rsidRPr="002A770A" w:rsidRDefault="00F561F0" w:rsidP="00F561F0"/>
    <w:p w14:paraId="1FC68B7E" w14:textId="77777777" w:rsidR="00F561F0" w:rsidRPr="00173DD5" w:rsidRDefault="00F561F0" w:rsidP="00F561F0">
      <w:pPr>
        <w:pStyle w:val="Box"/>
      </w:pPr>
      <w:r w:rsidRPr="00F97A42">
        <w:t>Definition:</w:t>
      </w:r>
      <w:r w:rsidRPr="00173DD5">
        <w:rPr>
          <w:i/>
        </w:rPr>
        <w:t xml:space="preserve"> </w:t>
      </w:r>
      <w:r w:rsidRPr="00173DD5">
        <w:t>Mantoux conversion is an increase in reaction size of 10</w:t>
      </w:r>
      <w:r>
        <w:t xml:space="preserve"> </w:t>
      </w:r>
      <w:r w:rsidRPr="00173DD5">
        <w:t>mm or more within a two</w:t>
      </w:r>
      <w:r>
        <w:t>-</w:t>
      </w:r>
      <w:r w:rsidRPr="00173DD5">
        <w:t xml:space="preserve">year period </w:t>
      </w:r>
      <w:r w:rsidRPr="00173DD5">
        <w:fldChar w:fldCharType="begin"/>
      </w:r>
      <w:r w:rsidRPr="00173DD5">
        <w:instrText xml:space="preserve"> ADDIN EN.CITE &lt;EndNote&gt;&lt;Cite&gt;&lt;Author&gt;American Thoracic Society&lt;/Author&gt;&lt;Year&gt;2000&lt;/Year&gt;&lt;RecNum&gt;15&lt;/RecNum&gt;&lt;record&gt;&lt;rec-number&gt;15&lt;/rec-number&gt;&lt;foreign-keys&gt;&lt;key app="EN" db-id="9p5pr95xrpzsrae2w2qx0av3sfv9ea9x2s5e"&gt;15&lt;/key&gt;&lt;/foreign-keys&gt;&lt;ref-type name="Journal Article"&gt;17&lt;/ref-type&gt;&lt;contributors&gt;&lt;authors&gt;&lt;author&gt;American Thoracic Society,&lt;/author&gt;&lt;/authors&gt;&lt;/contributors&gt;&lt;titles&gt;&lt;title&gt;Diagnostic Standards and Classification of Tuberculosis in Adults and Children.&lt;/title&gt;&lt;secondary-title&gt;Am J Resp Crit Care Med &lt;/secondary-title&gt;&lt;/titles&gt;&lt;periodical&gt;&lt;full-title&gt;Am J Resp Crit Care Med&lt;/full-title&gt;&lt;/periodical&gt;&lt;pages&gt;1376-95&lt;/pages&gt;&lt;volume&gt;161&lt;/volume&gt;&lt;dates&gt;&lt;year&gt;2000&lt;/year&gt;&lt;/dates&gt;&lt;urls&gt;&lt;/urls&gt;&lt;/record&gt;&lt;/Cite&gt;&lt;/EndNote&gt;</w:instrText>
      </w:r>
      <w:r w:rsidRPr="00173DD5">
        <w:fldChar w:fldCharType="separate"/>
      </w:r>
      <w:r w:rsidRPr="00173DD5">
        <w:t>(American Thoracic Society 2000)</w:t>
      </w:r>
      <w:r w:rsidRPr="00173DD5">
        <w:fldChar w:fldCharType="end"/>
      </w:r>
      <w:r>
        <w:t>.</w:t>
      </w:r>
    </w:p>
    <w:p w14:paraId="1EE22C87" w14:textId="77777777" w:rsidR="009C0AB2" w:rsidRDefault="009C0AB2" w:rsidP="009C0AB2">
      <w:pPr>
        <w:rPr>
          <w:szCs w:val="22"/>
        </w:rPr>
      </w:pPr>
    </w:p>
    <w:p w14:paraId="65D30305" w14:textId="77777777" w:rsidR="00DC205D" w:rsidRDefault="00DC205D" w:rsidP="009C0AB2">
      <w:pPr>
        <w:rPr>
          <w:szCs w:val="22"/>
        </w:rPr>
      </w:pPr>
      <w:r w:rsidRPr="00173DD5">
        <w:rPr>
          <w:szCs w:val="22"/>
        </w:rPr>
        <w:t xml:space="preserve">People who have a Mantoux conversion should be investigated for TB disease. The Mantoux reaction </w:t>
      </w:r>
      <w:r w:rsidRPr="00344597">
        <w:t xml:space="preserve">takes up to eight weeks to convert after exposure </w:t>
      </w:r>
      <w:r w:rsidRPr="00344597">
        <w:fldChar w:fldCharType="begin"/>
      </w:r>
      <w:r w:rsidRPr="00344597">
        <w:instrText xml:space="preserve"> ADDIN EN.CITE &lt;EndNote&gt;&lt;Cite&gt;&lt;Author&gt;Menzies&lt;/Author&gt;&lt;Year&gt;1999&lt;/Year&gt;&lt;RecNum&gt;3&lt;/RecNum&gt;&lt;record&gt;&lt;rec-number&gt;3&lt;/rec-number&gt;&lt;foreign-keys&gt;&lt;key app="EN" db-id="9p5pr95xrpzsrae2w2qx0av3sfv9ea9x2s5e"&gt;3&lt;/key&gt;&lt;/foreign-keys&gt;&lt;ref-type name="Journal Article"&gt;17&lt;/ref-type&gt;&lt;contributors&gt;&lt;authors&gt;&lt;author&gt;Menzies, D.&lt;/author&gt;&lt;/authors&gt;&lt;/contributors&gt;&lt;titles&gt;&lt;title&gt;Interpretation of repeated tuberculin tests. Boosting, conversion, and reversion.&lt;/title&gt;&lt;secondary-title&gt;&lt;style face="italic" font="default" size="100%"&gt;American Journal of Respiratory and Critical Care Medicine.&lt;/style&gt;&lt;/secondary-title&gt;&lt;/titles&gt;&lt;periodical&gt;&lt;full-title&gt;American Journal of Respiratory and Critical Care Medicine.&lt;/full-title&gt;&lt;/periodical&gt;&lt;pages&gt;15-21&lt;/pages&gt;&lt;volume&gt;159&lt;/volume&gt;&lt;number&gt;1&lt;/number&gt;&lt;dates&gt;&lt;year&gt;1999&lt;/year&gt;&lt;/dates&gt;&lt;urls&gt;&lt;/urls&gt;&lt;/record&gt;&lt;/Cite&gt;&lt;/EndNote&gt;</w:instrText>
      </w:r>
      <w:r w:rsidRPr="00344597">
        <w:fldChar w:fldCharType="separate"/>
      </w:r>
      <w:r w:rsidRPr="00344597">
        <w:t>(Menzies 1999)</w:t>
      </w:r>
      <w:r w:rsidRPr="00344597">
        <w:fldChar w:fldCharType="end"/>
      </w:r>
      <w:r w:rsidRPr="00344597">
        <w:t xml:space="preserve">. If eight weeks have </w:t>
      </w:r>
      <w:r>
        <w:t>passed</w:t>
      </w:r>
      <w:r w:rsidRPr="00344597">
        <w:t xml:space="preserve"> since</w:t>
      </w:r>
      <w:r>
        <w:t xml:space="preserve"> a contact was</w:t>
      </w:r>
      <w:r w:rsidRPr="00344597">
        <w:t xml:space="preserve"> last expos</w:t>
      </w:r>
      <w:r>
        <w:t>ed</w:t>
      </w:r>
      <w:r w:rsidRPr="00344597">
        <w:t xml:space="preserve"> to the case, a single Mantoux test is all that is required. If</w:t>
      </w:r>
      <w:r>
        <w:t xml:space="preserve"> you give</w:t>
      </w:r>
      <w:r w:rsidRPr="00344597">
        <w:t xml:space="preserve"> the first test less than eight weeks after last exposure and </w:t>
      </w:r>
      <w:r>
        <w:t xml:space="preserve">it </w:t>
      </w:r>
      <w:r w:rsidRPr="00344597">
        <w:t>is negative</w:t>
      </w:r>
      <w:r>
        <w:t>,</w:t>
      </w:r>
      <w:r w:rsidRPr="00344597">
        <w:t xml:space="preserve"> then repeat the test eight</w:t>
      </w:r>
      <w:r>
        <w:rPr>
          <w:szCs w:val="22"/>
        </w:rPr>
        <w:t xml:space="preserve"> weeks after last exposure.</w:t>
      </w:r>
    </w:p>
    <w:p w14:paraId="6B27B7B2" w14:textId="77777777" w:rsidR="009C0AB2" w:rsidRPr="00173DD5" w:rsidRDefault="009C0AB2" w:rsidP="009C0AB2">
      <w:pPr>
        <w:rPr>
          <w:szCs w:val="22"/>
        </w:rPr>
      </w:pPr>
    </w:p>
    <w:p w14:paraId="6DBF228B" w14:textId="77777777" w:rsidR="00DC205D" w:rsidRPr="00FF75F2" w:rsidRDefault="00DC205D" w:rsidP="009C0AB2">
      <w:pPr>
        <w:pStyle w:val="Heading2"/>
      </w:pPr>
      <w:bookmarkStart w:id="58" w:name="_Toc296940204"/>
      <w:bookmarkStart w:id="59" w:name="_Toc375234811"/>
      <w:bookmarkStart w:id="60" w:name="_Toc518977031"/>
      <w:bookmarkStart w:id="61" w:name="_Toc16154527"/>
      <w:r w:rsidRPr="00FF75F2">
        <w:lastRenderedPageBreak/>
        <w:t>Adverse reactions following testing</w:t>
      </w:r>
      <w:bookmarkEnd w:id="58"/>
      <w:bookmarkEnd w:id="59"/>
      <w:bookmarkEnd w:id="60"/>
      <w:bookmarkEnd w:id="61"/>
    </w:p>
    <w:p w14:paraId="589D2A80" w14:textId="77777777" w:rsidR="00DC205D" w:rsidRPr="00173DD5" w:rsidRDefault="00DC205D" w:rsidP="009C0AB2">
      <w:r w:rsidRPr="00173DD5">
        <w:rPr>
          <w:szCs w:val="22"/>
        </w:rPr>
        <w:t xml:space="preserve">Adverse reactions are unusual. </w:t>
      </w:r>
      <w:r>
        <w:rPr>
          <w:szCs w:val="22"/>
        </w:rPr>
        <w:t>In rare cases,</w:t>
      </w:r>
      <w:r w:rsidRPr="00173DD5">
        <w:rPr>
          <w:szCs w:val="22"/>
        </w:rPr>
        <w:t xml:space="preserve"> people may experience a sore arm or mild flu-like symptoms for a few days. S</w:t>
      </w:r>
      <w:r w:rsidRPr="00173DD5">
        <w:t>evere systemic hypersensitivity reactions (anaphylactic</w:t>
      </w:r>
      <w:r>
        <w:t xml:space="preserve"> or </w:t>
      </w:r>
      <w:r w:rsidRPr="00173DD5">
        <w:t xml:space="preserve">anaphylactoid reactions) following administration of the Mantoux test are also rare (Sanofi Pasteur Limited 2007). Where hypersensitivity has occurred, reactions have resulted in angioedema, upper respiratory stridor, dyspnoea, skin rash, generalised rash and/or urticaria within 24 hours of </w:t>
      </w:r>
      <w:r>
        <w:t xml:space="preserve">administering </w:t>
      </w:r>
      <w:r w:rsidRPr="00173DD5">
        <w:t>Mantoux.</w:t>
      </w:r>
    </w:p>
    <w:p w14:paraId="20746205" w14:textId="77777777" w:rsidR="009C0AB2" w:rsidRDefault="009C0AB2" w:rsidP="009C0AB2"/>
    <w:p w14:paraId="2BE11469" w14:textId="77777777" w:rsidR="00DC205D" w:rsidRPr="00173DD5" w:rsidRDefault="00DC205D" w:rsidP="009C0AB2">
      <w:r>
        <w:t>Continue to observe p</w:t>
      </w:r>
      <w:r w:rsidRPr="00173DD5">
        <w:t xml:space="preserve">eople for 20 minutes </w:t>
      </w:r>
      <w:r>
        <w:t>after administering</w:t>
      </w:r>
      <w:r w:rsidRPr="00173DD5">
        <w:t xml:space="preserve"> </w:t>
      </w:r>
      <w:r>
        <w:t xml:space="preserve">a </w:t>
      </w:r>
      <w:r w:rsidRPr="00173DD5">
        <w:t xml:space="preserve">Mantoux </w:t>
      </w:r>
      <w:r>
        <w:t>test so</w:t>
      </w:r>
      <w:r w:rsidRPr="00173DD5">
        <w:t xml:space="preserve"> that any immediate adverse </w:t>
      </w:r>
      <w:r>
        <w:t>reaction</w:t>
      </w:r>
      <w:r w:rsidRPr="00173DD5">
        <w:t xml:space="preserve"> can be appropriately treated. Standard vaccination practice of not giving vaccines alone and having an emergency </w:t>
      </w:r>
      <w:r>
        <w:t>resuscitation equipment</w:t>
      </w:r>
      <w:r w:rsidRPr="00173DD5">
        <w:t xml:space="preserve"> in the room </w:t>
      </w:r>
      <w:r>
        <w:t>is recommended when administering</w:t>
      </w:r>
      <w:r w:rsidRPr="00173DD5">
        <w:t xml:space="preserve"> Mantoux.</w:t>
      </w:r>
    </w:p>
    <w:p w14:paraId="74D8DBA1" w14:textId="77777777" w:rsidR="009C0AB2" w:rsidRPr="00E61894" w:rsidRDefault="009C0AB2" w:rsidP="009C0AB2"/>
    <w:p w14:paraId="3E6EA760" w14:textId="4927EEF0" w:rsidR="00DC205D" w:rsidRPr="00E61894" w:rsidRDefault="00DC205D" w:rsidP="009C0AB2">
      <w:r w:rsidRPr="00E61894">
        <w:t xml:space="preserve">For further information on anaphylaxis and reporting adverse events to the Centre for Adverse Reactions Monitoring, see the latest edition of the </w:t>
      </w:r>
      <w:r w:rsidRPr="00E61894">
        <w:rPr>
          <w:i/>
        </w:rPr>
        <w:t xml:space="preserve">Immunisation Handbook </w:t>
      </w:r>
      <w:r w:rsidRPr="00E61894">
        <w:t>(Ministry of Health 2018).</w:t>
      </w:r>
    </w:p>
    <w:p w14:paraId="3617D954" w14:textId="77777777" w:rsidR="009C0AB2" w:rsidRPr="00E61894" w:rsidRDefault="009C0AB2" w:rsidP="009C0AB2"/>
    <w:p w14:paraId="4BF941FC" w14:textId="77777777" w:rsidR="00DC205D" w:rsidRPr="00FF75F2" w:rsidRDefault="00DC205D" w:rsidP="009C0AB2">
      <w:pPr>
        <w:pStyle w:val="Heading2"/>
      </w:pPr>
      <w:bookmarkStart w:id="62" w:name="_Toc518977032"/>
      <w:bookmarkStart w:id="63" w:name="_Toc16154528"/>
      <w:r>
        <w:t>Circumstances that do not prevent</w:t>
      </w:r>
      <w:r w:rsidRPr="00FF75F2">
        <w:t xml:space="preserve"> a Mantoux test?</w:t>
      </w:r>
      <w:bookmarkEnd w:id="62"/>
      <w:bookmarkEnd w:id="63"/>
    </w:p>
    <w:p w14:paraId="34652B8D" w14:textId="77777777" w:rsidR="00DC205D" w:rsidRPr="00D672BF" w:rsidRDefault="00DC205D" w:rsidP="009C0AB2">
      <w:r w:rsidRPr="00D672BF">
        <w:t>Unless contraindicated</w:t>
      </w:r>
      <w:r>
        <w:t>,</w:t>
      </w:r>
      <w:r w:rsidRPr="00D672BF">
        <w:t xml:space="preserve"> people can receive a Mantoux test</w:t>
      </w:r>
      <w:r>
        <w:t xml:space="preserve"> if they</w:t>
      </w:r>
      <w:r w:rsidRPr="00D672BF">
        <w:t>:</w:t>
      </w:r>
    </w:p>
    <w:p w14:paraId="2844933F" w14:textId="77777777" w:rsidR="00DC205D" w:rsidRPr="00D672BF" w:rsidRDefault="00DC205D" w:rsidP="009C0AB2">
      <w:pPr>
        <w:pStyle w:val="Bullet"/>
      </w:pPr>
      <w:r>
        <w:t>have</w:t>
      </w:r>
      <w:r w:rsidRPr="00D672BF">
        <w:t xml:space="preserve"> a common cold</w:t>
      </w:r>
    </w:p>
    <w:p w14:paraId="69D19540" w14:textId="77777777" w:rsidR="00DC205D" w:rsidRPr="00D672BF" w:rsidRDefault="00DC205D" w:rsidP="009C0AB2">
      <w:pPr>
        <w:pStyle w:val="Bullet"/>
      </w:pPr>
      <w:r w:rsidRPr="00D672BF">
        <w:t>are pregnant or who are breastfeeding</w:t>
      </w:r>
    </w:p>
    <w:p w14:paraId="2857AF63" w14:textId="77777777" w:rsidR="00DC205D" w:rsidRPr="00D672BF" w:rsidRDefault="00DC205D" w:rsidP="009C0AB2">
      <w:pPr>
        <w:pStyle w:val="Bullet"/>
      </w:pPr>
      <w:r>
        <w:t>are</w:t>
      </w:r>
      <w:r w:rsidRPr="00D672BF">
        <w:t xml:space="preserve"> immunised with any other vaccine on the same day</w:t>
      </w:r>
    </w:p>
    <w:p w14:paraId="46F03B76" w14:textId="77777777" w:rsidR="00DC205D" w:rsidRPr="00D672BF" w:rsidRDefault="00DC205D" w:rsidP="009C0AB2">
      <w:pPr>
        <w:pStyle w:val="Bullet"/>
      </w:pPr>
      <w:r>
        <w:t>have</w:t>
      </w:r>
      <w:r w:rsidRPr="00D672BF">
        <w:t xml:space="preserve"> immunised in the past four weeks with inactivated vaccines</w:t>
      </w:r>
    </w:p>
    <w:p w14:paraId="0925F72F" w14:textId="77777777" w:rsidR="00DC205D" w:rsidRPr="00D672BF" w:rsidRDefault="00DC205D" w:rsidP="009C0AB2">
      <w:pPr>
        <w:pStyle w:val="Bullet"/>
      </w:pPr>
      <w:r w:rsidRPr="00D672BF">
        <w:t>give a history of a positive Mantoux reaction (other than blistering) that is not documented</w:t>
      </w:r>
    </w:p>
    <w:p w14:paraId="10888D56" w14:textId="77777777" w:rsidR="00DC205D" w:rsidRDefault="00DC205D" w:rsidP="009C0AB2">
      <w:pPr>
        <w:pStyle w:val="Bullet"/>
      </w:pPr>
      <w:r>
        <w:t>are</w:t>
      </w:r>
      <w:r w:rsidRPr="00D672BF">
        <w:t xml:space="preserve"> taking low doses of systemic corticosteroids (&lt;15</w:t>
      </w:r>
      <w:r>
        <w:t xml:space="preserve"> </w:t>
      </w:r>
      <w:r w:rsidRPr="00D672BF">
        <w:t>mg prednisone (or equivalent) daily (as long as</w:t>
      </w:r>
      <w:r>
        <w:t xml:space="preserve"> they are</w:t>
      </w:r>
      <w:r w:rsidRPr="00D672BF">
        <w:t xml:space="preserve"> not also diabetic); it generally takes a steroid dose equivalent to </w:t>
      </w:r>
      <w:r>
        <w:t>&gt;</w:t>
      </w:r>
      <w:r w:rsidRPr="00D672BF">
        <w:t xml:space="preserve">15 mg prednisone daily for </w:t>
      </w:r>
      <w:r>
        <w:t>two to four</w:t>
      </w:r>
      <w:r w:rsidRPr="00D672BF">
        <w:t xml:space="preserve"> weeks to suppress Mantoux reactivity.</w:t>
      </w:r>
    </w:p>
    <w:p w14:paraId="61A2C5C0" w14:textId="77777777" w:rsidR="009C0AB2" w:rsidRPr="00D672BF" w:rsidRDefault="009C0AB2" w:rsidP="009C0AB2"/>
    <w:p w14:paraId="3C8948B7" w14:textId="77777777" w:rsidR="00DC205D" w:rsidRPr="00FF75F2" w:rsidRDefault="00DC205D" w:rsidP="009C0AB2">
      <w:pPr>
        <w:pStyle w:val="Heading1"/>
      </w:pPr>
      <w:bookmarkStart w:id="64" w:name="_Toc518977033"/>
      <w:bookmarkStart w:id="65" w:name="_Toc16154529"/>
      <w:r w:rsidRPr="00FF75F2">
        <w:lastRenderedPageBreak/>
        <w:t>Post-Mantoux test</w:t>
      </w:r>
      <w:bookmarkEnd w:id="64"/>
      <w:bookmarkEnd w:id="65"/>
    </w:p>
    <w:p w14:paraId="79B778E2" w14:textId="77777777" w:rsidR="00DC205D" w:rsidRDefault="00DC205D" w:rsidP="009C0AB2">
      <w:r w:rsidRPr="00173DD5">
        <w:t>There is no evidence relating to the degree of protection to either size of any subsequent Mantoux reaction or to the presence or absence of any scar formation</w:t>
      </w:r>
      <w:r>
        <w:t>. For this reason,</w:t>
      </w:r>
      <w:r w:rsidRPr="00173DD5">
        <w:t xml:space="preserve"> follow-up Mantoux tests after vaccination are not recommended </w:t>
      </w:r>
      <w:r w:rsidRPr="00173DD5">
        <w:fldChar w:fldCharType="begin"/>
      </w:r>
      <w:r w:rsidRPr="00173DD5">
        <w:instrText xml:space="preserve"> ADDIN EN.CITE &lt;EndNote&gt;&lt;Cite&gt;&lt;Author&gt;Al-Kassimi&lt;/Author&gt;&lt;Year&gt;1995&lt;/Year&gt;&lt;RecNum&gt;14&lt;/RecNum&gt;&lt;record&gt;&lt;rec-number&gt;14&lt;/rec-number&gt;&lt;foreign-keys&gt;&lt;key app="EN" db-id="9p5pr95xrpzsrae2w2qx0av3sfv9ea9x2s5e"&gt;14&lt;/key&gt;&lt;/foreign-keys&gt;&lt;ref-type name="Journal Article"&gt;17&lt;/ref-type&gt;&lt;contributors&gt;&lt;authors&gt;&lt;author&gt;Al-Kassimi, F&lt;/author&gt;&lt;author&gt;Al-Hajjaj, M&lt;/author&gt;&lt;author&gt;Al-Orainey I et al&lt;/author&gt;&lt;/authors&gt;&lt;/contributors&gt;&lt;titles&gt;&lt;title&gt;Does the protective effect of neonatal BCG correlate with vaccine-induced tuberculin reaction?&lt;/title&gt;&lt;secondary-title&gt; American J Respir Crit Care Med.&lt;/secondary-title&gt;&lt;/titles&gt;&lt;pages&gt;575-78&lt;/pages&gt;&lt;volume&gt;152&lt;/volume&gt;&lt;dates&gt;&lt;year&gt;1995&lt;/year&gt;&lt;/dates&gt;&lt;urls&gt;&lt;/urls&gt;&lt;/record&gt;&lt;/Cite&gt;&lt;/EndNote&gt;</w:instrText>
      </w:r>
      <w:r w:rsidRPr="00173DD5">
        <w:fldChar w:fldCharType="separate"/>
      </w:r>
      <w:r w:rsidRPr="00173DD5">
        <w:t>(Al-Kassimi et al 1995)</w:t>
      </w:r>
      <w:r w:rsidRPr="00173DD5">
        <w:fldChar w:fldCharType="end"/>
      </w:r>
      <w:r>
        <w:t>.</w:t>
      </w:r>
    </w:p>
    <w:p w14:paraId="0EA55F3B" w14:textId="77777777" w:rsidR="009C0AB2" w:rsidRDefault="009C0AB2" w:rsidP="009C0AB2"/>
    <w:p w14:paraId="794307E9" w14:textId="77777777" w:rsidR="00DC205D" w:rsidRPr="00344597" w:rsidRDefault="00DC205D" w:rsidP="009C0AB2">
      <w:pPr>
        <w:pStyle w:val="Heading1"/>
        <w:rPr>
          <w:lang w:eastAsia="en-US"/>
        </w:rPr>
      </w:pPr>
      <w:bookmarkStart w:id="66" w:name="_Toc296940235"/>
      <w:bookmarkStart w:id="67" w:name="_Toc375234843"/>
      <w:bookmarkStart w:id="68" w:name="_Toc518977034"/>
      <w:bookmarkStart w:id="69" w:name="_Toc16154530"/>
      <w:r w:rsidRPr="00344597">
        <w:lastRenderedPageBreak/>
        <w:t>References</w:t>
      </w:r>
      <w:bookmarkEnd w:id="66"/>
      <w:bookmarkEnd w:id="67"/>
      <w:bookmarkEnd w:id="68"/>
      <w:bookmarkEnd w:id="69"/>
    </w:p>
    <w:p w14:paraId="1B937FAA" w14:textId="77777777" w:rsidR="00DC205D" w:rsidRPr="00173DD5" w:rsidRDefault="00DC205D" w:rsidP="009C0AB2">
      <w:pPr>
        <w:pStyle w:val="References"/>
      </w:pPr>
      <w:r w:rsidRPr="00173DD5">
        <w:fldChar w:fldCharType="begin"/>
      </w:r>
      <w:r w:rsidRPr="00173DD5">
        <w:instrText xml:space="preserve"> ADDIN EN.REFLIST </w:instrText>
      </w:r>
      <w:r w:rsidRPr="00173DD5">
        <w:fldChar w:fldCharType="separate"/>
      </w:r>
      <w:r w:rsidRPr="00173DD5">
        <w:t>Al-Kassimi F, Al-Hajjaj M, al</w:t>
      </w:r>
      <w:r>
        <w:t>-Orainey IO, et al</w:t>
      </w:r>
      <w:r w:rsidRPr="00173DD5">
        <w:t>. 1995. Does the protective effect of neonatal BCG correlate with vaccine-induced tuberculin reaction?</w:t>
      </w:r>
      <w:r w:rsidRPr="00173DD5">
        <w:rPr>
          <w:i/>
        </w:rPr>
        <w:t xml:space="preserve"> American J</w:t>
      </w:r>
      <w:r>
        <w:rPr>
          <w:i/>
        </w:rPr>
        <w:t>ournal of</w:t>
      </w:r>
      <w:r w:rsidRPr="00173DD5">
        <w:rPr>
          <w:i/>
        </w:rPr>
        <w:t xml:space="preserve"> Respir</w:t>
      </w:r>
      <w:r>
        <w:rPr>
          <w:i/>
        </w:rPr>
        <w:t>atory and</w:t>
      </w:r>
      <w:r w:rsidRPr="00173DD5">
        <w:rPr>
          <w:i/>
        </w:rPr>
        <w:t xml:space="preserve"> Crit</w:t>
      </w:r>
      <w:r>
        <w:rPr>
          <w:i/>
        </w:rPr>
        <w:t>ical</w:t>
      </w:r>
      <w:r w:rsidRPr="00173DD5">
        <w:rPr>
          <w:i/>
        </w:rPr>
        <w:t xml:space="preserve"> Care Med</w:t>
      </w:r>
      <w:r>
        <w:rPr>
          <w:i/>
        </w:rPr>
        <w:t>icine</w:t>
      </w:r>
      <w:r w:rsidRPr="00173DD5">
        <w:t xml:space="preserve"> 152:</w:t>
      </w:r>
      <w:r>
        <w:t xml:space="preserve"> </w:t>
      </w:r>
      <w:r w:rsidRPr="00173DD5">
        <w:t>575</w:t>
      </w:r>
      <w:r>
        <w:t>–</w:t>
      </w:r>
      <w:r w:rsidRPr="00173DD5">
        <w:t>8</w:t>
      </w:r>
      <w:r>
        <w:t>.</w:t>
      </w:r>
    </w:p>
    <w:p w14:paraId="049566B7" w14:textId="77777777" w:rsidR="00DC205D" w:rsidRPr="00D31569" w:rsidRDefault="00DC205D" w:rsidP="009C0AB2">
      <w:pPr>
        <w:pStyle w:val="References"/>
      </w:pPr>
      <w:r w:rsidRPr="00173DD5">
        <w:t xml:space="preserve">American Thoracic Society. 2000. Diagnostic standards and classification of tuberculosis in adults and children. </w:t>
      </w:r>
      <w:r w:rsidRPr="00173DD5">
        <w:rPr>
          <w:i/>
        </w:rPr>
        <w:t>Am J</w:t>
      </w:r>
      <w:r>
        <w:rPr>
          <w:i/>
        </w:rPr>
        <w:t>ournal of</w:t>
      </w:r>
      <w:r w:rsidRPr="00173DD5">
        <w:rPr>
          <w:i/>
        </w:rPr>
        <w:t xml:space="preserve"> Resp</w:t>
      </w:r>
      <w:r>
        <w:rPr>
          <w:i/>
        </w:rPr>
        <w:t>iratory and</w:t>
      </w:r>
      <w:r w:rsidRPr="00173DD5">
        <w:rPr>
          <w:i/>
        </w:rPr>
        <w:t xml:space="preserve"> Crit</w:t>
      </w:r>
      <w:r>
        <w:rPr>
          <w:i/>
        </w:rPr>
        <w:t>ical</w:t>
      </w:r>
      <w:r w:rsidRPr="00173DD5">
        <w:rPr>
          <w:i/>
        </w:rPr>
        <w:t xml:space="preserve"> Care Med</w:t>
      </w:r>
      <w:r>
        <w:rPr>
          <w:i/>
        </w:rPr>
        <w:t>icine</w:t>
      </w:r>
      <w:r w:rsidRPr="00173DD5">
        <w:rPr>
          <w:i/>
        </w:rPr>
        <w:t xml:space="preserve"> </w:t>
      </w:r>
      <w:r w:rsidRPr="00173DD5">
        <w:t>161:</w:t>
      </w:r>
      <w:r>
        <w:t xml:space="preserve"> </w:t>
      </w:r>
      <w:r w:rsidRPr="00173DD5">
        <w:t>1376</w:t>
      </w:r>
      <w:r>
        <w:t>–</w:t>
      </w:r>
      <w:r w:rsidRPr="00D31569">
        <w:t>95.</w:t>
      </w:r>
    </w:p>
    <w:p w14:paraId="729238AB" w14:textId="77777777" w:rsidR="00DC205D" w:rsidRPr="00D31569" w:rsidRDefault="00DC205D" w:rsidP="009C0AB2">
      <w:pPr>
        <w:pStyle w:val="References"/>
      </w:pPr>
      <w:r w:rsidRPr="00D31569">
        <w:t xml:space="preserve">Menzies D. 1999. Interpretation of repeated tuberculin tests. Boosting, conversion, and reversion. </w:t>
      </w:r>
      <w:r w:rsidRPr="00D31569">
        <w:rPr>
          <w:i/>
        </w:rPr>
        <w:t>American Journal of Respiratory and Critical Care Medicine</w:t>
      </w:r>
      <w:r w:rsidRPr="00D31569">
        <w:t xml:space="preserve"> 159:</w:t>
      </w:r>
      <w:r w:rsidR="009C0AB2">
        <w:t xml:space="preserve"> </w:t>
      </w:r>
      <w:r w:rsidRPr="00D31569">
        <w:t>15</w:t>
      </w:r>
      <w:r w:rsidR="009C0AB2">
        <w:t>–</w:t>
      </w:r>
      <w:r w:rsidRPr="00D31569">
        <w:t>21</w:t>
      </w:r>
      <w:r w:rsidR="009C0AB2">
        <w:t>.</w:t>
      </w:r>
    </w:p>
    <w:p w14:paraId="6E94EF2E" w14:textId="77777777" w:rsidR="00DC205D" w:rsidRPr="00173DD5" w:rsidRDefault="00DC205D" w:rsidP="009C0AB2">
      <w:pPr>
        <w:pStyle w:val="References"/>
      </w:pPr>
      <w:bookmarkStart w:id="70" w:name="_Toc282079281"/>
      <w:bookmarkStart w:id="71" w:name="_Toc296931990"/>
      <w:r w:rsidRPr="00173DD5">
        <w:t>Menzies D, Doherty T. 2006. Diagnosis of latent tuberculosis infection. In: MC Raviglione (ed)</w:t>
      </w:r>
      <w:r>
        <w:t>,</w:t>
      </w:r>
      <w:r w:rsidRPr="00173DD5">
        <w:t xml:space="preserve"> </w:t>
      </w:r>
      <w:r w:rsidRPr="00173DD5">
        <w:rPr>
          <w:i/>
        </w:rPr>
        <w:t>Reichman and Herschfield’s Tuberculosis: A comprehensive international approach</w:t>
      </w:r>
      <w:r w:rsidRPr="00173DD5">
        <w:t xml:space="preserve"> </w:t>
      </w:r>
      <w:r>
        <w:t>(</w:t>
      </w:r>
      <w:r w:rsidRPr="00173DD5">
        <w:t>pp 215</w:t>
      </w:r>
      <w:r>
        <w:t>–</w:t>
      </w:r>
      <w:r w:rsidRPr="00173DD5">
        <w:t>63</w:t>
      </w:r>
      <w:r>
        <w:t>)</w:t>
      </w:r>
      <w:r w:rsidRPr="00173DD5">
        <w:t>. New York: Informa Healthcare.</w:t>
      </w:r>
      <w:bookmarkEnd w:id="70"/>
      <w:bookmarkEnd w:id="71"/>
    </w:p>
    <w:p w14:paraId="62A8A9AD" w14:textId="5F273C1A" w:rsidR="00DC205D" w:rsidRPr="00173DD5" w:rsidRDefault="00DC205D" w:rsidP="009C0AB2">
      <w:pPr>
        <w:pStyle w:val="References"/>
      </w:pPr>
      <w:bookmarkStart w:id="72" w:name="_Toc282079282"/>
      <w:bookmarkStart w:id="73" w:name="_Toc296931991"/>
      <w:r w:rsidRPr="00173DD5">
        <w:t xml:space="preserve">Ministry of Health. </w:t>
      </w:r>
      <w:r w:rsidR="00A952D2">
        <w:t>201</w:t>
      </w:r>
      <w:r w:rsidR="00A952D2">
        <w:t>9</w:t>
      </w:r>
      <w:r w:rsidRPr="00173DD5">
        <w:t xml:space="preserve">. </w:t>
      </w:r>
      <w:r w:rsidRPr="00173DD5">
        <w:rPr>
          <w:i/>
        </w:rPr>
        <w:t xml:space="preserve">Guidelines for Tuberculosis Control in New Zealand </w:t>
      </w:r>
      <w:r w:rsidR="00004D98" w:rsidRPr="00173DD5">
        <w:rPr>
          <w:i/>
        </w:rPr>
        <w:t>201</w:t>
      </w:r>
      <w:r w:rsidR="00004D98">
        <w:rPr>
          <w:i/>
        </w:rPr>
        <w:t>9</w:t>
      </w:r>
      <w:r>
        <w:t>.</w:t>
      </w:r>
      <w:r w:rsidRPr="00173DD5">
        <w:t xml:space="preserve"> Wellington: Ministry of Health.</w:t>
      </w:r>
      <w:bookmarkEnd w:id="72"/>
      <w:bookmarkEnd w:id="73"/>
    </w:p>
    <w:p w14:paraId="7B823653" w14:textId="316F97A5" w:rsidR="00DC205D" w:rsidRPr="00173DD5" w:rsidRDefault="00DC205D" w:rsidP="009C0AB2">
      <w:pPr>
        <w:pStyle w:val="References"/>
      </w:pPr>
      <w:r w:rsidRPr="00173DD5">
        <w:t>Ministry of Health</w:t>
      </w:r>
      <w:r>
        <w:t>.</w:t>
      </w:r>
      <w:r w:rsidRPr="00173DD5">
        <w:t xml:space="preserve"> 201</w:t>
      </w:r>
      <w:r>
        <w:t>8.</w:t>
      </w:r>
      <w:r w:rsidRPr="00173DD5">
        <w:t xml:space="preserve"> </w:t>
      </w:r>
      <w:r>
        <w:rPr>
          <w:i/>
        </w:rPr>
        <w:t>Immunisation Handbook 2017</w:t>
      </w:r>
      <w:r w:rsidRPr="00173DD5">
        <w:t>. Wellington: Ministry of Health.</w:t>
      </w:r>
    </w:p>
    <w:p w14:paraId="4D6AFE3F" w14:textId="77777777" w:rsidR="00DC205D" w:rsidRPr="00173DD5" w:rsidRDefault="00DC205D" w:rsidP="009C0AB2">
      <w:pPr>
        <w:pStyle w:val="References"/>
      </w:pPr>
      <w:r w:rsidRPr="00173DD5">
        <w:t xml:space="preserve">Sanofi Pasteur Limited. 2007. </w:t>
      </w:r>
      <w:r w:rsidRPr="00173DD5">
        <w:rPr>
          <w:i/>
        </w:rPr>
        <w:t>Data Sheet Tubersol: Tuberculin purified protein derivative (Mantoux) diagnostic antigen</w:t>
      </w:r>
      <w:r w:rsidRPr="00173DD5">
        <w:t>. Wellington: Medsafe.</w:t>
      </w:r>
    </w:p>
    <w:p w14:paraId="1CA8868A" w14:textId="77777777" w:rsidR="00DC205D" w:rsidRPr="00DC205D" w:rsidRDefault="00DC205D" w:rsidP="009C0AB2">
      <w:r w:rsidRPr="00173DD5">
        <w:fldChar w:fldCharType="end"/>
      </w:r>
    </w:p>
    <w:sectPr w:rsidR="00DC205D" w:rsidRPr="00DC205D" w:rsidSect="009D5125">
      <w:headerReference w:type="default" r:id="rId30"/>
      <w:footerReference w:type="default" r:id="rId31"/>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61152" w14:textId="77777777" w:rsidR="00E37B93" w:rsidRDefault="00E37B93">
      <w:pPr>
        <w:spacing w:line="240" w:lineRule="auto"/>
      </w:pPr>
      <w:r>
        <w:separator/>
      </w:r>
    </w:p>
    <w:p w14:paraId="7C63320E" w14:textId="77777777" w:rsidR="00E37B93" w:rsidRDefault="00E37B93"/>
  </w:endnote>
  <w:endnote w:type="continuationSeparator" w:id="0">
    <w:p w14:paraId="5F3BF50B" w14:textId="77777777" w:rsidR="00E37B93" w:rsidRDefault="00E37B93">
      <w:pPr>
        <w:spacing w:line="240" w:lineRule="auto"/>
      </w:pPr>
      <w:r>
        <w:continuationSeparator/>
      </w:r>
    </w:p>
    <w:p w14:paraId="1A3483C3" w14:textId="77777777" w:rsidR="00E37B93" w:rsidRDefault="00E37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866CD" w14:textId="77777777" w:rsidR="00E37B93" w:rsidRPr="00581136" w:rsidRDefault="00E37B93" w:rsidP="00F9366A">
    <w:pPr>
      <w:pStyle w:val="Footer"/>
      <w:pBdr>
        <w:bottom w:val="single" w:sz="4" w:space="1" w:color="auto"/>
      </w:pBdr>
      <w:tabs>
        <w:tab w:val="right" w:pos="8504"/>
      </w:tabs>
      <w:ind w:left="-1559"/>
      <w:rPr>
        <w:b/>
      </w:rPr>
    </w:pPr>
    <w:r w:rsidRPr="00581136">
      <w:rPr>
        <w:b/>
      </w:rPr>
      <w:t>Released 201</w:t>
    </w:r>
    <w:r>
      <w:rPr>
        <w:b/>
      </w:rPr>
      <w:t>8</w:t>
    </w:r>
    <w:r w:rsidRPr="00581136">
      <w:rPr>
        <w:b/>
      </w:rPr>
      <w:tab/>
      <w:t>health.govt.nz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8C32C" w14:textId="77777777" w:rsidR="00E37B93" w:rsidRDefault="00E37B93" w:rsidP="004D6689">
    <w:pPr>
      <w:pStyle w:val="Footer"/>
      <w:pBdr>
        <w:bottom w:val="none" w:sz="0" w:space="0" w:color="auto"/>
      </w:pBd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15D21" w14:textId="77777777" w:rsidR="00E37B93" w:rsidRDefault="00E37B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FE89F" w14:textId="77777777" w:rsidR="00E37B93" w:rsidRPr="00275D08" w:rsidRDefault="00E37B93"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004D98">
      <w:rPr>
        <w:rStyle w:val="PageNumber"/>
        <w:noProof/>
      </w:rPr>
      <w:t>iv</w:t>
    </w:r>
    <w:r w:rsidRPr="00FC46E7">
      <w:rPr>
        <w:rStyle w:val="PageNumber"/>
      </w:rPr>
      <w:fldChar w:fldCharType="end"/>
    </w:r>
    <w:r>
      <w:tab/>
      <w:t>Technical Guid</w:t>
    </w:r>
    <w:r w:rsidR="00E93392">
      <w:t>elines for Tuberculin Skin Test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3EDD" w14:textId="77777777" w:rsidR="00E37B93" w:rsidRDefault="00E37B93" w:rsidP="00533B90">
    <w:pPr>
      <w:pStyle w:val="RectoFooter"/>
    </w:pPr>
    <w:r>
      <w:tab/>
      <w:t>Technical Guidelines for Tuberculin Skin Test</w:t>
    </w:r>
    <w:r>
      <w:tab/>
    </w:r>
    <w:r>
      <w:rPr>
        <w:rStyle w:val="PageNumber"/>
      </w:rPr>
      <w:fldChar w:fldCharType="begin"/>
    </w:r>
    <w:r>
      <w:rPr>
        <w:rStyle w:val="PageNumber"/>
      </w:rPr>
      <w:instrText xml:space="preserve"> PAGE </w:instrText>
    </w:r>
    <w:r>
      <w:rPr>
        <w:rStyle w:val="PageNumber"/>
      </w:rPr>
      <w:fldChar w:fldCharType="separate"/>
    </w:r>
    <w:r w:rsidR="00004D98">
      <w:rPr>
        <w:rStyle w:val="PageNumber"/>
        <w:noProof/>
      </w:rPr>
      <w:t>iii</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C321" w14:textId="77777777" w:rsidR="00E37B93" w:rsidRDefault="00E37B93" w:rsidP="009E3C8C">
    <w:pPr>
      <w:pStyle w:val="RectoFooter"/>
    </w:pPr>
    <w:r>
      <w:tab/>
      <w:t>Technical Guidelines for Tuberculin Skin Test</w:t>
    </w:r>
    <w:r>
      <w:tab/>
    </w:r>
    <w:r>
      <w:rPr>
        <w:rStyle w:val="PageNumber"/>
      </w:rPr>
      <w:fldChar w:fldCharType="begin"/>
    </w:r>
    <w:r>
      <w:rPr>
        <w:rStyle w:val="PageNumber"/>
      </w:rPr>
      <w:instrText xml:space="preserve"> PAGE </w:instrText>
    </w:r>
    <w:r>
      <w:rPr>
        <w:rStyle w:val="PageNumber"/>
      </w:rPr>
      <w:fldChar w:fldCharType="separate"/>
    </w:r>
    <w:r w:rsidR="00004D98">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7466B" w14:textId="77777777" w:rsidR="00E37B93" w:rsidRPr="00A26E6B" w:rsidRDefault="00E37B93" w:rsidP="00A26E6B"/>
  </w:footnote>
  <w:footnote w:type="continuationSeparator" w:id="0">
    <w:p w14:paraId="56F9A0E5" w14:textId="77777777" w:rsidR="00E37B93" w:rsidRDefault="00E37B93">
      <w:pPr>
        <w:spacing w:line="240" w:lineRule="auto"/>
      </w:pPr>
      <w:r>
        <w:continuationSeparator/>
      </w:r>
    </w:p>
    <w:p w14:paraId="419E5692" w14:textId="77777777" w:rsidR="00E37B93" w:rsidRDefault="00E37B93"/>
  </w:footnote>
  <w:footnote w:id="1">
    <w:p w14:paraId="0B0F1772" w14:textId="77777777" w:rsidR="00E37B93" w:rsidRDefault="00E37B93" w:rsidP="00DC205D">
      <w:pPr>
        <w:pStyle w:val="FootnoteText"/>
      </w:pPr>
      <w:r w:rsidRPr="00DC205D">
        <w:rPr>
          <w:rStyle w:val="FootnoteReference"/>
        </w:rPr>
        <w:footnoteRef/>
      </w:r>
      <w:r>
        <w:tab/>
      </w:r>
      <w:r w:rsidRPr="00A825F4">
        <w:t xml:space="preserve">Risk factors </w:t>
      </w:r>
      <w:r>
        <w:t>include</w:t>
      </w:r>
      <w:r w:rsidRPr="00A825F4">
        <w:t xml:space="preserve"> exposure to TB cases, travel</w:t>
      </w:r>
      <w:r>
        <w:t xml:space="preserve"> to high-incidence countries and having visits from relatives who live in high-incidence countries. You must assess these risk factors </w:t>
      </w:r>
      <w:r w:rsidRPr="00A825F4">
        <w:t>thoroughly for each child pre-vaccination, as part of the informed consent process.</w:t>
      </w:r>
    </w:p>
  </w:footnote>
  <w:footnote w:id="2">
    <w:p w14:paraId="5D032F34" w14:textId="1C06478E" w:rsidR="00E37B93" w:rsidRDefault="00E37B93" w:rsidP="00DC205D">
      <w:pPr>
        <w:pStyle w:val="FootnoteText"/>
      </w:pPr>
      <w:r w:rsidRPr="00DC205D">
        <w:rPr>
          <w:rStyle w:val="FootnoteReference"/>
        </w:rPr>
        <w:footnoteRef/>
      </w:r>
      <w:r>
        <w:tab/>
      </w:r>
      <w:r w:rsidRPr="00E96501">
        <w:t xml:space="preserve">Tuberculin skin testing (Mantoux) before BCG vaccination </w:t>
      </w:r>
      <w:r>
        <w:t>(</w:t>
      </w:r>
      <w:r w:rsidRPr="00F97A42">
        <w:rPr>
          <w:i/>
        </w:rPr>
        <w:t>Immunisation Handbook</w:t>
      </w:r>
      <w:r>
        <w:t xml:space="preserve">, section </w:t>
      </w:r>
      <w:r w:rsidRPr="00E96501">
        <w:t>20.5.1</w:t>
      </w:r>
      <w:r>
        <w:t>, Ministry of Health 2018). You do not need to perform t</w:t>
      </w:r>
      <w:r w:rsidRPr="00E96501">
        <w:t xml:space="preserve">uberculin skin testing </w:t>
      </w:r>
      <w:r>
        <w:t>if you are giving BCG to an infant under the age of six</w:t>
      </w:r>
      <w:r w:rsidRPr="00E96501">
        <w:t xml:space="preserve"> months unless </w:t>
      </w:r>
      <w:r>
        <w:t xml:space="preserve">they have </w:t>
      </w:r>
      <w:r w:rsidRPr="00E96501">
        <w:t>a history of contact with a known or possible case of TB. Although the tuberculin skin test is usually positive in the year following BCG vaccination, at least 50 percent of children will be negative beyond that time, so tuberculin skin testing</w:t>
      </w:r>
      <w:r>
        <w:t xml:space="preserve"> is</w:t>
      </w:r>
      <w:r w:rsidRPr="00E96501">
        <w:t xml:space="preserve"> still </w:t>
      </w:r>
      <w:r>
        <w:t xml:space="preserve">a useful way of </w:t>
      </w:r>
      <w:r w:rsidRPr="00E96501">
        <w:t>diagnosing TB infection.</w:t>
      </w:r>
    </w:p>
  </w:footnote>
  <w:footnote w:id="3">
    <w:p w14:paraId="5E36BFF8" w14:textId="77777777" w:rsidR="00E37B93" w:rsidRDefault="00E37B93" w:rsidP="00DC205D">
      <w:pPr>
        <w:pStyle w:val="FootnoteText"/>
      </w:pPr>
      <w:r w:rsidRPr="00DC205D">
        <w:rPr>
          <w:rStyle w:val="FootnoteReference"/>
        </w:rPr>
        <w:footnoteRef/>
      </w:r>
      <w:r>
        <w:tab/>
      </w:r>
      <w:hyperlink r:id="rId1" w:history="1">
        <w:r w:rsidRPr="00731D17">
          <w:rPr>
            <w:rStyle w:val="Hyperlink"/>
          </w:rPr>
          <w:t>www.handhygiene.org.nz/index.php?option=com_content&amp;view=category&amp;id=9&amp;Itemid=107</w:t>
        </w:r>
      </w:hyperlink>
    </w:p>
  </w:footnote>
  <w:footnote w:id="4">
    <w:p w14:paraId="756F8460" w14:textId="77777777" w:rsidR="00E37B93" w:rsidRDefault="00E37B93" w:rsidP="00F561F0">
      <w:pPr>
        <w:pStyle w:val="FootnoteText"/>
      </w:pPr>
      <w:r w:rsidRPr="00F561F0">
        <w:rPr>
          <w:rStyle w:val="FootnoteReference"/>
        </w:rPr>
        <w:footnoteRef/>
      </w:r>
      <w:r>
        <w:tab/>
      </w:r>
      <w:r w:rsidRPr="00AF69BA">
        <w:t>T</w:t>
      </w:r>
      <w:r>
        <w:t>he t</w:t>
      </w:r>
      <w:r w:rsidRPr="00AF69BA">
        <w:t>wo</w:t>
      </w:r>
      <w:r>
        <w:t>-</w:t>
      </w:r>
      <w:r w:rsidRPr="00AF69BA">
        <w:t xml:space="preserve">step Mantoux </w:t>
      </w:r>
      <w:r>
        <w:t>is</w:t>
      </w:r>
      <w:r w:rsidRPr="00AF69BA">
        <w:t xml:space="preserve"> when </w:t>
      </w:r>
      <w:r>
        <w:t xml:space="preserve">you give </w:t>
      </w:r>
      <w:r w:rsidRPr="00AF69BA">
        <w:t>a second TST after an initial negative TST reaction.</w:t>
      </w:r>
      <w:r>
        <w:t xml:space="preserve"> See </w:t>
      </w:r>
      <w:hyperlink r:id="rId2" w:history="1">
        <w:r w:rsidRPr="00731D17">
          <w:rPr>
            <w:rStyle w:val="Hyperlink"/>
          </w:rPr>
          <w:t>www.cdc.gov/tb/publications/factsheets/testing/skintesting.htm</w:t>
        </w:r>
      </w:hyperlink>
    </w:p>
  </w:footnote>
  <w:footnote w:id="5">
    <w:p w14:paraId="52365DAC" w14:textId="77777777" w:rsidR="00E37B93" w:rsidRPr="004E06D9" w:rsidRDefault="00E37B93" w:rsidP="009C0AB2">
      <w:pPr>
        <w:pStyle w:val="FootnoteText"/>
      </w:pPr>
      <w:r w:rsidRPr="009C0AB2">
        <w:rPr>
          <w:rStyle w:val="FootnoteReference"/>
        </w:rPr>
        <w:footnoteRef/>
      </w:r>
      <w:r>
        <w:tab/>
      </w:r>
      <w:r w:rsidRPr="004E06D9">
        <w:t>Boosting is a recall of the hypersensitivity response in the absence of new infection.</w:t>
      </w:r>
    </w:p>
  </w:footnote>
  <w:footnote w:id="6">
    <w:p w14:paraId="0AB460A3" w14:textId="77777777" w:rsidR="00E37B93" w:rsidRDefault="00E37B93" w:rsidP="009C0AB2">
      <w:pPr>
        <w:pStyle w:val="FootnoteText"/>
      </w:pPr>
      <w:r w:rsidRPr="009C0AB2">
        <w:rPr>
          <w:rStyle w:val="FootnoteReference"/>
        </w:rPr>
        <w:footnoteRef/>
      </w:r>
      <w:r>
        <w:tab/>
      </w:r>
      <w:r w:rsidRPr="004E06D9">
        <w:t>Mantoux conversion is the development of new or enhanced hypersensitivity due to infection with tuberculous or non-tuberculous mycobacteria, including BCG vaccination.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FD4A2" w14:textId="77777777" w:rsidR="00E37B93" w:rsidRDefault="00E37B93" w:rsidP="009216CC">
    <w:pPr>
      <w:pStyle w:val="Header"/>
      <w:ind w:left="-1559"/>
    </w:pPr>
    <w:r>
      <w:rPr>
        <w:noProof/>
        <w:lang w:eastAsia="en-NZ"/>
      </w:rPr>
      <w:drawing>
        <wp:inline distT="0" distB="0" distL="0" distR="0" wp14:anchorId="6DF850ED" wp14:editId="6A459918">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9D3D9" w14:textId="77777777" w:rsidR="00E37B93" w:rsidRDefault="00E37B93"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54A1E" w14:textId="77777777" w:rsidR="00E37B93" w:rsidRDefault="00E37B93"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E3FF4" w14:textId="77777777" w:rsidR="00E37B93" w:rsidRDefault="00E37B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FBC61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3"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 w15:restartNumberingAfterBreak="0">
    <w:nsid w:val="109D17AA"/>
    <w:multiLevelType w:val="hybridMultilevel"/>
    <w:tmpl w:val="673825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30D54"/>
    <w:multiLevelType w:val="hybridMultilevel"/>
    <w:tmpl w:val="0254C30A"/>
    <w:lvl w:ilvl="0" w:tplc="967EF91A">
      <w:start w:val="1"/>
      <w:numFmt w:val="bullet"/>
      <w:lvlText w:val="─"/>
      <w:lvlJc w:val="left"/>
      <w:pPr>
        <w:tabs>
          <w:tab w:val="num" w:pos="786"/>
        </w:tabs>
        <w:ind w:left="786" w:hanging="360"/>
      </w:pPr>
      <w:rPr>
        <w:rFonts w:ascii="Courier New" w:hAnsi="Courier New"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162712D5"/>
    <w:multiLevelType w:val="hybridMultilevel"/>
    <w:tmpl w:val="457AAA38"/>
    <w:lvl w:ilvl="0" w:tplc="967EF91A">
      <w:start w:val="1"/>
      <w:numFmt w:val="bullet"/>
      <w:lvlText w:val="─"/>
      <w:lvlJc w:val="left"/>
      <w:pPr>
        <w:tabs>
          <w:tab w:val="num" w:pos="1080"/>
        </w:tabs>
        <w:ind w:left="1080" w:hanging="360"/>
      </w:pPr>
      <w:rPr>
        <w:rFonts w:ascii="Courier New" w:hAnsi="Courier New" w:hint="default"/>
      </w:rPr>
    </w:lvl>
    <w:lvl w:ilvl="1" w:tplc="967EF91A">
      <w:start w:val="1"/>
      <w:numFmt w:val="bullet"/>
      <w:lvlText w:val="─"/>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23DC7796"/>
    <w:multiLevelType w:val="multilevel"/>
    <w:tmpl w:val="092076C8"/>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3" w15:restartNumberingAfterBreak="0">
    <w:nsid w:val="29654191"/>
    <w:multiLevelType w:val="hybridMultilevel"/>
    <w:tmpl w:val="4E5EED66"/>
    <w:lvl w:ilvl="0" w:tplc="08090001">
      <w:start w:val="1"/>
      <w:numFmt w:val="bullet"/>
      <w:lvlText w:val=""/>
      <w:lvlJc w:val="left"/>
      <w:pPr>
        <w:tabs>
          <w:tab w:val="num" w:pos="720"/>
        </w:tabs>
        <w:ind w:left="720" w:hanging="360"/>
      </w:pPr>
      <w:rPr>
        <w:rFonts w:ascii="Symbol" w:hAnsi="Symbol" w:hint="default"/>
      </w:rPr>
    </w:lvl>
    <w:lvl w:ilvl="1" w:tplc="0809001B">
      <w:start w:val="1"/>
      <w:numFmt w:val="lowerRoman"/>
      <w:lvlText w:val="%2."/>
      <w:lvlJc w:val="righ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C961CE"/>
    <w:multiLevelType w:val="hybridMultilevel"/>
    <w:tmpl w:val="DEB07F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BAD1D79"/>
    <w:multiLevelType w:val="hybridMultilevel"/>
    <w:tmpl w:val="F8A0BE60"/>
    <w:lvl w:ilvl="0" w:tplc="0809000F">
      <w:start w:val="1"/>
      <w:numFmt w:val="decimal"/>
      <w:lvlText w:val="%1."/>
      <w:lvlJc w:val="left"/>
      <w:pPr>
        <w:tabs>
          <w:tab w:val="num" w:pos="1440"/>
        </w:tabs>
        <w:ind w:left="1440" w:hanging="360"/>
      </w:pPr>
    </w:lvl>
    <w:lvl w:ilvl="1" w:tplc="E282342E">
      <w:start w:val="3"/>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F3844A9"/>
    <w:multiLevelType w:val="hybridMultilevel"/>
    <w:tmpl w:val="B0F41232"/>
    <w:lvl w:ilvl="0" w:tplc="CA5A7526">
      <w:start w:val="3"/>
      <w:numFmt w:val="bullet"/>
      <w:lvlText w:val="-"/>
      <w:lvlJc w:val="left"/>
      <w:pPr>
        <w:tabs>
          <w:tab w:val="num" w:pos="1080"/>
        </w:tabs>
        <w:ind w:left="1080" w:hanging="360"/>
      </w:pPr>
      <w:rPr>
        <w:rFonts w:ascii="Arial" w:eastAsia="Batang"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1"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24"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3"/>
  </w:num>
  <w:num w:numId="2">
    <w:abstractNumId w:val="20"/>
  </w:num>
  <w:num w:numId="3">
    <w:abstractNumId w:val="16"/>
  </w:num>
  <w:num w:numId="4">
    <w:abstractNumId w:val="17"/>
  </w:num>
  <w:num w:numId="5">
    <w:abstractNumId w:val="1"/>
  </w:num>
  <w:num w:numId="6">
    <w:abstractNumId w:val="24"/>
  </w:num>
  <w:num w:numId="7">
    <w:abstractNumId w:val="12"/>
  </w:num>
  <w:num w:numId="8">
    <w:abstractNumId w:val="3"/>
  </w:num>
  <w:num w:numId="9">
    <w:abstractNumId w:val="22"/>
  </w:num>
  <w:num w:numId="10">
    <w:abstractNumId w:val="2"/>
  </w:num>
  <w:num w:numId="11">
    <w:abstractNumId w:val="21"/>
  </w:num>
  <w:num w:numId="12">
    <w:abstractNumId w:val="4"/>
  </w:num>
  <w:num w:numId="13">
    <w:abstractNumId w:val="9"/>
  </w:num>
  <w:num w:numId="14">
    <w:abstractNumId w:val="8"/>
  </w:num>
  <w:num w:numId="15">
    <w:abstractNumId w:val="10"/>
  </w:num>
  <w:num w:numId="16">
    <w:abstractNumId w:val="18"/>
  </w:num>
  <w:num w:numId="17">
    <w:abstractNumId w:val="11"/>
  </w:num>
  <w:num w:numId="18">
    <w:abstractNumId w:val="13"/>
  </w:num>
  <w:num w:numId="19">
    <w:abstractNumId w:val="15"/>
  </w:num>
  <w:num w:numId="20">
    <w:abstractNumId w:val="19"/>
  </w:num>
  <w:num w:numId="21">
    <w:abstractNumId w:val="5"/>
  </w:num>
  <w:num w:numId="22">
    <w:abstractNumId w:val="6"/>
  </w:num>
  <w:num w:numId="23">
    <w:abstractNumId w:val="7"/>
  </w:num>
  <w:num w:numId="24">
    <w:abstractNumId w:val="14"/>
  </w:num>
  <w:num w:numId="2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4D98"/>
    <w:rsid w:val="00025A6F"/>
    <w:rsid w:val="00030B26"/>
    <w:rsid w:val="00032C0A"/>
    <w:rsid w:val="00035257"/>
    <w:rsid w:val="0006228D"/>
    <w:rsid w:val="00072BD6"/>
    <w:rsid w:val="00075B78"/>
    <w:rsid w:val="00082CD6"/>
    <w:rsid w:val="00085AFE"/>
    <w:rsid w:val="00094800"/>
    <w:rsid w:val="000B0730"/>
    <w:rsid w:val="000F2AE2"/>
    <w:rsid w:val="00102063"/>
    <w:rsid w:val="0010541C"/>
    <w:rsid w:val="00106F93"/>
    <w:rsid w:val="00111D50"/>
    <w:rsid w:val="00113B8E"/>
    <w:rsid w:val="00122363"/>
    <w:rsid w:val="001342C7"/>
    <w:rsid w:val="0013585C"/>
    <w:rsid w:val="00142954"/>
    <w:rsid w:val="001460E0"/>
    <w:rsid w:val="00147F71"/>
    <w:rsid w:val="00150A6E"/>
    <w:rsid w:val="0016468A"/>
    <w:rsid w:val="001A21B4"/>
    <w:rsid w:val="001A5CF5"/>
    <w:rsid w:val="001B39D2"/>
    <w:rsid w:val="001B4BF8"/>
    <w:rsid w:val="001C4326"/>
    <w:rsid w:val="001D3541"/>
    <w:rsid w:val="001F45A7"/>
    <w:rsid w:val="00201A01"/>
    <w:rsid w:val="002104D3"/>
    <w:rsid w:val="00213A33"/>
    <w:rsid w:val="0021763B"/>
    <w:rsid w:val="00246DB1"/>
    <w:rsid w:val="002476B5"/>
    <w:rsid w:val="00253ECF"/>
    <w:rsid w:val="002546A1"/>
    <w:rsid w:val="00275D08"/>
    <w:rsid w:val="002858E3"/>
    <w:rsid w:val="0029190A"/>
    <w:rsid w:val="00292C5A"/>
    <w:rsid w:val="00295241"/>
    <w:rsid w:val="002A4DFC"/>
    <w:rsid w:val="002B047D"/>
    <w:rsid w:val="002B732B"/>
    <w:rsid w:val="002C2219"/>
    <w:rsid w:val="002D0DF2"/>
    <w:rsid w:val="002D23BD"/>
    <w:rsid w:val="002E0B47"/>
    <w:rsid w:val="002F7213"/>
    <w:rsid w:val="0030382F"/>
    <w:rsid w:val="0030408D"/>
    <w:rsid w:val="003060E4"/>
    <w:rsid w:val="003160E7"/>
    <w:rsid w:val="0031739E"/>
    <w:rsid w:val="00321DA6"/>
    <w:rsid w:val="003325AB"/>
    <w:rsid w:val="003332D1"/>
    <w:rsid w:val="0033412B"/>
    <w:rsid w:val="00343365"/>
    <w:rsid w:val="00353501"/>
    <w:rsid w:val="003606F8"/>
    <w:rsid w:val="003648EF"/>
    <w:rsid w:val="003673E6"/>
    <w:rsid w:val="00377264"/>
    <w:rsid w:val="003779D2"/>
    <w:rsid w:val="003A26A5"/>
    <w:rsid w:val="003A3761"/>
    <w:rsid w:val="003A5FEA"/>
    <w:rsid w:val="003B1D10"/>
    <w:rsid w:val="003C76D4"/>
    <w:rsid w:val="003D137D"/>
    <w:rsid w:val="003D2CC5"/>
    <w:rsid w:val="003E7C46"/>
    <w:rsid w:val="003F2106"/>
    <w:rsid w:val="003F52A7"/>
    <w:rsid w:val="0040240C"/>
    <w:rsid w:val="00413021"/>
    <w:rsid w:val="00435DDF"/>
    <w:rsid w:val="00440BE0"/>
    <w:rsid w:val="00442C1C"/>
    <w:rsid w:val="0044584B"/>
    <w:rsid w:val="00447CB7"/>
    <w:rsid w:val="00455CC9"/>
    <w:rsid w:val="00460826"/>
    <w:rsid w:val="00460EA7"/>
    <w:rsid w:val="0046195B"/>
    <w:rsid w:val="0046596D"/>
    <w:rsid w:val="00487C04"/>
    <w:rsid w:val="004907E1"/>
    <w:rsid w:val="004A035B"/>
    <w:rsid w:val="004A2108"/>
    <w:rsid w:val="004A38D7"/>
    <w:rsid w:val="004A778C"/>
    <w:rsid w:val="004C2E6A"/>
    <w:rsid w:val="004C64B8"/>
    <w:rsid w:val="004D2A2D"/>
    <w:rsid w:val="004D6689"/>
    <w:rsid w:val="004E1D1D"/>
    <w:rsid w:val="004E7AC8"/>
    <w:rsid w:val="004F0C94"/>
    <w:rsid w:val="005019AE"/>
    <w:rsid w:val="00503749"/>
    <w:rsid w:val="00504CF4"/>
    <w:rsid w:val="0050635B"/>
    <w:rsid w:val="005151C2"/>
    <w:rsid w:val="0053199F"/>
    <w:rsid w:val="00533B90"/>
    <w:rsid w:val="005410F8"/>
    <w:rsid w:val="005448EC"/>
    <w:rsid w:val="00545963"/>
    <w:rsid w:val="00550256"/>
    <w:rsid w:val="00553958"/>
    <w:rsid w:val="0055763D"/>
    <w:rsid w:val="005621F2"/>
    <w:rsid w:val="00567B58"/>
    <w:rsid w:val="005763E0"/>
    <w:rsid w:val="00581136"/>
    <w:rsid w:val="005A27CA"/>
    <w:rsid w:val="005A418C"/>
    <w:rsid w:val="005A43BD"/>
    <w:rsid w:val="005E226E"/>
    <w:rsid w:val="005E2636"/>
    <w:rsid w:val="006015D7"/>
    <w:rsid w:val="00601B21"/>
    <w:rsid w:val="006041F0"/>
    <w:rsid w:val="00624174"/>
    <w:rsid w:val="00626CF8"/>
    <w:rsid w:val="00634ED8"/>
    <w:rsid w:val="00636D7D"/>
    <w:rsid w:val="00637408"/>
    <w:rsid w:val="00642868"/>
    <w:rsid w:val="00647AFE"/>
    <w:rsid w:val="006512BC"/>
    <w:rsid w:val="00653A5A"/>
    <w:rsid w:val="006575F4"/>
    <w:rsid w:val="006579E6"/>
    <w:rsid w:val="00663EDC"/>
    <w:rsid w:val="00671078"/>
    <w:rsid w:val="006758CA"/>
    <w:rsid w:val="0067709D"/>
    <w:rsid w:val="00680A04"/>
    <w:rsid w:val="00686D80"/>
    <w:rsid w:val="00694895"/>
    <w:rsid w:val="00697D11"/>
    <w:rsid w:val="00697E2E"/>
    <w:rsid w:val="006A25A2"/>
    <w:rsid w:val="006B0E73"/>
    <w:rsid w:val="006B4A4D"/>
    <w:rsid w:val="006B5695"/>
    <w:rsid w:val="006C78EB"/>
    <w:rsid w:val="006D1660"/>
    <w:rsid w:val="006F1B67"/>
    <w:rsid w:val="0070091D"/>
    <w:rsid w:val="00702854"/>
    <w:rsid w:val="0071741C"/>
    <w:rsid w:val="00742B90"/>
    <w:rsid w:val="0074434D"/>
    <w:rsid w:val="00766F4B"/>
    <w:rsid w:val="00771B1E"/>
    <w:rsid w:val="00773C95"/>
    <w:rsid w:val="0078171E"/>
    <w:rsid w:val="0079566E"/>
    <w:rsid w:val="00795B34"/>
    <w:rsid w:val="007B1770"/>
    <w:rsid w:val="007B4D3E"/>
    <w:rsid w:val="007B7C70"/>
    <w:rsid w:val="007D2151"/>
    <w:rsid w:val="007D3B90"/>
    <w:rsid w:val="007D42CC"/>
    <w:rsid w:val="007D5DE4"/>
    <w:rsid w:val="007E0777"/>
    <w:rsid w:val="007E1341"/>
    <w:rsid w:val="007E1B41"/>
    <w:rsid w:val="007E1EC4"/>
    <w:rsid w:val="007E30B9"/>
    <w:rsid w:val="007E74F1"/>
    <w:rsid w:val="007F0F0C"/>
    <w:rsid w:val="007F1288"/>
    <w:rsid w:val="00800A8A"/>
    <w:rsid w:val="0080155C"/>
    <w:rsid w:val="008052E1"/>
    <w:rsid w:val="00822F2C"/>
    <w:rsid w:val="008305E8"/>
    <w:rsid w:val="00860826"/>
    <w:rsid w:val="00860E21"/>
    <w:rsid w:val="00863117"/>
    <w:rsid w:val="0086388B"/>
    <w:rsid w:val="008642E5"/>
    <w:rsid w:val="00872D93"/>
    <w:rsid w:val="00880470"/>
    <w:rsid w:val="00880D94"/>
    <w:rsid w:val="008924DE"/>
    <w:rsid w:val="008A3755"/>
    <w:rsid w:val="008B19DC"/>
    <w:rsid w:val="008B264F"/>
    <w:rsid w:val="008B6F83"/>
    <w:rsid w:val="008B7FD8"/>
    <w:rsid w:val="008C2973"/>
    <w:rsid w:val="008C6324"/>
    <w:rsid w:val="008C64C4"/>
    <w:rsid w:val="008D74D5"/>
    <w:rsid w:val="008E3A07"/>
    <w:rsid w:val="008F29BE"/>
    <w:rsid w:val="008F4AE5"/>
    <w:rsid w:val="008F51EB"/>
    <w:rsid w:val="00900197"/>
    <w:rsid w:val="00902F55"/>
    <w:rsid w:val="0090582B"/>
    <w:rsid w:val="009060C0"/>
    <w:rsid w:val="009133F5"/>
    <w:rsid w:val="0091756F"/>
    <w:rsid w:val="00920A27"/>
    <w:rsid w:val="00921216"/>
    <w:rsid w:val="009216CC"/>
    <w:rsid w:val="00930D08"/>
    <w:rsid w:val="00932D69"/>
    <w:rsid w:val="00944647"/>
    <w:rsid w:val="00966F9A"/>
    <w:rsid w:val="00977B8A"/>
    <w:rsid w:val="00982971"/>
    <w:rsid w:val="009845AD"/>
    <w:rsid w:val="009933EF"/>
    <w:rsid w:val="00995BA0"/>
    <w:rsid w:val="009A418B"/>
    <w:rsid w:val="009A426F"/>
    <w:rsid w:val="009A4473"/>
    <w:rsid w:val="009B05C9"/>
    <w:rsid w:val="009B286C"/>
    <w:rsid w:val="009C0AB2"/>
    <w:rsid w:val="009C151C"/>
    <w:rsid w:val="009D5125"/>
    <w:rsid w:val="009D60B8"/>
    <w:rsid w:val="009D7D4B"/>
    <w:rsid w:val="009E36ED"/>
    <w:rsid w:val="009E3C8C"/>
    <w:rsid w:val="009E6B77"/>
    <w:rsid w:val="009F460A"/>
    <w:rsid w:val="00A043FB"/>
    <w:rsid w:val="00A0729C"/>
    <w:rsid w:val="00A07779"/>
    <w:rsid w:val="00A20B2E"/>
    <w:rsid w:val="00A25069"/>
    <w:rsid w:val="00A26E6B"/>
    <w:rsid w:val="00A3068F"/>
    <w:rsid w:val="00A3145B"/>
    <w:rsid w:val="00A339D0"/>
    <w:rsid w:val="00A41002"/>
    <w:rsid w:val="00A4201A"/>
    <w:rsid w:val="00A553CE"/>
    <w:rsid w:val="00A5677A"/>
    <w:rsid w:val="00A625E8"/>
    <w:rsid w:val="00A6490D"/>
    <w:rsid w:val="00A80363"/>
    <w:rsid w:val="00A83E9D"/>
    <w:rsid w:val="00A9169D"/>
    <w:rsid w:val="00A952D2"/>
    <w:rsid w:val="00AA240C"/>
    <w:rsid w:val="00AC101C"/>
    <w:rsid w:val="00AD20AF"/>
    <w:rsid w:val="00AD4CF1"/>
    <w:rsid w:val="00AD5988"/>
    <w:rsid w:val="00AF7800"/>
    <w:rsid w:val="00B072E0"/>
    <w:rsid w:val="00B253F6"/>
    <w:rsid w:val="00B305DB"/>
    <w:rsid w:val="00B332F8"/>
    <w:rsid w:val="00B3492B"/>
    <w:rsid w:val="00B4646F"/>
    <w:rsid w:val="00B55C7D"/>
    <w:rsid w:val="00B63038"/>
    <w:rsid w:val="00B64BD8"/>
    <w:rsid w:val="00B701D1"/>
    <w:rsid w:val="00B73AF2"/>
    <w:rsid w:val="00B7551A"/>
    <w:rsid w:val="00B773F1"/>
    <w:rsid w:val="00B86AB1"/>
    <w:rsid w:val="00BB2CBB"/>
    <w:rsid w:val="00BC03EE"/>
    <w:rsid w:val="00BC59F1"/>
    <w:rsid w:val="00BF09BF"/>
    <w:rsid w:val="00BF3DE1"/>
    <w:rsid w:val="00BF4843"/>
    <w:rsid w:val="00BF5205"/>
    <w:rsid w:val="00C12508"/>
    <w:rsid w:val="00C23728"/>
    <w:rsid w:val="00C45AA2"/>
    <w:rsid w:val="00C55BEF"/>
    <w:rsid w:val="00C66296"/>
    <w:rsid w:val="00C77282"/>
    <w:rsid w:val="00C84DE5"/>
    <w:rsid w:val="00C86248"/>
    <w:rsid w:val="00CA4C33"/>
    <w:rsid w:val="00CA6F4A"/>
    <w:rsid w:val="00CC419D"/>
    <w:rsid w:val="00CD2119"/>
    <w:rsid w:val="00CD237A"/>
    <w:rsid w:val="00CD36AC"/>
    <w:rsid w:val="00CE13A3"/>
    <w:rsid w:val="00CF1747"/>
    <w:rsid w:val="00CF32B6"/>
    <w:rsid w:val="00CF4076"/>
    <w:rsid w:val="00D23323"/>
    <w:rsid w:val="00D2392A"/>
    <w:rsid w:val="00D25FFE"/>
    <w:rsid w:val="00D4476F"/>
    <w:rsid w:val="00D54D50"/>
    <w:rsid w:val="00D66797"/>
    <w:rsid w:val="00D7087C"/>
    <w:rsid w:val="00D70C3C"/>
    <w:rsid w:val="00D71DF7"/>
    <w:rsid w:val="00D72BE5"/>
    <w:rsid w:val="00D82F26"/>
    <w:rsid w:val="00D863D0"/>
    <w:rsid w:val="00D87C87"/>
    <w:rsid w:val="00D90E07"/>
    <w:rsid w:val="00DB39CF"/>
    <w:rsid w:val="00DB3A8F"/>
    <w:rsid w:val="00DC205D"/>
    <w:rsid w:val="00DD0BCD"/>
    <w:rsid w:val="00DD447A"/>
    <w:rsid w:val="00DE3B20"/>
    <w:rsid w:val="00DE6C94"/>
    <w:rsid w:val="00DE6FD7"/>
    <w:rsid w:val="00E067CB"/>
    <w:rsid w:val="00E23271"/>
    <w:rsid w:val="00E24F80"/>
    <w:rsid w:val="00E259F3"/>
    <w:rsid w:val="00E33238"/>
    <w:rsid w:val="00E37B93"/>
    <w:rsid w:val="00E4486C"/>
    <w:rsid w:val="00E460B6"/>
    <w:rsid w:val="00E511D5"/>
    <w:rsid w:val="00E60249"/>
    <w:rsid w:val="00E61894"/>
    <w:rsid w:val="00E65269"/>
    <w:rsid w:val="00E76D66"/>
    <w:rsid w:val="00E93392"/>
    <w:rsid w:val="00EA796A"/>
    <w:rsid w:val="00EB1856"/>
    <w:rsid w:val="00EC50CE"/>
    <w:rsid w:val="00EC5B34"/>
    <w:rsid w:val="00ED323C"/>
    <w:rsid w:val="00EE2D5C"/>
    <w:rsid w:val="00EE4ADE"/>
    <w:rsid w:val="00EE5CB7"/>
    <w:rsid w:val="00F024FE"/>
    <w:rsid w:val="00F05AD4"/>
    <w:rsid w:val="00F140B2"/>
    <w:rsid w:val="00F25970"/>
    <w:rsid w:val="00F5180D"/>
    <w:rsid w:val="00F561F0"/>
    <w:rsid w:val="00F63781"/>
    <w:rsid w:val="00F67496"/>
    <w:rsid w:val="00F801BA"/>
    <w:rsid w:val="00F9366A"/>
    <w:rsid w:val="00F946C9"/>
    <w:rsid w:val="00FA74EE"/>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FD19A9"/>
  <w15:docId w15:val="{287BE286-F53D-4E90-9872-DC05ACD4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363"/>
    <w:pPr>
      <w:spacing w:line="264" w:lineRule="auto"/>
    </w:pPr>
    <w:rPr>
      <w:rFonts w:ascii="Georgia" w:hAnsi="Georgia"/>
      <w:sz w:val="22"/>
      <w:lang w:eastAsia="en-GB"/>
    </w:rPr>
  </w:style>
  <w:style w:type="paragraph" w:styleId="Heading1">
    <w:name w:val="heading 1"/>
    <w:basedOn w:val="Normal"/>
    <w:next w:val="Normal"/>
    <w:link w:val="Heading1Char"/>
    <w:qFormat/>
    <w:rsid w:val="008E3A07"/>
    <w:pPr>
      <w:pageBreakBefore/>
      <w:pBdr>
        <w:top w:val="single" w:sz="48" w:space="16" w:color="auto"/>
      </w:pBdr>
      <w:spacing w:after="360"/>
      <w:outlineLvl w:val="0"/>
    </w:pPr>
    <w:rPr>
      <w:b/>
      <w:sz w:val="60"/>
    </w:rPr>
  </w:style>
  <w:style w:type="paragraph" w:styleId="Heading2">
    <w:name w:val="heading 2"/>
    <w:basedOn w:val="Normal"/>
    <w:next w:val="Normal"/>
    <w:link w:val="Heading2Char"/>
    <w:qFormat/>
    <w:rsid w:val="008E3A07"/>
    <w:pPr>
      <w:keepNext/>
      <w:spacing w:before="120" w:after="120"/>
      <w:outlineLvl w:val="1"/>
    </w:pPr>
    <w:rPr>
      <w:b/>
      <w:sz w:val="40"/>
    </w:rPr>
  </w:style>
  <w:style w:type="paragraph" w:styleId="Heading3">
    <w:name w:val="heading 3"/>
    <w:basedOn w:val="Normal"/>
    <w:next w:val="Normal"/>
    <w:link w:val="Heading3Char"/>
    <w:qFormat/>
    <w:rsid w:val="008E3A07"/>
    <w:pPr>
      <w:keepNext/>
      <w:spacing w:before="240" w:after="180"/>
      <w:outlineLvl w:val="2"/>
    </w:pPr>
    <w:rPr>
      <w:b/>
      <w:sz w:val="28"/>
    </w:rPr>
  </w:style>
  <w:style w:type="paragraph" w:styleId="Heading4">
    <w:name w:val="heading 4"/>
    <w:basedOn w:val="Normal"/>
    <w:next w:val="Normal"/>
    <w:link w:val="Heading4Char"/>
    <w:qFormat/>
    <w:rsid w:val="007D5DE4"/>
    <w:pPr>
      <w:keepNext/>
      <w:spacing w:before="120" w:after="120"/>
      <w:outlineLvl w:val="3"/>
    </w:pPr>
    <w:rPr>
      <w:b/>
    </w:rPr>
  </w:style>
  <w:style w:type="paragraph" w:styleId="Heading5">
    <w:name w:val="heading 5"/>
    <w:basedOn w:val="Normal"/>
    <w:next w:val="Normal"/>
    <w:link w:val="Heading5Char"/>
    <w:qFormat/>
    <w:rsid w:val="0013585C"/>
    <w:pPr>
      <w:keepNext/>
      <w:spacing w:before="120" w:after="120"/>
      <w:outlineLvl w:val="4"/>
    </w:pPr>
    <w:rPr>
      <w:u w:val="single"/>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122363"/>
    <w:pPr>
      <w:keepNext/>
      <w:keepLines/>
      <w:spacing w:before="200" w:after="120" w:line="276" w:lineRule="auto"/>
      <w:ind w:left="1440" w:hanging="1440"/>
      <w:outlineLvl w:val="7"/>
    </w:pPr>
    <w:rPr>
      <w:rFonts w:ascii="Calibri" w:eastAsia="MS Gothic" w:hAnsi="Calibri"/>
      <w:color w:val="404040"/>
      <w:szCs w:val="24"/>
      <w:lang w:val="en-GB"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06228D"/>
    <w:pPr>
      <w:tabs>
        <w:tab w:val="right" w:pos="9356"/>
      </w:tabs>
      <w:spacing w:before="300"/>
      <w:ind w:right="567"/>
    </w:pPr>
    <w:rPr>
      <w:b/>
    </w:rPr>
  </w:style>
  <w:style w:type="paragraph" w:styleId="TOC2">
    <w:name w:val="toc 2"/>
    <w:basedOn w:val="Normal"/>
    <w:next w:val="Normal"/>
    <w:uiPriority w:val="39"/>
    <w:qFormat/>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3060E4"/>
    <w:pPr>
      <w:spacing w:before="60"/>
      <w:ind w:left="284" w:hanging="284"/>
    </w:pPr>
    <w:rPr>
      <w:sz w:val="18"/>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8E3A07"/>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8E3A07"/>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rsid w:val="003060E4"/>
    <w:rPr>
      <w:rFonts w:ascii="Georgia" w:hAnsi="Georgia"/>
      <w:sz w:val="18"/>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86388B"/>
    <w:rPr>
      <w:rFonts w:ascii="Georgia" w:hAnsi="Georgia"/>
      <w:sz w:val="22"/>
      <w:lang w:eastAsia="en-GB"/>
    </w:rPr>
  </w:style>
  <w:style w:type="character" w:customStyle="1" w:styleId="Heading1Char">
    <w:name w:val="Heading 1 Char"/>
    <w:link w:val="Heading1"/>
    <w:rsid w:val="008E3A07"/>
    <w:rPr>
      <w:rFonts w:ascii="Georgia" w:hAnsi="Georgia"/>
      <w:b/>
      <w:sz w:val="60"/>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rsid w:val="008E3A07"/>
    <w:rPr>
      <w:rFonts w:ascii="Georgia" w:hAnsi="Georgia"/>
      <w:b/>
      <w:sz w:val="40"/>
      <w:lang w:eastAsia="en-GB"/>
    </w:rPr>
  </w:style>
  <w:style w:type="character" w:customStyle="1" w:styleId="Heading3Char">
    <w:name w:val="Heading 3 Char"/>
    <w:link w:val="Heading3"/>
    <w:rsid w:val="008E3A07"/>
    <w:rPr>
      <w:rFonts w:ascii="Georgia" w:hAnsi="Georgia"/>
      <w:b/>
      <w:sz w:val="28"/>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122363"/>
    <w:rPr>
      <w:rFonts w:ascii="Calibri" w:eastAsia="MS Gothic" w:hAnsi="Calibri"/>
      <w:color w:val="404040"/>
      <w:sz w:val="22"/>
      <w:szCs w:val="24"/>
      <w:lang w:val="en-GB"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rsid w:val="00122363"/>
    <w:rPr>
      <w:rFonts w:ascii="Georgia" w:hAnsi="Georgia"/>
      <w:b/>
      <w:sz w:val="22"/>
      <w:lang w:eastAsia="en-GB"/>
    </w:rPr>
  </w:style>
  <w:style w:type="character" w:customStyle="1" w:styleId="Heading5Char">
    <w:name w:val="Heading 5 Char"/>
    <w:link w:val="Heading5"/>
    <w:rsid w:val="00122363"/>
    <w:rPr>
      <w:rFonts w:ascii="Georgia" w:hAnsi="Georgia"/>
      <w:sz w:val="22"/>
      <w:u w:val="single"/>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8E3A07"/>
    <w:rPr>
      <w:rFonts w:ascii="Georgia" w:hAnsi="Georgia"/>
      <w:b/>
      <w:sz w:val="80"/>
      <w:lang w:eastAsia="en-GB"/>
    </w:rPr>
  </w:style>
  <w:style w:type="paragraph" w:customStyle="1" w:styleId="Number">
    <w:name w:val="Number"/>
    <w:basedOn w:val="Normal"/>
    <w:rsid w:val="00DC205D"/>
    <w:pPr>
      <w:numPr>
        <w:numId w:val="17"/>
      </w:numPr>
      <w:spacing w:before="120"/>
    </w:pPr>
    <w:rPr>
      <w:szCs w:val="24"/>
    </w:rPr>
  </w:style>
  <w:style w:type="paragraph" w:customStyle="1" w:styleId="Letter">
    <w:name w:val="Letter"/>
    <w:basedOn w:val="Normal"/>
    <w:qFormat/>
    <w:rsid w:val="00F140B2"/>
    <w:pPr>
      <w:numPr>
        <w:ilvl w:val="1"/>
        <w:numId w:val="17"/>
      </w:numPr>
      <w:spacing w:before="120"/>
    </w:pPr>
  </w:style>
  <w:style w:type="character" w:customStyle="1" w:styleId="TableChar">
    <w:name w:val="Table Char"/>
    <w:link w:val="Table"/>
    <w:rsid w:val="00DC205D"/>
    <w:rPr>
      <w:rFonts w:ascii="Georgia" w:hAnsi="Georgia"/>
      <w:b/>
      <w:lang w:eastAsia="en-GB"/>
    </w:rPr>
  </w:style>
  <w:style w:type="character" w:styleId="CommentReference">
    <w:name w:val="annotation reference"/>
    <w:basedOn w:val="DefaultParagraphFont"/>
    <w:uiPriority w:val="99"/>
    <w:semiHidden/>
    <w:unhideWhenUsed/>
    <w:rsid w:val="00321DA6"/>
    <w:rPr>
      <w:sz w:val="16"/>
      <w:szCs w:val="16"/>
    </w:rPr>
  </w:style>
  <w:style w:type="paragraph" w:styleId="CommentText">
    <w:name w:val="annotation text"/>
    <w:basedOn w:val="Normal"/>
    <w:link w:val="CommentTextChar"/>
    <w:uiPriority w:val="99"/>
    <w:semiHidden/>
    <w:unhideWhenUsed/>
    <w:rsid w:val="00321DA6"/>
    <w:pPr>
      <w:spacing w:line="240" w:lineRule="auto"/>
    </w:pPr>
    <w:rPr>
      <w:sz w:val="20"/>
    </w:rPr>
  </w:style>
  <w:style w:type="character" w:customStyle="1" w:styleId="CommentTextChar">
    <w:name w:val="Comment Text Char"/>
    <w:basedOn w:val="DefaultParagraphFont"/>
    <w:link w:val="CommentText"/>
    <w:uiPriority w:val="99"/>
    <w:semiHidden/>
    <w:rsid w:val="00321DA6"/>
    <w:rPr>
      <w:rFonts w:ascii="Georgia" w:hAnsi="Georgia"/>
      <w:lang w:eastAsia="en-GB"/>
    </w:rPr>
  </w:style>
  <w:style w:type="paragraph" w:styleId="CommentSubject">
    <w:name w:val="annotation subject"/>
    <w:basedOn w:val="CommentText"/>
    <w:next w:val="CommentText"/>
    <w:link w:val="CommentSubjectChar"/>
    <w:uiPriority w:val="99"/>
    <w:semiHidden/>
    <w:unhideWhenUsed/>
    <w:rsid w:val="00321DA6"/>
    <w:rPr>
      <w:b/>
      <w:bCs/>
    </w:rPr>
  </w:style>
  <w:style w:type="character" w:customStyle="1" w:styleId="CommentSubjectChar">
    <w:name w:val="Comment Subject Char"/>
    <w:basedOn w:val="CommentTextChar"/>
    <w:link w:val="CommentSubject"/>
    <w:uiPriority w:val="99"/>
    <w:semiHidden/>
    <w:rsid w:val="00321DA6"/>
    <w:rPr>
      <w:rFonts w:ascii="Georgia" w:hAnsi="Georgia"/>
      <w:b/>
      <w:bCs/>
      <w:lang w:eastAsia="en-GB"/>
    </w:rPr>
  </w:style>
  <w:style w:type="paragraph" w:styleId="BalloonText">
    <w:name w:val="Balloon Text"/>
    <w:basedOn w:val="Normal"/>
    <w:link w:val="BalloonTextChar"/>
    <w:uiPriority w:val="99"/>
    <w:semiHidden/>
    <w:unhideWhenUsed/>
    <w:rsid w:val="00321D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DA6"/>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A95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www.health.govt.nz/publication/guidelines-tuberculosis-control-new-zealand-2019"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image" Target="media/image5.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slation.govt.nz/act/public/2016/0035/latest/DLM6223006.html" TargetMode="External"/><Relationship Id="rId20" Type="http://schemas.openxmlformats.org/officeDocument/2006/relationships/footer" Target="footer5.xm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ealth.govt.nz/publication/immunisation-handbook-2017" TargetMode="External"/><Relationship Id="rId23" Type="http://schemas.openxmlformats.org/officeDocument/2006/relationships/hyperlink" Target="http://www.medsafe.govt.nz/profs/Datasheet/t/Tubersolinj.pdf" TargetMode="External"/><Relationship Id="rId28" Type="http://schemas.openxmlformats.org/officeDocument/2006/relationships/image" Target="media/image8.jpeg"/><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ealth.govt.nz/publication/guidelines-tuberculosis-control-new-zealand-2019" TargetMode="External"/><Relationship Id="rId22" Type="http://schemas.openxmlformats.org/officeDocument/2006/relationships/hyperlink" Target="http://www.health.govt.nz/publication/immunisation-handbook-2017" TargetMode="External"/><Relationship Id="rId27" Type="http://schemas.openxmlformats.org/officeDocument/2006/relationships/image" Target="media/image7.jpeg"/><Relationship Id="rId30"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www.cdc.gov/tb/publications/factsheets/testing/skintesting.htm" TargetMode="External"/><Relationship Id="rId1" Type="http://schemas.openxmlformats.org/officeDocument/2006/relationships/hyperlink" Target="http://www.handhygiene.org.nz/index.php?option=com_content&amp;view=category&amp;id=9&amp;Itemid=1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2C057-C8F1-4F0B-8680-07E9249D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8</TotalTime>
  <Pages>15</Pages>
  <Words>2956</Words>
  <Characters>21126</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Technical Guidelines for Tuberculin Skin Test</vt:lpstr>
    </vt:vector>
  </TitlesOfParts>
  <Company>Microsoft</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Guidelines for Tuberculin Skin Test</dc:title>
  <dc:creator>Ministry of Health</dc:creator>
  <cp:lastModifiedBy>Ministry of Health</cp:lastModifiedBy>
  <cp:revision>3</cp:revision>
  <cp:lastPrinted>2015-11-17T05:02:00Z</cp:lastPrinted>
  <dcterms:created xsi:type="dcterms:W3CDTF">2019-08-07T22:55:00Z</dcterms:created>
  <dcterms:modified xsi:type="dcterms:W3CDTF">2019-08-07T23:03:00Z</dcterms:modified>
</cp:coreProperties>
</file>