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E51" w:rsidRDefault="003B0E51" w:rsidP="002871D3">
      <w:pPr>
        <w:spacing w:before="0" w:after="200" w:line="276" w:lineRule="auto"/>
        <w:jc w:val="left"/>
        <w:rPr>
          <w:rFonts w:ascii="Arial Narrow" w:hAnsi="Arial Narrow" w:cs="Arial"/>
          <w:b/>
          <w:color w:val="000000"/>
          <w:sz w:val="40"/>
          <w:szCs w:val="40"/>
          <w:lang w:val="en-GB"/>
        </w:rPr>
      </w:pPr>
      <w:r>
        <w:rPr>
          <w:rFonts w:ascii="Arial Narrow" w:hAnsi="Arial Narrow" w:cs="Arial"/>
          <w:b/>
          <w:noProof/>
          <w:color w:val="000000"/>
          <w:sz w:val="40"/>
          <w:szCs w:val="40"/>
          <w:lang w:eastAsia="en-NZ"/>
        </w:rPr>
        <w:drawing>
          <wp:inline distT="0" distB="0" distL="0" distR="0">
            <wp:extent cx="7670042" cy="1084058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0041" cy="10840583"/>
                    </a:xfrm>
                    <a:prstGeom prst="rect">
                      <a:avLst/>
                    </a:prstGeom>
                    <a:noFill/>
                    <a:ln>
                      <a:noFill/>
                    </a:ln>
                  </pic:spPr>
                </pic:pic>
              </a:graphicData>
            </a:graphic>
          </wp:inline>
        </w:drawing>
      </w:r>
    </w:p>
    <w:p w:rsidR="00043311" w:rsidRDefault="00043311" w:rsidP="0042130F">
      <w:pPr>
        <w:rPr>
          <w:rFonts w:cs="Arial"/>
          <w:b/>
          <w:color w:val="000000"/>
          <w:szCs w:val="22"/>
        </w:rPr>
        <w:sectPr w:rsidR="00043311" w:rsidSect="002871D3">
          <w:headerReference w:type="even" r:id="rId9"/>
          <w:headerReference w:type="default" r:id="rId10"/>
          <w:footerReference w:type="even" r:id="rId11"/>
          <w:footerReference w:type="default" r:id="rId12"/>
          <w:pgSz w:w="11906" w:h="16838"/>
          <w:pgMar w:top="0" w:right="0" w:bottom="0" w:left="0" w:header="0" w:footer="0" w:gutter="0"/>
          <w:cols w:space="708"/>
          <w:titlePg/>
          <w:docGrid w:linePitch="360"/>
        </w:sectPr>
      </w:pPr>
    </w:p>
    <w:p w:rsidR="00043311" w:rsidRPr="00EE2D92" w:rsidRDefault="00043311" w:rsidP="0042130F">
      <w:pPr>
        <w:overflowPunct w:val="0"/>
        <w:autoSpaceDE w:val="0"/>
        <w:autoSpaceDN w:val="0"/>
        <w:adjustRightInd w:val="0"/>
        <w:spacing w:before="0" w:after="120" w:line="240" w:lineRule="auto"/>
        <w:jc w:val="left"/>
        <w:textAlignment w:val="baseline"/>
        <w:rPr>
          <w:rFonts w:ascii="Arial Narrow" w:hAnsi="Arial Narrow" w:cs="Arial"/>
          <w:b/>
          <w:color w:val="000000"/>
          <w:sz w:val="20"/>
          <w:szCs w:val="22"/>
        </w:rPr>
      </w:pPr>
      <w:r w:rsidRPr="00EE2D92">
        <w:rPr>
          <w:rFonts w:ascii="Arial Narrow" w:hAnsi="Arial Narrow" w:cs="Arial"/>
          <w:b/>
          <w:color w:val="000000"/>
          <w:sz w:val="20"/>
          <w:szCs w:val="22"/>
        </w:rPr>
        <w:lastRenderedPageBreak/>
        <w:t>Title: Youth Gambling: The health and wellbeing of New Zealand secondary school students in 2012.</w:t>
      </w:r>
    </w:p>
    <w:p w:rsidR="00043311" w:rsidRPr="00EE2D92" w:rsidRDefault="00043311" w:rsidP="0042130F">
      <w:pPr>
        <w:overflowPunct w:val="0"/>
        <w:autoSpaceDE w:val="0"/>
        <w:autoSpaceDN w:val="0"/>
        <w:adjustRightInd w:val="0"/>
        <w:spacing w:before="0" w:after="120" w:line="240" w:lineRule="auto"/>
        <w:jc w:val="left"/>
        <w:textAlignment w:val="baseline"/>
        <w:rPr>
          <w:rFonts w:ascii="Arial Narrow" w:hAnsi="Arial Narrow" w:cs="Arial"/>
          <w:b/>
          <w:color w:val="000000"/>
          <w:sz w:val="20"/>
          <w:szCs w:val="22"/>
        </w:rPr>
      </w:pPr>
      <w:r w:rsidRPr="00EE2D92">
        <w:rPr>
          <w:rFonts w:ascii="Arial Narrow" w:hAnsi="Arial Narrow" w:cs="Arial"/>
          <w:b/>
          <w:color w:val="000000"/>
          <w:sz w:val="20"/>
          <w:szCs w:val="22"/>
        </w:rPr>
        <w:t xml:space="preserve">ISBN </w:t>
      </w:r>
      <w:r w:rsidR="00EE2D92" w:rsidRPr="00EE2D92">
        <w:rPr>
          <w:rFonts w:ascii="Arial Narrow" w:hAnsi="Arial Narrow" w:cs="Arial"/>
          <w:b/>
          <w:color w:val="000000"/>
          <w:sz w:val="20"/>
          <w:szCs w:val="22"/>
        </w:rPr>
        <w:t>978-0-473-26433-8</w:t>
      </w:r>
      <w:r w:rsidRPr="00EE2D92">
        <w:rPr>
          <w:rFonts w:ascii="Arial Narrow" w:hAnsi="Arial Narrow" w:cs="Arial"/>
          <w:b/>
          <w:color w:val="000000"/>
          <w:sz w:val="20"/>
          <w:szCs w:val="22"/>
        </w:rPr>
        <w:t xml:space="preserve"> (paperback)</w:t>
      </w:r>
    </w:p>
    <w:p w:rsidR="00043311" w:rsidRPr="00EE2D92" w:rsidRDefault="00043311" w:rsidP="0042130F">
      <w:pPr>
        <w:overflowPunct w:val="0"/>
        <w:autoSpaceDE w:val="0"/>
        <w:autoSpaceDN w:val="0"/>
        <w:adjustRightInd w:val="0"/>
        <w:spacing w:before="0" w:after="120" w:line="240" w:lineRule="auto"/>
        <w:jc w:val="left"/>
        <w:textAlignment w:val="baseline"/>
        <w:rPr>
          <w:rFonts w:ascii="Arial Narrow" w:hAnsi="Arial Narrow" w:cs="Arial"/>
          <w:b/>
          <w:color w:val="000000"/>
          <w:sz w:val="20"/>
          <w:szCs w:val="22"/>
        </w:rPr>
      </w:pPr>
      <w:r w:rsidRPr="00EE2D92">
        <w:rPr>
          <w:rFonts w:ascii="Arial Narrow" w:hAnsi="Arial Narrow" w:cs="Arial"/>
          <w:b/>
          <w:color w:val="000000"/>
          <w:sz w:val="20"/>
          <w:szCs w:val="22"/>
        </w:rPr>
        <w:t xml:space="preserve">ISBN </w:t>
      </w:r>
      <w:r w:rsidR="00EE2D92" w:rsidRPr="00EE2D92">
        <w:rPr>
          <w:rFonts w:ascii="Arial Narrow" w:hAnsi="Arial Narrow" w:cs="Arial"/>
          <w:b/>
          <w:color w:val="000000"/>
          <w:sz w:val="20"/>
          <w:szCs w:val="22"/>
        </w:rPr>
        <w:t>978-0-473-26434-5</w:t>
      </w:r>
      <w:r w:rsidRPr="00EE2D92">
        <w:rPr>
          <w:rFonts w:ascii="Arial Narrow" w:hAnsi="Arial Narrow" w:cs="Arial"/>
          <w:b/>
          <w:color w:val="000000"/>
          <w:sz w:val="20"/>
          <w:szCs w:val="22"/>
        </w:rPr>
        <w:t xml:space="preserve"> (electronic)</w:t>
      </w:r>
    </w:p>
    <w:p w:rsidR="00043311" w:rsidRPr="002579DE" w:rsidRDefault="00043311" w:rsidP="0042130F">
      <w:pPr>
        <w:overflowPunct w:val="0"/>
        <w:autoSpaceDE w:val="0"/>
        <w:autoSpaceDN w:val="0"/>
        <w:adjustRightInd w:val="0"/>
        <w:spacing w:before="240" w:line="240" w:lineRule="auto"/>
        <w:jc w:val="left"/>
        <w:textAlignment w:val="baseline"/>
        <w:rPr>
          <w:rFonts w:ascii="Arial Narrow" w:hAnsi="Arial Narrow" w:cs="Arial"/>
          <w:b/>
          <w:color w:val="000000"/>
          <w:sz w:val="20"/>
          <w:szCs w:val="22"/>
        </w:rPr>
      </w:pPr>
      <w:r w:rsidRPr="002579DE">
        <w:rPr>
          <w:rFonts w:ascii="Arial Narrow" w:hAnsi="Arial Narrow" w:cs="Arial"/>
          <w:b/>
          <w:color w:val="000000"/>
          <w:sz w:val="20"/>
          <w:szCs w:val="22"/>
        </w:rPr>
        <w:t>To be referenced as:</w:t>
      </w:r>
    </w:p>
    <w:p w:rsidR="00EB4AB7" w:rsidRDefault="00EB4AB7" w:rsidP="00EB4AB7">
      <w:pPr>
        <w:overflowPunct w:val="0"/>
        <w:autoSpaceDE w:val="0"/>
        <w:autoSpaceDN w:val="0"/>
        <w:adjustRightInd w:val="0"/>
        <w:spacing w:before="0" w:after="120" w:line="240" w:lineRule="auto"/>
        <w:textAlignment w:val="baseline"/>
        <w:rPr>
          <w:rFonts w:ascii="Arial Narrow" w:hAnsi="Arial Narrow" w:cs="Arial"/>
          <w:color w:val="000000"/>
          <w:sz w:val="20"/>
          <w:szCs w:val="22"/>
        </w:rPr>
      </w:pPr>
      <w:r>
        <w:rPr>
          <w:rFonts w:ascii="Arial Narrow" w:hAnsi="Arial Narrow" w:cs="Arial"/>
          <w:color w:val="000000"/>
          <w:sz w:val="20"/>
          <w:szCs w:val="22"/>
        </w:rPr>
        <w:t xml:space="preserve">Rossen, F.V., Fleming, T., Lucassen, M., Denny, S., </w:t>
      </w:r>
      <w:r>
        <w:rPr>
          <w:rFonts w:ascii="Arial Narrow" w:hAnsi="Arial Narrow"/>
          <w:sz w:val="20"/>
          <w:szCs w:val="20"/>
        </w:rPr>
        <w:t xml:space="preserve">Peiris-John, R., Teevale, T., Crengle, S., Robinson, E., Bullen, P., Dyson, B., Fortune, S., Utter, J., Sheridan, J., </w:t>
      </w:r>
      <w:r>
        <w:rPr>
          <w:rFonts w:ascii="Arial Narrow" w:hAnsi="Arial Narrow" w:cs="Arial"/>
          <w:color w:val="000000"/>
          <w:sz w:val="20"/>
          <w:szCs w:val="22"/>
        </w:rPr>
        <w:t xml:space="preserve">Clark, T. &amp; The Adolescent Health Research Group. (2013). The </w:t>
      </w:r>
      <w:r w:rsidR="00025A11">
        <w:rPr>
          <w:rFonts w:ascii="Arial Narrow" w:hAnsi="Arial Narrow" w:cs="Arial"/>
          <w:color w:val="000000"/>
          <w:sz w:val="20"/>
          <w:szCs w:val="22"/>
        </w:rPr>
        <w:t>h</w:t>
      </w:r>
      <w:r>
        <w:rPr>
          <w:rFonts w:ascii="Arial Narrow" w:hAnsi="Arial Narrow" w:cs="Arial"/>
          <w:color w:val="000000"/>
          <w:sz w:val="20"/>
          <w:szCs w:val="22"/>
        </w:rPr>
        <w:t xml:space="preserve">ealth and </w:t>
      </w:r>
      <w:r w:rsidR="00025A11">
        <w:rPr>
          <w:rFonts w:ascii="Arial Narrow" w:hAnsi="Arial Narrow" w:cs="Arial"/>
          <w:color w:val="000000"/>
          <w:sz w:val="20"/>
          <w:szCs w:val="22"/>
        </w:rPr>
        <w:t>w</w:t>
      </w:r>
      <w:r>
        <w:rPr>
          <w:rFonts w:ascii="Arial Narrow" w:hAnsi="Arial Narrow" w:cs="Arial"/>
          <w:color w:val="000000"/>
          <w:sz w:val="20"/>
          <w:szCs w:val="22"/>
        </w:rPr>
        <w:t>ellbeing o</w:t>
      </w:r>
      <w:r w:rsidR="00983F9A">
        <w:rPr>
          <w:rFonts w:ascii="Arial Narrow" w:hAnsi="Arial Narrow" w:cs="Arial"/>
          <w:color w:val="000000"/>
          <w:sz w:val="20"/>
          <w:szCs w:val="22"/>
        </w:rPr>
        <w:t xml:space="preserve">f New Zealand </w:t>
      </w:r>
      <w:r w:rsidR="00025A11">
        <w:rPr>
          <w:rFonts w:ascii="Arial Narrow" w:hAnsi="Arial Narrow" w:cs="Arial"/>
          <w:color w:val="000000"/>
          <w:sz w:val="20"/>
          <w:szCs w:val="22"/>
        </w:rPr>
        <w:t>s</w:t>
      </w:r>
      <w:r w:rsidR="00983F9A">
        <w:rPr>
          <w:rFonts w:ascii="Arial Narrow" w:hAnsi="Arial Narrow" w:cs="Arial"/>
          <w:color w:val="000000"/>
          <w:sz w:val="20"/>
          <w:szCs w:val="22"/>
        </w:rPr>
        <w:t xml:space="preserve">econdary </w:t>
      </w:r>
      <w:r w:rsidR="00025A11">
        <w:rPr>
          <w:rFonts w:ascii="Arial Narrow" w:hAnsi="Arial Narrow" w:cs="Arial"/>
          <w:color w:val="000000"/>
          <w:sz w:val="20"/>
          <w:szCs w:val="22"/>
        </w:rPr>
        <w:t>s</w:t>
      </w:r>
      <w:r w:rsidR="00983F9A">
        <w:rPr>
          <w:rFonts w:ascii="Arial Narrow" w:hAnsi="Arial Narrow" w:cs="Arial"/>
          <w:color w:val="000000"/>
          <w:sz w:val="20"/>
          <w:szCs w:val="22"/>
        </w:rPr>
        <w:t xml:space="preserve">chool </w:t>
      </w:r>
      <w:r w:rsidR="00025A11">
        <w:rPr>
          <w:rFonts w:ascii="Arial Narrow" w:hAnsi="Arial Narrow" w:cs="Arial"/>
          <w:color w:val="000000"/>
          <w:sz w:val="20"/>
          <w:szCs w:val="22"/>
        </w:rPr>
        <w:t>s</w:t>
      </w:r>
      <w:r>
        <w:rPr>
          <w:rFonts w:ascii="Arial Narrow" w:hAnsi="Arial Narrow" w:cs="Arial"/>
          <w:color w:val="000000"/>
          <w:sz w:val="20"/>
          <w:szCs w:val="22"/>
        </w:rPr>
        <w:t xml:space="preserve">tudents in 2012: Youth </w:t>
      </w:r>
      <w:r w:rsidR="00025A11">
        <w:rPr>
          <w:rFonts w:ascii="Arial Narrow" w:hAnsi="Arial Narrow" w:cs="Arial"/>
          <w:color w:val="000000"/>
          <w:sz w:val="20"/>
          <w:szCs w:val="22"/>
        </w:rPr>
        <w:t>g</w:t>
      </w:r>
      <w:r>
        <w:rPr>
          <w:rFonts w:ascii="Arial Narrow" w:hAnsi="Arial Narrow" w:cs="Arial"/>
          <w:color w:val="000000"/>
          <w:sz w:val="20"/>
          <w:szCs w:val="22"/>
        </w:rPr>
        <w:t>ambling. Auckland</w:t>
      </w:r>
      <w:r w:rsidR="00EE2D92">
        <w:rPr>
          <w:rFonts w:ascii="Arial Narrow" w:hAnsi="Arial Narrow" w:cs="Arial"/>
          <w:color w:val="000000"/>
          <w:sz w:val="20"/>
          <w:szCs w:val="22"/>
        </w:rPr>
        <w:t>, New Zealand</w:t>
      </w:r>
      <w:r>
        <w:rPr>
          <w:rFonts w:ascii="Arial Narrow" w:hAnsi="Arial Narrow" w:cs="Arial"/>
          <w:color w:val="000000"/>
          <w:sz w:val="20"/>
          <w:szCs w:val="22"/>
        </w:rPr>
        <w:t>: The University of Auckland.</w:t>
      </w:r>
    </w:p>
    <w:p w:rsidR="00043311" w:rsidRPr="002579DE" w:rsidRDefault="00043311" w:rsidP="0042130F">
      <w:pPr>
        <w:overflowPunct w:val="0"/>
        <w:autoSpaceDE w:val="0"/>
        <w:autoSpaceDN w:val="0"/>
        <w:adjustRightInd w:val="0"/>
        <w:spacing w:before="240" w:line="240" w:lineRule="auto"/>
        <w:jc w:val="left"/>
        <w:textAlignment w:val="baseline"/>
        <w:rPr>
          <w:rFonts w:ascii="Arial Narrow" w:hAnsi="Arial Narrow" w:cs="Arial"/>
          <w:b/>
          <w:color w:val="000000"/>
          <w:sz w:val="20"/>
          <w:szCs w:val="22"/>
        </w:rPr>
      </w:pPr>
      <w:r w:rsidRPr="002579DE">
        <w:rPr>
          <w:rFonts w:ascii="Arial Narrow" w:hAnsi="Arial Narrow" w:cs="Arial"/>
          <w:b/>
          <w:color w:val="000000"/>
          <w:sz w:val="20"/>
          <w:szCs w:val="22"/>
        </w:rPr>
        <w:t xml:space="preserve">The Adolescent Health Research Group* (AHRG) investigators on the Youth’12 project are: </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2579DE">
        <w:rPr>
          <w:rFonts w:ascii="Arial Narrow" w:hAnsi="Arial Narrow"/>
          <w:sz w:val="20"/>
          <w:szCs w:val="20"/>
        </w:rPr>
        <w:t>Terryann Clark (Principal Investigator), School of Nursing</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2579DE">
        <w:rPr>
          <w:rFonts w:ascii="Arial Narrow" w:hAnsi="Arial Narrow"/>
          <w:sz w:val="20"/>
          <w:szCs w:val="20"/>
        </w:rPr>
        <w:t>Theresa</w:t>
      </w:r>
      <w:r>
        <w:rPr>
          <w:rFonts w:ascii="Arial Narrow" w:hAnsi="Arial Narrow"/>
          <w:sz w:val="20"/>
          <w:szCs w:val="20"/>
        </w:rPr>
        <w:t xml:space="preserve"> (Terry) Fleming</w:t>
      </w:r>
      <w:r w:rsidRPr="002579DE">
        <w:rPr>
          <w:rFonts w:ascii="Arial Narrow" w:hAnsi="Arial Narrow"/>
          <w:sz w:val="20"/>
          <w:szCs w:val="20"/>
        </w:rPr>
        <w:t>, Department of Paediatrics: Child and Youth Health &amp; Department of Psychological Medicine</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2579DE">
        <w:rPr>
          <w:rFonts w:ascii="Arial Narrow" w:hAnsi="Arial Narrow"/>
          <w:sz w:val="20"/>
          <w:szCs w:val="20"/>
        </w:rPr>
        <w:t xml:space="preserve">Pat Bullen and Ben Dyson, </w:t>
      </w:r>
      <w:r>
        <w:rPr>
          <w:rFonts w:ascii="Arial Narrow" w:hAnsi="Arial Narrow"/>
          <w:sz w:val="20"/>
          <w:szCs w:val="20"/>
        </w:rPr>
        <w:t>Faculty</w:t>
      </w:r>
      <w:r w:rsidRPr="002579DE">
        <w:rPr>
          <w:rFonts w:ascii="Arial Narrow" w:hAnsi="Arial Narrow"/>
          <w:sz w:val="20"/>
          <w:szCs w:val="20"/>
        </w:rPr>
        <w:t xml:space="preserve"> of Education</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2579DE">
        <w:rPr>
          <w:rFonts w:ascii="Arial Narrow" w:hAnsi="Arial Narrow"/>
          <w:sz w:val="20"/>
          <w:szCs w:val="20"/>
        </w:rPr>
        <w:t>Elizabeth Robinson, Sue Crengle, Auckland UniServices Limited</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2579DE">
        <w:rPr>
          <w:rFonts w:ascii="Arial Narrow" w:hAnsi="Arial Narrow"/>
          <w:sz w:val="20"/>
          <w:szCs w:val="20"/>
        </w:rPr>
        <w:t>Simon Denny, Department of Paediatrics: Child and Youth Health</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2579DE">
        <w:rPr>
          <w:rFonts w:ascii="Arial Narrow" w:hAnsi="Arial Narrow"/>
          <w:sz w:val="20"/>
          <w:szCs w:val="20"/>
        </w:rPr>
        <w:t>Sarah Fortune, Department of Psychological Medicine</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2579DE">
        <w:rPr>
          <w:rFonts w:ascii="Arial Narrow" w:hAnsi="Arial Narrow"/>
          <w:sz w:val="20"/>
          <w:szCs w:val="20"/>
        </w:rPr>
        <w:t>Roshini Peiris-John and Jennifer Utter, Section of Epidemiology &amp; Biostatistics, School of Population Health</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2579DE">
        <w:rPr>
          <w:rFonts w:ascii="Arial Narrow" w:hAnsi="Arial Narrow"/>
          <w:sz w:val="20"/>
          <w:szCs w:val="20"/>
        </w:rPr>
        <w:t>Fiona Rossen, Social and Community Health</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2579DE">
        <w:rPr>
          <w:rFonts w:ascii="Arial Narrow" w:hAnsi="Arial Narrow"/>
          <w:sz w:val="20"/>
          <w:szCs w:val="20"/>
        </w:rPr>
        <w:t>Janie Sheridan, School of Pharmacy</w:t>
      </w:r>
      <w:r w:rsidRPr="00B42BED">
        <w:rPr>
          <w:rFonts w:ascii="Arial Narrow" w:hAnsi="Arial Narrow"/>
          <w:sz w:val="20"/>
          <w:szCs w:val="20"/>
        </w:rPr>
        <w:t xml:space="preserve"> </w:t>
      </w:r>
      <w:r w:rsidRPr="002579DE">
        <w:rPr>
          <w:rFonts w:ascii="Arial Narrow" w:hAnsi="Arial Narrow"/>
          <w:sz w:val="20"/>
          <w:szCs w:val="20"/>
        </w:rPr>
        <w:t xml:space="preserve">and </w:t>
      </w:r>
      <w:r>
        <w:rPr>
          <w:rFonts w:ascii="Arial Narrow" w:hAnsi="Arial Narrow"/>
          <w:sz w:val="20"/>
          <w:szCs w:val="20"/>
        </w:rPr>
        <w:t>Centre for Addiction Research</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2579DE">
        <w:rPr>
          <w:rFonts w:ascii="Arial Narrow" w:hAnsi="Arial Narrow"/>
          <w:sz w:val="20"/>
          <w:szCs w:val="20"/>
        </w:rPr>
        <w:t>Tasileta Teevale, Pacific Health, School of Population Health</w:t>
      </w:r>
    </w:p>
    <w:p w:rsidR="00043311" w:rsidRPr="002579DE" w:rsidRDefault="00043311" w:rsidP="0042130F">
      <w:pPr>
        <w:overflowPunct w:val="0"/>
        <w:autoSpaceDE w:val="0"/>
        <w:autoSpaceDN w:val="0"/>
        <w:adjustRightInd w:val="0"/>
        <w:spacing w:before="0" w:line="240" w:lineRule="auto"/>
        <w:jc w:val="left"/>
        <w:textAlignment w:val="baseline"/>
        <w:rPr>
          <w:rFonts w:ascii="Arial Narrow" w:hAnsi="Arial Narrow"/>
          <w:sz w:val="20"/>
          <w:szCs w:val="20"/>
        </w:rPr>
      </w:pPr>
    </w:p>
    <w:p w:rsidR="00043311" w:rsidRDefault="00043311" w:rsidP="0042130F">
      <w:pPr>
        <w:tabs>
          <w:tab w:val="left" w:pos="142"/>
          <w:tab w:val="left" w:pos="284"/>
        </w:tabs>
        <w:overflowPunct w:val="0"/>
        <w:autoSpaceDE w:val="0"/>
        <w:autoSpaceDN w:val="0"/>
        <w:adjustRightInd w:val="0"/>
        <w:spacing w:before="0" w:line="240" w:lineRule="auto"/>
        <w:jc w:val="left"/>
        <w:textAlignment w:val="baseline"/>
        <w:rPr>
          <w:rFonts w:ascii="Arial Narrow" w:hAnsi="Arial Narrow" w:cs="Arial"/>
          <w:color w:val="000000"/>
          <w:sz w:val="20"/>
          <w:szCs w:val="22"/>
        </w:rPr>
      </w:pPr>
      <w:r>
        <w:rPr>
          <w:rFonts w:ascii="Arial Narrow" w:hAnsi="Arial Narrow"/>
          <w:sz w:val="20"/>
          <w:szCs w:val="20"/>
        </w:rPr>
        <w:tab/>
      </w:r>
      <w:r w:rsidRPr="00C4413D">
        <w:rPr>
          <w:rFonts w:ascii="Arial Narrow" w:hAnsi="Arial Narrow"/>
          <w:sz w:val="20"/>
          <w:szCs w:val="20"/>
        </w:rPr>
        <w:t>*</w:t>
      </w:r>
      <w:r>
        <w:rPr>
          <w:rFonts w:ascii="Arial Narrow" w:hAnsi="Arial Narrow"/>
          <w:sz w:val="20"/>
          <w:szCs w:val="20"/>
        </w:rPr>
        <w:tab/>
      </w:r>
      <w:r w:rsidRPr="00C4413D">
        <w:rPr>
          <w:rFonts w:ascii="Arial Narrow" w:hAnsi="Arial Narrow" w:cs="Arial"/>
          <w:color w:val="000000"/>
          <w:sz w:val="20"/>
          <w:szCs w:val="22"/>
        </w:rPr>
        <w:t>The AHRG membership has changed over the three surveys</w:t>
      </w:r>
      <w:r>
        <w:rPr>
          <w:rFonts w:ascii="Arial Narrow" w:hAnsi="Arial Narrow" w:cs="Arial"/>
          <w:color w:val="000000"/>
          <w:sz w:val="20"/>
          <w:szCs w:val="22"/>
        </w:rPr>
        <w:t xml:space="preserve"> it has carried out since 2000</w:t>
      </w:r>
      <w:r w:rsidRPr="00C4413D">
        <w:rPr>
          <w:rFonts w:ascii="Arial Narrow" w:hAnsi="Arial Narrow" w:cs="Arial"/>
          <w:color w:val="000000"/>
          <w:sz w:val="20"/>
          <w:szCs w:val="22"/>
        </w:rPr>
        <w:t>.</w:t>
      </w:r>
    </w:p>
    <w:p w:rsidR="00043311" w:rsidRDefault="00043311" w:rsidP="0042130F">
      <w:pPr>
        <w:tabs>
          <w:tab w:val="left" w:pos="284"/>
        </w:tabs>
        <w:overflowPunct w:val="0"/>
        <w:autoSpaceDE w:val="0"/>
        <w:autoSpaceDN w:val="0"/>
        <w:adjustRightInd w:val="0"/>
        <w:spacing w:before="0" w:line="240" w:lineRule="auto"/>
        <w:jc w:val="left"/>
        <w:textAlignment w:val="baseline"/>
        <w:rPr>
          <w:rFonts w:ascii="Arial Narrow" w:hAnsi="Arial Narrow"/>
          <w:sz w:val="20"/>
          <w:szCs w:val="20"/>
        </w:rPr>
      </w:pPr>
      <w:r>
        <w:rPr>
          <w:rFonts w:ascii="Arial Narrow" w:hAnsi="Arial Narrow"/>
          <w:sz w:val="20"/>
          <w:szCs w:val="20"/>
        </w:rPr>
        <w:tab/>
      </w:r>
      <w:r w:rsidRPr="00C4413D">
        <w:rPr>
          <w:rFonts w:ascii="Arial Narrow" w:hAnsi="Arial Narrow"/>
          <w:sz w:val="20"/>
          <w:szCs w:val="20"/>
        </w:rPr>
        <w:t xml:space="preserve">The AHRG investigators are all based at The University of Auckland in New Zealand.  </w:t>
      </w:r>
    </w:p>
    <w:p w:rsidR="00043311" w:rsidRPr="00C4413D" w:rsidRDefault="00043311" w:rsidP="00EE2D92">
      <w:pPr>
        <w:tabs>
          <w:tab w:val="left" w:pos="284"/>
        </w:tabs>
        <w:overflowPunct w:val="0"/>
        <w:autoSpaceDE w:val="0"/>
        <w:autoSpaceDN w:val="0"/>
        <w:adjustRightInd w:val="0"/>
        <w:spacing w:before="0" w:line="240" w:lineRule="auto"/>
        <w:ind w:left="142"/>
        <w:jc w:val="left"/>
        <w:textAlignment w:val="baseline"/>
        <w:rPr>
          <w:rFonts w:ascii="Arial Narrow" w:hAnsi="Arial Narrow" w:cs="Arial"/>
          <w:color w:val="000000"/>
          <w:sz w:val="20"/>
          <w:szCs w:val="22"/>
        </w:rPr>
      </w:pPr>
    </w:p>
    <w:p w:rsidR="00043311" w:rsidRPr="007A0137"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7A0137">
        <w:rPr>
          <w:rFonts w:ascii="Arial Narrow" w:hAnsi="Arial Narrow"/>
          <w:sz w:val="20"/>
          <w:szCs w:val="20"/>
        </w:rPr>
        <w:t xml:space="preserve">Data analysis provided by Fiona Rossen and Elizabeth Robinson.  </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7A0137">
        <w:rPr>
          <w:rFonts w:ascii="Arial Narrow" w:hAnsi="Arial Narrow"/>
          <w:sz w:val="20"/>
          <w:szCs w:val="20"/>
        </w:rPr>
        <w:t>Data checking provided by Mathijs Lucassen, Toni Jardine and Elizabeth Robinson.</w:t>
      </w:r>
      <w:r w:rsidRPr="002579DE">
        <w:rPr>
          <w:rFonts w:ascii="Arial Narrow" w:hAnsi="Arial Narrow"/>
          <w:sz w:val="20"/>
          <w:szCs w:val="20"/>
        </w:rPr>
        <w:t xml:space="preserve">   </w:t>
      </w:r>
    </w:p>
    <w:p w:rsidR="00043311"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2579DE">
        <w:rPr>
          <w:rFonts w:ascii="Arial Narrow" w:hAnsi="Arial Narrow"/>
          <w:sz w:val="20"/>
          <w:szCs w:val="20"/>
        </w:rPr>
        <w:t xml:space="preserve">Oversight provided by Terryann Clark, </w:t>
      </w:r>
      <w:r>
        <w:rPr>
          <w:rFonts w:ascii="Arial Narrow" w:hAnsi="Arial Narrow"/>
          <w:sz w:val="20"/>
          <w:szCs w:val="20"/>
        </w:rPr>
        <w:t>Theresa</w:t>
      </w:r>
      <w:r w:rsidRPr="002579DE">
        <w:rPr>
          <w:rFonts w:ascii="Arial Narrow" w:hAnsi="Arial Narrow"/>
          <w:sz w:val="20"/>
          <w:szCs w:val="20"/>
        </w:rPr>
        <w:t xml:space="preserve"> Fleming and the AHRG.  </w:t>
      </w:r>
    </w:p>
    <w:p w:rsidR="00043311" w:rsidRPr="002579DE" w:rsidRDefault="00043311" w:rsidP="0042130F">
      <w:pPr>
        <w:overflowPunct w:val="0"/>
        <w:autoSpaceDE w:val="0"/>
        <w:autoSpaceDN w:val="0"/>
        <w:adjustRightInd w:val="0"/>
        <w:spacing w:before="0" w:line="276" w:lineRule="auto"/>
        <w:jc w:val="left"/>
        <w:textAlignment w:val="baseline"/>
        <w:rPr>
          <w:rFonts w:ascii="Arial Narrow" w:hAnsi="Arial Narrow"/>
          <w:sz w:val="20"/>
          <w:szCs w:val="20"/>
        </w:rPr>
      </w:pPr>
      <w:r w:rsidRPr="00002E00">
        <w:rPr>
          <w:rFonts w:ascii="Arial Narrow" w:hAnsi="Arial Narrow"/>
          <w:sz w:val="20"/>
          <w:szCs w:val="20"/>
        </w:rPr>
        <w:t>The literature review in this report is based on the gambling report produced for the Youth’07 survey. As such we would like to acknowledge the input of Rachael Butler and Simon Denny.</w:t>
      </w:r>
      <w:r w:rsidRPr="002579DE">
        <w:rPr>
          <w:rFonts w:ascii="Arial Narrow" w:hAnsi="Arial Narrow"/>
          <w:sz w:val="20"/>
          <w:szCs w:val="20"/>
        </w:rPr>
        <w:t xml:space="preserve"> </w:t>
      </w:r>
    </w:p>
    <w:p w:rsidR="00043311" w:rsidRPr="002579DE" w:rsidRDefault="00043311" w:rsidP="0042130F">
      <w:pPr>
        <w:overflowPunct w:val="0"/>
        <w:autoSpaceDE w:val="0"/>
        <w:autoSpaceDN w:val="0"/>
        <w:adjustRightInd w:val="0"/>
        <w:spacing w:before="240" w:line="240" w:lineRule="auto"/>
        <w:jc w:val="left"/>
        <w:textAlignment w:val="baseline"/>
        <w:rPr>
          <w:rFonts w:ascii="Arial Narrow" w:hAnsi="Arial Narrow" w:cs="Arial"/>
          <w:b/>
          <w:color w:val="000000"/>
          <w:sz w:val="20"/>
          <w:szCs w:val="22"/>
        </w:rPr>
      </w:pPr>
      <w:r w:rsidRPr="002579DE">
        <w:rPr>
          <w:rFonts w:ascii="Arial Narrow" w:hAnsi="Arial Narrow" w:cs="Arial"/>
          <w:b/>
          <w:color w:val="000000"/>
          <w:sz w:val="20"/>
          <w:szCs w:val="22"/>
        </w:rPr>
        <w:t xml:space="preserve">Acknowledgements </w:t>
      </w:r>
    </w:p>
    <w:p w:rsidR="00043311" w:rsidRPr="002579DE" w:rsidRDefault="00043311" w:rsidP="0042130F">
      <w:pPr>
        <w:overflowPunct w:val="0"/>
        <w:autoSpaceDE w:val="0"/>
        <w:autoSpaceDN w:val="0"/>
        <w:adjustRightInd w:val="0"/>
        <w:spacing w:before="0" w:after="120" w:line="240" w:lineRule="auto"/>
        <w:jc w:val="left"/>
        <w:textAlignment w:val="baseline"/>
        <w:rPr>
          <w:rFonts w:ascii="Arial Narrow" w:hAnsi="Arial Narrow"/>
          <w:sz w:val="20"/>
          <w:szCs w:val="20"/>
        </w:rPr>
      </w:pPr>
      <w:r w:rsidRPr="002579DE">
        <w:rPr>
          <w:rFonts w:ascii="Arial Narrow" w:hAnsi="Arial Narrow"/>
          <w:sz w:val="20"/>
          <w:szCs w:val="20"/>
        </w:rPr>
        <w:t>A big thank you to:</w:t>
      </w:r>
    </w:p>
    <w:p w:rsidR="00043311" w:rsidRPr="002579DE" w:rsidRDefault="00043311" w:rsidP="0042130F">
      <w:pPr>
        <w:overflowPunct w:val="0"/>
        <w:autoSpaceDE w:val="0"/>
        <w:autoSpaceDN w:val="0"/>
        <w:adjustRightInd w:val="0"/>
        <w:spacing w:before="0" w:after="120" w:line="240" w:lineRule="auto"/>
        <w:ind w:left="284"/>
        <w:jc w:val="left"/>
        <w:textAlignment w:val="baseline"/>
        <w:rPr>
          <w:rFonts w:ascii="Arial Narrow" w:hAnsi="Arial Narrow"/>
          <w:sz w:val="20"/>
          <w:szCs w:val="20"/>
        </w:rPr>
      </w:pPr>
      <w:r w:rsidRPr="002579DE">
        <w:rPr>
          <w:rFonts w:ascii="Arial Narrow" w:hAnsi="Arial Narrow"/>
          <w:sz w:val="20"/>
          <w:szCs w:val="20"/>
        </w:rPr>
        <w:t xml:space="preserve">The students and staff who participated in the survey. Without their patience and help the Youth’12 survey would not have been possible. </w:t>
      </w:r>
    </w:p>
    <w:p w:rsidR="00043311" w:rsidRPr="002579DE" w:rsidRDefault="00043311" w:rsidP="0042130F">
      <w:pPr>
        <w:overflowPunct w:val="0"/>
        <w:autoSpaceDE w:val="0"/>
        <w:autoSpaceDN w:val="0"/>
        <w:adjustRightInd w:val="0"/>
        <w:spacing w:before="0" w:after="120" w:line="240" w:lineRule="auto"/>
        <w:ind w:left="284"/>
        <w:jc w:val="left"/>
        <w:textAlignment w:val="baseline"/>
        <w:rPr>
          <w:rFonts w:ascii="Arial Narrow" w:hAnsi="Arial Narrow"/>
          <w:sz w:val="20"/>
          <w:szCs w:val="20"/>
        </w:rPr>
      </w:pPr>
      <w:r w:rsidRPr="002579DE">
        <w:rPr>
          <w:rFonts w:ascii="Arial Narrow" w:hAnsi="Arial Narrow"/>
          <w:sz w:val="20"/>
          <w:szCs w:val="20"/>
        </w:rPr>
        <w:t xml:space="preserve">The Youth’12 project manager, Sarah Masson and Youth’12 administrator, Toni Jardine. </w:t>
      </w:r>
    </w:p>
    <w:p w:rsidR="00043311" w:rsidRPr="00371E9F" w:rsidRDefault="00043311" w:rsidP="0042130F">
      <w:pPr>
        <w:overflowPunct w:val="0"/>
        <w:autoSpaceDE w:val="0"/>
        <w:autoSpaceDN w:val="0"/>
        <w:adjustRightInd w:val="0"/>
        <w:spacing w:before="0" w:after="120" w:line="240" w:lineRule="auto"/>
        <w:ind w:left="284"/>
        <w:textAlignment w:val="baseline"/>
        <w:rPr>
          <w:rFonts w:ascii="Arial Narrow" w:hAnsi="Arial Narrow"/>
          <w:sz w:val="20"/>
          <w:szCs w:val="20"/>
        </w:rPr>
      </w:pPr>
      <w:r w:rsidRPr="00371E9F">
        <w:rPr>
          <w:rFonts w:ascii="Arial Narrow" w:hAnsi="Arial Narrow"/>
          <w:sz w:val="20"/>
          <w:szCs w:val="20"/>
        </w:rPr>
        <w:t xml:space="preserve">The expert advisory group for this report on youth gambling: Dean Adam, A/Prof Peter Adams, Dr. Maria Bellringer, Ruth Herd, A/Prof Elsie Ho, Dr. Tai Kake, Dr. Lana Perese, Dr. Amritha Sobrun-Maharaj, and Dr. Darren Walton. </w:t>
      </w:r>
    </w:p>
    <w:p w:rsidR="00043311" w:rsidRPr="002579DE" w:rsidRDefault="00043311" w:rsidP="0042130F">
      <w:pPr>
        <w:overflowPunct w:val="0"/>
        <w:autoSpaceDE w:val="0"/>
        <w:autoSpaceDN w:val="0"/>
        <w:adjustRightInd w:val="0"/>
        <w:spacing w:before="0" w:after="120" w:line="240" w:lineRule="auto"/>
        <w:ind w:left="284"/>
        <w:jc w:val="left"/>
        <w:textAlignment w:val="baseline"/>
        <w:rPr>
          <w:rFonts w:ascii="Arial Narrow" w:hAnsi="Arial Narrow"/>
          <w:color w:val="0000FF"/>
          <w:sz w:val="20"/>
          <w:szCs w:val="20"/>
          <w:u w:val="single"/>
        </w:rPr>
      </w:pPr>
      <w:r w:rsidRPr="002579DE">
        <w:rPr>
          <w:rFonts w:ascii="Arial Narrow" w:hAnsi="Arial Narrow"/>
          <w:sz w:val="20"/>
          <w:szCs w:val="20"/>
        </w:rPr>
        <w:t xml:space="preserve">The research team members who implemented the survey in participating schools. Their names are listed under ‘Our Team’ at </w:t>
      </w:r>
      <w:hyperlink r:id="rId13" w:history="1">
        <w:r w:rsidRPr="002579DE">
          <w:rPr>
            <w:rFonts w:ascii="Arial Narrow" w:hAnsi="Arial Narrow"/>
            <w:color w:val="0000FF"/>
            <w:sz w:val="20"/>
            <w:szCs w:val="20"/>
            <w:u w:val="single"/>
          </w:rPr>
          <w:t>www.youthresearch.auckland.ac.nz</w:t>
        </w:r>
      </w:hyperlink>
    </w:p>
    <w:p w:rsidR="00043311" w:rsidRDefault="00043311" w:rsidP="0042130F">
      <w:pPr>
        <w:overflowPunct w:val="0"/>
        <w:autoSpaceDE w:val="0"/>
        <w:autoSpaceDN w:val="0"/>
        <w:adjustRightInd w:val="0"/>
        <w:spacing w:before="0" w:after="120" w:line="240" w:lineRule="auto"/>
        <w:ind w:left="284"/>
        <w:jc w:val="left"/>
        <w:textAlignment w:val="baseline"/>
        <w:rPr>
          <w:rFonts w:ascii="Arial Narrow" w:hAnsi="Arial Narrow"/>
          <w:color w:val="000000" w:themeColor="text1"/>
          <w:sz w:val="20"/>
          <w:szCs w:val="20"/>
        </w:rPr>
      </w:pPr>
      <w:r w:rsidRPr="002579DE">
        <w:rPr>
          <w:rFonts w:ascii="Arial Narrow" w:hAnsi="Arial Narrow"/>
          <w:color w:val="000000" w:themeColor="text1"/>
          <w:sz w:val="20"/>
          <w:szCs w:val="20"/>
        </w:rPr>
        <w:t xml:space="preserve">The Youth07 team, led by Simon Denny, and the Youth2000 team, led by Peter Watson.  </w:t>
      </w:r>
    </w:p>
    <w:p w:rsidR="002031AC" w:rsidRPr="002579DE" w:rsidRDefault="001E4AF0" w:rsidP="0042130F">
      <w:pPr>
        <w:overflowPunct w:val="0"/>
        <w:autoSpaceDE w:val="0"/>
        <w:autoSpaceDN w:val="0"/>
        <w:adjustRightInd w:val="0"/>
        <w:spacing w:before="0" w:after="120" w:line="240" w:lineRule="auto"/>
        <w:ind w:left="284"/>
        <w:jc w:val="left"/>
        <w:textAlignment w:val="baseline"/>
        <w:rPr>
          <w:rFonts w:ascii="Arial Narrow" w:hAnsi="Arial Narrow"/>
          <w:color w:val="000000" w:themeColor="text1"/>
          <w:sz w:val="20"/>
          <w:szCs w:val="20"/>
        </w:rPr>
      </w:pPr>
      <w:r>
        <w:rPr>
          <w:rFonts w:ascii="Arial Narrow" w:hAnsi="Arial Narrow"/>
          <w:color w:val="000000" w:themeColor="text1"/>
          <w:sz w:val="20"/>
          <w:szCs w:val="20"/>
        </w:rPr>
        <w:t xml:space="preserve">Professor Jeffrey Derevensky of </w:t>
      </w:r>
      <w:r w:rsidR="002031AC">
        <w:rPr>
          <w:rFonts w:ascii="Arial Narrow" w:hAnsi="Arial Narrow"/>
          <w:color w:val="000000" w:themeColor="text1"/>
          <w:sz w:val="20"/>
          <w:szCs w:val="20"/>
        </w:rPr>
        <w:t xml:space="preserve">McGill </w:t>
      </w:r>
      <w:r>
        <w:rPr>
          <w:rFonts w:ascii="Arial Narrow" w:hAnsi="Arial Narrow"/>
          <w:color w:val="000000" w:themeColor="text1"/>
          <w:sz w:val="20"/>
          <w:szCs w:val="20"/>
        </w:rPr>
        <w:t>University who</w:t>
      </w:r>
      <w:r w:rsidR="002031AC">
        <w:rPr>
          <w:rFonts w:ascii="Arial Narrow" w:hAnsi="Arial Narrow"/>
          <w:color w:val="000000" w:themeColor="text1"/>
          <w:sz w:val="20"/>
          <w:szCs w:val="20"/>
        </w:rPr>
        <w:t xml:space="preserve"> peer review</w:t>
      </w:r>
      <w:r>
        <w:rPr>
          <w:rFonts w:ascii="Arial Narrow" w:hAnsi="Arial Narrow"/>
          <w:color w:val="000000" w:themeColor="text1"/>
          <w:sz w:val="20"/>
          <w:szCs w:val="20"/>
        </w:rPr>
        <w:t>ed</w:t>
      </w:r>
      <w:r w:rsidR="002031AC">
        <w:rPr>
          <w:rFonts w:ascii="Arial Narrow" w:hAnsi="Arial Narrow"/>
          <w:color w:val="000000" w:themeColor="text1"/>
          <w:sz w:val="20"/>
          <w:szCs w:val="20"/>
        </w:rPr>
        <w:t xml:space="preserve"> this report.  </w:t>
      </w:r>
    </w:p>
    <w:p w:rsidR="00043311" w:rsidRDefault="00043311" w:rsidP="0042130F">
      <w:pPr>
        <w:overflowPunct w:val="0"/>
        <w:autoSpaceDE w:val="0"/>
        <w:autoSpaceDN w:val="0"/>
        <w:adjustRightInd w:val="0"/>
        <w:spacing w:before="0" w:after="120" w:line="240" w:lineRule="auto"/>
        <w:jc w:val="left"/>
        <w:textAlignment w:val="baseline"/>
        <w:rPr>
          <w:rFonts w:ascii="Arial Narrow" w:hAnsi="Arial Narrow"/>
          <w:sz w:val="20"/>
          <w:szCs w:val="20"/>
        </w:rPr>
      </w:pPr>
      <w:r>
        <w:rPr>
          <w:rFonts w:ascii="Arial Narrow" w:hAnsi="Arial Narrow"/>
          <w:sz w:val="20"/>
          <w:szCs w:val="20"/>
        </w:rPr>
        <w:t>We gratefully acknowledge the support of the Ministry of Health (</w:t>
      </w:r>
      <w:r w:rsidRPr="00F51270">
        <w:rPr>
          <w:rFonts w:ascii="Arial Narrow" w:hAnsi="Arial Narrow"/>
          <w:sz w:val="20"/>
          <w:szCs w:val="20"/>
        </w:rPr>
        <w:t>Problem Gambling, Mental Health Service Improvement, Sector Capability and Implementation)</w:t>
      </w:r>
      <w:r>
        <w:rPr>
          <w:rFonts w:ascii="Arial Narrow" w:hAnsi="Arial Narrow"/>
          <w:sz w:val="20"/>
          <w:szCs w:val="20"/>
        </w:rPr>
        <w:t xml:space="preserve"> who commissioned this report. </w:t>
      </w:r>
    </w:p>
    <w:p w:rsidR="00EE2D92" w:rsidRDefault="00043311" w:rsidP="00290023">
      <w:pPr>
        <w:overflowPunct w:val="0"/>
        <w:autoSpaceDE w:val="0"/>
        <w:autoSpaceDN w:val="0"/>
        <w:adjustRightInd w:val="0"/>
        <w:spacing w:before="0" w:after="120" w:line="240" w:lineRule="auto"/>
        <w:jc w:val="left"/>
        <w:textAlignment w:val="baseline"/>
        <w:rPr>
          <w:rFonts w:ascii="Arial Narrow" w:hAnsi="Arial Narrow" w:cs="Arial"/>
          <w:b/>
          <w:color w:val="000000"/>
          <w:sz w:val="20"/>
          <w:szCs w:val="22"/>
        </w:rPr>
      </w:pPr>
      <w:r w:rsidRPr="002579DE">
        <w:rPr>
          <w:rFonts w:ascii="Arial Narrow" w:hAnsi="Arial Narrow"/>
          <w:sz w:val="20"/>
          <w:szCs w:val="20"/>
        </w:rPr>
        <w:t>The Youth’12 project was funded by the Ministries of Youth Development, Social Development, Health, Education and Justice, the Department of Labour, the Families Commission and the Alcohol Advisory Council of New Zealand. We would also like to acknowledge the support of Toshiba (Australia) Pty. Limited.</w:t>
      </w:r>
    </w:p>
    <w:p w:rsidR="00043311" w:rsidRPr="002579DE" w:rsidRDefault="00043311" w:rsidP="00290023">
      <w:pPr>
        <w:overflowPunct w:val="0"/>
        <w:autoSpaceDE w:val="0"/>
        <w:autoSpaceDN w:val="0"/>
        <w:adjustRightInd w:val="0"/>
        <w:spacing w:before="0" w:after="120" w:line="240" w:lineRule="auto"/>
        <w:jc w:val="left"/>
        <w:textAlignment w:val="baseline"/>
        <w:rPr>
          <w:rFonts w:ascii="Arial Narrow" w:hAnsi="Arial Narrow" w:cs="Arial"/>
          <w:b/>
          <w:color w:val="000000"/>
          <w:sz w:val="20"/>
          <w:szCs w:val="22"/>
        </w:rPr>
      </w:pPr>
      <w:r>
        <w:rPr>
          <w:rFonts w:ascii="Arial Narrow" w:hAnsi="Arial Narrow" w:cs="Arial"/>
          <w:b/>
          <w:color w:val="000000"/>
          <w:sz w:val="20"/>
          <w:szCs w:val="22"/>
        </w:rPr>
        <w:t>Contact details</w:t>
      </w:r>
    </w:p>
    <w:p w:rsidR="00043311" w:rsidRDefault="00043311" w:rsidP="0042130F">
      <w:pPr>
        <w:overflowPunct w:val="0"/>
        <w:autoSpaceDE w:val="0"/>
        <w:autoSpaceDN w:val="0"/>
        <w:adjustRightInd w:val="0"/>
        <w:spacing w:before="0" w:line="240" w:lineRule="auto"/>
        <w:jc w:val="left"/>
        <w:textAlignment w:val="baseline"/>
        <w:rPr>
          <w:rFonts w:ascii="Arial Narrow" w:hAnsi="Arial Narrow"/>
          <w:sz w:val="20"/>
          <w:szCs w:val="20"/>
        </w:rPr>
      </w:pPr>
      <w:r>
        <w:rPr>
          <w:rFonts w:ascii="Arial Narrow" w:hAnsi="Arial Narrow"/>
          <w:sz w:val="20"/>
          <w:szCs w:val="20"/>
        </w:rPr>
        <w:t xml:space="preserve">Dr </w:t>
      </w:r>
      <w:r w:rsidRPr="002579DE">
        <w:rPr>
          <w:rFonts w:ascii="Arial Narrow" w:hAnsi="Arial Narrow"/>
          <w:sz w:val="20"/>
          <w:szCs w:val="20"/>
        </w:rPr>
        <w:t>Terryann Clark (Principal Investigator)</w:t>
      </w:r>
    </w:p>
    <w:p w:rsidR="00043311" w:rsidRDefault="00043311" w:rsidP="0042130F">
      <w:pPr>
        <w:overflowPunct w:val="0"/>
        <w:autoSpaceDE w:val="0"/>
        <w:autoSpaceDN w:val="0"/>
        <w:adjustRightInd w:val="0"/>
        <w:spacing w:before="0" w:line="240" w:lineRule="auto"/>
        <w:jc w:val="left"/>
        <w:textAlignment w:val="baseline"/>
        <w:rPr>
          <w:rFonts w:ascii="Arial Narrow" w:hAnsi="Arial Narrow"/>
          <w:sz w:val="20"/>
          <w:szCs w:val="20"/>
        </w:rPr>
      </w:pPr>
      <w:r w:rsidRPr="002579DE">
        <w:rPr>
          <w:rFonts w:ascii="Arial Narrow" w:hAnsi="Arial Narrow"/>
          <w:sz w:val="20"/>
          <w:szCs w:val="20"/>
        </w:rPr>
        <w:t xml:space="preserve">Adolescent Health Research </w:t>
      </w:r>
      <w:r w:rsidR="00011469" w:rsidRPr="002579DE">
        <w:rPr>
          <w:rFonts w:ascii="Arial Narrow" w:hAnsi="Arial Narrow"/>
          <w:sz w:val="20"/>
          <w:szCs w:val="20"/>
        </w:rPr>
        <w:t xml:space="preserve">Group </w:t>
      </w:r>
      <w:r w:rsidR="00011469">
        <w:rPr>
          <w:rFonts w:ascii="Arial Narrow" w:hAnsi="Arial Narrow"/>
          <w:sz w:val="20"/>
          <w:szCs w:val="20"/>
        </w:rPr>
        <w:t>-</w:t>
      </w:r>
      <w:r>
        <w:rPr>
          <w:rFonts w:ascii="Arial Narrow" w:hAnsi="Arial Narrow"/>
          <w:sz w:val="20"/>
          <w:szCs w:val="20"/>
        </w:rPr>
        <w:t xml:space="preserve"> Youth’12</w:t>
      </w:r>
    </w:p>
    <w:p w:rsidR="00043311" w:rsidRDefault="00043311" w:rsidP="0042130F">
      <w:pPr>
        <w:overflowPunct w:val="0"/>
        <w:autoSpaceDE w:val="0"/>
        <w:autoSpaceDN w:val="0"/>
        <w:adjustRightInd w:val="0"/>
        <w:spacing w:before="0" w:line="240" w:lineRule="auto"/>
        <w:jc w:val="left"/>
        <w:textAlignment w:val="baseline"/>
        <w:rPr>
          <w:rFonts w:ascii="Arial Narrow" w:hAnsi="Arial Narrow"/>
          <w:sz w:val="20"/>
          <w:szCs w:val="20"/>
        </w:rPr>
      </w:pPr>
      <w:r w:rsidRPr="002579DE">
        <w:rPr>
          <w:rFonts w:ascii="Arial Narrow" w:hAnsi="Arial Narrow"/>
          <w:sz w:val="20"/>
          <w:szCs w:val="20"/>
        </w:rPr>
        <w:t xml:space="preserve">School of Nursing </w:t>
      </w:r>
    </w:p>
    <w:p w:rsidR="00043311" w:rsidRDefault="00043311" w:rsidP="0042130F">
      <w:pPr>
        <w:overflowPunct w:val="0"/>
        <w:autoSpaceDE w:val="0"/>
        <w:autoSpaceDN w:val="0"/>
        <w:adjustRightInd w:val="0"/>
        <w:spacing w:before="0" w:line="240" w:lineRule="auto"/>
        <w:jc w:val="left"/>
        <w:textAlignment w:val="baseline"/>
        <w:rPr>
          <w:rFonts w:ascii="Arial Narrow" w:hAnsi="Arial Narrow"/>
          <w:sz w:val="20"/>
          <w:szCs w:val="20"/>
        </w:rPr>
      </w:pPr>
      <w:r w:rsidRPr="002579DE">
        <w:rPr>
          <w:rFonts w:ascii="Arial Narrow" w:hAnsi="Arial Narrow"/>
          <w:sz w:val="20"/>
          <w:szCs w:val="20"/>
        </w:rPr>
        <w:t xml:space="preserve">Tamaki </w:t>
      </w:r>
      <w:r>
        <w:rPr>
          <w:rFonts w:ascii="Arial Narrow" w:hAnsi="Arial Narrow"/>
          <w:sz w:val="20"/>
          <w:szCs w:val="20"/>
        </w:rPr>
        <w:t xml:space="preserve">Innovation </w:t>
      </w:r>
      <w:r w:rsidRPr="002579DE">
        <w:rPr>
          <w:rFonts w:ascii="Arial Narrow" w:hAnsi="Arial Narrow"/>
          <w:sz w:val="20"/>
          <w:szCs w:val="20"/>
        </w:rPr>
        <w:t xml:space="preserve">Campus, </w:t>
      </w:r>
      <w:r w:rsidR="00011469" w:rsidRPr="002579DE">
        <w:rPr>
          <w:rFonts w:ascii="Arial Narrow" w:hAnsi="Arial Narrow"/>
          <w:sz w:val="20"/>
          <w:szCs w:val="20"/>
        </w:rPr>
        <w:t>the</w:t>
      </w:r>
      <w:r w:rsidRPr="002579DE">
        <w:rPr>
          <w:rFonts w:ascii="Arial Narrow" w:hAnsi="Arial Narrow"/>
          <w:sz w:val="20"/>
          <w:szCs w:val="20"/>
        </w:rPr>
        <w:t xml:space="preserve"> University of Auckland </w:t>
      </w:r>
    </w:p>
    <w:p w:rsidR="00043311" w:rsidRPr="002579DE" w:rsidRDefault="00043311" w:rsidP="0042130F">
      <w:pPr>
        <w:overflowPunct w:val="0"/>
        <w:autoSpaceDE w:val="0"/>
        <w:autoSpaceDN w:val="0"/>
        <w:adjustRightInd w:val="0"/>
        <w:spacing w:before="0" w:line="240" w:lineRule="auto"/>
        <w:jc w:val="left"/>
        <w:textAlignment w:val="baseline"/>
        <w:rPr>
          <w:rFonts w:ascii="Arial Narrow" w:hAnsi="Arial Narrow"/>
          <w:sz w:val="20"/>
          <w:szCs w:val="20"/>
        </w:rPr>
      </w:pPr>
      <w:r w:rsidRPr="002579DE">
        <w:rPr>
          <w:rFonts w:ascii="Arial Narrow" w:hAnsi="Arial Narrow"/>
          <w:sz w:val="20"/>
          <w:szCs w:val="20"/>
        </w:rPr>
        <w:t>Private Bag 92019, Victoria Street West, Auckland, 1142</w:t>
      </w:r>
    </w:p>
    <w:p w:rsidR="00043311" w:rsidRPr="002579DE" w:rsidRDefault="00043311" w:rsidP="0042130F">
      <w:pPr>
        <w:overflowPunct w:val="0"/>
        <w:autoSpaceDE w:val="0"/>
        <w:autoSpaceDN w:val="0"/>
        <w:adjustRightInd w:val="0"/>
        <w:spacing w:before="0" w:line="240" w:lineRule="auto"/>
        <w:jc w:val="left"/>
        <w:textAlignment w:val="baseline"/>
        <w:rPr>
          <w:rFonts w:ascii="Arial Narrow" w:hAnsi="Arial Narrow"/>
          <w:sz w:val="20"/>
          <w:szCs w:val="20"/>
        </w:rPr>
      </w:pPr>
      <w:r w:rsidRPr="002579DE">
        <w:rPr>
          <w:rFonts w:ascii="Arial Narrow" w:hAnsi="Arial Narrow"/>
          <w:sz w:val="20"/>
          <w:szCs w:val="20"/>
        </w:rPr>
        <w:t xml:space="preserve">Phone: </w:t>
      </w:r>
      <w:r>
        <w:rPr>
          <w:rFonts w:ascii="Arial Narrow" w:hAnsi="Arial Narrow"/>
          <w:sz w:val="20"/>
          <w:szCs w:val="20"/>
        </w:rPr>
        <w:t xml:space="preserve">+64 </w:t>
      </w:r>
      <w:r w:rsidRPr="002579DE">
        <w:rPr>
          <w:rFonts w:ascii="Arial Narrow" w:hAnsi="Arial Narrow"/>
          <w:sz w:val="20"/>
          <w:szCs w:val="20"/>
        </w:rPr>
        <w:t>9 9237620</w:t>
      </w:r>
    </w:p>
    <w:p w:rsidR="00043311" w:rsidRPr="002579DE" w:rsidRDefault="00043311" w:rsidP="0042130F">
      <w:pPr>
        <w:overflowPunct w:val="0"/>
        <w:autoSpaceDE w:val="0"/>
        <w:autoSpaceDN w:val="0"/>
        <w:adjustRightInd w:val="0"/>
        <w:spacing w:before="0" w:after="60" w:line="240" w:lineRule="auto"/>
        <w:jc w:val="left"/>
        <w:textAlignment w:val="baseline"/>
        <w:rPr>
          <w:rFonts w:ascii="Arial Narrow" w:hAnsi="Arial Narrow"/>
          <w:sz w:val="20"/>
          <w:szCs w:val="20"/>
        </w:rPr>
      </w:pPr>
      <w:r w:rsidRPr="002579DE">
        <w:rPr>
          <w:rFonts w:ascii="Arial Narrow" w:hAnsi="Arial Narrow"/>
          <w:sz w:val="20"/>
          <w:szCs w:val="20"/>
        </w:rPr>
        <w:t xml:space="preserve">Email: t.clark@auckland.ac.nz  </w:t>
      </w:r>
    </w:p>
    <w:p w:rsidR="00671CE0" w:rsidRDefault="00043311" w:rsidP="0042130F">
      <w:pPr>
        <w:spacing w:after="120"/>
        <w:ind w:right="22"/>
        <w:rPr>
          <w:rFonts w:ascii="Arial Narrow" w:hAnsi="Arial Narrow"/>
          <w:color w:val="0000FF"/>
          <w:sz w:val="20"/>
          <w:szCs w:val="20"/>
          <w:u w:val="single"/>
        </w:rPr>
      </w:pPr>
      <w:r w:rsidRPr="002579DE">
        <w:rPr>
          <w:rFonts w:ascii="Arial Narrow" w:hAnsi="Arial Narrow"/>
          <w:sz w:val="20"/>
          <w:szCs w:val="20"/>
        </w:rPr>
        <w:t xml:space="preserve">Further publications by the AHRG are available at </w:t>
      </w:r>
      <w:hyperlink r:id="rId14" w:history="1">
        <w:r w:rsidRPr="002579DE">
          <w:rPr>
            <w:rFonts w:ascii="Arial Narrow" w:hAnsi="Arial Narrow"/>
            <w:color w:val="0000FF"/>
            <w:sz w:val="20"/>
            <w:szCs w:val="20"/>
            <w:u w:val="single"/>
          </w:rPr>
          <w:t>www.youthresearch.auckland.ac.nz</w:t>
        </w:r>
      </w:hyperlink>
      <w:r w:rsidR="00671CE0">
        <w:rPr>
          <w:rFonts w:ascii="Arial Narrow" w:hAnsi="Arial Narrow"/>
          <w:color w:val="0000FF"/>
          <w:sz w:val="20"/>
          <w:szCs w:val="20"/>
          <w:u w:val="single"/>
        </w:rPr>
        <w:t xml:space="preserve"> </w:t>
      </w:r>
    </w:p>
    <w:p w:rsidR="00043311" w:rsidRPr="00E3310E" w:rsidRDefault="00043311" w:rsidP="0042130F">
      <w:pPr>
        <w:spacing w:after="120"/>
        <w:ind w:right="22"/>
        <w:rPr>
          <w:rFonts w:asciiTheme="minorHAnsi" w:hAnsiTheme="minorHAnsi" w:cstheme="minorHAnsi"/>
          <w:szCs w:val="22"/>
          <w:highlight w:val="yellow"/>
        </w:rPr>
        <w:sectPr w:rsidR="00043311" w:rsidRPr="00E3310E" w:rsidSect="00290023">
          <w:pgSz w:w="12240" w:h="15840"/>
          <w:pgMar w:top="709" w:right="900" w:bottom="284" w:left="851" w:header="708" w:footer="708" w:gutter="0"/>
          <w:pgNumType w:start="1"/>
          <w:cols w:space="708"/>
          <w:titlePg/>
          <w:docGrid w:linePitch="360"/>
        </w:sectPr>
      </w:pPr>
    </w:p>
    <w:p w:rsidR="00043311" w:rsidRPr="00E3310E" w:rsidRDefault="00043311" w:rsidP="0042130F">
      <w:pPr>
        <w:pStyle w:val="TOCHeading"/>
        <w:spacing w:before="0" w:line="240" w:lineRule="auto"/>
        <w:contextualSpacing/>
        <w:rPr>
          <w:rFonts w:asciiTheme="minorHAnsi" w:hAnsiTheme="minorHAnsi" w:cstheme="minorHAnsi"/>
        </w:rPr>
      </w:pPr>
      <w:r>
        <w:rPr>
          <w:rFonts w:asciiTheme="minorHAnsi" w:hAnsiTheme="minorHAnsi" w:cstheme="minorHAnsi"/>
        </w:rPr>
        <w:lastRenderedPageBreak/>
        <w:t>CONTENTS</w:t>
      </w:r>
    </w:p>
    <w:p w:rsidR="00007C77" w:rsidRPr="00007C77" w:rsidRDefault="007B447B">
      <w:pPr>
        <w:pStyle w:val="TOC1"/>
        <w:rPr>
          <w:rFonts w:asciiTheme="minorHAnsi" w:eastAsiaTheme="minorEastAsia" w:hAnsiTheme="minorHAnsi" w:cstheme="minorBidi"/>
          <w:noProof/>
          <w:szCs w:val="22"/>
          <w:lang w:eastAsia="en-NZ"/>
        </w:rPr>
      </w:pPr>
      <w:r w:rsidRPr="004A0FB6">
        <w:rPr>
          <w:rFonts w:asciiTheme="minorHAnsi" w:hAnsiTheme="minorHAnsi" w:cstheme="minorHAnsi"/>
          <w:szCs w:val="22"/>
          <w:highlight w:val="yellow"/>
        </w:rPr>
        <w:fldChar w:fldCharType="begin"/>
      </w:r>
      <w:r w:rsidR="00043311" w:rsidRPr="004A0FB6">
        <w:rPr>
          <w:rFonts w:asciiTheme="minorHAnsi" w:hAnsiTheme="minorHAnsi" w:cstheme="minorHAnsi"/>
          <w:szCs w:val="22"/>
          <w:highlight w:val="yellow"/>
        </w:rPr>
        <w:instrText xml:space="preserve"> TOC \o "1-3" \h \z \u </w:instrText>
      </w:r>
      <w:r w:rsidRPr="004A0FB6">
        <w:rPr>
          <w:rFonts w:asciiTheme="minorHAnsi" w:hAnsiTheme="minorHAnsi" w:cstheme="minorHAnsi"/>
          <w:szCs w:val="22"/>
          <w:highlight w:val="yellow"/>
        </w:rPr>
        <w:fldChar w:fldCharType="separate"/>
      </w:r>
      <w:hyperlink w:anchor="_Toc367284390" w:history="1">
        <w:r w:rsidR="00007C77" w:rsidRPr="00007C77">
          <w:rPr>
            <w:rStyle w:val="Hyperlink"/>
            <w:rFonts w:asciiTheme="minorHAnsi" w:hAnsiTheme="minorHAnsi" w:cstheme="minorHAnsi"/>
            <w:noProof/>
            <w:szCs w:val="22"/>
          </w:rPr>
          <w:t>EXECUTIVE SUMMARY</w:t>
        </w:r>
        <w:r w:rsidR="00007C77" w:rsidRPr="00007C77">
          <w:rPr>
            <w:rFonts w:asciiTheme="minorHAnsi" w:hAnsiTheme="minorHAnsi"/>
            <w:noProof/>
            <w:webHidden/>
            <w:szCs w:val="22"/>
          </w:rPr>
          <w:tab/>
        </w:r>
        <w:r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_Toc367284390 \h </w:instrText>
        </w:r>
        <w:r w:rsidRPr="00007C77">
          <w:rPr>
            <w:rFonts w:asciiTheme="minorHAnsi" w:hAnsiTheme="minorHAnsi"/>
            <w:noProof/>
            <w:webHidden/>
            <w:szCs w:val="22"/>
          </w:rPr>
        </w:r>
        <w:r w:rsidRPr="00007C77">
          <w:rPr>
            <w:rFonts w:asciiTheme="minorHAnsi" w:hAnsiTheme="minorHAnsi"/>
            <w:noProof/>
            <w:webHidden/>
            <w:szCs w:val="22"/>
          </w:rPr>
          <w:fldChar w:fldCharType="separate"/>
        </w:r>
        <w:r w:rsidR="00734D8D">
          <w:rPr>
            <w:rFonts w:asciiTheme="minorHAnsi" w:hAnsiTheme="minorHAnsi"/>
            <w:noProof/>
            <w:webHidden/>
            <w:szCs w:val="22"/>
          </w:rPr>
          <w:t>8</w:t>
        </w:r>
        <w:r w:rsidRPr="00007C77">
          <w:rPr>
            <w:rFonts w:asciiTheme="minorHAnsi" w:hAnsiTheme="minorHAnsi"/>
            <w:noProof/>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396" w:history="1">
        <w:r w:rsidR="00007C77" w:rsidRPr="00007C77">
          <w:rPr>
            <w:rStyle w:val="Hyperlink"/>
            <w:rFonts w:asciiTheme="minorHAnsi" w:hAnsiTheme="minorHAnsi" w:cstheme="minorHAnsi"/>
            <w:noProof/>
            <w:szCs w:val="22"/>
          </w:rPr>
          <w:t>1.</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INTRODUCTION AND BACKGROUND</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_Toc367284396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11</w:t>
        </w:r>
        <w:r w:rsidR="007B447B" w:rsidRPr="00007C77">
          <w:rPr>
            <w:rFonts w:asciiTheme="minorHAnsi" w:hAnsiTheme="minorHAnsi"/>
            <w:noProof/>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397" w:history="1">
        <w:r w:rsidR="00007C77" w:rsidRPr="00007C77">
          <w:rPr>
            <w:rStyle w:val="Hyperlink"/>
            <w:rFonts w:asciiTheme="minorHAnsi" w:hAnsiTheme="minorHAnsi" w:cstheme="minorHAnsi"/>
            <w:noProof/>
            <w:szCs w:val="22"/>
          </w:rPr>
          <w:t>2.</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REVIEW OF LITERATURE</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_Toc367284397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13</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398" w:history="1">
        <w:r w:rsidR="00007C77" w:rsidRPr="00007C77">
          <w:rPr>
            <w:rStyle w:val="Hyperlink"/>
            <w:szCs w:val="22"/>
          </w:rPr>
          <w:t>2.1</w:t>
        </w:r>
        <w:r w:rsidR="00007C77" w:rsidRPr="00007C77">
          <w:rPr>
            <w:rFonts w:eastAsiaTheme="minorEastAsia" w:cstheme="minorBidi"/>
            <w:szCs w:val="22"/>
            <w:lang w:eastAsia="en-NZ"/>
          </w:rPr>
          <w:tab/>
        </w:r>
        <w:r w:rsidR="00007C77" w:rsidRPr="00007C77">
          <w:rPr>
            <w:rStyle w:val="Hyperlink"/>
            <w:szCs w:val="22"/>
          </w:rPr>
          <w:t>Methods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_Toc367284398 \h </w:instrText>
        </w:r>
        <w:r w:rsidR="007B447B" w:rsidRPr="00007C77">
          <w:rPr>
            <w:webHidden/>
            <w:szCs w:val="22"/>
          </w:rPr>
        </w:r>
        <w:r w:rsidR="007B447B" w:rsidRPr="00007C77">
          <w:rPr>
            <w:webHidden/>
            <w:szCs w:val="22"/>
          </w:rPr>
          <w:fldChar w:fldCharType="separate"/>
        </w:r>
        <w:r w:rsidR="00734D8D">
          <w:rPr>
            <w:webHidden/>
            <w:szCs w:val="22"/>
          </w:rPr>
          <w:t>13</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399" w:history="1">
        <w:r w:rsidR="00007C77" w:rsidRPr="00007C77">
          <w:rPr>
            <w:rStyle w:val="Hyperlink"/>
            <w:szCs w:val="22"/>
          </w:rPr>
          <w:t>2.2</w:t>
        </w:r>
        <w:r w:rsidR="00007C77" w:rsidRPr="00007C77">
          <w:rPr>
            <w:rFonts w:eastAsiaTheme="minorEastAsia" w:cstheme="minorBidi"/>
            <w:szCs w:val="22"/>
            <w:lang w:eastAsia="en-NZ"/>
          </w:rPr>
          <w:tab/>
        </w:r>
        <w:r w:rsidR="00007C77" w:rsidRPr="00007C77">
          <w:rPr>
            <w:rStyle w:val="Hyperlink"/>
            <w:szCs w:val="22"/>
          </w:rPr>
          <w:t>Key findings from the literature review</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_Toc367284399 \h </w:instrText>
        </w:r>
        <w:r w:rsidR="007B447B" w:rsidRPr="00007C77">
          <w:rPr>
            <w:webHidden/>
            <w:szCs w:val="22"/>
          </w:rPr>
        </w:r>
        <w:r w:rsidR="007B447B" w:rsidRPr="00007C77">
          <w:rPr>
            <w:webHidden/>
            <w:szCs w:val="22"/>
          </w:rPr>
          <w:fldChar w:fldCharType="separate"/>
        </w:r>
        <w:r w:rsidR="00734D8D">
          <w:rPr>
            <w:webHidden/>
            <w:szCs w:val="22"/>
          </w:rPr>
          <w:t>13</w:t>
        </w:r>
        <w:r w:rsidR="007B447B" w:rsidRPr="00007C77">
          <w:rPr>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00" w:history="1">
        <w:r w:rsidR="00007C77" w:rsidRPr="00007C77">
          <w:rPr>
            <w:rStyle w:val="Hyperlink"/>
            <w:rFonts w:asciiTheme="minorHAnsi" w:hAnsiTheme="minorHAnsi"/>
            <w:noProof/>
            <w:szCs w:val="22"/>
          </w:rPr>
          <w:t>2.2.1</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Prevalence of youth gambling and problem gambling</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_Toc367284400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15</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01" w:history="1">
        <w:r w:rsidR="00007C77" w:rsidRPr="00007C77">
          <w:rPr>
            <w:rStyle w:val="Hyperlink"/>
            <w:rFonts w:asciiTheme="minorHAnsi" w:hAnsiTheme="minorHAnsi"/>
            <w:noProof/>
            <w:szCs w:val="22"/>
          </w:rPr>
          <w:t>2.2.2</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Attitudes towards gambling</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_Toc367284401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23</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02" w:history="1">
        <w:r w:rsidR="00007C77" w:rsidRPr="00007C77">
          <w:rPr>
            <w:rStyle w:val="Hyperlink"/>
            <w:rFonts w:asciiTheme="minorHAnsi" w:hAnsiTheme="minorHAnsi"/>
            <w:noProof/>
            <w:szCs w:val="22"/>
          </w:rPr>
          <w:t>2.2.3</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Patterns of behaviour</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_Toc367284402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25</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03" w:history="1">
        <w:r w:rsidR="00007C77" w:rsidRPr="00007C77">
          <w:rPr>
            <w:rStyle w:val="Hyperlink"/>
            <w:rFonts w:asciiTheme="minorHAnsi" w:hAnsiTheme="minorHAnsi"/>
            <w:noProof/>
            <w:szCs w:val="22"/>
          </w:rPr>
          <w:t>2.2.4</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Impacts of problematic gambling for youth</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_Toc367284403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28</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04" w:history="1">
        <w:r w:rsidR="00007C77" w:rsidRPr="00007C77">
          <w:rPr>
            <w:rStyle w:val="Hyperlink"/>
            <w:rFonts w:asciiTheme="minorHAnsi" w:hAnsiTheme="minorHAnsi"/>
            <w:noProof/>
            <w:szCs w:val="22"/>
          </w:rPr>
          <w:t>2.2.5</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Social influences on youth gambling</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_Toc367284404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29</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05" w:history="1">
        <w:r w:rsidR="00007C77" w:rsidRPr="00007C77">
          <w:rPr>
            <w:rStyle w:val="Hyperlink"/>
            <w:rFonts w:asciiTheme="minorHAnsi" w:hAnsiTheme="minorHAnsi"/>
            <w:noProof/>
            <w:szCs w:val="22"/>
          </w:rPr>
          <w:t>2.2.6</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Risk factors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_Toc367284405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33</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06" w:history="1">
        <w:r w:rsidR="00007C77" w:rsidRPr="00007C77">
          <w:rPr>
            <w:rStyle w:val="Hyperlink"/>
            <w:rFonts w:asciiTheme="minorHAnsi" w:hAnsiTheme="minorHAnsi"/>
            <w:noProof/>
            <w:szCs w:val="22"/>
          </w:rPr>
          <w:t>2.2.7</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Protective factors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_Toc367284406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37</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07" w:history="1">
        <w:r w:rsidR="00007C77" w:rsidRPr="00007C77">
          <w:rPr>
            <w:rStyle w:val="Hyperlink"/>
            <w:szCs w:val="22"/>
          </w:rPr>
          <w:t>2.3</w:t>
        </w:r>
        <w:r w:rsidR="00007C77" w:rsidRPr="00007C77">
          <w:rPr>
            <w:rFonts w:eastAsiaTheme="minorEastAsia" w:cstheme="minorBidi"/>
            <w:szCs w:val="22"/>
            <w:lang w:eastAsia="en-NZ"/>
          </w:rPr>
          <w:tab/>
        </w:r>
        <w:r w:rsidR="00007C77" w:rsidRPr="00007C77">
          <w:rPr>
            <w:rStyle w:val="Hyperlink"/>
            <w:szCs w:val="22"/>
          </w:rPr>
          <w:t>Summary of the youth (problem) gambling literature</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_Toc367284407 \h </w:instrText>
        </w:r>
        <w:r w:rsidR="007B447B" w:rsidRPr="00007C77">
          <w:rPr>
            <w:webHidden/>
            <w:szCs w:val="22"/>
          </w:rPr>
        </w:r>
        <w:r w:rsidR="007B447B" w:rsidRPr="00007C77">
          <w:rPr>
            <w:webHidden/>
            <w:szCs w:val="22"/>
          </w:rPr>
          <w:fldChar w:fldCharType="separate"/>
        </w:r>
        <w:r w:rsidR="00734D8D">
          <w:rPr>
            <w:webHidden/>
            <w:szCs w:val="22"/>
          </w:rPr>
          <w:t>38</w:t>
        </w:r>
        <w:r w:rsidR="007B447B" w:rsidRPr="00007C77">
          <w:rPr>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08" w:history="1">
        <w:r w:rsidR="00007C77" w:rsidRPr="00007C77">
          <w:rPr>
            <w:rStyle w:val="Hyperlink"/>
            <w:rFonts w:asciiTheme="minorHAnsi" w:hAnsiTheme="minorHAnsi" w:cstheme="minorHAnsi"/>
            <w:noProof/>
            <w:szCs w:val="22"/>
          </w:rPr>
          <w:t>3.</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YOUTH’12 BACKGROUND AND METHODOLOGY</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_Toc367284408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41</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09" w:history="1">
        <w:r w:rsidR="00007C77" w:rsidRPr="00007C77">
          <w:rPr>
            <w:rStyle w:val="Hyperlink"/>
            <w:szCs w:val="22"/>
          </w:rPr>
          <w:t>3.1</w:t>
        </w:r>
        <w:r w:rsidR="00007C77" w:rsidRPr="00007C77">
          <w:rPr>
            <w:rFonts w:eastAsiaTheme="minorEastAsia" w:cstheme="minorBidi"/>
            <w:szCs w:val="22"/>
            <w:lang w:eastAsia="en-NZ"/>
          </w:rPr>
          <w:tab/>
        </w:r>
        <w:r w:rsidR="00007C77" w:rsidRPr="00007C77">
          <w:rPr>
            <w:rStyle w:val="Hyperlink"/>
            <w:szCs w:val="22"/>
          </w:rPr>
          <w:t>Youth’12 methodology - an overview</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_Toc367284409 \h </w:instrText>
        </w:r>
        <w:r w:rsidR="007B447B" w:rsidRPr="00007C77">
          <w:rPr>
            <w:webHidden/>
            <w:szCs w:val="22"/>
          </w:rPr>
        </w:r>
        <w:r w:rsidR="007B447B" w:rsidRPr="00007C77">
          <w:rPr>
            <w:webHidden/>
            <w:szCs w:val="22"/>
          </w:rPr>
          <w:fldChar w:fldCharType="separate"/>
        </w:r>
        <w:r w:rsidR="00734D8D">
          <w:rPr>
            <w:webHidden/>
            <w:szCs w:val="22"/>
          </w:rPr>
          <w:t>41</w:t>
        </w:r>
        <w:r w:rsidR="007B447B" w:rsidRPr="00007C77">
          <w:rPr>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10" w:history="1">
        <w:r w:rsidR="00007C77" w:rsidRPr="00007C77">
          <w:rPr>
            <w:rStyle w:val="Hyperlink"/>
            <w:rFonts w:asciiTheme="minorHAnsi" w:hAnsiTheme="minorHAnsi"/>
            <w:noProof/>
            <w:szCs w:val="22"/>
          </w:rPr>
          <w:t>3.1.1</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The Youth’12 student health and wellbeing questionnaire</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_Toc367284410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42</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11" w:history="1">
        <w:r w:rsidR="00007C77" w:rsidRPr="00007C77">
          <w:rPr>
            <w:rStyle w:val="Hyperlink"/>
            <w:rFonts w:asciiTheme="minorHAnsi" w:hAnsiTheme="minorHAnsi"/>
            <w:noProof/>
            <w:szCs w:val="22"/>
          </w:rPr>
          <w:t>3.1.2</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School participation</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_Toc367284411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43</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12" w:history="1">
        <w:r w:rsidR="00007C77" w:rsidRPr="00007C77">
          <w:rPr>
            <w:rStyle w:val="Hyperlink"/>
            <w:rFonts w:asciiTheme="minorHAnsi" w:hAnsiTheme="minorHAnsi"/>
            <w:noProof/>
            <w:szCs w:val="22"/>
          </w:rPr>
          <w:t>3.1.3</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Student participation</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_Toc367284412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45</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13" w:history="1">
        <w:r w:rsidR="00007C77" w:rsidRPr="00007C77">
          <w:rPr>
            <w:rStyle w:val="Hyperlink"/>
            <w:szCs w:val="22"/>
          </w:rPr>
          <w:t>3.2</w:t>
        </w:r>
        <w:r w:rsidR="00007C77" w:rsidRPr="00007C77">
          <w:rPr>
            <w:rFonts w:eastAsiaTheme="minorEastAsia" w:cstheme="minorBidi"/>
            <w:szCs w:val="22"/>
            <w:lang w:eastAsia="en-NZ"/>
          </w:rPr>
          <w:tab/>
        </w:r>
        <w:r w:rsidR="00007C77" w:rsidRPr="00007C77">
          <w:rPr>
            <w:rStyle w:val="Hyperlink"/>
            <w:szCs w:val="22"/>
          </w:rPr>
          <w:t>Youth’12: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_Toc367284413 \h </w:instrText>
        </w:r>
        <w:r w:rsidR="007B447B" w:rsidRPr="00007C77">
          <w:rPr>
            <w:webHidden/>
            <w:szCs w:val="22"/>
          </w:rPr>
        </w:r>
        <w:r w:rsidR="007B447B" w:rsidRPr="00007C77">
          <w:rPr>
            <w:webHidden/>
            <w:szCs w:val="22"/>
          </w:rPr>
          <w:fldChar w:fldCharType="separate"/>
        </w:r>
        <w:r w:rsidR="00734D8D">
          <w:rPr>
            <w:webHidden/>
            <w:szCs w:val="22"/>
          </w:rPr>
          <w:t>47</w:t>
        </w:r>
        <w:r w:rsidR="007B447B" w:rsidRPr="00007C77">
          <w:rPr>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14" w:history="1">
        <w:r w:rsidR="00007C77" w:rsidRPr="00007C77">
          <w:rPr>
            <w:rStyle w:val="Hyperlink"/>
            <w:rFonts w:asciiTheme="minorHAnsi" w:hAnsiTheme="minorHAnsi"/>
            <w:noProof/>
            <w:szCs w:val="22"/>
          </w:rPr>
          <w:t>3.2.1</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Aims and objectives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_Toc367284414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47</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15" w:history="1">
        <w:r w:rsidR="00007C77" w:rsidRPr="00007C77">
          <w:rPr>
            <w:rStyle w:val="Hyperlink"/>
            <w:rFonts w:asciiTheme="minorHAnsi" w:hAnsiTheme="minorHAnsi"/>
            <w:noProof/>
            <w:szCs w:val="22"/>
          </w:rPr>
          <w:t>3.2.2</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Youth’12 gambling questions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_Toc367284415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48</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16" w:history="1">
        <w:r w:rsidR="00007C77" w:rsidRPr="00007C77">
          <w:rPr>
            <w:rStyle w:val="Hyperlink"/>
            <w:rFonts w:asciiTheme="minorHAnsi" w:hAnsiTheme="minorHAnsi"/>
            <w:noProof/>
            <w:szCs w:val="22"/>
          </w:rPr>
          <w:t>3.2.3</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Health related items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_Toc367284416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51</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17" w:history="1">
        <w:r w:rsidR="00007C77" w:rsidRPr="00007C77">
          <w:rPr>
            <w:rStyle w:val="Hyperlink"/>
            <w:rFonts w:asciiTheme="minorHAnsi" w:hAnsiTheme="minorHAnsi"/>
            <w:noProof/>
            <w:szCs w:val="22"/>
          </w:rPr>
          <w:t>3.2.4</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Data analysis and interpreting the results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_Toc367284417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51</w:t>
        </w:r>
        <w:r w:rsidR="007B447B" w:rsidRPr="00007C77">
          <w:rPr>
            <w:rFonts w:asciiTheme="minorHAnsi" w:hAnsiTheme="minorHAnsi"/>
            <w:noProof/>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18" w:history="1">
        <w:r w:rsidR="00007C77" w:rsidRPr="00007C77">
          <w:rPr>
            <w:rStyle w:val="Hyperlink"/>
            <w:rFonts w:asciiTheme="minorHAnsi" w:hAnsiTheme="minorHAnsi" w:cstheme="minorHAnsi"/>
            <w:noProof/>
            <w:szCs w:val="22"/>
          </w:rPr>
          <w:t>4.</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RESULTS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_Toc367284418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53</w:t>
        </w:r>
        <w:r w:rsidR="007B447B" w:rsidRPr="00007C77">
          <w:rPr>
            <w:rFonts w:asciiTheme="minorHAnsi" w:hAnsiTheme="minorHAnsi"/>
            <w:noProof/>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19" w:history="1">
        <w:r w:rsidR="00007C77" w:rsidRPr="00007C77">
          <w:rPr>
            <w:rStyle w:val="Hyperlink"/>
            <w:rFonts w:asciiTheme="minorHAnsi" w:hAnsiTheme="minorHAnsi" w:cstheme="minorHAnsi"/>
            <w:noProof/>
            <w:szCs w:val="22"/>
          </w:rPr>
          <w:t>5.</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STUDENTS &amp; THEIR OWN GAMBLING</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_Toc367284419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54</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20" w:history="1">
        <w:r w:rsidR="00007C77" w:rsidRPr="00007C77">
          <w:rPr>
            <w:rStyle w:val="Hyperlink"/>
            <w:szCs w:val="22"/>
          </w:rPr>
          <w:t>5.1</w:t>
        </w:r>
        <w:r w:rsidR="00007C77" w:rsidRPr="00007C77">
          <w:rPr>
            <w:rFonts w:eastAsiaTheme="minorEastAsia" w:cstheme="minorBidi"/>
            <w:szCs w:val="22"/>
            <w:lang w:eastAsia="en-NZ"/>
          </w:rPr>
          <w:tab/>
        </w:r>
        <w:r w:rsidR="00007C77" w:rsidRPr="00007C77">
          <w:rPr>
            <w:rStyle w:val="Hyperlink"/>
            <w:szCs w:val="22"/>
          </w:rPr>
          <w:t>Gambling over the past year and past month</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_Toc367284420 \h </w:instrText>
        </w:r>
        <w:r w:rsidR="007B447B" w:rsidRPr="00007C77">
          <w:rPr>
            <w:webHidden/>
            <w:szCs w:val="22"/>
          </w:rPr>
        </w:r>
        <w:r w:rsidR="007B447B" w:rsidRPr="00007C77">
          <w:rPr>
            <w:webHidden/>
            <w:szCs w:val="22"/>
          </w:rPr>
          <w:fldChar w:fldCharType="separate"/>
        </w:r>
        <w:r w:rsidR="00734D8D">
          <w:rPr>
            <w:webHidden/>
            <w:szCs w:val="22"/>
          </w:rPr>
          <w:t>54</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21" w:history="1">
        <w:r w:rsidR="00007C77" w:rsidRPr="00007C77">
          <w:rPr>
            <w:rStyle w:val="Hyperlink"/>
            <w:szCs w:val="22"/>
          </w:rPr>
          <w:t>5.2</w:t>
        </w:r>
        <w:r w:rsidR="00007C77" w:rsidRPr="00007C77">
          <w:rPr>
            <w:rFonts w:eastAsiaTheme="minorEastAsia" w:cstheme="minorBidi"/>
            <w:szCs w:val="22"/>
            <w:lang w:eastAsia="en-NZ"/>
          </w:rPr>
          <w:tab/>
        </w:r>
        <w:r w:rsidR="00007C77" w:rsidRPr="00007C77">
          <w:rPr>
            <w:rStyle w:val="Hyperlink"/>
            <w:szCs w:val="22"/>
          </w:rPr>
          <w:t>Type of activities that students gamble on</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_Toc367284421 \h </w:instrText>
        </w:r>
        <w:r w:rsidR="007B447B" w:rsidRPr="00007C77">
          <w:rPr>
            <w:webHidden/>
            <w:szCs w:val="22"/>
          </w:rPr>
        </w:r>
        <w:r w:rsidR="007B447B" w:rsidRPr="00007C77">
          <w:rPr>
            <w:webHidden/>
            <w:szCs w:val="22"/>
          </w:rPr>
          <w:fldChar w:fldCharType="separate"/>
        </w:r>
        <w:r w:rsidR="00734D8D">
          <w:rPr>
            <w:webHidden/>
            <w:szCs w:val="22"/>
          </w:rPr>
          <w:t>56</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22" w:history="1">
        <w:r w:rsidR="00007C77" w:rsidRPr="00007C77">
          <w:rPr>
            <w:rStyle w:val="Hyperlink"/>
            <w:szCs w:val="22"/>
          </w:rPr>
          <w:t>5.3</w:t>
        </w:r>
        <w:r w:rsidR="00007C77" w:rsidRPr="00007C77">
          <w:rPr>
            <w:rFonts w:eastAsiaTheme="minorEastAsia" w:cstheme="minorBidi"/>
            <w:szCs w:val="22"/>
            <w:lang w:eastAsia="en-NZ"/>
          </w:rPr>
          <w:tab/>
        </w:r>
        <w:r w:rsidR="00007C77" w:rsidRPr="00007C77">
          <w:rPr>
            <w:rStyle w:val="Hyperlink"/>
            <w:szCs w:val="22"/>
          </w:rPr>
          <w:t>Number of activities that students gamble on</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_Toc367284422 \h </w:instrText>
        </w:r>
        <w:r w:rsidR="007B447B" w:rsidRPr="00007C77">
          <w:rPr>
            <w:webHidden/>
            <w:szCs w:val="22"/>
          </w:rPr>
        </w:r>
        <w:r w:rsidR="007B447B" w:rsidRPr="00007C77">
          <w:rPr>
            <w:webHidden/>
            <w:szCs w:val="22"/>
          </w:rPr>
          <w:fldChar w:fldCharType="separate"/>
        </w:r>
        <w:r w:rsidR="00734D8D">
          <w:rPr>
            <w:webHidden/>
            <w:szCs w:val="22"/>
          </w:rPr>
          <w:t>57</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23" w:history="1">
        <w:r w:rsidR="00007C77" w:rsidRPr="00007C77">
          <w:rPr>
            <w:rStyle w:val="Hyperlink"/>
            <w:szCs w:val="22"/>
          </w:rPr>
          <w:t>5.4</w:t>
        </w:r>
        <w:r w:rsidR="00007C77" w:rsidRPr="00007C77">
          <w:rPr>
            <w:rFonts w:eastAsiaTheme="minorEastAsia" w:cstheme="minorBidi"/>
            <w:szCs w:val="22"/>
            <w:lang w:eastAsia="en-NZ"/>
          </w:rPr>
          <w:tab/>
        </w:r>
        <w:r w:rsidR="00007C77" w:rsidRPr="00007C77">
          <w:rPr>
            <w:rStyle w:val="Hyperlink"/>
            <w:szCs w:val="22"/>
          </w:rPr>
          <w:t>Time and money spent on gambling activities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_Toc367284423 \h </w:instrText>
        </w:r>
        <w:r w:rsidR="007B447B" w:rsidRPr="00007C77">
          <w:rPr>
            <w:webHidden/>
            <w:szCs w:val="22"/>
          </w:rPr>
        </w:r>
        <w:r w:rsidR="007B447B" w:rsidRPr="00007C77">
          <w:rPr>
            <w:webHidden/>
            <w:szCs w:val="22"/>
          </w:rPr>
          <w:fldChar w:fldCharType="separate"/>
        </w:r>
        <w:r w:rsidR="00734D8D">
          <w:rPr>
            <w:webHidden/>
            <w:szCs w:val="22"/>
          </w:rPr>
          <w:t>57</w:t>
        </w:r>
        <w:r w:rsidR="007B447B" w:rsidRPr="00007C77">
          <w:rPr>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24" w:history="1">
        <w:r w:rsidR="00007C77" w:rsidRPr="00007C77">
          <w:rPr>
            <w:rStyle w:val="Hyperlink"/>
            <w:rFonts w:asciiTheme="minorHAnsi" w:hAnsiTheme="minorHAnsi"/>
            <w:noProof/>
            <w:szCs w:val="22"/>
          </w:rPr>
          <w:t>5.4.1</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Time and money spent gambling - comparison of Youth’07 and Youth’12</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_Toc367284424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59</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25" w:history="1">
        <w:r w:rsidR="00007C77" w:rsidRPr="00007C77">
          <w:rPr>
            <w:rStyle w:val="Hyperlink"/>
            <w:szCs w:val="22"/>
          </w:rPr>
          <w:t>5.5</w:t>
        </w:r>
        <w:r w:rsidR="00007C77" w:rsidRPr="00007C77">
          <w:rPr>
            <w:rFonts w:eastAsiaTheme="minorEastAsia" w:cstheme="minorBidi"/>
            <w:szCs w:val="22"/>
            <w:lang w:eastAsia="en-NZ"/>
          </w:rPr>
          <w:tab/>
        </w:r>
        <w:r w:rsidR="00007C77" w:rsidRPr="00007C77">
          <w:rPr>
            <w:rStyle w:val="Hyperlink"/>
            <w:szCs w:val="22"/>
          </w:rPr>
          <w:t>Social context of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_Toc367284425 \h </w:instrText>
        </w:r>
        <w:r w:rsidR="007B447B" w:rsidRPr="00007C77">
          <w:rPr>
            <w:webHidden/>
            <w:szCs w:val="22"/>
          </w:rPr>
        </w:r>
        <w:r w:rsidR="007B447B" w:rsidRPr="00007C77">
          <w:rPr>
            <w:webHidden/>
            <w:szCs w:val="22"/>
          </w:rPr>
          <w:fldChar w:fldCharType="separate"/>
        </w:r>
        <w:r w:rsidR="00734D8D">
          <w:rPr>
            <w:webHidden/>
            <w:szCs w:val="22"/>
          </w:rPr>
          <w:t>59</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26" w:history="1">
        <w:r w:rsidR="00007C77" w:rsidRPr="00007C77">
          <w:rPr>
            <w:rStyle w:val="Hyperlink"/>
            <w:szCs w:val="22"/>
          </w:rPr>
          <w:t>5.6</w:t>
        </w:r>
        <w:r w:rsidR="00007C77" w:rsidRPr="00007C77">
          <w:rPr>
            <w:rFonts w:eastAsiaTheme="minorEastAsia" w:cstheme="minorBidi"/>
            <w:szCs w:val="22"/>
            <w:lang w:eastAsia="en-NZ"/>
          </w:rPr>
          <w:tab/>
        </w:r>
        <w:r w:rsidR="00007C77" w:rsidRPr="00007C77">
          <w:rPr>
            <w:rStyle w:val="Hyperlink"/>
            <w:szCs w:val="22"/>
          </w:rPr>
          <w:t>Summary: Students and their own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_Toc367284426 \h </w:instrText>
        </w:r>
        <w:r w:rsidR="007B447B" w:rsidRPr="00007C77">
          <w:rPr>
            <w:webHidden/>
            <w:szCs w:val="22"/>
          </w:rPr>
        </w:r>
        <w:r w:rsidR="007B447B" w:rsidRPr="00007C77">
          <w:rPr>
            <w:webHidden/>
            <w:szCs w:val="22"/>
          </w:rPr>
          <w:fldChar w:fldCharType="separate"/>
        </w:r>
        <w:r w:rsidR="00734D8D">
          <w:rPr>
            <w:webHidden/>
            <w:szCs w:val="22"/>
          </w:rPr>
          <w:t>61</w:t>
        </w:r>
        <w:r w:rsidR="007B447B" w:rsidRPr="00007C77">
          <w:rPr>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27" w:history="1">
        <w:r w:rsidR="00007C77" w:rsidRPr="00007C77">
          <w:rPr>
            <w:rStyle w:val="Hyperlink"/>
            <w:rFonts w:asciiTheme="minorHAnsi" w:hAnsiTheme="minorHAnsi" w:cstheme="minorHAnsi"/>
            <w:noProof/>
            <w:szCs w:val="22"/>
          </w:rPr>
          <w:t>6.</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UNHEALTHY GAMBLING AMONGST STUDENTS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_Toc367284427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62</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28" w:history="1">
        <w:r w:rsidR="00007C77" w:rsidRPr="00007C77">
          <w:rPr>
            <w:rStyle w:val="Hyperlink"/>
            <w:szCs w:val="22"/>
          </w:rPr>
          <w:t>6.1</w:t>
        </w:r>
        <w:r w:rsidR="00007C77" w:rsidRPr="00007C77">
          <w:rPr>
            <w:rFonts w:eastAsiaTheme="minorEastAsia" w:cstheme="minorBidi"/>
            <w:szCs w:val="22"/>
            <w:lang w:eastAsia="en-NZ"/>
          </w:rPr>
          <w:tab/>
        </w:r>
        <w:r w:rsidR="00007C77" w:rsidRPr="00007C77">
          <w:rPr>
            <w:rStyle w:val="Hyperlink"/>
            <w:szCs w:val="22"/>
          </w:rPr>
          <w:t>Worried about or tried to cut down on the amount of time or money spent on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_Toc367284428 \h </w:instrText>
        </w:r>
        <w:r w:rsidR="007B447B" w:rsidRPr="00007C77">
          <w:rPr>
            <w:webHidden/>
            <w:szCs w:val="22"/>
          </w:rPr>
        </w:r>
        <w:r w:rsidR="007B447B" w:rsidRPr="00007C77">
          <w:rPr>
            <w:webHidden/>
            <w:szCs w:val="22"/>
          </w:rPr>
          <w:fldChar w:fldCharType="separate"/>
        </w:r>
        <w:r w:rsidR="00734D8D">
          <w:rPr>
            <w:webHidden/>
            <w:szCs w:val="22"/>
          </w:rPr>
          <w:t>62</w:t>
        </w:r>
        <w:r w:rsidR="007B447B" w:rsidRPr="00007C77">
          <w:rPr>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29" w:history="1">
        <w:r w:rsidR="00007C77" w:rsidRPr="00007C77">
          <w:rPr>
            <w:rStyle w:val="Hyperlink"/>
            <w:rFonts w:asciiTheme="minorHAnsi" w:hAnsiTheme="minorHAnsi"/>
            <w:noProof/>
            <w:szCs w:val="22"/>
          </w:rPr>
          <w:t>6.1.1</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Comparison with other risky behaviours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_Toc367284429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64</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30" w:history="1">
        <w:r w:rsidR="00007C77" w:rsidRPr="00007C77">
          <w:rPr>
            <w:rStyle w:val="Hyperlink"/>
            <w:szCs w:val="22"/>
          </w:rPr>
          <w:t>6.2</w:t>
        </w:r>
        <w:r w:rsidR="00007C77" w:rsidRPr="00007C77">
          <w:rPr>
            <w:rFonts w:eastAsiaTheme="minorEastAsia" w:cstheme="minorBidi"/>
            <w:szCs w:val="22"/>
            <w:lang w:eastAsia="en-NZ"/>
          </w:rPr>
          <w:tab/>
        </w:r>
        <w:r w:rsidR="00007C77" w:rsidRPr="00007C77">
          <w:rPr>
            <w:rStyle w:val="Hyperlink"/>
            <w:szCs w:val="22"/>
          </w:rPr>
          <w:t>Help-seeking behaviour</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_Toc367284430 \h </w:instrText>
        </w:r>
        <w:r w:rsidR="007B447B" w:rsidRPr="00007C77">
          <w:rPr>
            <w:webHidden/>
            <w:szCs w:val="22"/>
          </w:rPr>
        </w:r>
        <w:r w:rsidR="007B447B" w:rsidRPr="00007C77">
          <w:rPr>
            <w:webHidden/>
            <w:szCs w:val="22"/>
          </w:rPr>
          <w:fldChar w:fldCharType="separate"/>
        </w:r>
        <w:r w:rsidR="00734D8D">
          <w:rPr>
            <w:webHidden/>
            <w:szCs w:val="22"/>
          </w:rPr>
          <w:t>65</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31" w:history="1">
        <w:r w:rsidR="00007C77" w:rsidRPr="00007C77">
          <w:rPr>
            <w:rStyle w:val="Hyperlink"/>
            <w:szCs w:val="22"/>
          </w:rPr>
          <w:t>6.3</w:t>
        </w:r>
        <w:r w:rsidR="00007C77" w:rsidRPr="00007C77">
          <w:rPr>
            <w:rFonts w:eastAsiaTheme="minorEastAsia" w:cstheme="minorBidi"/>
            <w:szCs w:val="22"/>
            <w:lang w:eastAsia="en-NZ"/>
          </w:rPr>
          <w:tab/>
        </w:r>
        <w:r w:rsidR="00007C77" w:rsidRPr="00007C77">
          <w:rPr>
            <w:rStyle w:val="Hyperlink"/>
            <w:szCs w:val="22"/>
          </w:rPr>
          <w:t>Summary: Unhealthy gambling amongst students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_Toc367284431 \h </w:instrText>
        </w:r>
        <w:r w:rsidR="007B447B" w:rsidRPr="00007C77">
          <w:rPr>
            <w:webHidden/>
            <w:szCs w:val="22"/>
          </w:rPr>
        </w:r>
        <w:r w:rsidR="007B447B" w:rsidRPr="00007C77">
          <w:rPr>
            <w:webHidden/>
            <w:szCs w:val="22"/>
          </w:rPr>
          <w:fldChar w:fldCharType="separate"/>
        </w:r>
        <w:r w:rsidR="00734D8D">
          <w:rPr>
            <w:webHidden/>
            <w:szCs w:val="22"/>
          </w:rPr>
          <w:t>66</w:t>
        </w:r>
        <w:r w:rsidR="007B447B" w:rsidRPr="00007C77">
          <w:rPr>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32" w:history="1">
        <w:r w:rsidR="00007C77" w:rsidRPr="00007C77">
          <w:rPr>
            <w:rStyle w:val="Hyperlink"/>
            <w:rFonts w:asciiTheme="minorHAnsi" w:hAnsiTheme="minorHAnsi" w:cstheme="minorHAnsi"/>
            <w:noProof/>
            <w:szCs w:val="22"/>
          </w:rPr>
          <w:t>7.</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ATTITUDES AND MOTIVATING FACTORS TOWARDS GAMBLING</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_Toc367284432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67</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33" w:history="1">
        <w:r w:rsidR="00007C77" w:rsidRPr="00007C77">
          <w:rPr>
            <w:rStyle w:val="Hyperlink"/>
            <w:szCs w:val="22"/>
          </w:rPr>
          <w:t>7.1</w:t>
        </w:r>
        <w:r w:rsidR="00007C77" w:rsidRPr="00007C77">
          <w:rPr>
            <w:rFonts w:eastAsiaTheme="minorEastAsia" w:cstheme="minorBidi"/>
            <w:szCs w:val="22"/>
            <w:lang w:eastAsia="en-NZ"/>
          </w:rPr>
          <w:tab/>
        </w:r>
        <w:r w:rsidR="00007C77" w:rsidRPr="00007C77">
          <w:rPr>
            <w:rStyle w:val="Hyperlink"/>
            <w:szCs w:val="22"/>
          </w:rPr>
          <w:t>Acceptability of gambling activities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_Toc367284433 \h </w:instrText>
        </w:r>
        <w:r w:rsidR="007B447B" w:rsidRPr="00007C77">
          <w:rPr>
            <w:webHidden/>
            <w:szCs w:val="22"/>
          </w:rPr>
        </w:r>
        <w:r w:rsidR="007B447B" w:rsidRPr="00007C77">
          <w:rPr>
            <w:webHidden/>
            <w:szCs w:val="22"/>
          </w:rPr>
          <w:fldChar w:fldCharType="separate"/>
        </w:r>
        <w:r w:rsidR="00734D8D">
          <w:rPr>
            <w:webHidden/>
            <w:szCs w:val="22"/>
          </w:rPr>
          <w:t>67</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34" w:history="1">
        <w:r w:rsidR="00007C77" w:rsidRPr="00007C77">
          <w:rPr>
            <w:rStyle w:val="Hyperlink"/>
            <w:szCs w:val="22"/>
          </w:rPr>
          <w:t>7.2</w:t>
        </w:r>
        <w:r w:rsidR="00007C77" w:rsidRPr="00007C77">
          <w:rPr>
            <w:rFonts w:eastAsiaTheme="minorEastAsia" w:cstheme="minorBidi"/>
            <w:szCs w:val="22"/>
            <w:lang w:eastAsia="en-NZ"/>
          </w:rPr>
          <w:tab/>
        </w:r>
        <w:r w:rsidR="00007C77" w:rsidRPr="00007C77">
          <w:rPr>
            <w:rStyle w:val="Hyperlink"/>
            <w:szCs w:val="22"/>
          </w:rPr>
          <w:t>Reasons for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_Toc367284434 \h </w:instrText>
        </w:r>
        <w:r w:rsidR="007B447B" w:rsidRPr="00007C77">
          <w:rPr>
            <w:webHidden/>
            <w:szCs w:val="22"/>
          </w:rPr>
        </w:r>
        <w:r w:rsidR="007B447B" w:rsidRPr="00007C77">
          <w:rPr>
            <w:webHidden/>
            <w:szCs w:val="22"/>
          </w:rPr>
          <w:fldChar w:fldCharType="separate"/>
        </w:r>
        <w:r w:rsidR="00734D8D">
          <w:rPr>
            <w:webHidden/>
            <w:szCs w:val="22"/>
          </w:rPr>
          <w:t>68</w:t>
        </w:r>
        <w:r w:rsidR="007B447B" w:rsidRPr="00007C77">
          <w:rPr>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35" w:history="1">
        <w:r w:rsidR="00007C77" w:rsidRPr="00007C77">
          <w:rPr>
            <w:rStyle w:val="Hyperlink"/>
            <w:rFonts w:asciiTheme="minorHAnsi" w:hAnsiTheme="minorHAnsi"/>
            <w:noProof/>
            <w:szCs w:val="22"/>
          </w:rPr>
          <w:t>7.2.1</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Reasons for gambling - comparison of Youth’07 and Youth’12</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_Toc367284435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70</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36" w:history="1">
        <w:r w:rsidR="00007C77" w:rsidRPr="00007C77">
          <w:rPr>
            <w:rStyle w:val="Hyperlink"/>
            <w:szCs w:val="22"/>
          </w:rPr>
          <w:t>7.3</w:t>
        </w:r>
        <w:r w:rsidR="00007C77" w:rsidRPr="00007C77">
          <w:rPr>
            <w:rFonts w:eastAsiaTheme="minorEastAsia" w:cstheme="minorBidi"/>
            <w:szCs w:val="22"/>
            <w:lang w:eastAsia="en-NZ"/>
          </w:rPr>
          <w:tab/>
        </w:r>
        <w:r w:rsidR="00007C77" w:rsidRPr="00007C77">
          <w:rPr>
            <w:rStyle w:val="Hyperlink"/>
            <w:szCs w:val="22"/>
          </w:rPr>
          <w:t>Summary: Attitudes and motivating factors towards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_Toc367284436 \h </w:instrText>
        </w:r>
        <w:r w:rsidR="007B447B" w:rsidRPr="00007C77">
          <w:rPr>
            <w:webHidden/>
            <w:szCs w:val="22"/>
          </w:rPr>
        </w:r>
        <w:r w:rsidR="007B447B" w:rsidRPr="00007C77">
          <w:rPr>
            <w:webHidden/>
            <w:szCs w:val="22"/>
          </w:rPr>
          <w:fldChar w:fldCharType="separate"/>
        </w:r>
        <w:r w:rsidR="00734D8D">
          <w:rPr>
            <w:webHidden/>
            <w:szCs w:val="22"/>
          </w:rPr>
          <w:t>71</w:t>
        </w:r>
        <w:r w:rsidR="007B447B" w:rsidRPr="00007C77">
          <w:rPr>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37" w:history="1">
        <w:r w:rsidR="00007C77" w:rsidRPr="00007C77">
          <w:rPr>
            <w:rStyle w:val="Hyperlink"/>
            <w:rFonts w:asciiTheme="minorHAnsi" w:hAnsiTheme="minorHAnsi" w:cstheme="minorHAnsi"/>
            <w:noProof/>
            <w:szCs w:val="22"/>
          </w:rPr>
          <w:t>8.</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THE IMPACTS OF OTHERS’ GAMBLING ON STUDENTS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_Toc367284437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72</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38" w:history="1">
        <w:r w:rsidR="00007C77" w:rsidRPr="00007C77">
          <w:rPr>
            <w:rStyle w:val="Hyperlink"/>
            <w:szCs w:val="22"/>
          </w:rPr>
          <w:t>8.1</w:t>
        </w:r>
        <w:r w:rsidR="00007C77" w:rsidRPr="00007C77">
          <w:rPr>
            <w:rFonts w:eastAsiaTheme="minorEastAsia" w:cstheme="minorBidi"/>
            <w:szCs w:val="22"/>
            <w:lang w:eastAsia="en-NZ"/>
          </w:rPr>
          <w:tab/>
        </w:r>
        <w:r w:rsidR="00007C77" w:rsidRPr="00007C77">
          <w:rPr>
            <w:rStyle w:val="Hyperlink"/>
            <w:szCs w:val="22"/>
          </w:rPr>
          <w:t>Activities that friends and parents gamble on</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_Toc367284438 \h </w:instrText>
        </w:r>
        <w:r w:rsidR="007B447B" w:rsidRPr="00007C77">
          <w:rPr>
            <w:webHidden/>
            <w:szCs w:val="22"/>
          </w:rPr>
        </w:r>
        <w:r w:rsidR="007B447B" w:rsidRPr="00007C77">
          <w:rPr>
            <w:webHidden/>
            <w:szCs w:val="22"/>
          </w:rPr>
          <w:fldChar w:fldCharType="separate"/>
        </w:r>
        <w:r w:rsidR="00734D8D">
          <w:rPr>
            <w:webHidden/>
            <w:szCs w:val="22"/>
          </w:rPr>
          <w:t>72</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39" w:history="1">
        <w:r w:rsidR="00007C77" w:rsidRPr="00007C77">
          <w:rPr>
            <w:rStyle w:val="Hyperlink"/>
            <w:szCs w:val="22"/>
          </w:rPr>
          <w:t>8.2</w:t>
        </w:r>
        <w:r w:rsidR="00007C77" w:rsidRPr="00007C77">
          <w:rPr>
            <w:rFonts w:eastAsiaTheme="minorEastAsia" w:cstheme="minorBidi"/>
            <w:szCs w:val="22"/>
            <w:lang w:eastAsia="en-NZ"/>
          </w:rPr>
          <w:tab/>
        </w:r>
        <w:r w:rsidR="00007C77" w:rsidRPr="00007C77">
          <w:rPr>
            <w:rStyle w:val="Hyperlink"/>
            <w:szCs w:val="22"/>
          </w:rPr>
          <w:t>Students’ concerns about parental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_Toc367284439 \h </w:instrText>
        </w:r>
        <w:r w:rsidR="007B447B" w:rsidRPr="00007C77">
          <w:rPr>
            <w:webHidden/>
            <w:szCs w:val="22"/>
          </w:rPr>
        </w:r>
        <w:r w:rsidR="007B447B" w:rsidRPr="00007C77">
          <w:rPr>
            <w:webHidden/>
            <w:szCs w:val="22"/>
          </w:rPr>
          <w:fldChar w:fldCharType="separate"/>
        </w:r>
        <w:r w:rsidR="00734D8D">
          <w:rPr>
            <w:webHidden/>
            <w:szCs w:val="22"/>
          </w:rPr>
          <w:t>73</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40" w:history="1">
        <w:r w:rsidR="00007C77" w:rsidRPr="00007C77">
          <w:rPr>
            <w:rStyle w:val="Hyperlink"/>
            <w:szCs w:val="22"/>
          </w:rPr>
          <w:t>8.3</w:t>
        </w:r>
        <w:r w:rsidR="00007C77" w:rsidRPr="00007C77">
          <w:rPr>
            <w:rFonts w:eastAsiaTheme="minorEastAsia" w:cstheme="minorBidi"/>
            <w:szCs w:val="22"/>
            <w:lang w:eastAsia="en-NZ"/>
          </w:rPr>
          <w:tab/>
        </w:r>
        <w:r w:rsidR="00007C77" w:rsidRPr="00007C77">
          <w:rPr>
            <w:rStyle w:val="Hyperlink"/>
            <w:szCs w:val="22"/>
          </w:rPr>
          <w:t>Impacts of gambling within student’s family over past 12 months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_Toc367284440 \h </w:instrText>
        </w:r>
        <w:r w:rsidR="007B447B" w:rsidRPr="00007C77">
          <w:rPr>
            <w:webHidden/>
            <w:szCs w:val="22"/>
          </w:rPr>
        </w:r>
        <w:r w:rsidR="007B447B" w:rsidRPr="00007C77">
          <w:rPr>
            <w:webHidden/>
            <w:szCs w:val="22"/>
          </w:rPr>
          <w:fldChar w:fldCharType="separate"/>
        </w:r>
        <w:r w:rsidR="00734D8D">
          <w:rPr>
            <w:webHidden/>
            <w:szCs w:val="22"/>
          </w:rPr>
          <w:t>75</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41" w:history="1">
        <w:r w:rsidR="00007C77" w:rsidRPr="00007C77">
          <w:rPr>
            <w:rStyle w:val="Hyperlink"/>
            <w:szCs w:val="22"/>
          </w:rPr>
          <w:t>8.4</w:t>
        </w:r>
        <w:r w:rsidR="00007C77" w:rsidRPr="00007C77">
          <w:rPr>
            <w:rFonts w:eastAsiaTheme="minorEastAsia" w:cstheme="minorBidi"/>
            <w:szCs w:val="22"/>
            <w:lang w:eastAsia="en-NZ"/>
          </w:rPr>
          <w:tab/>
        </w:r>
        <w:r w:rsidR="00007C77" w:rsidRPr="00007C77">
          <w:rPr>
            <w:rStyle w:val="Hyperlink"/>
            <w:szCs w:val="22"/>
          </w:rPr>
          <w:t>Summary: The impacts of others’ gambling on students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_Toc367284441 \h </w:instrText>
        </w:r>
        <w:r w:rsidR="007B447B" w:rsidRPr="00007C77">
          <w:rPr>
            <w:webHidden/>
            <w:szCs w:val="22"/>
          </w:rPr>
        </w:r>
        <w:r w:rsidR="007B447B" w:rsidRPr="00007C77">
          <w:rPr>
            <w:webHidden/>
            <w:szCs w:val="22"/>
          </w:rPr>
          <w:fldChar w:fldCharType="separate"/>
        </w:r>
        <w:r w:rsidR="00734D8D">
          <w:rPr>
            <w:webHidden/>
            <w:szCs w:val="22"/>
          </w:rPr>
          <w:t>77</w:t>
        </w:r>
        <w:r w:rsidR="007B447B" w:rsidRPr="00007C77">
          <w:rPr>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42" w:history="1">
        <w:r w:rsidR="00007C77" w:rsidRPr="00007C77">
          <w:rPr>
            <w:rStyle w:val="Hyperlink"/>
            <w:rFonts w:asciiTheme="minorHAnsi" w:hAnsiTheme="minorHAnsi" w:cstheme="minorHAnsi"/>
            <w:noProof/>
            <w:szCs w:val="22"/>
          </w:rPr>
          <w:t>9.</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RISK AND PROTECTIVE FACTORS FOR STUDENT GAMBLING</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_Toc367284442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78</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43" w:history="1">
        <w:r w:rsidR="00007C77" w:rsidRPr="00007C77">
          <w:rPr>
            <w:rStyle w:val="Hyperlink"/>
            <w:szCs w:val="22"/>
          </w:rPr>
          <w:t>9.1</w:t>
        </w:r>
        <w:r w:rsidR="00007C77" w:rsidRPr="00007C77">
          <w:rPr>
            <w:rFonts w:eastAsiaTheme="minorEastAsia" w:cstheme="minorBidi"/>
            <w:szCs w:val="22"/>
            <w:lang w:eastAsia="en-NZ"/>
          </w:rPr>
          <w:tab/>
        </w:r>
        <w:r w:rsidR="00007C77" w:rsidRPr="00007C77">
          <w:rPr>
            <w:rStyle w:val="Hyperlink"/>
            <w:szCs w:val="22"/>
          </w:rPr>
          <w:t>Defining a construct of unhealthy gambling behaviour</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_Toc367284443 \h </w:instrText>
        </w:r>
        <w:r w:rsidR="007B447B" w:rsidRPr="00007C77">
          <w:rPr>
            <w:webHidden/>
            <w:szCs w:val="22"/>
          </w:rPr>
        </w:r>
        <w:r w:rsidR="007B447B" w:rsidRPr="00007C77">
          <w:rPr>
            <w:webHidden/>
            <w:szCs w:val="22"/>
          </w:rPr>
          <w:fldChar w:fldCharType="separate"/>
        </w:r>
        <w:r w:rsidR="00734D8D">
          <w:rPr>
            <w:webHidden/>
            <w:szCs w:val="22"/>
          </w:rPr>
          <w:t>78</w:t>
        </w:r>
        <w:r w:rsidR="007B447B" w:rsidRPr="00007C77">
          <w:rPr>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44" w:history="1">
        <w:r w:rsidR="00007C77" w:rsidRPr="00007C77">
          <w:rPr>
            <w:rStyle w:val="Hyperlink"/>
            <w:rFonts w:asciiTheme="minorHAnsi" w:hAnsiTheme="minorHAnsi"/>
            <w:noProof/>
            <w:szCs w:val="22"/>
          </w:rPr>
          <w:t>9.1.1</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Distribution of ‘unhealthy gambling’ by population demographics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_Toc367284444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79</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45" w:history="1">
        <w:r w:rsidR="00007C77" w:rsidRPr="00007C77">
          <w:rPr>
            <w:rStyle w:val="Hyperlink"/>
            <w:szCs w:val="22"/>
          </w:rPr>
          <w:t>9.2</w:t>
        </w:r>
        <w:r w:rsidR="00007C77" w:rsidRPr="00007C77">
          <w:rPr>
            <w:rFonts w:eastAsiaTheme="minorEastAsia" w:cstheme="minorBidi"/>
            <w:szCs w:val="22"/>
            <w:lang w:eastAsia="en-NZ"/>
          </w:rPr>
          <w:tab/>
        </w:r>
        <w:r w:rsidR="00007C77" w:rsidRPr="00007C77">
          <w:rPr>
            <w:rStyle w:val="Hyperlink"/>
            <w:szCs w:val="22"/>
          </w:rPr>
          <w:t>Identification of risk and protective factors for ‘unhealthy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_Toc367284445 \h </w:instrText>
        </w:r>
        <w:r w:rsidR="007B447B" w:rsidRPr="00007C77">
          <w:rPr>
            <w:webHidden/>
            <w:szCs w:val="22"/>
          </w:rPr>
        </w:r>
        <w:r w:rsidR="007B447B" w:rsidRPr="00007C77">
          <w:rPr>
            <w:webHidden/>
            <w:szCs w:val="22"/>
          </w:rPr>
          <w:fldChar w:fldCharType="separate"/>
        </w:r>
        <w:r w:rsidR="00734D8D">
          <w:rPr>
            <w:webHidden/>
            <w:szCs w:val="22"/>
          </w:rPr>
          <w:t>81</w:t>
        </w:r>
        <w:r w:rsidR="007B447B" w:rsidRPr="00007C77">
          <w:rPr>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46" w:history="1">
        <w:r w:rsidR="00007C77" w:rsidRPr="00007C77">
          <w:rPr>
            <w:rStyle w:val="Hyperlink"/>
            <w:rFonts w:asciiTheme="minorHAnsi" w:hAnsiTheme="minorHAnsi"/>
            <w:noProof/>
            <w:szCs w:val="22"/>
          </w:rPr>
          <w:t>9.2.1</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Phase one - logistic regressions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_Toc367284446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81</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47" w:history="1">
        <w:r w:rsidR="00007C77" w:rsidRPr="00007C77">
          <w:rPr>
            <w:rStyle w:val="Hyperlink"/>
            <w:rFonts w:asciiTheme="minorHAnsi" w:hAnsiTheme="minorHAnsi"/>
            <w:noProof/>
            <w:szCs w:val="22"/>
          </w:rPr>
          <w:t>9.2.2</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Phase two – multiple logistic regressions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_Toc367284447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85</w:t>
        </w:r>
        <w:r w:rsidR="007B447B" w:rsidRPr="00007C77">
          <w:rPr>
            <w:rFonts w:asciiTheme="minorHAnsi" w:hAnsiTheme="minorHAnsi"/>
            <w:noProof/>
            <w:webHidden/>
            <w:szCs w:val="22"/>
          </w:rPr>
          <w:fldChar w:fldCharType="end"/>
        </w:r>
      </w:hyperlink>
    </w:p>
    <w:p w:rsidR="00007C77" w:rsidRPr="00007C77" w:rsidRDefault="00082F17">
      <w:pPr>
        <w:pStyle w:val="TOC3"/>
        <w:rPr>
          <w:rFonts w:asciiTheme="minorHAnsi" w:eastAsiaTheme="minorEastAsia" w:hAnsiTheme="minorHAnsi" w:cstheme="minorBidi"/>
          <w:noProof/>
          <w:szCs w:val="22"/>
          <w:lang w:eastAsia="en-NZ"/>
        </w:rPr>
      </w:pPr>
      <w:hyperlink w:anchor="_Toc367284448" w:history="1">
        <w:r w:rsidR="00007C77" w:rsidRPr="00007C77">
          <w:rPr>
            <w:rStyle w:val="Hyperlink"/>
            <w:rFonts w:asciiTheme="minorHAnsi" w:hAnsiTheme="minorHAnsi"/>
            <w:noProof/>
            <w:szCs w:val="22"/>
          </w:rPr>
          <w:t>9.2.3</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noProof/>
            <w:szCs w:val="22"/>
          </w:rPr>
          <w:t>Phase three – sensitivity analysis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_Toc367284448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87</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49" w:history="1">
        <w:r w:rsidR="00007C77" w:rsidRPr="00007C77">
          <w:rPr>
            <w:rStyle w:val="Hyperlink"/>
            <w:szCs w:val="22"/>
          </w:rPr>
          <w:t>9.3</w:t>
        </w:r>
        <w:r w:rsidR="00007C77" w:rsidRPr="00007C77">
          <w:rPr>
            <w:rFonts w:eastAsiaTheme="minorEastAsia" w:cstheme="minorBidi"/>
            <w:szCs w:val="22"/>
            <w:lang w:eastAsia="en-NZ"/>
          </w:rPr>
          <w:tab/>
        </w:r>
        <w:r w:rsidR="00007C77" w:rsidRPr="00007C77">
          <w:rPr>
            <w:rStyle w:val="Hyperlink"/>
            <w:szCs w:val="22"/>
          </w:rPr>
          <w:t>Summary: Identification of risk and protective factors for student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_Toc367284449 \h </w:instrText>
        </w:r>
        <w:r w:rsidR="007B447B" w:rsidRPr="00007C77">
          <w:rPr>
            <w:webHidden/>
            <w:szCs w:val="22"/>
          </w:rPr>
        </w:r>
        <w:r w:rsidR="007B447B" w:rsidRPr="00007C77">
          <w:rPr>
            <w:webHidden/>
            <w:szCs w:val="22"/>
          </w:rPr>
          <w:fldChar w:fldCharType="separate"/>
        </w:r>
        <w:r w:rsidR="00734D8D">
          <w:rPr>
            <w:webHidden/>
            <w:szCs w:val="22"/>
          </w:rPr>
          <w:t>88</w:t>
        </w:r>
        <w:r w:rsidR="007B447B" w:rsidRPr="00007C77">
          <w:rPr>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50" w:history="1">
        <w:r w:rsidR="00007C77" w:rsidRPr="00007C77">
          <w:rPr>
            <w:rStyle w:val="Hyperlink"/>
            <w:rFonts w:asciiTheme="minorHAnsi" w:hAnsiTheme="minorHAnsi" w:cstheme="minorHAnsi"/>
            <w:noProof/>
            <w:szCs w:val="22"/>
          </w:rPr>
          <w:t>10.</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GAMBLING AND MĀORI TAITAMARIKI IN AOTEAROA</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_Toc367284450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89</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51" w:history="1">
        <w:r w:rsidR="00007C77" w:rsidRPr="00007C77">
          <w:rPr>
            <w:rStyle w:val="Hyperlink"/>
            <w:szCs w:val="22"/>
          </w:rPr>
          <w:t>10.1</w:t>
        </w:r>
        <w:r w:rsidR="00007C77" w:rsidRPr="00007C77">
          <w:rPr>
            <w:rFonts w:eastAsiaTheme="minorEastAsia" w:cstheme="minorBidi"/>
            <w:szCs w:val="22"/>
            <w:lang w:eastAsia="en-NZ"/>
          </w:rPr>
          <w:tab/>
        </w:r>
        <w:r w:rsidR="00007C77" w:rsidRPr="00007C77">
          <w:rPr>
            <w:rStyle w:val="Hyperlink"/>
            <w:szCs w:val="22"/>
          </w:rPr>
          <w:t>Youth gambling behaviours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_Toc367284451 \h </w:instrText>
        </w:r>
        <w:r w:rsidR="007B447B" w:rsidRPr="00007C77">
          <w:rPr>
            <w:webHidden/>
            <w:szCs w:val="22"/>
          </w:rPr>
        </w:r>
        <w:r w:rsidR="007B447B" w:rsidRPr="00007C77">
          <w:rPr>
            <w:webHidden/>
            <w:szCs w:val="22"/>
          </w:rPr>
          <w:fldChar w:fldCharType="separate"/>
        </w:r>
        <w:r w:rsidR="00734D8D">
          <w:rPr>
            <w:webHidden/>
            <w:szCs w:val="22"/>
          </w:rPr>
          <w:t>89</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52" w:history="1">
        <w:r w:rsidR="00007C77" w:rsidRPr="00007C77">
          <w:rPr>
            <w:rStyle w:val="Hyperlink"/>
            <w:szCs w:val="22"/>
          </w:rPr>
          <w:t>10.2</w:t>
        </w:r>
        <w:r w:rsidR="00007C77" w:rsidRPr="00007C77">
          <w:rPr>
            <w:rFonts w:eastAsiaTheme="minorEastAsia" w:cstheme="minorBidi"/>
            <w:szCs w:val="22"/>
            <w:lang w:eastAsia="en-NZ"/>
          </w:rPr>
          <w:tab/>
        </w:r>
        <w:r w:rsidR="00007C77" w:rsidRPr="00007C77">
          <w:rPr>
            <w:rStyle w:val="Hyperlink"/>
            <w:szCs w:val="22"/>
          </w:rPr>
          <w:t>Parent/caregiver gambling behaviour</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_Toc367284452 \h </w:instrText>
        </w:r>
        <w:r w:rsidR="007B447B" w:rsidRPr="00007C77">
          <w:rPr>
            <w:webHidden/>
            <w:szCs w:val="22"/>
          </w:rPr>
        </w:r>
        <w:r w:rsidR="007B447B" w:rsidRPr="00007C77">
          <w:rPr>
            <w:webHidden/>
            <w:szCs w:val="22"/>
          </w:rPr>
          <w:fldChar w:fldCharType="separate"/>
        </w:r>
        <w:r w:rsidR="00734D8D">
          <w:rPr>
            <w:webHidden/>
            <w:szCs w:val="22"/>
          </w:rPr>
          <w:t>90</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53" w:history="1">
        <w:r w:rsidR="00007C77" w:rsidRPr="00007C77">
          <w:rPr>
            <w:rStyle w:val="Hyperlink"/>
            <w:szCs w:val="22"/>
          </w:rPr>
          <w:t>10.3</w:t>
        </w:r>
        <w:r w:rsidR="00007C77" w:rsidRPr="00007C77">
          <w:rPr>
            <w:rFonts w:eastAsiaTheme="minorEastAsia" w:cstheme="minorBidi"/>
            <w:szCs w:val="22"/>
            <w:lang w:eastAsia="en-NZ"/>
          </w:rPr>
          <w:tab/>
        </w:r>
        <w:r w:rsidR="00007C77" w:rsidRPr="00007C77">
          <w:rPr>
            <w:rStyle w:val="Hyperlink"/>
            <w:szCs w:val="22"/>
          </w:rPr>
          <w:t>Socioeconomic factors and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_Toc367284453 \h </w:instrText>
        </w:r>
        <w:r w:rsidR="007B447B" w:rsidRPr="00007C77">
          <w:rPr>
            <w:webHidden/>
            <w:szCs w:val="22"/>
          </w:rPr>
        </w:r>
        <w:r w:rsidR="007B447B" w:rsidRPr="00007C77">
          <w:rPr>
            <w:webHidden/>
            <w:szCs w:val="22"/>
          </w:rPr>
          <w:fldChar w:fldCharType="separate"/>
        </w:r>
        <w:r w:rsidR="00734D8D">
          <w:rPr>
            <w:webHidden/>
            <w:szCs w:val="22"/>
          </w:rPr>
          <w:t>90</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54" w:history="1">
        <w:r w:rsidR="00007C77" w:rsidRPr="00007C77">
          <w:rPr>
            <w:rStyle w:val="Hyperlink"/>
            <w:szCs w:val="22"/>
          </w:rPr>
          <w:t>10.4</w:t>
        </w:r>
        <w:r w:rsidR="00007C77" w:rsidRPr="00007C77">
          <w:rPr>
            <w:rFonts w:eastAsiaTheme="minorEastAsia" w:cstheme="minorBidi"/>
            <w:szCs w:val="22"/>
            <w:lang w:eastAsia="en-NZ"/>
          </w:rPr>
          <w:tab/>
        </w:r>
        <w:r w:rsidR="00007C77" w:rsidRPr="00007C77">
          <w:rPr>
            <w:rStyle w:val="Hyperlink"/>
            <w:szCs w:val="22"/>
          </w:rPr>
          <w:t>Summary: Gambling and Māori Taitamariki in Aotearoa</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_Toc367284454 \h </w:instrText>
        </w:r>
        <w:r w:rsidR="007B447B" w:rsidRPr="00007C77">
          <w:rPr>
            <w:webHidden/>
            <w:szCs w:val="22"/>
          </w:rPr>
        </w:r>
        <w:r w:rsidR="007B447B" w:rsidRPr="00007C77">
          <w:rPr>
            <w:webHidden/>
            <w:szCs w:val="22"/>
          </w:rPr>
          <w:fldChar w:fldCharType="separate"/>
        </w:r>
        <w:r w:rsidR="00734D8D">
          <w:rPr>
            <w:webHidden/>
            <w:szCs w:val="22"/>
          </w:rPr>
          <w:t>91</w:t>
        </w:r>
        <w:r w:rsidR="007B447B" w:rsidRPr="00007C77">
          <w:rPr>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55" w:history="1">
        <w:r w:rsidR="00007C77" w:rsidRPr="00007C77">
          <w:rPr>
            <w:rStyle w:val="Hyperlink"/>
            <w:rFonts w:asciiTheme="minorHAnsi" w:hAnsiTheme="minorHAnsi" w:cstheme="minorHAnsi"/>
            <w:noProof/>
            <w:szCs w:val="22"/>
          </w:rPr>
          <w:t>11.</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GAMBLING AND PACIFIC YOUNG PEOPLE IN NEW ZEALAND</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_Toc367284455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92</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56" w:history="1">
        <w:r w:rsidR="00007C77" w:rsidRPr="00007C77">
          <w:rPr>
            <w:rStyle w:val="Hyperlink"/>
            <w:szCs w:val="22"/>
          </w:rPr>
          <w:t>11.1</w:t>
        </w:r>
        <w:r w:rsidR="00007C77" w:rsidRPr="00007C77">
          <w:rPr>
            <w:rFonts w:eastAsiaTheme="minorEastAsia" w:cstheme="minorBidi"/>
            <w:szCs w:val="22"/>
            <w:lang w:eastAsia="en-NZ"/>
          </w:rPr>
          <w:tab/>
        </w:r>
        <w:r w:rsidR="00007C77" w:rsidRPr="00007C77">
          <w:rPr>
            <w:rStyle w:val="Hyperlink"/>
            <w:szCs w:val="22"/>
          </w:rPr>
          <w:t>Youth gambling behaviours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_Toc367284456 \h </w:instrText>
        </w:r>
        <w:r w:rsidR="007B447B" w:rsidRPr="00007C77">
          <w:rPr>
            <w:webHidden/>
            <w:szCs w:val="22"/>
          </w:rPr>
        </w:r>
        <w:r w:rsidR="007B447B" w:rsidRPr="00007C77">
          <w:rPr>
            <w:webHidden/>
            <w:szCs w:val="22"/>
          </w:rPr>
          <w:fldChar w:fldCharType="separate"/>
        </w:r>
        <w:r w:rsidR="00734D8D">
          <w:rPr>
            <w:webHidden/>
            <w:szCs w:val="22"/>
          </w:rPr>
          <w:t>92</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57" w:history="1">
        <w:r w:rsidR="00007C77" w:rsidRPr="00007C77">
          <w:rPr>
            <w:rStyle w:val="Hyperlink"/>
            <w:szCs w:val="22"/>
          </w:rPr>
          <w:t>11.2</w:t>
        </w:r>
        <w:r w:rsidR="00007C77" w:rsidRPr="00007C77">
          <w:rPr>
            <w:rFonts w:eastAsiaTheme="minorEastAsia" w:cstheme="minorBidi"/>
            <w:szCs w:val="22"/>
            <w:lang w:eastAsia="en-NZ"/>
          </w:rPr>
          <w:tab/>
        </w:r>
        <w:r w:rsidR="00007C77" w:rsidRPr="00007C77">
          <w:rPr>
            <w:rStyle w:val="Hyperlink"/>
            <w:szCs w:val="22"/>
          </w:rPr>
          <w:t>Parent/caregiver gambling behaviour</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_Toc367284457 \h </w:instrText>
        </w:r>
        <w:r w:rsidR="007B447B" w:rsidRPr="00007C77">
          <w:rPr>
            <w:webHidden/>
            <w:szCs w:val="22"/>
          </w:rPr>
        </w:r>
        <w:r w:rsidR="007B447B" w:rsidRPr="00007C77">
          <w:rPr>
            <w:webHidden/>
            <w:szCs w:val="22"/>
          </w:rPr>
          <w:fldChar w:fldCharType="separate"/>
        </w:r>
        <w:r w:rsidR="00734D8D">
          <w:rPr>
            <w:webHidden/>
            <w:szCs w:val="22"/>
          </w:rPr>
          <w:t>93</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58" w:history="1">
        <w:r w:rsidR="00007C77" w:rsidRPr="00007C77">
          <w:rPr>
            <w:rStyle w:val="Hyperlink"/>
            <w:szCs w:val="22"/>
          </w:rPr>
          <w:t>11.3</w:t>
        </w:r>
        <w:r w:rsidR="00007C77" w:rsidRPr="00007C77">
          <w:rPr>
            <w:rFonts w:eastAsiaTheme="minorEastAsia" w:cstheme="minorBidi"/>
            <w:szCs w:val="22"/>
            <w:lang w:eastAsia="en-NZ"/>
          </w:rPr>
          <w:tab/>
        </w:r>
        <w:r w:rsidR="00007C77" w:rsidRPr="00007C77">
          <w:rPr>
            <w:rStyle w:val="Hyperlink"/>
            <w:szCs w:val="22"/>
          </w:rPr>
          <w:t>Socioeconomic factors and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_Toc367284458 \h </w:instrText>
        </w:r>
        <w:r w:rsidR="007B447B" w:rsidRPr="00007C77">
          <w:rPr>
            <w:webHidden/>
            <w:szCs w:val="22"/>
          </w:rPr>
        </w:r>
        <w:r w:rsidR="007B447B" w:rsidRPr="00007C77">
          <w:rPr>
            <w:webHidden/>
            <w:szCs w:val="22"/>
          </w:rPr>
          <w:fldChar w:fldCharType="separate"/>
        </w:r>
        <w:r w:rsidR="00734D8D">
          <w:rPr>
            <w:webHidden/>
            <w:szCs w:val="22"/>
          </w:rPr>
          <w:t>94</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59" w:history="1">
        <w:r w:rsidR="00007C77" w:rsidRPr="00007C77">
          <w:rPr>
            <w:rStyle w:val="Hyperlink"/>
            <w:szCs w:val="22"/>
          </w:rPr>
          <w:t>11.4</w:t>
        </w:r>
        <w:r w:rsidR="00007C77" w:rsidRPr="00007C77">
          <w:rPr>
            <w:rFonts w:eastAsiaTheme="minorEastAsia" w:cstheme="minorBidi"/>
            <w:szCs w:val="22"/>
            <w:lang w:eastAsia="en-NZ"/>
          </w:rPr>
          <w:tab/>
        </w:r>
        <w:r w:rsidR="00007C77" w:rsidRPr="00007C77">
          <w:rPr>
            <w:rStyle w:val="Hyperlink"/>
            <w:szCs w:val="22"/>
          </w:rPr>
          <w:t>Summary: Gambling and Pacific young people in New Zealand</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_Toc367284459 \h </w:instrText>
        </w:r>
        <w:r w:rsidR="007B447B" w:rsidRPr="00007C77">
          <w:rPr>
            <w:webHidden/>
            <w:szCs w:val="22"/>
          </w:rPr>
        </w:r>
        <w:r w:rsidR="007B447B" w:rsidRPr="00007C77">
          <w:rPr>
            <w:webHidden/>
            <w:szCs w:val="22"/>
          </w:rPr>
          <w:fldChar w:fldCharType="separate"/>
        </w:r>
        <w:r w:rsidR="00734D8D">
          <w:rPr>
            <w:webHidden/>
            <w:szCs w:val="22"/>
          </w:rPr>
          <w:t>95</w:t>
        </w:r>
        <w:r w:rsidR="007B447B" w:rsidRPr="00007C77">
          <w:rPr>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60" w:history="1">
        <w:r w:rsidR="00007C77" w:rsidRPr="00007C77">
          <w:rPr>
            <w:rStyle w:val="Hyperlink"/>
            <w:rFonts w:asciiTheme="minorHAnsi" w:hAnsiTheme="minorHAnsi" w:cstheme="minorHAnsi"/>
            <w:noProof/>
            <w:szCs w:val="22"/>
          </w:rPr>
          <w:t>12.</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GAMBLING AND ASIAN YOUNG PEOPLE IN NEW ZEALAND</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_Toc367284460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96</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61" w:history="1">
        <w:r w:rsidR="00007C77" w:rsidRPr="00007C77">
          <w:rPr>
            <w:rStyle w:val="Hyperlink"/>
            <w:szCs w:val="22"/>
          </w:rPr>
          <w:t>12.1</w:t>
        </w:r>
        <w:r w:rsidR="00007C77" w:rsidRPr="00007C77">
          <w:rPr>
            <w:rFonts w:eastAsiaTheme="minorEastAsia" w:cstheme="minorBidi"/>
            <w:szCs w:val="22"/>
            <w:lang w:eastAsia="en-NZ"/>
          </w:rPr>
          <w:tab/>
        </w:r>
        <w:r w:rsidR="00007C77" w:rsidRPr="00007C77">
          <w:rPr>
            <w:rStyle w:val="Hyperlink"/>
            <w:szCs w:val="22"/>
          </w:rPr>
          <w:t>Youth gambling behaviours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_Toc367284461 \h </w:instrText>
        </w:r>
        <w:r w:rsidR="007B447B" w:rsidRPr="00007C77">
          <w:rPr>
            <w:webHidden/>
            <w:szCs w:val="22"/>
          </w:rPr>
        </w:r>
        <w:r w:rsidR="007B447B" w:rsidRPr="00007C77">
          <w:rPr>
            <w:webHidden/>
            <w:szCs w:val="22"/>
          </w:rPr>
          <w:fldChar w:fldCharType="separate"/>
        </w:r>
        <w:r w:rsidR="00734D8D">
          <w:rPr>
            <w:webHidden/>
            <w:szCs w:val="22"/>
          </w:rPr>
          <w:t>96</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62" w:history="1">
        <w:r w:rsidR="00007C77" w:rsidRPr="00007C77">
          <w:rPr>
            <w:rStyle w:val="Hyperlink"/>
            <w:szCs w:val="22"/>
          </w:rPr>
          <w:t>12.2</w:t>
        </w:r>
        <w:r w:rsidR="00007C77" w:rsidRPr="00007C77">
          <w:rPr>
            <w:rFonts w:eastAsiaTheme="minorEastAsia" w:cstheme="minorBidi"/>
            <w:szCs w:val="22"/>
            <w:lang w:eastAsia="en-NZ"/>
          </w:rPr>
          <w:tab/>
        </w:r>
        <w:r w:rsidR="00007C77" w:rsidRPr="00007C77">
          <w:rPr>
            <w:rStyle w:val="Hyperlink"/>
            <w:szCs w:val="22"/>
          </w:rPr>
          <w:t>Parent/caregiver gambling behaviour</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_Toc367284462 \h </w:instrText>
        </w:r>
        <w:r w:rsidR="007B447B" w:rsidRPr="00007C77">
          <w:rPr>
            <w:webHidden/>
            <w:szCs w:val="22"/>
          </w:rPr>
        </w:r>
        <w:r w:rsidR="007B447B" w:rsidRPr="00007C77">
          <w:rPr>
            <w:webHidden/>
            <w:szCs w:val="22"/>
          </w:rPr>
          <w:fldChar w:fldCharType="separate"/>
        </w:r>
        <w:r w:rsidR="00734D8D">
          <w:rPr>
            <w:webHidden/>
            <w:szCs w:val="22"/>
          </w:rPr>
          <w:t>97</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63" w:history="1">
        <w:r w:rsidR="00007C77" w:rsidRPr="00007C77">
          <w:rPr>
            <w:rStyle w:val="Hyperlink"/>
            <w:szCs w:val="22"/>
          </w:rPr>
          <w:t>12.3</w:t>
        </w:r>
        <w:r w:rsidR="00007C77" w:rsidRPr="00007C77">
          <w:rPr>
            <w:rFonts w:eastAsiaTheme="minorEastAsia" w:cstheme="minorBidi"/>
            <w:szCs w:val="22"/>
            <w:lang w:eastAsia="en-NZ"/>
          </w:rPr>
          <w:tab/>
        </w:r>
        <w:r w:rsidR="00007C77" w:rsidRPr="00007C77">
          <w:rPr>
            <w:rStyle w:val="Hyperlink"/>
            <w:szCs w:val="22"/>
          </w:rPr>
          <w:t>Socioeconomic factors and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_Toc367284463 \h </w:instrText>
        </w:r>
        <w:r w:rsidR="007B447B" w:rsidRPr="00007C77">
          <w:rPr>
            <w:webHidden/>
            <w:szCs w:val="22"/>
          </w:rPr>
        </w:r>
        <w:r w:rsidR="007B447B" w:rsidRPr="00007C77">
          <w:rPr>
            <w:webHidden/>
            <w:szCs w:val="22"/>
          </w:rPr>
          <w:fldChar w:fldCharType="separate"/>
        </w:r>
        <w:r w:rsidR="00734D8D">
          <w:rPr>
            <w:webHidden/>
            <w:szCs w:val="22"/>
          </w:rPr>
          <w:t>97</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64" w:history="1">
        <w:r w:rsidR="00007C77" w:rsidRPr="00007C77">
          <w:rPr>
            <w:rStyle w:val="Hyperlink"/>
            <w:szCs w:val="22"/>
          </w:rPr>
          <w:t>12.4</w:t>
        </w:r>
        <w:r w:rsidR="00007C77" w:rsidRPr="00007C77">
          <w:rPr>
            <w:rFonts w:eastAsiaTheme="minorEastAsia" w:cstheme="minorBidi"/>
            <w:szCs w:val="22"/>
            <w:lang w:eastAsia="en-NZ"/>
          </w:rPr>
          <w:tab/>
        </w:r>
        <w:r w:rsidR="00007C77" w:rsidRPr="00007C77">
          <w:rPr>
            <w:rStyle w:val="Hyperlink"/>
            <w:szCs w:val="22"/>
          </w:rPr>
          <w:t>Summary: Gambling and Asian young people in New Zealand</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_Toc367284464 \h </w:instrText>
        </w:r>
        <w:r w:rsidR="007B447B" w:rsidRPr="00007C77">
          <w:rPr>
            <w:webHidden/>
            <w:szCs w:val="22"/>
          </w:rPr>
        </w:r>
        <w:r w:rsidR="007B447B" w:rsidRPr="00007C77">
          <w:rPr>
            <w:webHidden/>
            <w:szCs w:val="22"/>
          </w:rPr>
          <w:fldChar w:fldCharType="separate"/>
        </w:r>
        <w:r w:rsidR="00734D8D">
          <w:rPr>
            <w:webHidden/>
            <w:szCs w:val="22"/>
          </w:rPr>
          <w:t>98</w:t>
        </w:r>
        <w:r w:rsidR="007B447B" w:rsidRPr="00007C77">
          <w:rPr>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65" w:history="1">
        <w:r w:rsidR="00007C77" w:rsidRPr="00007C77">
          <w:rPr>
            <w:rStyle w:val="Hyperlink"/>
            <w:rFonts w:asciiTheme="minorHAnsi" w:hAnsiTheme="minorHAnsi" w:cstheme="minorHAnsi"/>
            <w:noProof/>
            <w:szCs w:val="22"/>
          </w:rPr>
          <w:t>13.</w:t>
        </w:r>
        <w:r w:rsidR="00007C77" w:rsidRPr="00007C77">
          <w:rPr>
            <w:rFonts w:asciiTheme="minorHAnsi" w:eastAsiaTheme="minorEastAsia" w:hAnsiTheme="minorHAnsi" w:cstheme="minorBidi"/>
            <w:noProof/>
            <w:szCs w:val="22"/>
            <w:lang w:eastAsia="en-NZ"/>
          </w:rPr>
          <w:tab/>
        </w:r>
        <w:r w:rsidR="00007C77" w:rsidRPr="00007C77">
          <w:rPr>
            <w:rStyle w:val="Hyperlink"/>
            <w:rFonts w:asciiTheme="minorHAnsi" w:hAnsiTheme="minorHAnsi" w:cstheme="minorHAnsi"/>
            <w:noProof/>
            <w:szCs w:val="22"/>
          </w:rPr>
          <w:t>DISCUSSION</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_Toc367284465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99</w:t>
        </w:r>
        <w:r w:rsidR="007B447B" w:rsidRPr="00007C77">
          <w:rPr>
            <w:rFonts w:asciiTheme="minorHAnsi" w:hAnsiTheme="minorHAnsi"/>
            <w:noProof/>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66" w:history="1">
        <w:r w:rsidR="00007C77" w:rsidRPr="00007C77">
          <w:rPr>
            <w:rStyle w:val="Hyperlink"/>
            <w:szCs w:val="22"/>
          </w:rPr>
          <w:t>13.1</w:t>
        </w:r>
        <w:r w:rsidR="00007C77" w:rsidRPr="00007C77">
          <w:rPr>
            <w:rFonts w:eastAsiaTheme="minorEastAsia" w:cstheme="minorBidi"/>
            <w:szCs w:val="22"/>
            <w:lang w:eastAsia="en-NZ"/>
          </w:rPr>
          <w:tab/>
        </w:r>
        <w:r w:rsidR="00007C77" w:rsidRPr="00007C77">
          <w:rPr>
            <w:rStyle w:val="Hyperlink"/>
            <w:szCs w:val="22"/>
          </w:rPr>
          <w:t>Students and their own gambling</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_Toc367284466 \h </w:instrText>
        </w:r>
        <w:r w:rsidR="007B447B" w:rsidRPr="00007C77">
          <w:rPr>
            <w:webHidden/>
            <w:szCs w:val="22"/>
          </w:rPr>
        </w:r>
        <w:r w:rsidR="007B447B" w:rsidRPr="00007C77">
          <w:rPr>
            <w:webHidden/>
            <w:szCs w:val="22"/>
          </w:rPr>
          <w:fldChar w:fldCharType="separate"/>
        </w:r>
        <w:r w:rsidR="00734D8D">
          <w:rPr>
            <w:webHidden/>
            <w:szCs w:val="22"/>
          </w:rPr>
          <w:t>99</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67" w:history="1">
        <w:r w:rsidR="00007C77" w:rsidRPr="00007C77">
          <w:rPr>
            <w:rStyle w:val="Hyperlink"/>
            <w:szCs w:val="22"/>
          </w:rPr>
          <w:t>13.2</w:t>
        </w:r>
        <w:r w:rsidR="00007C77" w:rsidRPr="00007C77">
          <w:rPr>
            <w:rFonts w:eastAsiaTheme="minorEastAsia" w:cstheme="minorBidi"/>
            <w:szCs w:val="22"/>
            <w:lang w:eastAsia="en-NZ"/>
          </w:rPr>
          <w:tab/>
        </w:r>
        <w:r w:rsidR="00007C77" w:rsidRPr="00007C77">
          <w:rPr>
            <w:rStyle w:val="Hyperlink"/>
            <w:szCs w:val="22"/>
          </w:rPr>
          <w:t>The impacts of others’ gambling on students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_Toc367284467 \h </w:instrText>
        </w:r>
        <w:r w:rsidR="007B447B" w:rsidRPr="00007C77">
          <w:rPr>
            <w:webHidden/>
            <w:szCs w:val="22"/>
          </w:rPr>
        </w:r>
        <w:r w:rsidR="007B447B" w:rsidRPr="00007C77">
          <w:rPr>
            <w:webHidden/>
            <w:szCs w:val="22"/>
          </w:rPr>
          <w:fldChar w:fldCharType="separate"/>
        </w:r>
        <w:r w:rsidR="00734D8D">
          <w:rPr>
            <w:webHidden/>
            <w:szCs w:val="22"/>
          </w:rPr>
          <w:t>100</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68" w:history="1">
        <w:r w:rsidR="00007C77" w:rsidRPr="00007C77">
          <w:rPr>
            <w:rStyle w:val="Hyperlink"/>
            <w:szCs w:val="22"/>
          </w:rPr>
          <w:t>13.3</w:t>
        </w:r>
        <w:r w:rsidR="00007C77" w:rsidRPr="00007C77">
          <w:rPr>
            <w:rFonts w:eastAsiaTheme="minorEastAsia" w:cstheme="minorBidi"/>
            <w:szCs w:val="22"/>
            <w:lang w:eastAsia="en-NZ"/>
          </w:rPr>
          <w:tab/>
        </w:r>
        <w:r w:rsidR="00007C77" w:rsidRPr="00007C77">
          <w:rPr>
            <w:rStyle w:val="Hyperlink"/>
            <w:szCs w:val="22"/>
          </w:rPr>
          <w:t>Unhealthy gambling and the identification of risk and protective factors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_Toc367284468 \h </w:instrText>
        </w:r>
        <w:r w:rsidR="007B447B" w:rsidRPr="00007C77">
          <w:rPr>
            <w:webHidden/>
            <w:szCs w:val="22"/>
          </w:rPr>
        </w:r>
        <w:r w:rsidR="007B447B" w:rsidRPr="00007C77">
          <w:rPr>
            <w:webHidden/>
            <w:szCs w:val="22"/>
          </w:rPr>
          <w:fldChar w:fldCharType="separate"/>
        </w:r>
        <w:r w:rsidR="00734D8D">
          <w:rPr>
            <w:webHidden/>
            <w:szCs w:val="22"/>
          </w:rPr>
          <w:t>102</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69" w:history="1">
        <w:r w:rsidR="00007C77" w:rsidRPr="00007C77">
          <w:rPr>
            <w:rStyle w:val="Hyperlink"/>
            <w:szCs w:val="22"/>
          </w:rPr>
          <w:t>13.4</w:t>
        </w:r>
        <w:r w:rsidR="00007C77" w:rsidRPr="00007C77">
          <w:rPr>
            <w:rFonts w:eastAsiaTheme="minorEastAsia" w:cstheme="minorBidi"/>
            <w:szCs w:val="22"/>
            <w:lang w:eastAsia="en-NZ"/>
          </w:rPr>
          <w:tab/>
        </w:r>
        <w:r w:rsidR="00007C77" w:rsidRPr="00007C77">
          <w:rPr>
            <w:rStyle w:val="Hyperlink"/>
            <w:szCs w:val="22"/>
          </w:rPr>
          <w:t>Overview and implications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_Toc367284469 \h </w:instrText>
        </w:r>
        <w:r w:rsidR="007B447B" w:rsidRPr="00007C77">
          <w:rPr>
            <w:webHidden/>
            <w:szCs w:val="22"/>
          </w:rPr>
        </w:r>
        <w:r w:rsidR="007B447B" w:rsidRPr="00007C77">
          <w:rPr>
            <w:webHidden/>
            <w:szCs w:val="22"/>
          </w:rPr>
          <w:fldChar w:fldCharType="separate"/>
        </w:r>
        <w:r w:rsidR="00734D8D">
          <w:rPr>
            <w:webHidden/>
            <w:szCs w:val="22"/>
          </w:rPr>
          <w:t>105</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70" w:history="1">
        <w:r w:rsidR="00007C77" w:rsidRPr="00007C77">
          <w:rPr>
            <w:rStyle w:val="Hyperlink"/>
            <w:szCs w:val="22"/>
          </w:rPr>
          <w:t>13.5</w:t>
        </w:r>
        <w:r w:rsidR="00007C77" w:rsidRPr="00007C77">
          <w:rPr>
            <w:rFonts w:eastAsiaTheme="minorEastAsia" w:cstheme="minorBidi"/>
            <w:szCs w:val="22"/>
            <w:lang w:eastAsia="en-NZ"/>
          </w:rPr>
          <w:tab/>
        </w:r>
        <w:r w:rsidR="00007C77" w:rsidRPr="00007C77">
          <w:rPr>
            <w:rStyle w:val="Hyperlink"/>
            <w:szCs w:val="22"/>
          </w:rPr>
          <w:t>Limitations and future research</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_Toc367284470 \h </w:instrText>
        </w:r>
        <w:r w:rsidR="007B447B" w:rsidRPr="00007C77">
          <w:rPr>
            <w:webHidden/>
            <w:szCs w:val="22"/>
          </w:rPr>
        </w:r>
        <w:r w:rsidR="007B447B" w:rsidRPr="00007C77">
          <w:rPr>
            <w:webHidden/>
            <w:szCs w:val="22"/>
          </w:rPr>
          <w:fldChar w:fldCharType="separate"/>
        </w:r>
        <w:r w:rsidR="00734D8D">
          <w:rPr>
            <w:webHidden/>
            <w:szCs w:val="22"/>
          </w:rPr>
          <w:t>109</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71" w:history="1">
        <w:r w:rsidR="00007C77" w:rsidRPr="00007C77">
          <w:rPr>
            <w:rStyle w:val="Hyperlink"/>
            <w:szCs w:val="22"/>
          </w:rPr>
          <w:t>13.6</w:t>
        </w:r>
        <w:r w:rsidR="00007C77" w:rsidRPr="00007C77">
          <w:rPr>
            <w:rFonts w:eastAsiaTheme="minorEastAsia" w:cstheme="minorBidi"/>
            <w:szCs w:val="22"/>
            <w:lang w:eastAsia="en-NZ"/>
          </w:rPr>
          <w:tab/>
        </w:r>
        <w:r w:rsidR="00007C77" w:rsidRPr="00007C77">
          <w:rPr>
            <w:rStyle w:val="Hyperlink"/>
            <w:szCs w:val="22"/>
          </w:rPr>
          <w:t>Summary</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_Toc367284471 \h </w:instrText>
        </w:r>
        <w:r w:rsidR="007B447B" w:rsidRPr="00007C77">
          <w:rPr>
            <w:webHidden/>
            <w:szCs w:val="22"/>
          </w:rPr>
        </w:r>
        <w:r w:rsidR="007B447B" w:rsidRPr="00007C77">
          <w:rPr>
            <w:webHidden/>
            <w:szCs w:val="22"/>
          </w:rPr>
          <w:fldChar w:fldCharType="separate"/>
        </w:r>
        <w:r w:rsidR="00734D8D">
          <w:rPr>
            <w:webHidden/>
            <w:szCs w:val="22"/>
          </w:rPr>
          <w:t>110</w:t>
        </w:r>
        <w:r w:rsidR="007B447B" w:rsidRPr="00007C77">
          <w:rPr>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72" w:history="1">
        <w:r w:rsidR="00007C77" w:rsidRPr="00007C77">
          <w:rPr>
            <w:rStyle w:val="Hyperlink"/>
            <w:rFonts w:asciiTheme="minorHAnsi" w:hAnsiTheme="minorHAnsi" w:cstheme="minorHAnsi"/>
            <w:noProof/>
            <w:szCs w:val="22"/>
          </w:rPr>
          <w:t>REFERENCES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_Toc367284472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111</w:t>
        </w:r>
        <w:r w:rsidR="007B447B" w:rsidRPr="00007C77">
          <w:rPr>
            <w:rFonts w:asciiTheme="minorHAnsi" w:hAnsiTheme="minorHAnsi"/>
            <w:noProof/>
            <w:webHidden/>
            <w:szCs w:val="22"/>
          </w:rPr>
          <w:fldChar w:fldCharType="end"/>
        </w:r>
      </w:hyperlink>
    </w:p>
    <w:p w:rsidR="00007C77" w:rsidRPr="00007C77" w:rsidRDefault="00082F17">
      <w:pPr>
        <w:pStyle w:val="TOC1"/>
        <w:rPr>
          <w:rFonts w:asciiTheme="minorHAnsi" w:eastAsiaTheme="minorEastAsia" w:hAnsiTheme="minorHAnsi" w:cstheme="minorBidi"/>
          <w:noProof/>
          <w:szCs w:val="22"/>
          <w:lang w:eastAsia="en-NZ"/>
        </w:rPr>
      </w:pPr>
      <w:hyperlink w:anchor="_Toc367284473" w:history="1">
        <w:r w:rsidR="00007C77" w:rsidRPr="00007C77">
          <w:rPr>
            <w:rStyle w:val="Hyperlink"/>
            <w:rFonts w:asciiTheme="minorHAnsi" w:hAnsiTheme="minorHAnsi" w:cstheme="minorHAnsi"/>
            <w:noProof/>
            <w:szCs w:val="22"/>
          </w:rPr>
          <w:t>APPENDICES</w:t>
        </w:r>
        <w:r w:rsidR="00007C77" w:rsidRPr="00007C77">
          <w:rPr>
            <w:rFonts w:asciiTheme="minorHAnsi" w:hAnsiTheme="minorHAnsi"/>
            <w:noProof/>
            <w:webHidden/>
            <w:szCs w:val="22"/>
          </w:rPr>
          <w:tab/>
        </w:r>
        <w:r w:rsidR="007B447B" w:rsidRPr="00007C77">
          <w:rPr>
            <w:rFonts w:asciiTheme="minorHAnsi" w:hAnsiTheme="minorHAnsi"/>
            <w:noProof/>
            <w:webHidden/>
            <w:szCs w:val="22"/>
          </w:rPr>
          <w:fldChar w:fldCharType="begin"/>
        </w:r>
        <w:r w:rsidR="00007C77" w:rsidRPr="00007C77">
          <w:rPr>
            <w:rFonts w:asciiTheme="minorHAnsi" w:hAnsiTheme="minorHAnsi"/>
            <w:noProof/>
            <w:webHidden/>
            <w:szCs w:val="22"/>
          </w:rPr>
          <w:instrText xml:space="preserve"> PAGEREF _Toc367284473 \h </w:instrText>
        </w:r>
        <w:r w:rsidR="007B447B" w:rsidRPr="00007C77">
          <w:rPr>
            <w:rFonts w:asciiTheme="minorHAnsi" w:hAnsiTheme="minorHAnsi"/>
            <w:noProof/>
            <w:webHidden/>
            <w:szCs w:val="22"/>
          </w:rPr>
        </w:r>
        <w:r w:rsidR="007B447B" w:rsidRPr="00007C77">
          <w:rPr>
            <w:rFonts w:asciiTheme="minorHAnsi" w:hAnsiTheme="minorHAnsi"/>
            <w:noProof/>
            <w:webHidden/>
            <w:szCs w:val="22"/>
          </w:rPr>
          <w:fldChar w:fldCharType="separate"/>
        </w:r>
        <w:r w:rsidR="00734D8D">
          <w:rPr>
            <w:rFonts w:asciiTheme="minorHAnsi" w:hAnsiTheme="minorHAnsi"/>
            <w:noProof/>
            <w:webHidden/>
            <w:szCs w:val="22"/>
          </w:rPr>
          <w:t>120</w:t>
        </w:r>
        <w:r w:rsidR="007B447B" w:rsidRPr="00007C77">
          <w:rPr>
            <w:rFonts w:asciiTheme="minorHAnsi" w:hAnsiTheme="minorHAnsi"/>
            <w:noProof/>
            <w:webHidden/>
            <w:szCs w:val="22"/>
          </w:rPr>
          <w:fldChar w:fldCharType="end"/>
        </w:r>
      </w:hyperlink>
    </w:p>
    <w:p w:rsidR="00007C77" w:rsidRPr="00007C77" w:rsidRDefault="00082F17" w:rsidP="00007C77">
      <w:pPr>
        <w:pStyle w:val="TOC2"/>
        <w:rPr>
          <w:rFonts w:eastAsiaTheme="minorEastAsia" w:cstheme="minorBidi"/>
          <w:szCs w:val="22"/>
          <w:lang w:eastAsia="en-NZ"/>
        </w:rPr>
      </w:pPr>
      <w:hyperlink w:anchor="_Toc367284474" w:history="1">
        <w:r w:rsidR="00007C77" w:rsidRPr="00007C77">
          <w:rPr>
            <w:rStyle w:val="Hyperlink"/>
            <w:szCs w:val="22"/>
          </w:rPr>
          <w:t>Appendix A</w:t>
        </w:r>
        <w:r w:rsidR="00007C77" w:rsidRPr="00007C77">
          <w:rPr>
            <w:rFonts w:eastAsiaTheme="minorEastAsia" w:cstheme="minorBidi"/>
            <w:szCs w:val="22"/>
            <w:lang w:eastAsia="en-NZ"/>
          </w:rPr>
          <w:tab/>
        </w:r>
        <w:r w:rsidR="00007C77" w:rsidRPr="00007C77">
          <w:rPr>
            <w:rStyle w:val="Hyperlink"/>
            <w:szCs w:val="22"/>
          </w:rPr>
          <w:t>Overview of Youth’12 gambling questions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_Toc367284474 \h </w:instrText>
        </w:r>
        <w:r w:rsidR="007B447B" w:rsidRPr="00007C77">
          <w:rPr>
            <w:webHidden/>
            <w:szCs w:val="22"/>
          </w:rPr>
        </w:r>
        <w:r w:rsidR="007B447B" w:rsidRPr="00007C77">
          <w:rPr>
            <w:webHidden/>
            <w:szCs w:val="22"/>
          </w:rPr>
          <w:fldChar w:fldCharType="separate"/>
        </w:r>
        <w:r w:rsidR="00734D8D">
          <w:rPr>
            <w:webHidden/>
            <w:szCs w:val="22"/>
          </w:rPr>
          <w:t>121</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76" w:history="1">
        <w:r w:rsidR="00007C77" w:rsidRPr="00007C77">
          <w:rPr>
            <w:rStyle w:val="Hyperlink"/>
            <w:szCs w:val="22"/>
          </w:rPr>
          <w:t>Appendix B</w:t>
        </w:r>
        <w:r w:rsidR="00007C77" w:rsidRPr="00007C77">
          <w:rPr>
            <w:rFonts w:eastAsiaTheme="minorEastAsia" w:cstheme="minorBidi"/>
            <w:szCs w:val="22"/>
            <w:lang w:eastAsia="en-NZ"/>
          </w:rPr>
          <w:tab/>
        </w:r>
        <w:r w:rsidR="00007C77" w:rsidRPr="00007C77">
          <w:rPr>
            <w:rStyle w:val="Hyperlink"/>
            <w:szCs w:val="22"/>
          </w:rPr>
          <w:t>Types of gambling that students have participated in over past 12 months (all students)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_Toc367284476 \h </w:instrText>
        </w:r>
        <w:r w:rsidR="007B447B" w:rsidRPr="00007C77">
          <w:rPr>
            <w:webHidden/>
            <w:szCs w:val="22"/>
          </w:rPr>
        </w:r>
        <w:r w:rsidR="007B447B" w:rsidRPr="00007C77">
          <w:rPr>
            <w:webHidden/>
            <w:szCs w:val="22"/>
          </w:rPr>
          <w:fldChar w:fldCharType="separate"/>
        </w:r>
        <w:r w:rsidR="00734D8D">
          <w:rPr>
            <w:webHidden/>
            <w:szCs w:val="22"/>
          </w:rPr>
          <w:t>124</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77" w:history="1">
        <w:r w:rsidR="00007C77" w:rsidRPr="00007C77">
          <w:rPr>
            <w:rStyle w:val="Hyperlink"/>
            <w:szCs w:val="22"/>
          </w:rPr>
          <w:t>Appendix C</w:t>
        </w:r>
        <w:r w:rsidR="00007C77" w:rsidRPr="00007C77">
          <w:rPr>
            <w:rFonts w:eastAsiaTheme="minorEastAsia" w:cstheme="minorBidi"/>
            <w:szCs w:val="22"/>
            <w:lang w:eastAsia="en-NZ"/>
          </w:rPr>
          <w:tab/>
        </w:r>
        <w:r w:rsidR="00007C77" w:rsidRPr="00007C77">
          <w:rPr>
            <w:rStyle w:val="Hyperlink"/>
            <w:szCs w:val="22"/>
          </w:rPr>
          <w:t>Number of gambling activities that students have participated in over the past 12 months (all students)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_Toc367284477 \h </w:instrText>
        </w:r>
        <w:r w:rsidR="007B447B" w:rsidRPr="00007C77">
          <w:rPr>
            <w:webHidden/>
            <w:szCs w:val="22"/>
          </w:rPr>
        </w:r>
        <w:r w:rsidR="007B447B" w:rsidRPr="00007C77">
          <w:rPr>
            <w:webHidden/>
            <w:szCs w:val="22"/>
          </w:rPr>
          <w:fldChar w:fldCharType="separate"/>
        </w:r>
        <w:r w:rsidR="00734D8D">
          <w:rPr>
            <w:webHidden/>
            <w:szCs w:val="22"/>
          </w:rPr>
          <w:t>125</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78" w:history="1">
        <w:r w:rsidR="00007C77" w:rsidRPr="00007C77">
          <w:rPr>
            <w:rStyle w:val="Hyperlink"/>
            <w:szCs w:val="22"/>
          </w:rPr>
          <w:t>Appendix D</w:t>
        </w:r>
        <w:r w:rsidR="00007C77" w:rsidRPr="00007C77">
          <w:rPr>
            <w:rFonts w:eastAsiaTheme="minorEastAsia" w:cstheme="minorBidi"/>
            <w:szCs w:val="22"/>
            <w:lang w:eastAsia="en-NZ"/>
          </w:rPr>
          <w:tab/>
        </w:r>
        <w:r w:rsidR="00007C77" w:rsidRPr="00007C77">
          <w:rPr>
            <w:rStyle w:val="Hyperlink"/>
            <w:szCs w:val="22"/>
          </w:rPr>
          <w:t>Social context of gambling – who students usually gamble with (among students who have gambled in last 12 months)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_Toc367284478 \h </w:instrText>
        </w:r>
        <w:r w:rsidR="007B447B" w:rsidRPr="00007C77">
          <w:rPr>
            <w:webHidden/>
            <w:szCs w:val="22"/>
          </w:rPr>
        </w:r>
        <w:r w:rsidR="007B447B" w:rsidRPr="00007C77">
          <w:rPr>
            <w:webHidden/>
            <w:szCs w:val="22"/>
          </w:rPr>
          <w:fldChar w:fldCharType="separate"/>
        </w:r>
        <w:r w:rsidR="00734D8D">
          <w:rPr>
            <w:webHidden/>
            <w:szCs w:val="22"/>
          </w:rPr>
          <w:t>126</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79" w:history="1">
        <w:r w:rsidR="00007C77" w:rsidRPr="00007C77">
          <w:rPr>
            <w:rStyle w:val="Hyperlink"/>
            <w:szCs w:val="22"/>
          </w:rPr>
          <w:t>Appendix E</w:t>
        </w:r>
        <w:r w:rsidR="00007C77" w:rsidRPr="00007C77">
          <w:rPr>
            <w:rFonts w:eastAsiaTheme="minorEastAsia" w:cstheme="minorBidi"/>
            <w:szCs w:val="22"/>
            <w:lang w:eastAsia="en-NZ"/>
          </w:rPr>
          <w:tab/>
        </w:r>
        <w:r w:rsidR="00007C77" w:rsidRPr="00007C77">
          <w:rPr>
            <w:rStyle w:val="Hyperlink"/>
            <w:szCs w:val="22"/>
          </w:rPr>
          <w:t>Acceptability of gambling activities - which modes of gambling do students think it is ok for people their age to play or do regularly (all students)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_Toc367284479 \h </w:instrText>
        </w:r>
        <w:r w:rsidR="007B447B" w:rsidRPr="00007C77">
          <w:rPr>
            <w:webHidden/>
            <w:szCs w:val="22"/>
          </w:rPr>
        </w:r>
        <w:r w:rsidR="007B447B" w:rsidRPr="00007C77">
          <w:rPr>
            <w:webHidden/>
            <w:szCs w:val="22"/>
          </w:rPr>
          <w:fldChar w:fldCharType="separate"/>
        </w:r>
        <w:r w:rsidR="00734D8D">
          <w:rPr>
            <w:webHidden/>
            <w:szCs w:val="22"/>
          </w:rPr>
          <w:t>127</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80" w:history="1">
        <w:r w:rsidR="00007C77" w:rsidRPr="00007C77">
          <w:rPr>
            <w:rStyle w:val="Hyperlink"/>
            <w:szCs w:val="22"/>
          </w:rPr>
          <w:t>Appendix F</w:t>
        </w:r>
        <w:r w:rsidR="00007C77" w:rsidRPr="00007C77">
          <w:rPr>
            <w:rFonts w:eastAsiaTheme="minorEastAsia" w:cstheme="minorBidi"/>
            <w:szCs w:val="22"/>
            <w:lang w:eastAsia="en-NZ"/>
          </w:rPr>
          <w:tab/>
        </w:r>
        <w:r w:rsidR="00007C77" w:rsidRPr="00007C77">
          <w:rPr>
            <w:rStyle w:val="Hyperlink"/>
            <w:szCs w:val="22"/>
          </w:rPr>
          <w:t>Reasons for gambling (among students who have gambled in last 12 months)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_Toc367284480 \h </w:instrText>
        </w:r>
        <w:r w:rsidR="007B447B" w:rsidRPr="00007C77">
          <w:rPr>
            <w:webHidden/>
            <w:szCs w:val="22"/>
          </w:rPr>
        </w:r>
        <w:r w:rsidR="007B447B" w:rsidRPr="00007C77">
          <w:rPr>
            <w:webHidden/>
            <w:szCs w:val="22"/>
          </w:rPr>
          <w:fldChar w:fldCharType="separate"/>
        </w:r>
        <w:r w:rsidR="00734D8D">
          <w:rPr>
            <w:webHidden/>
            <w:szCs w:val="22"/>
          </w:rPr>
          <w:t>128</w:t>
        </w:r>
        <w:r w:rsidR="007B447B" w:rsidRPr="00007C77">
          <w:rPr>
            <w:webHidden/>
            <w:szCs w:val="22"/>
          </w:rPr>
          <w:fldChar w:fldCharType="end"/>
        </w:r>
      </w:hyperlink>
    </w:p>
    <w:p w:rsidR="00007C77" w:rsidRPr="00007C77" w:rsidRDefault="00082F17">
      <w:pPr>
        <w:pStyle w:val="TOC2"/>
        <w:tabs>
          <w:tab w:val="left" w:pos="1760"/>
        </w:tabs>
        <w:rPr>
          <w:rFonts w:eastAsiaTheme="minorEastAsia" w:cstheme="minorBidi"/>
          <w:szCs w:val="22"/>
          <w:lang w:eastAsia="en-NZ"/>
        </w:rPr>
      </w:pPr>
      <w:hyperlink w:anchor="_Toc367284481" w:history="1">
        <w:r w:rsidR="00007C77" w:rsidRPr="00007C77">
          <w:rPr>
            <w:rStyle w:val="Hyperlink"/>
            <w:szCs w:val="22"/>
          </w:rPr>
          <w:t>Appendix G</w:t>
        </w:r>
        <w:r w:rsidR="00007C77" w:rsidRPr="00007C77">
          <w:rPr>
            <w:rFonts w:eastAsiaTheme="minorEastAsia" w:cstheme="minorBidi"/>
            <w:szCs w:val="22"/>
            <w:lang w:eastAsia="en-NZ"/>
          </w:rPr>
          <w:tab/>
        </w:r>
        <w:r w:rsidR="00007C77" w:rsidRPr="00007C77">
          <w:rPr>
            <w:rStyle w:val="Hyperlink"/>
            <w:szCs w:val="22"/>
          </w:rPr>
          <w:t>Parental gambling: Activities that parents/caregivers participate in (all students)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_Toc367284481 \h </w:instrText>
        </w:r>
        <w:r w:rsidR="007B447B" w:rsidRPr="00007C77">
          <w:rPr>
            <w:webHidden/>
            <w:szCs w:val="22"/>
          </w:rPr>
        </w:r>
        <w:r w:rsidR="007B447B" w:rsidRPr="00007C77">
          <w:rPr>
            <w:webHidden/>
            <w:szCs w:val="22"/>
          </w:rPr>
          <w:fldChar w:fldCharType="separate"/>
        </w:r>
        <w:r w:rsidR="00734D8D">
          <w:rPr>
            <w:webHidden/>
            <w:szCs w:val="22"/>
          </w:rPr>
          <w:t>129</w:t>
        </w:r>
        <w:r w:rsidR="007B447B" w:rsidRPr="00007C77">
          <w:rPr>
            <w:webHidden/>
            <w:szCs w:val="22"/>
          </w:rPr>
          <w:fldChar w:fldCharType="end"/>
        </w:r>
      </w:hyperlink>
    </w:p>
    <w:p w:rsidR="00007C77" w:rsidRPr="00007C77" w:rsidRDefault="00082F17">
      <w:pPr>
        <w:pStyle w:val="TOC2"/>
        <w:tabs>
          <w:tab w:val="left" w:pos="1760"/>
        </w:tabs>
        <w:rPr>
          <w:rFonts w:eastAsiaTheme="minorEastAsia" w:cstheme="minorBidi"/>
          <w:szCs w:val="22"/>
          <w:lang w:eastAsia="en-NZ"/>
        </w:rPr>
      </w:pPr>
      <w:hyperlink w:anchor="_Toc367284482" w:history="1">
        <w:r w:rsidR="00007C77" w:rsidRPr="00007C77">
          <w:rPr>
            <w:rStyle w:val="Hyperlink"/>
            <w:szCs w:val="22"/>
          </w:rPr>
          <w:t>Appendix H</w:t>
        </w:r>
        <w:r w:rsidR="00007C77" w:rsidRPr="00007C77">
          <w:rPr>
            <w:rFonts w:eastAsiaTheme="minorEastAsia" w:cstheme="minorBidi"/>
            <w:szCs w:val="22"/>
            <w:lang w:eastAsia="en-NZ"/>
          </w:rPr>
          <w:tab/>
        </w:r>
        <w:r w:rsidR="00007C77" w:rsidRPr="00007C77">
          <w:rPr>
            <w:rStyle w:val="Hyperlink"/>
            <w:szCs w:val="22"/>
          </w:rPr>
          <w:t>Peer gambling: Activities that friends participate in (all students)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_Toc367284482 \h </w:instrText>
        </w:r>
        <w:r w:rsidR="007B447B" w:rsidRPr="00007C77">
          <w:rPr>
            <w:webHidden/>
            <w:szCs w:val="22"/>
          </w:rPr>
        </w:r>
        <w:r w:rsidR="007B447B" w:rsidRPr="00007C77">
          <w:rPr>
            <w:webHidden/>
            <w:szCs w:val="22"/>
          </w:rPr>
          <w:fldChar w:fldCharType="separate"/>
        </w:r>
        <w:r w:rsidR="00734D8D">
          <w:rPr>
            <w:webHidden/>
            <w:szCs w:val="22"/>
          </w:rPr>
          <w:t>130</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83" w:history="1">
        <w:r w:rsidR="00007C77" w:rsidRPr="00007C77">
          <w:rPr>
            <w:rStyle w:val="Hyperlink"/>
            <w:szCs w:val="22"/>
          </w:rPr>
          <w:t>Appendix I</w:t>
        </w:r>
        <w:r w:rsidR="00007C77" w:rsidRPr="00007C77">
          <w:rPr>
            <w:rFonts w:eastAsiaTheme="minorEastAsia" w:cstheme="minorBidi"/>
            <w:szCs w:val="22"/>
            <w:lang w:eastAsia="en-NZ"/>
          </w:rPr>
          <w:tab/>
        </w:r>
        <w:r w:rsidR="00007C77" w:rsidRPr="00007C77">
          <w:rPr>
            <w:rStyle w:val="Hyperlink"/>
            <w:szCs w:val="22"/>
          </w:rPr>
          <w:t>Ever worry or feel anxious about how much money or time other people you live with spend gambling? (among students who have gambled in last 12 months)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_Toc367284483 \h </w:instrText>
        </w:r>
        <w:r w:rsidR="007B447B" w:rsidRPr="00007C77">
          <w:rPr>
            <w:webHidden/>
            <w:szCs w:val="22"/>
          </w:rPr>
        </w:r>
        <w:r w:rsidR="007B447B" w:rsidRPr="00007C77">
          <w:rPr>
            <w:webHidden/>
            <w:szCs w:val="22"/>
          </w:rPr>
          <w:fldChar w:fldCharType="separate"/>
        </w:r>
        <w:r w:rsidR="00734D8D">
          <w:rPr>
            <w:webHidden/>
            <w:szCs w:val="22"/>
          </w:rPr>
          <w:t>131</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84" w:history="1">
        <w:r w:rsidR="00007C77" w:rsidRPr="00007C77">
          <w:rPr>
            <w:rStyle w:val="Hyperlink"/>
            <w:szCs w:val="22"/>
          </w:rPr>
          <w:t>Appendix J</w:t>
        </w:r>
        <w:r w:rsidR="00007C77" w:rsidRPr="00007C77">
          <w:rPr>
            <w:rFonts w:eastAsiaTheme="minorEastAsia" w:cstheme="minorBidi"/>
            <w:szCs w:val="22"/>
            <w:lang w:eastAsia="en-NZ"/>
          </w:rPr>
          <w:tab/>
        </w:r>
        <w:r w:rsidR="00007C77" w:rsidRPr="00007C77">
          <w:rPr>
            <w:rStyle w:val="Hyperlink"/>
            <w:szCs w:val="22"/>
          </w:rPr>
          <w:t>Impacts of gambling within student’s family because of someone else’s gambling (all students)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_Toc367284484 \h </w:instrText>
        </w:r>
        <w:r w:rsidR="007B447B" w:rsidRPr="00007C77">
          <w:rPr>
            <w:webHidden/>
            <w:szCs w:val="22"/>
          </w:rPr>
        </w:r>
        <w:r w:rsidR="007B447B" w:rsidRPr="00007C77">
          <w:rPr>
            <w:webHidden/>
            <w:szCs w:val="22"/>
          </w:rPr>
          <w:fldChar w:fldCharType="separate"/>
        </w:r>
        <w:r w:rsidR="00734D8D">
          <w:rPr>
            <w:webHidden/>
            <w:szCs w:val="22"/>
          </w:rPr>
          <w:t>132</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85" w:history="1">
        <w:r w:rsidR="00007C77" w:rsidRPr="00007C77">
          <w:rPr>
            <w:rStyle w:val="Hyperlink"/>
            <w:szCs w:val="22"/>
          </w:rPr>
          <w:t>Appendix K</w:t>
        </w:r>
        <w:r w:rsidR="00007C77" w:rsidRPr="00007C77">
          <w:rPr>
            <w:rFonts w:eastAsiaTheme="minorEastAsia" w:cstheme="minorBidi"/>
            <w:szCs w:val="22"/>
            <w:lang w:eastAsia="en-NZ"/>
          </w:rPr>
          <w:tab/>
        </w:r>
        <w:r w:rsidR="00007C77" w:rsidRPr="00007C77">
          <w:rPr>
            <w:rStyle w:val="Hyperlink"/>
            <w:szCs w:val="22"/>
          </w:rPr>
          <w:t>Problematic gambling amongst students (among students who have gambled in the last 12 months)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_Toc367284485 \h </w:instrText>
        </w:r>
        <w:r w:rsidR="007B447B" w:rsidRPr="00007C77">
          <w:rPr>
            <w:webHidden/>
            <w:szCs w:val="22"/>
          </w:rPr>
        </w:r>
        <w:r w:rsidR="007B447B" w:rsidRPr="00007C77">
          <w:rPr>
            <w:webHidden/>
            <w:szCs w:val="22"/>
          </w:rPr>
          <w:fldChar w:fldCharType="separate"/>
        </w:r>
        <w:r w:rsidR="00734D8D">
          <w:rPr>
            <w:webHidden/>
            <w:szCs w:val="22"/>
          </w:rPr>
          <w:t>136</w:t>
        </w:r>
        <w:r w:rsidR="007B447B" w:rsidRPr="00007C77">
          <w:rPr>
            <w:webHidden/>
            <w:szCs w:val="22"/>
          </w:rPr>
          <w:fldChar w:fldCharType="end"/>
        </w:r>
      </w:hyperlink>
    </w:p>
    <w:p w:rsidR="00007C77" w:rsidRPr="00007C77" w:rsidRDefault="00082F17">
      <w:pPr>
        <w:pStyle w:val="TOC2"/>
        <w:rPr>
          <w:rFonts w:eastAsiaTheme="minorEastAsia" w:cstheme="minorBidi"/>
          <w:szCs w:val="22"/>
          <w:lang w:eastAsia="en-NZ"/>
        </w:rPr>
      </w:pPr>
      <w:hyperlink w:anchor="_Toc367284486" w:history="1">
        <w:r w:rsidR="00007C77" w:rsidRPr="00007C77">
          <w:rPr>
            <w:rStyle w:val="Hyperlink"/>
            <w:szCs w:val="22"/>
          </w:rPr>
          <w:t>Appendix L</w:t>
        </w:r>
        <w:r w:rsidR="00007C77" w:rsidRPr="00007C77">
          <w:rPr>
            <w:rFonts w:eastAsiaTheme="minorEastAsia" w:cstheme="minorBidi"/>
            <w:szCs w:val="22"/>
            <w:lang w:eastAsia="en-NZ"/>
          </w:rPr>
          <w:tab/>
        </w:r>
        <w:r w:rsidR="00007C77" w:rsidRPr="00007C77">
          <w:rPr>
            <w:rStyle w:val="Hyperlink"/>
            <w:szCs w:val="22"/>
          </w:rPr>
          <w:t>If you had problems or concerns about your gambling, who would you go to for help? (among students who have gambled in last 12 months)</w:t>
        </w:r>
        <w:r w:rsidR="00007C77" w:rsidRPr="00007C77">
          <w:rPr>
            <w:webHidden/>
            <w:szCs w:val="22"/>
          </w:rPr>
          <w:tab/>
        </w:r>
        <w:r w:rsidR="007B447B" w:rsidRPr="00007C77">
          <w:rPr>
            <w:webHidden/>
            <w:szCs w:val="22"/>
          </w:rPr>
          <w:fldChar w:fldCharType="begin"/>
        </w:r>
        <w:r w:rsidR="00007C77" w:rsidRPr="00007C77">
          <w:rPr>
            <w:webHidden/>
            <w:szCs w:val="22"/>
          </w:rPr>
          <w:instrText xml:space="preserve"> PAGEREF _Toc367284486 \h </w:instrText>
        </w:r>
        <w:r w:rsidR="007B447B" w:rsidRPr="00007C77">
          <w:rPr>
            <w:webHidden/>
            <w:szCs w:val="22"/>
          </w:rPr>
        </w:r>
        <w:r w:rsidR="007B447B" w:rsidRPr="00007C77">
          <w:rPr>
            <w:webHidden/>
            <w:szCs w:val="22"/>
          </w:rPr>
          <w:fldChar w:fldCharType="separate"/>
        </w:r>
        <w:r w:rsidR="00734D8D">
          <w:rPr>
            <w:webHidden/>
            <w:szCs w:val="22"/>
          </w:rPr>
          <w:t>137</w:t>
        </w:r>
        <w:r w:rsidR="007B447B" w:rsidRPr="00007C77">
          <w:rPr>
            <w:webHidden/>
            <w:szCs w:val="22"/>
          </w:rPr>
          <w:fldChar w:fldCharType="end"/>
        </w:r>
      </w:hyperlink>
    </w:p>
    <w:p w:rsidR="00043311" w:rsidRPr="00E3310E" w:rsidRDefault="007B447B" w:rsidP="0042130F">
      <w:pPr>
        <w:spacing w:before="0" w:line="240" w:lineRule="auto"/>
        <w:contextualSpacing/>
        <w:rPr>
          <w:rFonts w:asciiTheme="minorHAnsi" w:hAnsiTheme="minorHAnsi" w:cstheme="minorHAnsi"/>
          <w:highlight w:val="yellow"/>
        </w:rPr>
      </w:pPr>
      <w:r w:rsidRPr="004A0FB6">
        <w:rPr>
          <w:rFonts w:asciiTheme="minorHAnsi" w:hAnsiTheme="minorHAnsi" w:cstheme="minorHAnsi"/>
          <w:szCs w:val="22"/>
          <w:highlight w:val="yellow"/>
        </w:rPr>
        <w:fldChar w:fldCharType="end"/>
      </w:r>
    </w:p>
    <w:p w:rsidR="00043311" w:rsidRPr="00E3310E" w:rsidRDefault="00043311" w:rsidP="0042130F">
      <w:pPr>
        <w:spacing w:before="0" w:line="240" w:lineRule="auto"/>
        <w:contextualSpacing/>
        <w:rPr>
          <w:rFonts w:asciiTheme="minorHAnsi" w:hAnsiTheme="minorHAnsi" w:cstheme="minorHAnsi"/>
          <w:highlight w:val="yellow"/>
        </w:rPr>
      </w:pPr>
      <w:r w:rsidRPr="00E3310E">
        <w:rPr>
          <w:rFonts w:asciiTheme="minorHAnsi" w:hAnsiTheme="minorHAnsi" w:cstheme="minorHAnsi"/>
          <w:b/>
          <w:color w:val="1F497D"/>
          <w:szCs w:val="22"/>
          <w:highlight w:val="yellow"/>
        </w:rPr>
        <w:br w:type="page"/>
      </w:r>
    </w:p>
    <w:p w:rsidR="00043311" w:rsidRPr="0016217C" w:rsidRDefault="00043311" w:rsidP="0042130F">
      <w:pPr>
        <w:pStyle w:val="TOCHeading"/>
        <w:spacing w:before="0" w:line="240" w:lineRule="auto"/>
        <w:contextualSpacing/>
        <w:rPr>
          <w:rFonts w:asciiTheme="minorHAnsi" w:hAnsiTheme="minorHAnsi" w:cstheme="minorHAnsi"/>
        </w:rPr>
      </w:pPr>
      <w:r>
        <w:rPr>
          <w:rFonts w:asciiTheme="minorHAnsi" w:hAnsiTheme="minorHAnsi" w:cstheme="minorHAnsi"/>
        </w:rPr>
        <w:lastRenderedPageBreak/>
        <w:t>LIST OF TABLES</w:t>
      </w:r>
    </w:p>
    <w:p w:rsidR="002744F3" w:rsidRPr="002744F3" w:rsidRDefault="007B447B" w:rsidP="00767078">
      <w:pPr>
        <w:pStyle w:val="TOC1"/>
        <w:tabs>
          <w:tab w:val="clear" w:pos="426"/>
          <w:tab w:val="clear" w:pos="8364"/>
          <w:tab w:val="left" w:pos="993"/>
          <w:tab w:val="right" w:leader="dot" w:pos="9072"/>
        </w:tabs>
        <w:ind w:left="993" w:right="2267" w:hanging="993"/>
        <w:rPr>
          <w:rStyle w:val="Hyperlink"/>
          <w:rFonts w:cstheme="minorHAnsi"/>
          <w:noProof/>
        </w:rPr>
      </w:pPr>
      <w:r w:rsidRPr="002744F3">
        <w:rPr>
          <w:rStyle w:val="Hyperlink"/>
          <w:rFonts w:asciiTheme="minorHAnsi" w:hAnsiTheme="minorHAnsi" w:cstheme="minorHAnsi"/>
          <w:noProof/>
          <w:szCs w:val="22"/>
        </w:rPr>
        <w:fldChar w:fldCharType="begin"/>
      </w:r>
      <w:r w:rsidR="00043311" w:rsidRPr="002744F3">
        <w:rPr>
          <w:rStyle w:val="Hyperlink"/>
          <w:rFonts w:asciiTheme="minorHAnsi" w:hAnsiTheme="minorHAnsi" w:cstheme="minorHAnsi"/>
          <w:noProof/>
          <w:szCs w:val="22"/>
        </w:rPr>
        <w:instrText xml:space="preserve"> TOC \h \z \c "Table" </w:instrText>
      </w:r>
      <w:r w:rsidRPr="002744F3">
        <w:rPr>
          <w:rStyle w:val="Hyperlink"/>
          <w:rFonts w:asciiTheme="minorHAnsi" w:hAnsiTheme="minorHAnsi" w:cstheme="minorHAnsi"/>
          <w:noProof/>
          <w:szCs w:val="22"/>
        </w:rPr>
        <w:fldChar w:fldCharType="separate"/>
      </w:r>
      <w:hyperlink w:anchor="_Toc367285384" w:history="1">
        <w:r w:rsidR="002744F3" w:rsidRPr="002744F3">
          <w:rPr>
            <w:rStyle w:val="Hyperlink"/>
            <w:rFonts w:asciiTheme="minorHAnsi" w:hAnsiTheme="minorHAnsi" w:cstheme="minorHAnsi"/>
            <w:noProof/>
            <w:szCs w:val="22"/>
          </w:rPr>
          <w:t xml:space="preserve">Table 1: </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Prevalence of youth gambling and problem gambling across different countries</w:t>
        </w:r>
        <w:r w:rsidR="002744F3" w:rsidRPr="002744F3">
          <w:rPr>
            <w:rStyle w:val="Hyperlink"/>
            <w:rFonts w:asciiTheme="minorHAnsi" w:hAnsiTheme="minorHAnsi" w:cstheme="minorHAnsi"/>
            <w:noProof/>
            <w:webHidden/>
            <w:szCs w:val="22"/>
          </w:rPr>
          <w:tab/>
        </w:r>
        <w:r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_Toc367285384 \h </w:instrText>
        </w:r>
        <w:r w:rsidRPr="002744F3">
          <w:rPr>
            <w:rStyle w:val="Hyperlink"/>
            <w:rFonts w:asciiTheme="minorHAnsi" w:hAnsiTheme="minorHAnsi" w:cstheme="minorHAnsi"/>
            <w:noProof/>
            <w:webHidden/>
            <w:szCs w:val="22"/>
          </w:rPr>
        </w:r>
        <w:r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17</w:t>
        </w:r>
        <w:r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85" w:history="1">
        <w:r w:rsidR="002744F3" w:rsidRPr="002744F3">
          <w:rPr>
            <w:rStyle w:val="Hyperlink"/>
            <w:rFonts w:asciiTheme="minorHAnsi" w:hAnsiTheme="minorHAnsi" w:cstheme="minorHAnsi"/>
            <w:noProof/>
            <w:szCs w:val="22"/>
          </w:rPr>
          <w:t xml:space="preserve">Table 2: </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The social context of gambling – who do adolescents gamble with?</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_Toc367285385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27</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86" w:history="1">
        <w:r w:rsidR="002744F3" w:rsidRPr="002744F3">
          <w:rPr>
            <w:rStyle w:val="Hyperlink"/>
            <w:rFonts w:asciiTheme="minorHAnsi" w:hAnsiTheme="minorHAnsi" w:cstheme="minorHAnsi"/>
            <w:noProof/>
            <w:szCs w:val="22"/>
          </w:rPr>
          <w:t xml:space="preserve">Table 3: </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Predictors of youth problem gambling</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_Toc367285386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34</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87" w:history="1">
        <w:r w:rsidR="002744F3" w:rsidRPr="002744F3">
          <w:rPr>
            <w:rStyle w:val="Hyperlink"/>
            <w:rFonts w:asciiTheme="minorHAnsi" w:hAnsiTheme="minorHAnsi" w:cstheme="minorHAnsi"/>
            <w:noProof/>
            <w:szCs w:val="22"/>
          </w:rPr>
          <w:t xml:space="preserve">Table 4: </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Characteristics of participating schools in Youth’12</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_Toc367285387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44</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88" w:history="1">
        <w:r w:rsidR="002744F3" w:rsidRPr="002744F3">
          <w:rPr>
            <w:rStyle w:val="Hyperlink"/>
            <w:rFonts w:asciiTheme="minorHAnsi" w:hAnsiTheme="minorHAnsi" w:cstheme="minorHAnsi"/>
            <w:noProof/>
            <w:szCs w:val="22"/>
          </w:rPr>
          <w:t xml:space="preserve">Table 5: </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Characteristics of participating students in Youth’12</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_Toc367285388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46</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89" w:history="1">
        <w:r w:rsidR="002744F3" w:rsidRPr="002744F3">
          <w:rPr>
            <w:rStyle w:val="Hyperlink"/>
            <w:rFonts w:asciiTheme="minorHAnsi" w:hAnsiTheme="minorHAnsi" w:cstheme="minorHAnsi"/>
            <w:noProof/>
            <w:szCs w:val="22"/>
          </w:rPr>
          <w:t xml:space="preserve">Table 6: </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Gambling over past year and past month (among all students; N=7813)</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_Toc367285389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55</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90" w:history="1">
        <w:r w:rsidR="002744F3" w:rsidRPr="002744F3">
          <w:rPr>
            <w:rStyle w:val="Hyperlink"/>
            <w:rFonts w:asciiTheme="minorHAnsi" w:hAnsiTheme="minorHAnsi" w:cstheme="minorHAnsi"/>
            <w:noProof/>
            <w:szCs w:val="22"/>
          </w:rPr>
          <w:t>Table 7:</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Number of gambling activities that students participated in over past 12 months (among all students; N=7813)</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_Toc367285390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57</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91" w:history="1">
        <w:r w:rsidR="002744F3" w:rsidRPr="002744F3">
          <w:rPr>
            <w:rStyle w:val="Hyperlink"/>
            <w:rFonts w:asciiTheme="minorHAnsi" w:hAnsiTheme="minorHAnsi" w:cstheme="minorHAnsi"/>
            <w:noProof/>
            <w:szCs w:val="22"/>
          </w:rPr>
          <w:t xml:space="preserve">Table 8: </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Time and money spent on gambling activities (among students who have gambled in the past 12 months; n=1882)</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_Toc367285391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58</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92" w:history="1">
        <w:r w:rsidR="002744F3" w:rsidRPr="002744F3">
          <w:rPr>
            <w:rStyle w:val="Hyperlink"/>
            <w:rFonts w:asciiTheme="minorHAnsi" w:hAnsiTheme="minorHAnsi" w:cstheme="minorHAnsi"/>
            <w:noProof/>
            <w:szCs w:val="22"/>
          </w:rPr>
          <w:t>Table 9:  Time and money spent on gambling activities – comparison of Youth’07 and Youth’12 (among students who have gambled in the past 12 months)</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_Toc367285392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59</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93" w:history="1">
        <w:r w:rsidR="002744F3" w:rsidRPr="002744F3">
          <w:rPr>
            <w:rStyle w:val="Hyperlink"/>
            <w:rFonts w:asciiTheme="minorHAnsi" w:hAnsiTheme="minorHAnsi" w:cstheme="minorHAnsi"/>
            <w:noProof/>
            <w:szCs w:val="22"/>
          </w:rPr>
          <w:t xml:space="preserve">Table 10: </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Reasons for gambling - comparison of Youth’07 and Youth’12 (among students who have gambled in the last 12 months)</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_Toc367285393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70</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94" w:history="1">
        <w:r w:rsidR="002744F3" w:rsidRPr="002744F3">
          <w:rPr>
            <w:rStyle w:val="Hyperlink"/>
            <w:rFonts w:asciiTheme="minorHAnsi" w:hAnsiTheme="minorHAnsi" w:cstheme="minorHAnsi"/>
            <w:noProof/>
            <w:szCs w:val="22"/>
          </w:rPr>
          <w:t xml:space="preserve">Table 11: </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Indicators of ‘unhealthy gambling’ – distribution and demographics (among students who have gambled in the last 12 months; N=1849)</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_Toc367285394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80</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95" w:history="1">
        <w:r w:rsidR="002744F3" w:rsidRPr="002744F3">
          <w:rPr>
            <w:rStyle w:val="Hyperlink"/>
            <w:rFonts w:asciiTheme="minorHAnsi" w:hAnsiTheme="minorHAnsi" w:cstheme="minorHAnsi"/>
            <w:noProof/>
            <w:szCs w:val="22"/>
          </w:rPr>
          <w:t xml:space="preserve">Table 12: </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Identification of variables that perform risk or protective functions for problematic gambling – logistic regressions (among students who have gambled in the last 12 months; N=1849)</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_Toc367285395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83</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96" w:history="1">
        <w:r w:rsidR="002744F3" w:rsidRPr="002744F3">
          <w:rPr>
            <w:rStyle w:val="Hyperlink"/>
            <w:rFonts w:asciiTheme="minorHAnsi" w:hAnsiTheme="minorHAnsi" w:cstheme="minorHAnsi"/>
            <w:noProof/>
            <w:szCs w:val="22"/>
          </w:rPr>
          <w:t>Table 13:</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Identification of variables that perform risk or protective functions for problematic gambling – multiple logistic regressions (among students who have gambled in the last 12 months; N=1849)</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_Toc367285396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86</w:t>
        </w:r>
        <w:r w:rsidR="007B447B" w:rsidRPr="002744F3">
          <w:rPr>
            <w:rStyle w:val="Hyperlink"/>
            <w:rFonts w:asciiTheme="minorHAnsi" w:hAnsiTheme="minorHAnsi" w:cstheme="minorHAnsi"/>
            <w:noProof/>
            <w:webHidden/>
            <w:szCs w:val="22"/>
          </w:rPr>
          <w:fldChar w:fldCharType="end"/>
        </w:r>
      </w:hyperlink>
    </w:p>
    <w:p w:rsidR="002744F3" w:rsidRPr="002744F3" w:rsidRDefault="00082F17" w:rsidP="00767078">
      <w:pPr>
        <w:pStyle w:val="TOC1"/>
        <w:tabs>
          <w:tab w:val="clear" w:pos="426"/>
          <w:tab w:val="clear" w:pos="8364"/>
          <w:tab w:val="left" w:pos="993"/>
          <w:tab w:val="right" w:leader="dot" w:pos="9072"/>
        </w:tabs>
        <w:ind w:left="993" w:right="2267" w:hanging="993"/>
        <w:rPr>
          <w:rStyle w:val="Hyperlink"/>
          <w:rFonts w:cstheme="minorHAnsi"/>
          <w:noProof/>
        </w:rPr>
      </w:pPr>
      <w:hyperlink w:anchor="_Toc367285397" w:history="1">
        <w:r w:rsidR="002744F3" w:rsidRPr="002744F3">
          <w:rPr>
            <w:rStyle w:val="Hyperlink"/>
            <w:rFonts w:asciiTheme="minorHAnsi" w:hAnsiTheme="minorHAnsi" w:cstheme="minorHAnsi"/>
            <w:noProof/>
            <w:szCs w:val="22"/>
          </w:rPr>
          <w:t xml:space="preserve">Table 14: </w:t>
        </w:r>
        <w:r w:rsidR="002744F3">
          <w:rPr>
            <w:rStyle w:val="Hyperlink"/>
            <w:rFonts w:asciiTheme="minorHAnsi" w:hAnsiTheme="minorHAnsi" w:cstheme="minorHAnsi"/>
            <w:noProof/>
            <w:szCs w:val="22"/>
          </w:rPr>
          <w:tab/>
        </w:r>
        <w:r w:rsidR="002744F3" w:rsidRPr="002744F3">
          <w:rPr>
            <w:rStyle w:val="Hyperlink"/>
            <w:rFonts w:asciiTheme="minorHAnsi" w:hAnsiTheme="minorHAnsi" w:cstheme="minorHAnsi"/>
            <w:noProof/>
            <w:szCs w:val="22"/>
          </w:rPr>
          <w:t>Risk and Protective factors for ‘unhealthy gambling’ behaviour</w:t>
        </w:r>
        <w:r w:rsidR="002744F3" w:rsidRPr="002744F3">
          <w:rPr>
            <w:rStyle w:val="Hyperlink"/>
            <w:rFonts w:asciiTheme="minorHAnsi" w:hAnsiTheme="minorHAnsi" w:cstheme="minorHAnsi"/>
            <w:noProof/>
            <w:webHidden/>
            <w:szCs w:val="22"/>
          </w:rPr>
          <w:tab/>
        </w:r>
        <w:r w:rsidR="007B447B" w:rsidRPr="002744F3">
          <w:rPr>
            <w:rStyle w:val="Hyperlink"/>
            <w:rFonts w:asciiTheme="minorHAnsi" w:hAnsiTheme="minorHAnsi" w:cstheme="minorHAnsi"/>
            <w:noProof/>
            <w:webHidden/>
            <w:szCs w:val="22"/>
          </w:rPr>
          <w:fldChar w:fldCharType="begin"/>
        </w:r>
        <w:r w:rsidR="002744F3" w:rsidRPr="002744F3">
          <w:rPr>
            <w:rStyle w:val="Hyperlink"/>
            <w:rFonts w:asciiTheme="minorHAnsi" w:hAnsiTheme="minorHAnsi" w:cstheme="minorHAnsi"/>
            <w:noProof/>
            <w:webHidden/>
            <w:szCs w:val="22"/>
          </w:rPr>
          <w:instrText xml:space="preserve"> PAGEREF _Toc367285397 \h </w:instrText>
        </w:r>
        <w:r w:rsidR="007B447B" w:rsidRPr="002744F3">
          <w:rPr>
            <w:rStyle w:val="Hyperlink"/>
            <w:rFonts w:asciiTheme="minorHAnsi" w:hAnsiTheme="minorHAnsi" w:cstheme="minorHAnsi"/>
            <w:noProof/>
            <w:webHidden/>
            <w:szCs w:val="22"/>
          </w:rPr>
        </w:r>
        <w:r w:rsidR="007B447B" w:rsidRPr="002744F3">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103</w:t>
        </w:r>
        <w:r w:rsidR="007B447B" w:rsidRPr="002744F3">
          <w:rPr>
            <w:rStyle w:val="Hyperlink"/>
            <w:rFonts w:asciiTheme="minorHAnsi" w:hAnsiTheme="minorHAnsi" w:cstheme="minorHAnsi"/>
            <w:noProof/>
            <w:webHidden/>
            <w:szCs w:val="22"/>
          </w:rPr>
          <w:fldChar w:fldCharType="end"/>
        </w:r>
      </w:hyperlink>
    </w:p>
    <w:p w:rsidR="00043311" w:rsidRPr="00002E00" w:rsidRDefault="007B447B" w:rsidP="00767078">
      <w:pPr>
        <w:pStyle w:val="TOC1"/>
        <w:tabs>
          <w:tab w:val="clear" w:pos="426"/>
          <w:tab w:val="clear" w:pos="8364"/>
          <w:tab w:val="left" w:pos="993"/>
          <w:tab w:val="right" w:leader="dot" w:pos="9072"/>
        </w:tabs>
        <w:ind w:left="993" w:right="2267" w:hanging="993"/>
        <w:rPr>
          <w:rStyle w:val="Hyperlink"/>
          <w:rFonts w:cstheme="minorHAnsi"/>
        </w:rPr>
      </w:pPr>
      <w:r w:rsidRPr="002744F3">
        <w:rPr>
          <w:rStyle w:val="Hyperlink"/>
          <w:rFonts w:asciiTheme="minorHAnsi" w:hAnsiTheme="minorHAnsi" w:cstheme="minorHAnsi"/>
          <w:noProof/>
          <w:szCs w:val="22"/>
        </w:rPr>
        <w:fldChar w:fldCharType="end"/>
      </w:r>
    </w:p>
    <w:p w:rsidR="00043311" w:rsidRPr="00E3310E" w:rsidRDefault="00043311">
      <w:pPr>
        <w:spacing w:before="0" w:line="240" w:lineRule="auto"/>
        <w:jc w:val="left"/>
        <w:rPr>
          <w:rFonts w:asciiTheme="minorHAnsi" w:hAnsiTheme="minorHAnsi" w:cstheme="minorHAnsi"/>
          <w:b/>
          <w:color w:val="1F497D"/>
          <w:szCs w:val="22"/>
          <w:highlight w:val="yellow"/>
        </w:rPr>
      </w:pPr>
    </w:p>
    <w:p w:rsidR="00043311" w:rsidRDefault="00043311" w:rsidP="009970B6">
      <w:pPr>
        <w:spacing w:before="0" w:line="240" w:lineRule="auto"/>
        <w:jc w:val="left"/>
        <w:rPr>
          <w:rFonts w:asciiTheme="minorHAnsi" w:hAnsiTheme="minorHAnsi" w:cstheme="minorHAnsi"/>
          <w:b/>
          <w:bCs/>
          <w:color w:val="365F91"/>
          <w:sz w:val="28"/>
          <w:szCs w:val="28"/>
          <w:lang w:val="en-US"/>
        </w:rPr>
      </w:pPr>
      <w:r>
        <w:rPr>
          <w:rFonts w:asciiTheme="minorHAnsi" w:hAnsiTheme="minorHAnsi" w:cstheme="minorHAnsi"/>
        </w:rPr>
        <w:br w:type="page"/>
      </w:r>
    </w:p>
    <w:p w:rsidR="00043311" w:rsidRPr="00CA7D7A" w:rsidRDefault="00043311" w:rsidP="0042130F">
      <w:pPr>
        <w:pStyle w:val="TOCHeading"/>
        <w:spacing w:before="0" w:line="240" w:lineRule="auto"/>
        <w:contextualSpacing/>
        <w:rPr>
          <w:rFonts w:asciiTheme="minorHAnsi" w:hAnsiTheme="minorHAnsi" w:cstheme="minorHAnsi"/>
        </w:rPr>
      </w:pPr>
      <w:r>
        <w:rPr>
          <w:rFonts w:asciiTheme="minorHAnsi" w:hAnsiTheme="minorHAnsi" w:cstheme="minorHAnsi"/>
        </w:rPr>
        <w:lastRenderedPageBreak/>
        <w:t>LIST OF FIGURES</w:t>
      </w:r>
    </w:p>
    <w:p w:rsidR="001B5341" w:rsidRPr="001B5341" w:rsidRDefault="007B447B" w:rsidP="001B5341">
      <w:pPr>
        <w:pStyle w:val="TOC1"/>
        <w:tabs>
          <w:tab w:val="clear" w:pos="426"/>
          <w:tab w:val="clear" w:pos="8364"/>
          <w:tab w:val="left" w:pos="993"/>
          <w:tab w:val="right" w:leader="dot" w:pos="9072"/>
        </w:tabs>
        <w:ind w:left="993" w:right="2267" w:hanging="993"/>
        <w:rPr>
          <w:rStyle w:val="Hyperlink"/>
          <w:rFonts w:cstheme="minorHAnsi"/>
          <w:noProof/>
        </w:rPr>
      </w:pPr>
      <w:r w:rsidRPr="0016217C">
        <w:rPr>
          <w:rStyle w:val="Hyperlink"/>
          <w:rFonts w:cstheme="minorHAnsi"/>
        </w:rPr>
        <w:fldChar w:fldCharType="begin"/>
      </w:r>
      <w:r w:rsidR="00043311" w:rsidRPr="0016217C">
        <w:rPr>
          <w:rStyle w:val="Hyperlink"/>
          <w:rFonts w:cstheme="minorHAnsi"/>
        </w:rPr>
        <w:instrText xml:space="preserve"> TOC \h \z \c "Figure" </w:instrText>
      </w:r>
      <w:r w:rsidRPr="0016217C">
        <w:rPr>
          <w:rStyle w:val="Hyperlink"/>
          <w:rFonts w:cstheme="minorHAnsi"/>
        </w:rPr>
        <w:fldChar w:fldCharType="separate"/>
      </w:r>
      <w:hyperlink w:anchor="_Toc367285517" w:history="1">
        <w:r w:rsidR="001B5341" w:rsidRPr="001B5341">
          <w:rPr>
            <w:rStyle w:val="Hyperlink"/>
            <w:rFonts w:asciiTheme="minorHAnsi" w:hAnsiTheme="minorHAnsi" w:cstheme="minorHAnsi"/>
            <w:noProof/>
            <w:szCs w:val="22"/>
          </w:rPr>
          <w:t xml:space="preserve">Figure 1: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Flowchart of Youth’12 gambling questions</w:t>
        </w:r>
        <w:r w:rsidR="001B5341" w:rsidRPr="001B5341">
          <w:rPr>
            <w:rStyle w:val="Hyperlink"/>
            <w:rFonts w:asciiTheme="minorHAnsi" w:hAnsiTheme="minorHAnsi" w:cstheme="minorHAnsi"/>
            <w:noProof/>
            <w:webHidden/>
            <w:szCs w:val="22"/>
          </w:rPr>
          <w:tab/>
        </w:r>
        <w:r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_Toc367285517 \h </w:instrText>
        </w:r>
        <w:r w:rsidRPr="001B5341">
          <w:rPr>
            <w:rStyle w:val="Hyperlink"/>
            <w:rFonts w:asciiTheme="minorHAnsi" w:hAnsiTheme="minorHAnsi" w:cstheme="minorHAnsi"/>
            <w:noProof/>
            <w:webHidden/>
            <w:szCs w:val="22"/>
          </w:rPr>
        </w:r>
        <w:r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50</w:t>
        </w:r>
        <w:r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18" w:history="1">
        <w:r w:rsidR="001B5341" w:rsidRPr="001B5341">
          <w:rPr>
            <w:rStyle w:val="Hyperlink"/>
            <w:rFonts w:asciiTheme="minorHAnsi" w:hAnsiTheme="minorHAnsi" w:cstheme="minorHAnsi"/>
            <w:noProof/>
            <w:szCs w:val="22"/>
          </w:rPr>
          <w:t xml:space="preserve">Figure 2: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 xml:space="preserve">Types of gambling that students participated in over past 12 months (among all students; N=7813) </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_Toc367285518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56</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19" w:history="1">
        <w:r w:rsidR="001B5341" w:rsidRPr="001B5341">
          <w:rPr>
            <w:rStyle w:val="Hyperlink"/>
            <w:rFonts w:asciiTheme="minorHAnsi" w:hAnsiTheme="minorHAnsi" w:cstheme="minorHAnsi"/>
            <w:noProof/>
            <w:szCs w:val="22"/>
          </w:rPr>
          <w:t xml:space="preserve">Figure 3: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 xml:space="preserve">When you do these activities or gamble, who do you usually do it with? (among students who have gambled in the past 12 months; N=1,975) </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_Toc367285519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60</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20" w:history="1">
        <w:r w:rsidR="001B5341" w:rsidRPr="001B5341">
          <w:rPr>
            <w:rStyle w:val="Hyperlink"/>
            <w:rFonts w:asciiTheme="minorHAnsi" w:hAnsiTheme="minorHAnsi" w:cstheme="minorHAnsi"/>
            <w:noProof/>
            <w:szCs w:val="22"/>
          </w:rPr>
          <w:t xml:space="preserve">Figure 4: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Worried about the amount of time or money spent gambling by neighbourhood deprivation (among students who have gambled in the last 12 months; N=2077)</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_Toc367285520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63</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21" w:history="1">
        <w:r w:rsidR="001B5341" w:rsidRPr="001B5341">
          <w:rPr>
            <w:rStyle w:val="Hyperlink"/>
            <w:rFonts w:asciiTheme="minorHAnsi" w:hAnsiTheme="minorHAnsi" w:cstheme="minorHAnsi"/>
            <w:noProof/>
            <w:szCs w:val="22"/>
          </w:rPr>
          <w:t xml:space="preserve">Figure 5: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Have tried to cut down or give up gambling by neighbourhood deprivation (among students who have gambled in the last 12 months; N=2069)</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_Toc367285521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63</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22" w:history="1">
        <w:r w:rsidR="001B5341" w:rsidRPr="001B5341">
          <w:rPr>
            <w:rStyle w:val="Hyperlink"/>
            <w:rFonts w:asciiTheme="minorHAnsi" w:hAnsiTheme="minorHAnsi" w:cstheme="minorHAnsi"/>
            <w:noProof/>
            <w:szCs w:val="22"/>
          </w:rPr>
          <w:t xml:space="preserve">Figure 6: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 xml:space="preserve">Comparison of rates of students who are worried about / have tried to cut down on activities (among students who have participated in each activity </w:t>
        </w:r>
        <w:r w:rsidR="00B64952">
          <w:rPr>
            <w:rStyle w:val="Hyperlink"/>
            <w:rFonts w:asciiTheme="minorHAnsi" w:hAnsiTheme="minorHAnsi" w:cstheme="minorHAnsi"/>
            <w:noProof/>
            <w:szCs w:val="22"/>
          </w:rPr>
          <w:t>in the last 12 months</w:t>
        </w:r>
        <w:r w:rsidR="001B5341" w:rsidRPr="001B5341">
          <w:rPr>
            <w:rStyle w:val="Hyperlink"/>
            <w:rFonts w:asciiTheme="minorHAnsi" w:hAnsiTheme="minorHAnsi" w:cstheme="minorHAnsi"/>
            <w:noProof/>
            <w:szCs w:val="22"/>
          </w:rPr>
          <w:t>)</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_Toc367285522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64</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23" w:history="1">
        <w:r w:rsidR="001B5341" w:rsidRPr="001B5341">
          <w:rPr>
            <w:rStyle w:val="Hyperlink"/>
            <w:rFonts w:asciiTheme="minorHAnsi" w:hAnsiTheme="minorHAnsi" w:cstheme="minorHAnsi"/>
            <w:noProof/>
            <w:szCs w:val="22"/>
          </w:rPr>
          <w:t>Figure 7:</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 xml:space="preserve">If you had problems or concerns because of your gambling, who would you go to for help? (among students who have gambled in the last 12 months; N=2012) </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_Toc367285523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65</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24" w:history="1">
        <w:r w:rsidR="001B5341" w:rsidRPr="001B5341">
          <w:rPr>
            <w:rStyle w:val="Hyperlink"/>
            <w:rFonts w:asciiTheme="minorHAnsi" w:hAnsiTheme="minorHAnsi" w:cstheme="minorHAnsi"/>
            <w:noProof/>
            <w:szCs w:val="22"/>
          </w:rPr>
          <w:t xml:space="preserve">Figure 8: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 xml:space="preserve">Which of these is it okay for people your age to play or do regularly? (among all students; N=8027) </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_Toc367285524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67</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25" w:history="1">
        <w:r w:rsidR="001B5341" w:rsidRPr="001B5341">
          <w:rPr>
            <w:rStyle w:val="Hyperlink"/>
            <w:rFonts w:asciiTheme="minorHAnsi" w:hAnsiTheme="minorHAnsi" w:cstheme="minorHAnsi"/>
            <w:noProof/>
            <w:szCs w:val="22"/>
          </w:rPr>
          <w:t xml:space="preserve">Figure 9: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 xml:space="preserve">Reasons for gambling (among students who have gambled in the last 12 months; N=2091) </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_Toc367285525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69</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26" w:history="1">
        <w:r w:rsidR="001B5341" w:rsidRPr="001B5341">
          <w:rPr>
            <w:rStyle w:val="Hyperlink"/>
            <w:rFonts w:asciiTheme="minorHAnsi" w:hAnsiTheme="minorHAnsi" w:cstheme="minorHAnsi"/>
            <w:noProof/>
            <w:szCs w:val="22"/>
          </w:rPr>
          <w:t xml:space="preserve">Figure 10: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 xml:space="preserve">Activities that students’ friends and parents gamble on (among all students; friends gambling N=7934, parents gambling N=8029) </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_Toc367285526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73</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27" w:history="1">
        <w:r w:rsidR="001B5341" w:rsidRPr="001B5341">
          <w:rPr>
            <w:rStyle w:val="Hyperlink"/>
            <w:rFonts w:asciiTheme="minorHAnsi" w:hAnsiTheme="minorHAnsi" w:cstheme="minorHAnsi"/>
            <w:noProof/>
            <w:szCs w:val="22"/>
          </w:rPr>
          <w:t xml:space="preserve">Figure 11: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Ever worry or feel anxious about how much money or time other people you live with spend gambling? (among students who have gambled in the last 12 months; N=2072)</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_Toc367285527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74</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28" w:history="1">
        <w:r w:rsidR="001B5341" w:rsidRPr="001B5341">
          <w:rPr>
            <w:rStyle w:val="Hyperlink"/>
            <w:rFonts w:asciiTheme="minorHAnsi" w:hAnsiTheme="minorHAnsi" w:cstheme="minorHAnsi"/>
            <w:noProof/>
            <w:szCs w:val="22"/>
          </w:rPr>
          <w:t xml:space="preserve">Figure 12: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Ever worry or feel anxious about how much money or time other people you live with spend gambling – by neighbourhood deprivation (among students who have gambled in the last 12 months; N=2072)</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_Toc367285528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74</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29" w:history="1">
        <w:r w:rsidR="001B5341" w:rsidRPr="001B5341">
          <w:rPr>
            <w:rStyle w:val="Hyperlink"/>
            <w:rFonts w:asciiTheme="minorHAnsi" w:hAnsiTheme="minorHAnsi" w:cstheme="minorHAnsi"/>
            <w:noProof/>
            <w:szCs w:val="22"/>
          </w:rPr>
          <w:t xml:space="preserve">Figure 13: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How many times in the past 12 months have these things happened in your family because of someone else’s gambling (among all students; N=7860)</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_Toc367285529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76</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30" w:history="1">
        <w:r w:rsidR="001B5341" w:rsidRPr="001B5341">
          <w:rPr>
            <w:rStyle w:val="Hyperlink"/>
            <w:rFonts w:asciiTheme="minorHAnsi" w:hAnsiTheme="minorHAnsi" w:cstheme="minorHAnsi"/>
            <w:noProof/>
            <w:szCs w:val="22"/>
          </w:rPr>
          <w:t xml:space="preserve">Figure 14: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Impacts of someone else’s gambling by neighbourhood deprivation (among all students; N=7860)</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_Toc367285530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76</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31" w:history="1">
        <w:r w:rsidR="001B5341" w:rsidRPr="001B5341">
          <w:rPr>
            <w:rStyle w:val="Hyperlink"/>
            <w:rFonts w:asciiTheme="minorHAnsi" w:hAnsiTheme="minorHAnsi" w:cstheme="minorHAnsi"/>
            <w:noProof/>
            <w:szCs w:val="22"/>
          </w:rPr>
          <w:t xml:space="preserve">Figure 15: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Gambling over past year and past month for Māori and NZ European students (among all Māori and NZ European students; n=5344)</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_Toc367285531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90</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32" w:history="1">
        <w:r w:rsidR="001B5341" w:rsidRPr="001B5341">
          <w:rPr>
            <w:rStyle w:val="Hyperlink"/>
            <w:rFonts w:asciiTheme="minorHAnsi" w:hAnsiTheme="minorHAnsi" w:cstheme="minorHAnsi"/>
            <w:noProof/>
            <w:szCs w:val="22"/>
          </w:rPr>
          <w:t xml:space="preserve">Figure 16: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Socioeconomic deprivation and gambling (among all Māori students; n=428)</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_Toc367285532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91</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33" w:history="1">
        <w:r w:rsidR="001B5341" w:rsidRPr="001B5341">
          <w:rPr>
            <w:rStyle w:val="Hyperlink"/>
            <w:rFonts w:asciiTheme="minorHAnsi" w:hAnsiTheme="minorHAnsi" w:cstheme="minorHAnsi"/>
            <w:noProof/>
            <w:szCs w:val="22"/>
          </w:rPr>
          <w:t xml:space="preserve">Figure 17: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Gambling over past year and past month for Pacific and NZ European students (among all Pacific and NZ European students; n=4859)</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_Toc367285533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93</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34" w:history="1">
        <w:r w:rsidR="001B5341" w:rsidRPr="001B5341">
          <w:rPr>
            <w:rStyle w:val="Hyperlink"/>
            <w:rFonts w:asciiTheme="minorHAnsi" w:hAnsiTheme="minorHAnsi" w:cstheme="minorHAnsi"/>
            <w:noProof/>
            <w:szCs w:val="22"/>
          </w:rPr>
          <w:t xml:space="preserve">Figure 18: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Socioeconomic deprivation and gambling (among all Pacific students; n=309)</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_Toc367285534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94</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35" w:history="1">
        <w:r w:rsidR="001B5341" w:rsidRPr="001B5341">
          <w:rPr>
            <w:rStyle w:val="Hyperlink"/>
            <w:rFonts w:asciiTheme="minorHAnsi" w:hAnsiTheme="minorHAnsi" w:cstheme="minorHAnsi"/>
            <w:noProof/>
            <w:szCs w:val="22"/>
          </w:rPr>
          <w:t xml:space="preserve">Figure 19: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Gambling over past year and past month for Asian and NZ European students (among all Asian and NZ European students; n=4835)</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_Toc367285535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97</w:t>
        </w:r>
        <w:r w:rsidR="007B447B" w:rsidRPr="001B5341">
          <w:rPr>
            <w:rStyle w:val="Hyperlink"/>
            <w:rFonts w:asciiTheme="minorHAnsi" w:hAnsiTheme="minorHAnsi" w:cstheme="minorHAnsi"/>
            <w:noProof/>
            <w:webHidden/>
            <w:szCs w:val="22"/>
          </w:rPr>
          <w:fldChar w:fldCharType="end"/>
        </w:r>
      </w:hyperlink>
    </w:p>
    <w:p w:rsidR="001B5341" w:rsidRPr="001B5341" w:rsidRDefault="00082F17" w:rsidP="001B5341">
      <w:pPr>
        <w:pStyle w:val="TOC1"/>
        <w:tabs>
          <w:tab w:val="clear" w:pos="426"/>
          <w:tab w:val="clear" w:pos="8364"/>
          <w:tab w:val="left" w:pos="993"/>
          <w:tab w:val="right" w:leader="dot" w:pos="9072"/>
        </w:tabs>
        <w:ind w:left="993" w:right="2267" w:hanging="993"/>
        <w:rPr>
          <w:rStyle w:val="Hyperlink"/>
          <w:rFonts w:cstheme="minorHAnsi"/>
          <w:noProof/>
        </w:rPr>
      </w:pPr>
      <w:hyperlink w:anchor="_Toc367285536" w:history="1">
        <w:r w:rsidR="001B5341" w:rsidRPr="001B5341">
          <w:rPr>
            <w:rStyle w:val="Hyperlink"/>
            <w:rFonts w:asciiTheme="minorHAnsi" w:hAnsiTheme="minorHAnsi" w:cstheme="minorHAnsi"/>
            <w:noProof/>
            <w:szCs w:val="22"/>
          </w:rPr>
          <w:t xml:space="preserve">Figure 20: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Socioeconomic deprivation and gambling (among all Asian students; n=233)</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_Toc367285536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98</w:t>
        </w:r>
        <w:r w:rsidR="007B447B" w:rsidRPr="001B5341">
          <w:rPr>
            <w:rStyle w:val="Hyperlink"/>
            <w:rFonts w:asciiTheme="minorHAnsi" w:hAnsiTheme="minorHAnsi" w:cstheme="minorHAnsi"/>
            <w:noProof/>
            <w:webHidden/>
            <w:szCs w:val="22"/>
          </w:rPr>
          <w:fldChar w:fldCharType="end"/>
        </w:r>
      </w:hyperlink>
    </w:p>
    <w:p w:rsidR="001B5341" w:rsidRDefault="00082F17" w:rsidP="001B5341">
      <w:pPr>
        <w:pStyle w:val="TOC1"/>
        <w:tabs>
          <w:tab w:val="clear" w:pos="426"/>
          <w:tab w:val="clear" w:pos="8364"/>
          <w:tab w:val="left" w:pos="993"/>
          <w:tab w:val="right" w:leader="dot" w:pos="9072"/>
        </w:tabs>
        <w:ind w:left="993" w:right="2267" w:hanging="993"/>
        <w:rPr>
          <w:rFonts w:asciiTheme="minorHAnsi" w:eastAsiaTheme="minorEastAsia" w:hAnsiTheme="minorHAnsi" w:cstheme="minorBidi"/>
          <w:noProof/>
          <w:szCs w:val="22"/>
          <w:lang w:eastAsia="en-NZ"/>
        </w:rPr>
      </w:pPr>
      <w:hyperlink w:anchor="_Toc367285537" w:history="1">
        <w:r w:rsidR="001B5341" w:rsidRPr="001B5341">
          <w:rPr>
            <w:rStyle w:val="Hyperlink"/>
            <w:rFonts w:asciiTheme="minorHAnsi" w:hAnsiTheme="minorHAnsi" w:cstheme="minorHAnsi"/>
            <w:noProof/>
            <w:szCs w:val="22"/>
          </w:rPr>
          <w:t xml:space="preserve">Figure 21:  </w:t>
        </w:r>
        <w:r w:rsidR="001B5341">
          <w:rPr>
            <w:rStyle w:val="Hyperlink"/>
            <w:rFonts w:asciiTheme="minorHAnsi" w:hAnsiTheme="minorHAnsi" w:cstheme="minorHAnsi"/>
            <w:noProof/>
            <w:szCs w:val="22"/>
          </w:rPr>
          <w:tab/>
        </w:r>
        <w:r w:rsidR="001B5341" w:rsidRPr="001B5341">
          <w:rPr>
            <w:rStyle w:val="Hyperlink"/>
            <w:rFonts w:asciiTheme="minorHAnsi" w:hAnsiTheme="minorHAnsi" w:cstheme="minorHAnsi"/>
            <w:noProof/>
            <w:szCs w:val="22"/>
          </w:rPr>
          <w:t>Risk Factors for ‘unhealthy gambling’ behaviour amongst youth</w:t>
        </w:r>
        <w:r w:rsidR="001B5341" w:rsidRPr="001B5341">
          <w:rPr>
            <w:rStyle w:val="Hyperlink"/>
            <w:rFonts w:asciiTheme="minorHAnsi" w:hAnsiTheme="minorHAnsi" w:cstheme="minorHAnsi"/>
            <w:noProof/>
            <w:webHidden/>
            <w:szCs w:val="22"/>
          </w:rPr>
          <w:tab/>
        </w:r>
        <w:r w:rsidR="007B447B" w:rsidRPr="001B5341">
          <w:rPr>
            <w:rStyle w:val="Hyperlink"/>
            <w:rFonts w:asciiTheme="minorHAnsi" w:hAnsiTheme="minorHAnsi" w:cstheme="minorHAnsi"/>
            <w:noProof/>
            <w:webHidden/>
            <w:szCs w:val="22"/>
          </w:rPr>
          <w:fldChar w:fldCharType="begin"/>
        </w:r>
        <w:r w:rsidR="001B5341" w:rsidRPr="001B5341">
          <w:rPr>
            <w:rStyle w:val="Hyperlink"/>
            <w:rFonts w:asciiTheme="minorHAnsi" w:hAnsiTheme="minorHAnsi" w:cstheme="minorHAnsi"/>
            <w:noProof/>
            <w:webHidden/>
            <w:szCs w:val="22"/>
          </w:rPr>
          <w:instrText xml:space="preserve"> PAGEREF _Toc367285537 \h </w:instrText>
        </w:r>
        <w:r w:rsidR="007B447B" w:rsidRPr="001B5341">
          <w:rPr>
            <w:rStyle w:val="Hyperlink"/>
            <w:rFonts w:asciiTheme="minorHAnsi" w:hAnsiTheme="minorHAnsi" w:cstheme="minorHAnsi"/>
            <w:noProof/>
            <w:webHidden/>
            <w:szCs w:val="22"/>
          </w:rPr>
        </w:r>
        <w:r w:rsidR="007B447B" w:rsidRPr="001B5341">
          <w:rPr>
            <w:rStyle w:val="Hyperlink"/>
            <w:rFonts w:asciiTheme="minorHAnsi" w:hAnsiTheme="minorHAnsi" w:cstheme="minorHAnsi"/>
            <w:noProof/>
            <w:webHidden/>
            <w:szCs w:val="22"/>
          </w:rPr>
          <w:fldChar w:fldCharType="separate"/>
        </w:r>
        <w:r w:rsidR="00734D8D">
          <w:rPr>
            <w:rStyle w:val="Hyperlink"/>
            <w:rFonts w:asciiTheme="minorHAnsi" w:hAnsiTheme="minorHAnsi" w:cstheme="minorHAnsi"/>
            <w:noProof/>
            <w:webHidden/>
            <w:szCs w:val="22"/>
          </w:rPr>
          <w:t>104</w:t>
        </w:r>
        <w:r w:rsidR="007B447B" w:rsidRPr="001B5341">
          <w:rPr>
            <w:rStyle w:val="Hyperlink"/>
            <w:rFonts w:asciiTheme="minorHAnsi" w:hAnsiTheme="minorHAnsi" w:cstheme="minorHAnsi"/>
            <w:noProof/>
            <w:webHidden/>
            <w:szCs w:val="22"/>
          </w:rPr>
          <w:fldChar w:fldCharType="end"/>
        </w:r>
      </w:hyperlink>
    </w:p>
    <w:p w:rsidR="00043311" w:rsidRPr="00114BEA" w:rsidRDefault="007B447B" w:rsidP="00CD36A0">
      <w:pPr>
        <w:pStyle w:val="TOC2"/>
        <w:rPr>
          <w:rStyle w:val="Hyperlink"/>
          <w:rFonts w:cstheme="minorHAnsi"/>
        </w:rPr>
      </w:pPr>
      <w:r w:rsidRPr="0016217C">
        <w:rPr>
          <w:rStyle w:val="Hyperlink"/>
          <w:rFonts w:cstheme="minorHAnsi"/>
        </w:rPr>
        <w:fldChar w:fldCharType="end"/>
      </w:r>
    </w:p>
    <w:p w:rsidR="00043311" w:rsidRPr="00E3310E" w:rsidRDefault="00043311" w:rsidP="0042130F">
      <w:pPr>
        <w:pStyle w:val="Heading1"/>
        <w:numPr>
          <w:ilvl w:val="0"/>
          <w:numId w:val="0"/>
        </w:numPr>
        <w:spacing w:line="360" w:lineRule="auto"/>
        <w:ind w:right="22"/>
        <w:rPr>
          <w:rFonts w:asciiTheme="minorHAnsi" w:hAnsiTheme="minorHAnsi" w:cstheme="minorHAnsi"/>
          <w:szCs w:val="22"/>
        </w:rPr>
      </w:pPr>
      <w:bookmarkStart w:id="0" w:name="_Toc294258158"/>
      <w:bookmarkStart w:id="1" w:name="_Toc367284390"/>
      <w:bookmarkStart w:id="2" w:name="_Toc185663783"/>
      <w:r w:rsidRPr="005A3AE1">
        <w:rPr>
          <w:rFonts w:asciiTheme="minorHAnsi" w:hAnsiTheme="minorHAnsi" w:cstheme="minorHAnsi"/>
          <w:caps w:val="0"/>
          <w:szCs w:val="22"/>
        </w:rPr>
        <w:lastRenderedPageBreak/>
        <w:t>EXECUTIVE SUMMARY</w:t>
      </w:r>
      <w:bookmarkEnd w:id="0"/>
      <w:bookmarkEnd w:id="1"/>
    </w:p>
    <w:p w:rsidR="00043311" w:rsidRPr="00E61FEB" w:rsidRDefault="00043311" w:rsidP="0042130F">
      <w:pPr>
        <w:spacing w:line="360" w:lineRule="auto"/>
        <w:rPr>
          <w:rFonts w:asciiTheme="minorHAnsi" w:hAnsiTheme="minorHAnsi" w:cstheme="minorHAnsi"/>
        </w:rPr>
      </w:pPr>
      <w:bookmarkStart w:id="3" w:name="_Toc366141087"/>
      <w:bookmarkStart w:id="4" w:name="_Toc366141284"/>
      <w:bookmarkStart w:id="5" w:name="_Toc366141855"/>
      <w:bookmarkStart w:id="6" w:name="_Toc366155111"/>
      <w:bookmarkStart w:id="7" w:name="_Toc366157370"/>
      <w:r w:rsidRPr="00E61FEB">
        <w:rPr>
          <w:rFonts w:asciiTheme="minorHAnsi" w:hAnsiTheme="minorHAnsi" w:cstheme="minorHAnsi"/>
        </w:rPr>
        <w:t>Gambling is a widely available activity in today’s society and for some, gambling causes significant harm.  There is limited data and very little</w:t>
      </w:r>
      <w:r w:rsidR="00E547A4">
        <w:rPr>
          <w:rFonts w:asciiTheme="minorHAnsi" w:hAnsiTheme="minorHAnsi" w:cstheme="minorHAnsi"/>
        </w:rPr>
        <w:t xml:space="preserve"> information</w:t>
      </w:r>
      <w:r w:rsidRPr="00E61FEB">
        <w:rPr>
          <w:rFonts w:asciiTheme="minorHAnsi" w:hAnsiTheme="minorHAnsi" w:cstheme="minorHAnsi"/>
        </w:rPr>
        <w:t xml:space="preserve"> about you</w:t>
      </w:r>
      <w:r w:rsidR="00E547A4">
        <w:rPr>
          <w:rFonts w:asciiTheme="minorHAnsi" w:hAnsiTheme="minorHAnsi" w:cstheme="minorHAnsi"/>
        </w:rPr>
        <w:t>th</w:t>
      </w:r>
      <w:r w:rsidRPr="00E61FEB">
        <w:rPr>
          <w:rFonts w:asciiTheme="minorHAnsi" w:hAnsiTheme="minorHAnsi" w:cstheme="minorHAnsi"/>
        </w:rPr>
        <w:t xml:space="preserve"> </w:t>
      </w:r>
      <w:r w:rsidR="00E547A4" w:rsidRPr="00E61FEB">
        <w:rPr>
          <w:rFonts w:asciiTheme="minorHAnsi" w:hAnsiTheme="minorHAnsi" w:cstheme="minorHAnsi"/>
        </w:rPr>
        <w:t xml:space="preserve">gambling </w:t>
      </w:r>
      <w:r w:rsidRPr="00E61FEB">
        <w:rPr>
          <w:rFonts w:asciiTheme="minorHAnsi" w:hAnsiTheme="minorHAnsi" w:cstheme="minorHAnsi"/>
        </w:rPr>
        <w:t xml:space="preserve">in New Zealand.  This report presents findings </w:t>
      </w:r>
      <w:r w:rsidR="006B70CA">
        <w:rPr>
          <w:rFonts w:asciiTheme="minorHAnsi" w:hAnsiTheme="minorHAnsi" w:cstheme="minorHAnsi"/>
        </w:rPr>
        <w:t>on youth gambling f</w:t>
      </w:r>
      <w:r w:rsidRPr="00E61FEB">
        <w:rPr>
          <w:rFonts w:asciiTheme="minorHAnsi" w:hAnsiTheme="minorHAnsi" w:cstheme="minorHAnsi"/>
        </w:rPr>
        <w:t>rom Youth’12, the third national health and wellbeing survey of secondary school students in New Zealand. The information presented in this report was provided by 8,500 students</w:t>
      </w:r>
      <w:r w:rsidR="00F64383">
        <w:rPr>
          <w:rFonts w:asciiTheme="minorHAnsi" w:hAnsiTheme="minorHAnsi" w:cstheme="minorHAnsi"/>
        </w:rPr>
        <w:t xml:space="preserve"> (Y</w:t>
      </w:r>
      <w:r w:rsidR="00082F17">
        <w:rPr>
          <w:rFonts w:asciiTheme="minorHAnsi" w:hAnsiTheme="minorHAnsi" w:cstheme="minorHAnsi"/>
        </w:rPr>
        <w:t>ears 9</w:t>
      </w:r>
      <w:bookmarkStart w:id="8" w:name="_GoBack"/>
      <w:bookmarkEnd w:id="8"/>
      <w:r w:rsidR="00082F17">
        <w:rPr>
          <w:rFonts w:asciiTheme="minorHAnsi" w:hAnsiTheme="minorHAnsi" w:cstheme="minorHAnsi"/>
        </w:rPr>
        <w:t xml:space="preserve"> to 13</w:t>
      </w:r>
      <w:r w:rsidR="00BD4AEC">
        <w:rPr>
          <w:rFonts w:asciiTheme="minorHAnsi" w:hAnsiTheme="minorHAnsi" w:cstheme="minorHAnsi"/>
        </w:rPr>
        <w:t>;</w:t>
      </w:r>
      <w:r w:rsidR="00F64383">
        <w:rPr>
          <w:rFonts w:asciiTheme="minorHAnsi" w:hAnsiTheme="minorHAnsi" w:cstheme="minorHAnsi"/>
        </w:rPr>
        <w:t xml:space="preserve"> 13 to 17 years of age)</w:t>
      </w:r>
      <w:r w:rsidRPr="00E61FEB">
        <w:rPr>
          <w:rFonts w:asciiTheme="minorHAnsi" w:hAnsiTheme="minorHAnsi" w:cstheme="minorHAnsi"/>
        </w:rPr>
        <w:t xml:space="preserve"> who took part in the survey.  The report also includes findings from the 2007 national survey (the first national survey took place in 2001 but this did not include questions about gambling).</w:t>
      </w:r>
      <w:r w:rsidR="006B70CA">
        <w:rPr>
          <w:rFonts w:asciiTheme="minorHAnsi" w:hAnsiTheme="minorHAnsi" w:cstheme="minorHAnsi"/>
        </w:rPr>
        <w:t xml:space="preserve"> </w:t>
      </w:r>
      <w:r w:rsidR="00D955ED">
        <w:rPr>
          <w:rFonts w:asciiTheme="minorHAnsi" w:hAnsiTheme="minorHAnsi" w:cstheme="minorHAnsi"/>
        </w:rPr>
        <w:t>For the purpose of this study, gambling was defined as having bet precious things for money on an activity.</w:t>
      </w:r>
    </w:p>
    <w:p w:rsidR="00043311" w:rsidRPr="00E61FEB" w:rsidRDefault="00043311" w:rsidP="0042130F">
      <w:pPr>
        <w:pStyle w:val="Heading2"/>
        <w:numPr>
          <w:ilvl w:val="0"/>
          <w:numId w:val="0"/>
        </w:numPr>
        <w:spacing w:line="360" w:lineRule="auto"/>
        <w:ind w:left="576" w:hanging="576"/>
      </w:pPr>
      <w:bookmarkStart w:id="9" w:name="_Toc366674837"/>
      <w:bookmarkStart w:id="10" w:name="_Toc366678546"/>
      <w:bookmarkStart w:id="11" w:name="_Toc367284391"/>
      <w:r w:rsidRPr="00E61FEB">
        <w:t>A significant minority of secondary school students are involved in gambling</w:t>
      </w:r>
      <w:bookmarkEnd w:id="9"/>
      <w:bookmarkEnd w:id="10"/>
      <w:bookmarkEnd w:id="11"/>
    </w:p>
    <w:p w:rsidR="000A5393" w:rsidRPr="00E61FEB" w:rsidRDefault="00043311" w:rsidP="0042130F">
      <w:pPr>
        <w:spacing w:line="360" w:lineRule="auto"/>
        <w:rPr>
          <w:rFonts w:asciiTheme="minorHAnsi" w:hAnsiTheme="minorHAnsi" w:cstheme="minorHAnsi"/>
        </w:rPr>
      </w:pPr>
      <w:r w:rsidRPr="00E61FEB">
        <w:rPr>
          <w:rFonts w:asciiTheme="minorHAnsi" w:hAnsiTheme="minorHAnsi" w:cstheme="minorHAnsi"/>
        </w:rPr>
        <w:t xml:space="preserve">Approximately 24% of students had gambled in the last 12 months and 10% had gambled in the last four weeks.  This was higher amongst males. The most common gambling activities were “Bets with friends or family”, “Instant Kiwi (scratchies)”, and “Cards or coin games (e.g. poker)”. </w:t>
      </w:r>
      <w:r w:rsidR="000A5393" w:rsidRPr="000A5393">
        <w:rPr>
          <w:rFonts w:asciiTheme="minorHAnsi" w:hAnsiTheme="minorHAnsi" w:cstheme="minorHAnsi"/>
        </w:rPr>
        <w:t>Small, but statistically significant, decreases were observed in the amount of time and money that students spent on gambling from 2007 to 2012. In particular, the percentage of students who spent “$20 or more per week” on gambling decreased from 5% in 2007 to 3.6% in 2012 (p=0.0005).  Similarly, a smaller proportion of students spent “30 minutes or more per day” on gambling in 2012 (2.3%) compared with 2007 (4.5%) (p=0.0028).</w:t>
      </w:r>
    </w:p>
    <w:p w:rsidR="00043311" w:rsidRPr="00E61FEB" w:rsidRDefault="00043311" w:rsidP="0042130F">
      <w:pPr>
        <w:pStyle w:val="Heading2"/>
        <w:numPr>
          <w:ilvl w:val="0"/>
          <w:numId w:val="0"/>
        </w:numPr>
        <w:spacing w:line="360" w:lineRule="auto"/>
        <w:ind w:left="576" w:hanging="576"/>
      </w:pPr>
      <w:bookmarkStart w:id="12" w:name="_Toc366674838"/>
      <w:bookmarkStart w:id="13" w:name="_Toc366678547"/>
      <w:bookmarkStart w:id="14" w:name="_Toc367284392"/>
      <w:r w:rsidRPr="00E61FEB">
        <w:t>Attitudes, motivation and help seeking are mixed</w:t>
      </w:r>
      <w:bookmarkEnd w:id="12"/>
      <w:bookmarkEnd w:id="13"/>
      <w:bookmarkEnd w:id="14"/>
    </w:p>
    <w:p w:rsidR="00043311" w:rsidRPr="00E61FEB" w:rsidRDefault="00043311" w:rsidP="0042130F">
      <w:pPr>
        <w:spacing w:line="360" w:lineRule="auto"/>
        <w:rPr>
          <w:rFonts w:asciiTheme="minorHAnsi" w:hAnsiTheme="minorHAnsi" w:cstheme="minorHAnsi"/>
        </w:rPr>
      </w:pPr>
      <w:r w:rsidRPr="00E61FEB">
        <w:rPr>
          <w:rFonts w:asciiTheme="minorHAnsi" w:hAnsiTheme="minorHAnsi" w:cstheme="minorHAnsi"/>
        </w:rPr>
        <w:t>Most students’ who gamble usually did so with friends or with family members (especially younger students).  Approximately one-third of students who had gambled (31%) indicated that gambling was not okay for people their age. The most common reasons for students gambling were to have fun, to win money, for a challenge, because they were bored, and for no particular reason (i.e. ‘none of these responses’).</w:t>
      </w:r>
      <w:r w:rsidR="00EE0A44">
        <w:rPr>
          <w:rFonts w:asciiTheme="minorHAnsi" w:hAnsiTheme="minorHAnsi" w:cstheme="minorHAnsi"/>
        </w:rPr>
        <w:t xml:space="preserve"> </w:t>
      </w:r>
      <w:r w:rsidR="00936547">
        <w:rPr>
          <w:rFonts w:asciiTheme="minorHAnsi" w:hAnsiTheme="minorHAnsi" w:cstheme="minorHAnsi"/>
        </w:rPr>
        <w:t>R</w:t>
      </w:r>
      <w:r w:rsidR="00EE0A44">
        <w:rPr>
          <w:rFonts w:asciiTheme="minorHAnsi" w:hAnsiTheme="minorHAnsi" w:cstheme="minorHAnsi"/>
        </w:rPr>
        <w:t>easons for gambling were largely comparable across each wave of the survey. However, there appears to have been a decrease</w:t>
      </w:r>
      <w:r w:rsidR="00BB3055">
        <w:rPr>
          <w:rFonts w:asciiTheme="minorHAnsi" w:hAnsiTheme="minorHAnsi" w:cstheme="minorHAnsi"/>
        </w:rPr>
        <w:t xml:space="preserve"> across the survey waves</w:t>
      </w:r>
      <w:r w:rsidR="00EE0A44">
        <w:rPr>
          <w:rFonts w:asciiTheme="minorHAnsi" w:hAnsiTheme="minorHAnsi" w:cstheme="minorHAnsi"/>
        </w:rPr>
        <w:t xml:space="preserve"> in the proportions of students who said that they gamble “to win money” (53% in 2007 and 32% in 2012) and “to get a buzz” (12% in 2007 and 4% in 2012).</w:t>
      </w:r>
    </w:p>
    <w:p w:rsidR="00043311" w:rsidRPr="00E61FEB" w:rsidRDefault="00043311" w:rsidP="0042130F">
      <w:pPr>
        <w:spacing w:line="360" w:lineRule="auto"/>
        <w:rPr>
          <w:rFonts w:asciiTheme="minorHAnsi" w:hAnsiTheme="minorHAnsi" w:cstheme="minorHAnsi"/>
        </w:rPr>
      </w:pPr>
      <w:r w:rsidRPr="00E61FEB">
        <w:rPr>
          <w:rFonts w:asciiTheme="minorHAnsi" w:hAnsiTheme="minorHAnsi" w:cstheme="minorHAnsi"/>
        </w:rPr>
        <w:t xml:space="preserve">Students were asked to specify who they would seek help from if they were concerned about their gambling. The most popular responses were parents, followed by friends, school guidance counsellors, other family members, and, the gambling helpline. 17% said they would not look for help. </w:t>
      </w:r>
    </w:p>
    <w:p w:rsidR="00043311" w:rsidRPr="00E61FEB" w:rsidRDefault="00043311" w:rsidP="0042130F">
      <w:pPr>
        <w:pStyle w:val="Heading2"/>
        <w:numPr>
          <w:ilvl w:val="0"/>
          <w:numId w:val="0"/>
        </w:numPr>
        <w:spacing w:line="360" w:lineRule="auto"/>
        <w:ind w:left="576" w:hanging="576"/>
      </w:pPr>
      <w:bookmarkStart w:id="15" w:name="_Toc366674839"/>
      <w:bookmarkStart w:id="16" w:name="_Toc366678548"/>
      <w:bookmarkStart w:id="17" w:name="_Toc367284393"/>
      <w:r w:rsidRPr="00E61FEB">
        <w:lastRenderedPageBreak/>
        <w:t>Gambling appears to be causing problems for some students</w:t>
      </w:r>
      <w:bookmarkEnd w:id="15"/>
      <w:bookmarkEnd w:id="16"/>
      <w:bookmarkEnd w:id="17"/>
    </w:p>
    <w:p w:rsidR="00043311" w:rsidRPr="00E61FEB" w:rsidRDefault="00043311" w:rsidP="0042130F">
      <w:pPr>
        <w:spacing w:line="360" w:lineRule="auto"/>
        <w:rPr>
          <w:rFonts w:asciiTheme="minorHAnsi" w:hAnsiTheme="minorHAnsi" w:cstheme="minorHAnsi"/>
        </w:rPr>
      </w:pPr>
      <w:r w:rsidRPr="00E61FEB">
        <w:rPr>
          <w:rFonts w:asciiTheme="minorHAnsi" w:hAnsiTheme="minorHAnsi" w:cstheme="minorHAnsi"/>
        </w:rPr>
        <w:t>Gambling in adolescence may predict later gambling and health problems and for some will already be causing difficulties.  Among students who have gambled in the past 12 months:</w:t>
      </w:r>
    </w:p>
    <w:p w:rsidR="00043311" w:rsidRPr="00E61FEB" w:rsidRDefault="00043311" w:rsidP="00043311">
      <w:pPr>
        <w:pStyle w:val="ListParagraph"/>
        <w:numPr>
          <w:ilvl w:val="0"/>
          <w:numId w:val="45"/>
        </w:numPr>
        <w:spacing w:line="360" w:lineRule="auto"/>
        <w:rPr>
          <w:rFonts w:asciiTheme="minorHAnsi" w:hAnsiTheme="minorHAnsi" w:cstheme="minorHAnsi"/>
        </w:rPr>
      </w:pPr>
      <w:r w:rsidRPr="00E61FEB">
        <w:rPr>
          <w:rFonts w:asciiTheme="minorHAnsi" w:hAnsiTheme="minorHAnsi" w:cstheme="minorHAnsi"/>
        </w:rPr>
        <w:t>4% usually spend $20 or more per week on gambling.</w:t>
      </w:r>
    </w:p>
    <w:p w:rsidR="00043311" w:rsidRPr="00E61FEB" w:rsidRDefault="00043311" w:rsidP="00043311">
      <w:pPr>
        <w:pStyle w:val="ListParagraph"/>
        <w:numPr>
          <w:ilvl w:val="0"/>
          <w:numId w:val="45"/>
        </w:numPr>
        <w:spacing w:line="360" w:lineRule="auto"/>
        <w:rPr>
          <w:rFonts w:asciiTheme="minorHAnsi" w:hAnsiTheme="minorHAnsi" w:cstheme="minorHAnsi"/>
        </w:rPr>
      </w:pPr>
      <w:r w:rsidRPr="00E61FEB">
        <w:rPr>
          <w:rFonts w:asciiTheme="minorHAnsi" w:hAnsiTheme="minorHAnsi" w:cstheme="minorHAnsi"/>
        </w:rPr>
        <w:t>2% spend 30 minutes or more per day on gambling activities.</w:t>
      </w:r>
    </w:p>
    <w:p w:rsidR="00A329A2" w:rsidRPr="00C62DF3" w:rsidRDefault="00A329A2" w:rsidP="00A329A2">
      <w:pPr>
        <w:pStyle w:val="ListParagraph"/>
        <w:numPr>
          <w:ilvl w:val="0"/>
          <w:numId w:val="45"/>
        </w:numPr>
        <w:spacing w:line="360" w:lineRule="auto"/>
        <w:rPr>
          <w:rFonts w:asciiTheme="minorHAnsi" w:hAnsiTheme="minorHAnsi" w:cstheme="minorHAnsi"/>
        </w:rPr>
      </w:pPr>
      <w:r w:rsidRPr="00C62DF3">
        <w:rPr>
          <w:rFonts w:asciiTheme="minorHAnsi" w:hAnsiTheme="minorHAnsi" w:cstheme="minorHAnsi"/>
        </w:rPr>
        <w:t>Despite age restrictions on certain modes of gambling</w:t>
      </w:r>
      <w:r w:rsidRPr="00BD1B09">
        <w:rPr>
          <w:rStyle w:val="FootnoteReference"/>
          <w:rFonts w:asciiTheme="minorHAnsi" w:hAnsiTheme="minorHAnsi"/>
        </w:rPr>
        <w:footnoteReference w:id="1"/>
      </w:r>
      <w:r w:rsidRPr="00C62DF3">
        <w:rPr>
          <w:rFonts w:asciiTheme="minorHAnsi" w:hAnsiTheme="minorHAnsi" w:cstheme="minorHAnsi"/>
        </w:rPr>
        <w:t>, some students participated in activities that are illegal for their age group. For example, a number of students aged 16 or less</w:t>
      </w:r>
      <w:r>
        <w:rPr>
          <w:rStyle w:val="FootnoteReference"/>
          <w:rFonts w:asciiTheme="minorHAnsi" w:hAnsiTheme="minorHAnsi"/>
        </w:rPr>
        <w:footnoteReference w:id="2"/>
      </w:r>
      <w:r w:rsidRPr="00C62DF3">
        <w:rPr>
          <w:rFonts w:asciiTheme="minorHAnsi" w:hAnsiTheme="minorHAnsi" w:cstheme="minorHAnsi"/>
        </w:rPr>
        <w:t xml:space="preserve"> reported gambling on the following modes over the past year: Instant Kiwi (n=529 students)</w:t>
      </w:r>
      <w:r w:rsidR="00410534" w:rsidRPr="00C62DF3">
        <w:rPr>
          <w:rFonts w:asciiTheme="minorHAnsi" w:hAnsiTheme="minorHAnsi" w:cstheme="minorHAnsi"/>
        </w:rPr>
        <w:t>; Pub</w:t>
      </w:r>
      <w:r w:rsidRPr="00C62DF3">
        <w:rPr>
          <w:rFonts w:asciiTheme="minorHAnsi" w:hAnsiTheme="minorHAnsi" w:cstheme="minorHAnsi"/>
        </w:rPr>
        <w:t xml:space="preserve">/club pokies (n=73 students); Casino tables/machines (n=57 students); TAB betting (n=138 students). </w:t>
      </w:r>
    </w:p>
    <w:p w:rsidR="00043311" w:rsidRPr="00E61FEB" w:rsidRDefault="00043311" w:rsidP="00043311">
      <w:pPr>
        <w:pStyle w:val="ListParagraph"/>
        <w:numPr>
          <w:ilvl w:val="0"/>
          <w:numId w:val="45"/>
        </w:numPr>
        <w:spacing w:line="360" w:lineRule="auto"/>
        <w:rPr>
          <w:rFonts w:asciiTheme="minorHAnsi" w:hAnsiTheme="minorHAnsi" w:cstheme="minorHAnsi"/>
        </w:rPr>
      </w:pPr>
      <w:r w:rsidRPr="00E61FEB">
        <w:rPr>
          <w:rFonts w:asciiTheme="minorHAnsi" w:hAnsiTheme="minorHAnsi" w:cstheme="minorHAnsi"/>
        </w:rPr>
        <w:t xml:space="preserve">Sixteen percent (approximately four percent of all secondary school students) reported being worried about the amount of time or money that they spend on gambling. </w:t>
      </w:r>
    </w:p>
    <w:p w:rsidR="00043311" w:rsidRPr="00E61FEB" w:rsidRDefault="00043311" w:rsidP="00043311">
      <w:pPr>
        <w:pStyle w:val="ListParagraph"/>
        <w:numPr>
          <w:ilvl w:val="0"/>
          <w:numId w:val="45"/>
        </w:numPr>
        <w:spacing w:line="360" w:lineRule="auto"/>
        <w:rPr>
          <w:rFonts w:asciiTheme="minorHAnsi" w:hAnsiTheme="minorHAnsi" w:cstheme="minorHAnsi"/>
        </w:rPr>
      </w:pPr>
      <w:r w:rsidRPr="00E61FEB">
        <w:rPr>
          <w:rFonts w:asciiTheme="minorHAnsi" w:hAnsiTheme="minorHAnsi" w:cstheme="minorHAnsi"/>
        </w:rPr>
        <w:t>Fourteen percent (approximately four percent of all secondary school students) had tried to cut down or give up gambling</w:t>
      </w:r>
      <w:r>
        <w:rPr>
          <w:rFonts w:asciiTheme="minorHAnsi" w:hAnsiTheme="minorHAnsi" w:cstheme="minorHAnsi"/>
        </w:rPr>
        <w:t>.</w:t>
      </w:r>
    </w:p>
    <w:p w:rsidR="00043311" w:rsidRPr="00E61FEB" w:rsidRDefault="00043311" w:rsidP="00043311">
      <w:pPr>
        <w:pStyle w:val="ListParagraph"/>
        <w:numPr>
          <w:ilvl w:val="0"/>
          <w:numId w:val="45"/>
        </w:numPr>
        <w:spacing w:line="360" w:lineRule="auto"/>
        <w:rPr>
          <w:rFonts w:asciiTheme="minorHAnsi" w:hAnsiTheme="minorHAnsi" w:cstheme="minorHAnsi"/>
        </w:rPr>
      </w:pPr>
      <w:r w:rsidRPr="00E61FEB">
        <w:rPr>
          <w:rFonts w:asciiTheme="minorHAnsi" w:hAnsiTheme="minorHAnsi" w:cstheme="minorHAnsi"/>
        </w:rPr>
        <w:t xml:space="preserve">In total, 11% reported one indicator of unhealthy gambling (i.e. they had participated in gambling for reasons that centred on escapism and/or loss of control, gambled several times a week or more, had spent $20 or more per week on gambling; gambled for one or more hours per day) and 5% reported two or more indicators.  </w:t>
      </w:r>
    </w:p>
    <w:p w:rsidR="00043311" w:rsidRPr="00E61FEB" w:rsidRDefault="00043311" w:rsidP="0042130F">
      <w:pPr>
        <w:pStyle w:val="Heading2"/>
        <w:numPr>
          <w:ilvl w:val="0"/>
          <w:numId w:val="0"/>
        </w:numPr>
        <w:spacing w:line="360" w:lineRule="auto"/>
        <w:ind w:left="576" w:hanging="576"/>
      </w:pPr>
      <w:bookmarkStart w:id="18" w:name="_Toc366674840"/>
      <w:bookmarkStart w:id="19" w:name="_Toc366678549"/>
      <w:bookmarkStart w:id="20" w:name="_Toc367284394"/>
      <w:r w:rsidRPr="00E61FEB">
        <w:t>There are identifiable risk factors and important disparities</w:t>
      </w:r>
      <w:bookmarkEnd w:id="18"/>
      <w:bookmarkEnd w:id="19"/>
      <w:bookmarkEnd w:id="20"/>
    </w:p>
    <w:p w:rsidR="00043311" w:rsidRPr="00E61FEB" w:rsidRDefault="00043311" w:rsidP="0042130F">
      <w:pPr>
        <w:spacing w:line="360" w:lineRule="auto"/>
        <w:rPr>
          <w:rFonts w:asciiTheme="minorHAnsi" w:hAnsiTheme="minorHAnsi" w:cstheme="minorHAnsi"/>
        </w:rPr>
      </w:pPr>
      <w:r w:rsidRPr="00E61FEB">
        <w:rPr>
          <w:rFonts w:asciiTheme="minorHAnsi" w:hAnsiTheme="minorHAnsi" w:cstheme="minorHAnsi"/>
        </w:rPr>
        <w:t>There are significant differences in gambling behaviour by sex and socioeconomic status; males and students from more deprived neighbourhoods are more likely to be involved in gambling or be harmed by gambling. Rates of gambling in the last 12 months were similar amongst Māori, Pacific, Asian and New Zealand European students.  However, Māori, Pacific, and Asian students generally reported higher rates of gambling related harm.</w:t>
      </w:r>
    </w:p>
    <w:p w:rsidR="00043311" w:rsidRPr="00E61FEB" w:rsidRDefault="00043311" w:rsidP="0042130F">
      <w:pPr>
        <w:spacing w:line="360" w:lineRule="auto"/>
        <w:rPr>
          <w:rFonts w:asciiTheme="minorHAnsi" w:hAnsiTheme="minorHAnsi" w:cstheme="minorHAnsi"/>
        </w:rPr>
      </w:pPr>
      <w:r w:rsidRPr="00E61FEB">
        <w:rPr>
          <w:rFonts w:asciiTheme="minorHAnsi" w:hAnsiTheme="minorHAnsi" w:cstheme="minorHAnsi"/>
        </w:rPr>
        <w:t xml:space="preserve">In multivariate analyses we found that students with signs of unhealthy gambling were more likely to have a family member who had done something because of gambling that could have got them in serious trouble (e.g. stealing); usually gamble with someone other than friends or family members; have more accepting attitudes towards gambling; have gambled on pub/club EGMs, casino EGMs or tables, or TAB betting in the last 12 months; </w:t>
      </w:r>
      <w:r w:rsidRPr="00E61FEB">
        <w:rPr>
          <w:rFonts w:asciiTheme="minorHAnsi" w:hAnsiTheme="minorHAnsi" w:cstheme="minorHAnsi"/>
        </w:rPr>
        <w:lastRenderedPageBreak/>
        <w:t>and, had attempted suicide in the last 12 months. We investigated a range of other risk and protective factors, but these did not show as significant in the multivariate analyses.</w:t>
      </w:r>
    </w:p>
    <w:p w:rsidR="00043311" w:rsidRPr="00E61FEB" w:rsidRDefault="00043311" w:rsidP="0042130F">
      <w:pPr>
        <w:pStyle w:val="Heading2"/>
        <w:numPr>
          <w:ilvl w:val="0"/>
          <w:numId w:val="0"/>
        </w:numPr>
        <w:spacing w:line="360" w:lineRule="auto"/>
        <w:ind w:left="576" w:hanging="576"/>
      </w:pPr>
      <w:bookmarkStart w:id="21" w:name="_Toc366674841"/>
      <w:bookmarkStart w:id="22" w:name="_Toc366678550"/>
      <w:bookmarkStart w:id="23" w:name="_Toc367284395"/>
      <w:r w:rsidRPr="00E61FEB">
        <w:t>Conclusions and implications</w:t>
      </w:r>
      <w:bookmarkEnd w:id="21"/>
      <w:bookmarkEnd w:id="22"/>
      <w:bookmarkEnd w:id="23"/>
    </w:p>
    <w:p w:rsidR="00043311" w:rsidRPr="00E61FEB" w:rsidRDefault="00043311" w:rsidP="0042130F">
      <w:pPr>
        <w:spacing w:line="360" w:lineRule="auto"/>
        <w:rPr>
          <w:rFonts w:asciiTheme="minorHAnsi" w:hAnsiTheme="minorHAnsi" w:cstheme="minorHAnsi"/>
        </w:rPr>
      </w:pPr>
      <w:r w:rsidRPr="00E61FEB">
        <w:rPr>
          <w:rFonts w:asciiTheme="minorHAnsi" w:hAnsiTheme="minorHAnsi" w:cstheme="minorHAnsi"/>
        </w:rPr>
        <w:t>Most students have limited engagement with gambling. However, a significant proportion experience gambling-related difficulties and/or have been negatively impacted due to the gambling behaviour of their families/whānau.  Importantly many of these young people are worried about their gambling or have tried to cut down</w:t>
      </w:r>
      <w:r w:rsidR="008316D8">
        <w:rPr>
          <w:rFonts w:asciiTheme="minorHAnsi" w:hAnsiTheme="minorHAnsi" w:cstheme="minorHAnsi"/>
        </w:rPr>
        <w:t xml:space="preserve">. </w:t>
      </w:r>
    </w:p>
    <w:p w:rsidR="00043311" w:rsidRPr="00E61FEB" w:rsidRDefault="00043311" w:rsidP="0042130F">
      <w:pPr>
        <w:spacing w:line="360" w:lineRule="auto"/>
        <w:rPr>
          <w:rFonts w:asciiTheme="minorHAnsi" w:hAnsiTheme="minorHAnsi" w:cstheme="minorHAnsi"/>
        </w:rPr>
      </w:pPr>
      <w:r w:rsidRPr="00E61FEB">
        <w:rPr>
          <w:rFonts w:asciiTheme="minorHAnsi" w:hAnsiTheme="minorHAnsi" w:cstheme="minorHAnsi"/>
        </w:rPr>
        <w:t>Our findings suggest that there should be interventions to:</w:t>
      </w:r>
    </w:p>
    <w:p w:rsidR="00043311" w:rsidRPr="00E61FEB" w:rsidRDefault="00043311" w:rsidP="00043311">
      <w:pPr>
        <w:pStyle w:val="ListParagraph"/>
        <w:numPr>
          <w:ilvl w:val="0"/>
          <w:numId w:val="45"/>
        </w:numPr>
        <w:spacing w:line="360" w:lineRule="auto"/>
        <w:rPr>
          <w:rFonts w:asciiTheme="minorHAnsi" w:hAnsiTheme="minorHAnsi" w:cstheme="minorHAnsi"/>
        </w:rPr>
      </w:pPr>
      <w:r w:rsidRPr="00E61FEB">
        <w:rPr>
          <w:rFonts w:asciiTheme="minorHAnsi" w:hAnsiTheme="minorHAnsi" w:cstheme="minorHAnsi"/>
        </w:rPr>
        <w:t>Support young people who are affected by adults in their family gambling;</w:t>
      </w:r>
    </w:p>
    <w:p w:rsidR="00043311" w:rsidRPr="00E61FEB" w:rsidRDefault="00043311" w:rsidP="00043311">
      <w:pPr>
        <w:pStyle w:val="ListParagraph"/>
        <w:numPr>
          <w:ilvl w:val="0"/>
          <w:numId w:val="45"/>
        </w:numPr>
        <w:spacing w:line="360" w:lineRule="auto"/>
        <w:rPr>
          <w:rFonts w:asciiTheme="minorHAnsi" w:hAnsiTheme="minorHAnsi" w:cstheme="minorHAnsi"/>
        </w:rPr>
      </w:pPr>
      <w:r w:rsidRPr="00E61FEB">
        <w:rPr>
          <w:rFonts w:asciiTheme="minorHAnsi" w:hAnsiTheme="minorHAnsi" w:cstheme="minorHAnsi"/>
        </w:rPr>
        <w:t>Support young people who are worried about their own gambling, want to cut down and/or are experiencing harmful effects of gambling; and,</w:t>
      </w:r>
    </w:p>
    <w:p w:rsidR="00043311" w:rsidRPr="00E61FEB" w:rsidRDefault="00043311" w:rsidP="00043311">
      <w:pPr>
        <w:pStyle w:val="ListParagraph"/>
        <w:numPr>
          <w:ilvl w:val="0"/>
          <w:numId w:val="45"/>
        </w:numPr>
        <w:spacing w:line="360" w:lineRule="auto"/>
        <w:rPr>
          <w:rFonts w:asciiTheme="minorHAnsi" w:hAnsiTheme="minorHAnsi" w:cstheme="minorHAnsi"/>
        </w:rPr>
      </w:pPr>
      <w:r>
        <w:rPr>
          <w:rFonts w:asciiTheme="minorHAnsi" w:hAnsiTheme="minorHAnsi" w:cstheme="minorHAnsi"/>
        </w:rPr>
        <w:t>E</w:t>
      </w:r>
      <w:r w:rsidRPr="00E61FEB">
        <w:rPr>
          <w:rFonts w:asciiTheme="minorHAnsi" w:hAnsiTheme="minorHAnsi" w:cstheme="minorHAnsi"/>
        </w:rPr>
        <w:t xml:space="preserve">nsure that restrictions on underage access to gambling (particularly those activities associated with </w:t>
      </w:r>
      <w:r>
        <w:rPr>
          <w:rFonts w:asciiTheme="minorHAnsi" w:hAnsiTheme="minorHAnsi" w:cstheme="minorHAnsi"/>
        </w:rPr>
        <w:t xml:space="preserve">an </w:t>
      </w:r>
      <w:r w:rsidRPr="00E61FEB">
        <w:rPr>
          <w:rFonts w:asciiTheme="minorHAnsi" w:hAnsiTheme="minorHAnsi" w:cstheme="minorHAnsi"/>
        </w:rPr>
        <w:t xml:space="preserve">increased risk of harm such as casino gambling, TAB gambling, and non-casino EGMs) are monitored and enforced.   </w:t>
      </w:r>
    </w:p>
    <w:p w:rsidR="0061632D" w:rsidRDefault="0061632D" w:rsidP="001608B9">
      <w:pPr>
        <w:spacing w:line="360" w:lineRule="auto"/>
        <w:rPr>
          <w:rFonts w:asciiTheme="minorHAnsi" w:hAnsiTheme="minorHAnsi" w:cstheme="minorHAnsi"/>
        </w:rPr>
      </w:pPr>
      <w:r w:rsidRPr="00E61FEB">
        <w:rPr>
          <w:rFonts w:asciiTheme="minorHAnsi" w:hAnsiTheme="minorHAnsi" w:cstheme="minorHAnsi"/>
        </w:rPr>
        <w:t>The data here also suggest that a focus on young people who are concerned about their own gambling and/or the impacts of gambling within their family/whānau may be more appropriate than population wide interventions.  Additionally interventions will need to be effective for those in high deprivation communities and for Māori, Pacific, and Asian young people and their families.</w:t>
      </w:r>
    </w:p>
    <w:p w:rsidR="003404CC" w:rsidRPr="0010082B" w:rsidRDefault="005248A9" w:rsidP="0061632D">
      <w:pPr>
        <w:spacing w:line="360" w:lineRule="auto"/>
        <w:rPr>
          <w:rFonts w:asciiTheme="minorHAnsi" w:hAnsiTheme="minorHAnsi" w:cstheme="minorHAnsi"/>
        </w:rPr>
      </w:pPr>
      <w:r>
        <w:rPr>
          <w:rFonts w:asciiTheme="minorHAnsi" w:hAnsiTheme="minorHAnsi" w:cstheme="minorHAnsi"/>
        </w:rPr>
        <w:t xml:space="preserve">This research indicates that </w:t>
      </w:r>
      <w:r w:rsidR="008316D8" w:rsidRPr="00F3429C">
        <w:rPr>
          <w:rFonts w:asciiTheme="minorHAnsi" w:hAnsiTheme="minorHAnsi" w:cstheme="minorHAnsi"/>
        </w:rPr>
        <w:t>Messerlian et al., (2005) public health</w:t>
      </w:r>
      <w:r w:rsidR="008316D8">
        <w:rPr>
          <w:rFonts w:asciiTheme="minorHAnsi" w:hAnsiTheme="minorHAnsi" w:cstheme="minorHAnsi"/>
        </w:rPr>
        <w:t xml:space="preserve"> approach to youth gambling has direct relevance to New Zealand</w:t>
      </w:r>
      <w:r w:rsidR="00536A2E">
        <w:rPr>
          <w:rFonts w:asciiTheme="minorHAnsi" w:hAnsiTheme="minorHAnsi" w:cstheme="minorHAnsi"/>
        </w:rPr>
        <w:t>. This approach</w:t>
      </w:r>
      <w:r w:rsidR="008316D8">
        <w:rPr>
          <w:rFonts w:asciiTheme="minorHAnsi" w:hAnsiTheme="minorHAnsi" w:cstheme="minorHAnsi"/>
        </w:rPr>
        <w:t xml:space="preserve"> outlines </w:t>
      </w:r>
      <w:r w:rsidR="008316D8" w:rsidRPr="007E1071">
        <w:rPr>
          <w:rFonts w:asciiTheme="minorHAnsi" w:hAnsiTheme="minorHAnsi" w:cstheme="minorHAnsi"/>
        </w:rPr>
        <w:t xml:space="preserve">a structure to guide public health action that incorporates four public health goals: </w:t>
      </w:r>
      <w:r w:rsidR="00536A2E">
        <w:rPr>
          <w:rFonts w:asciiTheme="minorHAnsi" w:hAnsiTheme="minorHAnsi" w:cstheme="minorHAnsi"/>
        </w:rPr>
        <w:t>d</w:t>
      </w:r>
      <w:r w:rsidR="008316D8">
        <w:rPr>
          <w:rFonts w:asciiTheme="minorHAnsi" w:hAnsiTheme="minorHAnsi" w:cstheme="minorHAnsi"/>
        </w:rPr>
        <w:t xml:space="preserve">enormalisation; </w:t>
      </w:r>
      <w:r w:rsidR="00536A2E">
        <w:rPr>
          <w:rFonts w:asciiTheme="minorHAnsi" w:hAnsiTheme="minorHAnsi" w:cstheme="minorHAnsi"/>
        </w:rPr>
        <w:t>p</w:t>
      </w:r>
      <w:r w:rsidR="008316D8">
        <w:rPr>
          <w:rFonts w:asciiTheme="minorHAnsi" w:hAnsiTheme="minorHAnsi" w:cstheme="minorHAnsi"/>
        </w:rPr>
        <w:t>rotection;</w:t>
      </w:r>
      <w:r w:rsidR="008316D8" w:rsidRPr="007E1071">
        <w:rPr>
          <w:rFonts w:asciiTheme="minorHAnsi" w:hAnsiTheme="minorHAnsi" w:cstheme="minorHAnsi"/>
        </w:rPr>
        <w:t xml:space="preserve"> </w:t>
      </w:r>
      <w:r w:rsidR="00536A2E">
        <w:rPr>
          <w:rFonts w:asciiTheme="minorHAnsi" w:hAnsiTheme="minorHAnsi" w:cstheme="minorHAnsi"/>
        </w:rPr>
        <w:t>p</w:t>
      </w:r>
      <w:r w:rsidR="008316D8" w:rsidRPr="007E1071">
        <w:rPr>
          <w:rFonts w:asciiTheme="minorHAnsi" w:hAnsiTheme="minorHAnsi" w:cstheme="minorHAnsi"/>
        </w:rPr>
        <w:t>revention</w:t>
      </w:r>
      <w:r w:rsidR="008316D8">
        <w:rPr>
          <w:rFonts w:asciiTheme="minorHAnsi" w:hAnsiTheme="minorHAnsi" w:cstheme="minorHAnsi"/>
        </w:rPr>
        <w:t xml:space="preserve">; </w:t>
      </w:r>
      <w:r w:rsidR="008316D8" w:rsidRPr="007E1071">
        <w:rPr>
          <w:rFonts w:asciiTheme="minorHAnsi" w:hAnsiTheme="minorHAnsi" w:cstheme="minorHAnsi"/>
        </w:rPr>
        <w:t>and</w:t>
      </w:r>
      <w:r w:rsidR="00536A2E">
        <w:rPr>
          <w:rFonts w:asciiTheme="minorHAnsi" w:hAnsiTheme="minorHAnsi" w:cstheme="minorHAnsi"/>
        </w:rPr>
        <w:t>, h</w:t>
      </w:r>
      <w:r w:rsidR="008316D8" w:rsidRPr="007E1071">
        <w:rPr>
          <w:rFonts w:asciiTheme="minorHAnsi" w:hAnsiTheme="minorHAnsi" w:cstheme="minorHAnsi"/>
        </w:rPr>
        <w:t>arm reduction.</w:t>
      </w:r>
      <w:r w:rsidR="0061632D" w:rsidRPr="0061632D">
        <w:rPr>
          <w:rFonts w:asciiTheme="minorHAnsi" w:hAnsiTheme="minorHAnsi" w:cstheme="minorHAnsi"/>
        </w:rPr>
        <w:t xml:space="preserve"> </w:t>
      </w:r>
      <w:r w:rsidR="0061632D">
        <w:rPr>
          <w:rFonts w:asciiTheme="minorHAnsi" w:hAnsiTheme="minorHAnsi" w:cstheme="minorHAnsi"/>
        </w:rPr>
        <w:t>Th</w:t>
      </w:r>
      <w:r>
        <w:rPr>
          <w:rFonts w:asciiTheme="minorHAnsi" w:hAnsiTheme="minorHAnsi" w:cstheme="minorHAnsi"/>
        </w:rPr>
        <w:t>e proposed</w:t>
      </w:r>
      <w:r w:rsidR="0061632D">
        <w:rPr>
          <w:rFonts w:asciiTheme="minorHAnsi" w:hAnsiTheme="minorHAnsi" w:cstheme="minorHAnsi"/>
        </w:rPr>
        <w:t xml:space="preserve"> framework entails a multi-level approach with actions required at the intra-/inter-personal, community, policy, and institutional level</w:t>
      </w:r>
      <w:r w:rsidR="003404CC">
        <w:rPr>
          <w:rFonts w:asciiTheme="minorHAnsi" w:hAnsiTheme="minorHAnsi" w:cstheme="minorHAnsi"/>
        </w:rPr>
        <w:t>s</w:t>
      </w:r>
      <w:r w:rsidR="0061632D">
        <w:rPr>
          <w:rFonts w:asciiTheme="minorHAnsi" w:hAnsiTheme="minorHAnsi" w:cstheme="minorHAnsi"/>
        </w:rPr>
        <w:t>. T</w:t>
      </w:r>
      <w:r w:rsidR="0061632D" w:rsidRPr="0010082B">
        <w:rPr>
          <w:rFonts w:asciiTheme="minorHAnsi" w:hAnsiTheme="minorHAnsi" w:cstheme="minorHAnsi"/>
        </w:rPr>
        <w:t>hese goals have implications for all youth gambling stakeholders</w:t>
      </w:r>
      <w:r w:rsidR="0061632D">
        <w:rPr>
          <w:rFonts w:asciiTheme="minorHAnsi" w:hAnsiTheme="minorHAnsi" w:cstheme="minorHAnsi"/>
        </w:rPr>
        <w:t xml:space="preserve"> in New Zealand:</w:t>
      </w:r>
      <w:r w:rsidR="0061632D" w:rsidRPr="0010082B">
        <w:rPr>
          <w:rFonts w:asciiTheme="minorHAnsi" w:hAnsiTheme="minorHAnsi" w:cstheme="minorHAnsi"/>
        </w:rPr>
        <w:t xml:space="preserve"> health promotion workers, researchers, policy makers, members of the gambling industries, youth, their families/whānau, schools and communities.</w:t>
      </w:r>
      <w:r w:rsidR="0061632D">
        <w:rPr>
          <w:rFonts w:asciiTheme="minorHAnsi" w:hAnsiTheme="minorHAnsi" w:cstheme="minorHAnsi"/>
        </w:rPr>
        <w:t xml:space="preserve"> </w:t>
      </w:r>
      <w:r w:rsidR="003404CC">
        <w:rPr>
          <w:rFonts w:asciiTheme="minorHAnsi" w:hAnsiTheme="minorHAnsi" w:cstheme="minorHAnsi"/>
        </w:rPr>
        <w:t xml:space="preserve">The current research has also identified that youth living in neighbourhoods with high levels of deprivation, and students who identify as Māori, Pacific and Asian, are disproportionately affected by gambling and unhealthy gambling. </w:t>
      </w:r>
      <w:r w:rsidR="003404CC" w:rsidRPr="00F677AE">
        <w:rPr>
          <w:rFonts w:asciiTheme="minorHAnsi" w:hAnsiTheme="minorHAnsi" w:cstheme="minorHAnsi"/>
        </w:rPr>
        <w:t xml:space="preserve">Māori, Pacific and Asian </w:t>
      </w:r>
      <w:r w:rsidR="003404CC">
        <w:rPr>
          <w:rFonts w:asciiTheme="minorHAnsi" w:hAnsiTheme="minorHAnsi" w:cstheme="minorHAnsi"/>
        </w:rPr>
        <w:t>youth and their families/whānau require culturally responsive public health strategies and should be prioritised with regard to resource allocation for the delivery of public health initiatives.</w:t>
      </w:r>
    </w:p>
    <w:p w:rsidR="00043311" w:rsidRPr="00FE5A54" w:rsidRDefault="00043311" w:rsidP="0042130F">
      <w:pPr>
        <w:pStyle w:val="Heading1"/>
        <w:spacing w:line="360" w:lineRule="auto"/>
        <w:rPr>
          <w:rFonts w:asciiTheme="minorHAnsi" w:hAnsiTheme="minorHAnsi" w:cstheme="minorHAnsi"/>
          <w:caps w:val="0"/>
        </w:rPr>
      </w:pPr>
      <w:bookmarkStart w:id="24" w:name="_Toc294258159"/>
      <w:bookmarkStart w:id="25" w:name="_Toc367284396"/>
      <w:bookmarkEnd w:id="3"/>
      <w:bookmarkEnd w:id="4"/>
      <w:bookmarkEnd w:id="5"/>
      <w:bookmarkEnd w:id="6"/>
      <w:bookmarkEnd w:id="7"/>
      <w:r w:rsidRPr="00FE5A54">
        <w:rPr>
          <w:rFonts w:asciiTheme="minorHAnsi" w:hAnsiTheme="minorHAnsi" w:cstheme="minorHAnsi"/>
          <w:caps w:val="0"/>
        </w:rPr>
        <w:lastRenderedPageBreak/>
        <w:t>INTRODUCTION AND BACKGROUND</w:t>
      </w:r>
      <w:bookmarkEnd w:id="24"/>
      <w:bookmarkEnd w:id="25"/>
    </w:p>
    <w:p w:rsidR="00043311" w:rsidRPr="00FE5A54" w:rsidRDefault="00043311" w:rsidP="0042130F">
      <w:pPr>
        <w:spacing w:line="360" w:lineRule="auto"/>
        <w:rPr>
          <w:rFonts w:asciiTheme="minorHAnsi" w:hAnsiTheme="minorHAnsi" w:cstheme="minorHAnsi"/>
        </w:rPr>
      </w:pPr>
      <w:r w:rsidRPr="00FE5A54">
        <w:rPr>
          <w:rFonts w:asciiTheme="minorHAnsi" w:hAnsiTheme="minorHAnsi" w:cstheme="minorHAnsi"/>
        </w:rPr>
        <w:t xml:space="preserve">Gambling has become a widely available activity in today’s society </w:t>
      </w:r>
      <w:r w:rsidRPr="00FE5A54">
        <w:rPr>
          <w:rFonts w:asciiTheme="minorHAnsi" w:hAnsiTheme="minorHAnsi" w:cstheme="minorHAnsi"/>
          <w:noProof/>
        </w:rPr>
        <w:t>(Hardoon &amp; Derevensky, 2002; Turchi &amp; Derevensky, 2006)</w:t>
      </w:r>
      <w:r w:rsidRPr="00FE5A54">
        <w:rPr>
          <w:rFonts w:asciiTheme="minorHAnsi" w:hAnsiTheme="minorHAnsi" w:cstheme="minorHAnsi"/>
        </w:rPr>
        <w:t xml:space="preserve">. In fact, many researchers “have noted that an entire generation has now grown up in an era when lottery and casino gambling is widely available and heavily advertised” </w:t>
      </w:r>
      <w:r w:rsidRPr="00FE5A54">
        <w:rPr>
          <w:rFonts w:asciiTheme="minorHAnsi" w:hAnsiTheme="minorHAnsi" w:cstheme="minorHAnsi"/>
          <w:noProof/>
        </w:rPr>
        <w:t>(Volberg, Gupta, Griffiths, Ólason, &amp; Delfabbro, 2010, p. 3)</w:t>
      </w:r>
      <w:r w:rsidRPr="00FE5A54">
        <w:rPr>
          <w:rFonts w:asciiTheme="minorHAnsi" w:hAnsiTheme="minorHAnsi" w:cstheme="minorHAnsi"/>
        </w:rPr>
        <w:t xml:space="preserve">.  Evidence suggests that it has become a popular past-time not only for adults, but also for children and young people </w:t>
      </w:r>
      <w:r w:rsidRPr="00FE5A54">
        <w:rPr>
          <w:rFonts w:asciiTheme="minorHAnsi" w:hAnsiTheme="minorHAnsi" w:cstheme="minorHAnsi"/>
          <w:noProof/>
        </w:rPr>
        <w:t>(Derevensky &amp; Gupta, 2000; Gupta &amp; Derevensky, 1998a; Hardoon &amp; Derevensky, 2002; Jacobs, 2000; Splevins, Mireskandari, Clayton, &amp; Blaszczynski, 2010; Turchi &amp; Derevensky, 2006)</w:t>
      </w:r>
      <w:r w:rsidRPr="00FE5A54">
        <w:rPr>
          <w:rFonts w:asciiTheme="minorHAnsi" w:hAnsiTheme="minorHAnsi" w:cstheme="minorHAnsi"/>
        </w:rPr>
        <w:t xml:space="preserve">. Moreover, research indicates that gambling is one of the first risky activities that adolescents become involved with (i.e. they begin gambling prior to experimentation with alcohol, drugs, sexual behaviour) </w:t>
      </w:r>
      <w:r w:rsidRPr="00FE5A54">
        <w:rPr>
          <w:rFonts w:asciiTheme="minorHAnsi" w:hAnsiTheme="minorHAnsi" w:cstheme="minorHAnsi"/>
          <w:noProof/>
        </w:rPr>
        <w:t>(Volberg, et al., 2010)</w:t>
      </w:r>
      <w:r w:rsidRPr="00FE5A54">
        <w:rPr>
          <w:rFonts w:asciiTheme="minorHAnsi" w:hAnsiTheme="minorHAnsi" w:cstheme="minorHAnsi"/>
        </w:rPr>
        <w:t xml:space="preserve">. Whilst for many youth involvement in gambling does not result in problematic behaviour, others go on to experience serious problems </w:t>
      </w:r>
      <w:r w:rsidRPr="00FE5A54">
        <w:rPr>
          <w:rFonts w:asciiTheme="minorHAnsi" w:hAnsiTheme="minorHAnsi" w:cstheme="minorHAnsi"/>
          <w:noProof/>
        </w:rPr>
        <w:t>(Dickson, Derevensky, &amp; Gupta, 2003)</w:t>
      </w:r>
      <w:r w:rsidRPr="00FE5A54">
        <w:rPr>
          <w:rFonts w:asciiTheme="minorHAnsi" w:hAnsiTheme="minorHAnsi" w:cstheme="minorHAnsi"/>
        </w:rPr>
        <w:t xml:space="preserve">. </w:t>
      </w:r>
    </w:p>
    <w:p w:rsidR="00043311" w:rsidRPr="00FE5A54" w:rsidRDefault="00043311" w:rsidP="0042130F">
      <w:pPr>
        <w:spacing w:line="360" w:lineRule="auto"/>
        <w:rPr>
          <w:rFonts w:asciiTheme="minorHAnsi" w:hAnsiTheme="minorHAnsi" w:cstheme="minorHAnsi"/>
        </w:rPr>
      </w:pPr>
      <w:r w:rsidRPr="00FE5A54">
        <w:rPr>
          <w:rFonts w:asciiTheme="minorHAnsi" w:hAnsiTheme="minorHAnsi" w:cstheme="minorHAnsi"/>
        </w:rPr>
        <w:t xml:space="preserve">A vast range of adolescent gambling prevalence studies that have been undertaken over the past 25 years, across different countries, and incorporating general populations as well as youth specifically. Rates of youth problem gambling have often been found to be higher than the rates identified for adults </w:t>
      </w:r>
      <w:r w:rsidRPr="00FE5A54">
        <w:rPr>
          <w:rFonts w:asciiTheme="minorHAnsi" w:hAnsiTheme="minorHAnsi" w:cstheme="minorHAnsi"/>
          <w:noProof/>
        </w:rPr>
        <w:t>(Huang &amp; Boyer, 2007; Shaffer &amp; Hall, 1996; Welte, Barnes, Tidwell, &amp; Hoffman, 2008; Williams, Page, Parke, &amp; Rigbye, 2008)</w:t>
      </w:r>
      <w:r w:rsidRPr="00FE5A54">
        <w:rPr>
          <w:rFonts w:asciiTheme="minorHAnsi" w:hAnsiTheme="minorHAnsi" w:cstheme="minorHAnsi"/>
        </w:rPr>
        <w:t xml:space="preserve">, with some estimating them to be more than double those of adults </w:t>
      </w:r>
      <w:r w:rsidRPr="00FE5A54">
        <w:rPr>
          <w:rFonts w:asciiTheme="minorHAnsi" w:hAnsiTheme="minorHAnsi" w:cstheme="minorHAnsi"/>
          <w:noProof/>
        </w:rPr>
        <w:t>(Gupta &amp; Derevensky, 1998a; Jackson, Dowling, Thomas, Bond, &amp; Patton, 2008; Lesieur, et al., 1991)</w:t>
      </w:r>
      <w:r w:rsidRPr="00FE5A54">
        <w:rPr>
          <w:rFonts w:asciiTheme="minorHAnsi" w:hAnsiTheme="minorHAnsi" w:cstheme="minorHAnsi"/>
        </w:rPr>
        <w:t xml:space="preserve">, or up to three times as high </w:t>
      </w:r>
      <w:r w:rsidRPr="00FE5A54">
        <w:rPr>
          <w:rFonts w:asciiTheme="minorHAnsi" w:hAnsiTheme="minorHAnsi" w:cstheme="minorHAnsi"/>
          <w:noProof/>
        </w:rPr>
        <w:t>(Rigbye, 2010)</w:t>
      </w:r>
      <w:r w:rsidRPr="00FE5A54">
        <w:rPr>
          <w:rFonts w:asciiTheme="minorHAnsi" w:hAnsiTheme="minorHAnsi" w:cstheme="minorHAnsi"/>
        </w:rPr>
        <w:t xml:space="preserve">. However, it has also been recognised that there is far less research in this field compared to that which has explored other youth risk behaviours such as substance use </w:t>
      </w:r>
      <w:r w:rsidRPr="00FE5A54">
        <w:rPr>
          <w:rFonts w:asciiTheme="minorHAnsi" w:hAnsiTheme="minorHAnsi" w:cstheme="minorHAnsi"/>
          <w:noProof/>
        </w:rPr>
        <w:t>(Blinn-Pike, Worthy, &amp; Jonkman, 2010)</w:t>
      </w:r>
      <w:r w:rsidRPr="00FE5A54">
        <w:rPr>
          <w:rFonts w:asciiTheme="minorHAnsi" w:hAnsiTheme="minorHAnsi" w:cstheme="minorHAnsi"/>
        </w:rPr>
        <w:t xml:space="preserve">. </w:t>
      </w:r>
    </w:p>
    <w:p w:rsidR="00043311" w:rsidRPr="00FE5A54" w:rsidRDefault="00043311" w:rsidP="0042130F">
      <w:pPr>
        <w:spacing w:line="360" w:lineRule="auto"/>
        <w:rPr>
          <w:rFonts w:asciiTheme="minorHAnsi" w:hAnsiTheme="minorHAnsi" w:cstheme="minorHAnsi"/>
        </w:rPr>
      </w:pPr>
      <w:r w:rsidRPr="00FE5A54">
        <w:rPr>
          <w:rFonts w:asciiTheme="minorHAnsi" w:hAnsiTheme="minorHAnsi" w:cstheme="minorHAnsi"/>
        </w:rPr>
        <w:t xml:space="preserve">The gap in New Zealand-based information regarding prevalence of youth gambling has been identified previously </w:t>
      </w:r>
      <w:r w:rsidRPr="00FE5A54">
        <w:rPr>
          <w:rFonts w:asciiTheme="minorHAnsi" w:hAnsiTheme="minorHAnsi" w:cstheme="minorHAnsi"/>
          <w:noProof/>
        </w:rPr>
        <w:t>(Bellringer, et al., 2003; Rossen, Tse, &amp; Vaidya, 2009)</w:t>
      </w:r>
      <w:r w:rsidRPr="00FE5A54">
        <w:rPr>
          <w:rFonts w:asciiTheme="minorHAnsi" w:hAnsiTheme="minorHAnsi" w:cstheme="minorHAnsi"/>
        </w:rPr>
        <w:t xml:space="preserve"> and in 2003 it was recommended that research be undertaken to measure the involvement of New Zealand youth in gambling as well as associated factors and gambling-related problems </w:t>
      </w:r>
      <w:r w:rsidRPr="00FE5A54">
        <w:rPr>
          <w:rFonts w:asciiTheme="minorHAnsi" w:hAnsiTheme="minorHAnsi" w:cstheme="minorHAnsi"/>
          <w:noProof/>
        </w:rPr>
        <w:t>(Bellringer, et al., 2003)</w:t>
      </w:r>
      <w:r w:rsidRPr="00FE5A54">
        <w:rPr>
          <w:rFonts w:asciiTheme="minorHAnsi" w:hAnsiTheme="minorHAnsi" w:cstheme="minorHAnsi"/>
        </w:rPr>
        <w:t xml:space="preserve">. A limited body of research has since employed various sources of data to consider youth gambling in New Zealand </w:t>
      </w:r>
      <w:r w:rsidRPr="00FE5A54">
        <w:rPr>
          <w:rFonts w:asciiTheme="minorHAnsi" w:hAnsiTheme="minorHAnsi" w:cstheme="minorHAnsi"/>
          <w:noProof/>
        </w:rPr>
        <w:t>(e.g. Gray, 2010; Ministry of Health, 2008, 2009; Rossen, 2008; Rossen, Butler, &amp; Denny, 2011)</w:t>
      </w:r>
      <w:r w:rsidRPr="00FE5A54">
        <w:rPr>
          <w:rFonts w:asciiTheme="minorHAnsi" w:hAnsiTheme="minorHAnsi" w:cstheme="minorHAnsi"/>
        </w:rPr>
        <w:t xml:space="preserve">.   </w:t>
      </w:r>
    </w:p>
    <w:p w:rsidR="00043311" w:rsidRPr="00FE5A54" w:rsidRDefault="00043311" w:rsidP="0042130F">
      <w:pPr>
        <w:spacing w:line="360" w:lineRule="auto"/>
        <w:rPr>
          <w:rFonts w:asciiTheme="minorHAnsi" w:hAnsiTheme="minorHAnsi" w:cstheme="minorHAnsi"/>
        </w:rPr>
      </w:pPr>
      <w:r w:rsidRPr="00FE5A54">
        <w:rPr>
          <w:rFonts w:asciiTheme="minorHAnsi" w:hAnsiTheme="minorHAnsi" w:cstheme="minorHAnsi"/>
        </w:rPr>
        <w:t xml:space="preserve">An extremely valuable source of information on New Zealand youth is the University of Auckland’s (UoA) National youth health and wellbeing surveys. To date, the UoA’s Adolescent Health Research Group (AHRG) has completed three National youth health and wellbeing surveys. </w:t>
      </w:r>
    </w:p>
    <w:p w:rsidR="00043311" w:rsidRPr="00FE5A54" w:rsidRDefault="00043311" w:rsidP="0042130F">
      <w:pPr>
        <w:spacing w:line="360" w:lineRule="auto"/>
        <w:rPr>
          <w:rFonts w:asciiTheme="minorHAnsi" w:hAnsiTheme="minorHAnsi" w:cstheme="minorHAnsi"/>
        </w:rPr>
      </w:pPr>
      <w:r w:rsidRPr="00FE5A54">
        <w:rPr>
          <w:rFonts w:asciiTheme="minorHAnsi" w:hAnsiTheme="minorHAnsi" w:cstheme="minorHAnsi"/>
        </w:rPr>
        <w:t xml:space="preserve">The Youth2000 Survey Series aim to provide nationally representative information on the health and wellbeing of young people attending New Zealand secondary schools. The Survey Series includes a wide range of questions </w:t>
      </w:r>
      <w:r w:rsidRPr="00FE5A54">
        <w:rPr>
          <w:rFonts w:asciiTheme="minorHAnsi" w:hAnsiTheme="minorHAnsi" w:cstheme="minorHAnsi"/>
        </w:rPr>
        <w:lastRenderedPageBreak/>
        <w:t xml:space="preserve">about issues that contribute to the health and wellbeing of young people (such as substance use, injuries and violence, home and family) and allow researchers to take an ecological approach to identifying overall risk and protective factors in young people’s lives. Youth’12, a survey of 8,500 secondary school students throughout New Zealand, is the most recent survey to be undertaken by the AHRG. The inclusion of gambling items in the Youth’12 survey provides a unique opportunity to examine the impacts of gambling and problem gambling on secondary school students throughout New Zealand within an ecological framework. </w:t>
      </w:r>
    </w:p>
    <w:p w:rsidR="00043311" w:rsidRPr="00FE5A54" w:rsidRDefault="00043311" w:rsidP="0042130F">
      <w:pPr>
        <w:spacing w:line="360" w:lineRule="auto"/>
        <w:rPr>
          <w:rFonts w:asciiTheme="minorHAnsi" w:hAnsiTheme="minorHAnsi" w:cstheme="minorHAnsi"/>
          <w:lang w:val="en-GB"/>
        </w:rPr>
      </w:pPr>
      <w:r w:rsidRPr="00FE5A54">
        <w:rPr>
          <w:rFonts w:asciiTheme="minorHAnsi" w:hAnsiTheme="minorHAnsi" w:cstheme="minorHAnsi"/>
        </w:rPr>
        <w:t xml:space="preserve">This report was commissioned by the Ministry of Health and begins with a comprehensive review of the local and international youth gambling literature, followed by </w:t>
      </w:r>
      <w:r w:rsidRPr="00FE5A54">
        <w:rPr>
          <w:rFonts w:asciiTheme="minorHAnsi" w:hAnsiTheme="minorHAnsi" w:cstheme="minorHAnsi"/>
          <w:lang w:val="en-GB"/>
        </w:rPr>
        <w:t xml:space="preserve">an overview of the Youth2000 Survey Series and methodology for Youth’12. A thorough analysis of Youth’12 gambling items was undertaken with results being reported under the following eight categories (detailed results for each set of analyses are also provided in the appendices): </w:t>
      </w:r>
    </w:p>
    <w:p w:rsidR="00043311" w:rsidRPr="00FE5A54" w:rsidRDefault="00043311" w:rsidP="0042130F">
      <w:pPr>
        <w:pStyle w:val="BodyText"/>
        <w:numPr>
          <w:ilvl w:val="0"/>
          <w:numId w:val="14"/>
        </w:numPr>
      </w:pPr>
      <w:r w:rsidRPr="00FE5A54">
        <w:t>Students and their own gambling (Section Five);</w:t>
      </w:r>
    </w:p>
    <w:p w:rsidR="00043311" w:rsidRPr="00FE5A54" w:rsidRDefault="00043311" w:rsidP="0042130F">
      <w:pPr>
        <w:pStyle w:val="BodyText"/>
        <w:numPr>
          <w:ilvl w:val="0"/>
          <w:numId w:val="14"/>
        </w:numPr>
      </w:pPr>
      <w:r w:rsidRPr="00FE5A54">
        <w:t>Unhealthy gambling amongst students (Section Six);</w:t>
      </w:r>
    </w:p>
    <w:p w:rsidR="00043311" w:rsidRPr="00FE5A54" w:rsidRDefault="00043311" w:rsidP="0042130F">
      <w:pPr>
        <w:pStyle w:val="BodyText"/>
        <w:numPr>
          <w:ilvl w:val="0"/>
          <w:numId w:val="14"/>
        </w:numPr>
      </w:pPr>
      <w:r w:rsidRPr="00FE5A54">
        <w:t>Attitudes and motivating factors towards gambling (Section Seven);</w:t>
      </w:r>
    </w:p>
    <w:p w:rsidR="00043311" w:rsidRPr="00FE5A54" w:rsidRDefault="00043311" w:rsidP="0042130F">
      <w:pPr>
        <w:pStyle w:val="BodyText"/>
        <w:numPr>
          <w:ilvl w:val="0"/>
          <w:numId w:val="14"/>
        </w:numPr>
      </w:pPr>
      <w:r w:rsidRPr="00FE5A54">
        <w:t>The impacts of others’ gambling on students (Section Eight); and,</w:t>
      </w:r>
    </w:p>
    <w:p w:rsidR="00043311" w:rsidRPr="00FE5A54" w:rsidRDefault="00043311" w:rsidP="0042130F">
      <w:pPr>
        <w:pStyle w:val="BodyText"/>
        <w:numPr>
          <w:ilvl w:val="0"/>
          <w:numId w:val="14"/>
        </w:numPr>
      </w:pPr>
      <w:r w:rsidRPr="00FE5A54">
        <w:t>Risk and protective factors for student gambling (Section Nine);</w:t>
      </w:r>
    </w:p>
    <w:p w:rsidR="00043311" w:rsidRPr="00FE5A54" w:rsidRDefault="00043311" w:rsidP="0042130F">
      <w:pPr>
        <w:pStyle w:val="BodyText"/>
        <w:numPr>
          <w:ilvl w:val="0"/>
          <w:numId w:val="14"/>
        </w:numPr>
      </w:pPr>
      <w:r w:rsidRPr="00FE5A54">
        <w:t>Gambling and Māori taitamariki in Aotearoa (Section 10);</w:t>
      </w:r>
    </w:p>
    <w:p w:rsidR="00043311" w:rsidRPr="00FE5A54" w:rsidRDefault="00043311" w:rsidP="0042130F">
      <w:pPr>
        <w:pStyle w:val="BodyText"/>
        <w:numPr>
          <w:ilvl w:val="0"/>
          <w:numId w:val="14"/>
        </w:numPr>
      </w:pPr>
      <w:r w:rsidRPr="00FE5A54">
        <w:t>Gambling and Pacific young people in New Zealand (Section 11); and,</w:t>
      </w:r>
    </w:p>
    <w:p w:rsidR="00043311" w:rsidRPr="00FE5A54" w:rsidRDefault="00043311" w:rsidP="0042130F">
      <w:pPr>
        <w:pStyle w:val="BodyText"/>
        <w:numPr>
          <w:ilvl w:val="0"/>
          <w:numId w:val="14"/>
        </w:numPr>
      </w:pPr>
      <w:r w:rsidRPr="00FE5A54">
        <w:t>Gambling and Asian young people in New Zealand (Section 12).</w:t>
      </w:r>
    </w:p>
    <w:p w:rsidR="00043311" w:rsidRDefault="00043311" w:rsidP="0042130F">
      <w:pPr>
        <w:spacing w:line="360" w:lineRule="auto"/>
        <w:rPr>
          <w:rFonts w:asciiTheme="minorHAnsi" w:hAnsiTheme="minorHAnsi" w:cstheme="minorHAnsi"/>
        </w:rPr>
      </w:pPr>
      <w:r w:rsidRPr="00FE5A54">
        <w:rPr>
          <w:rFonts w:asciiTheme="minorHAnsi" w:hAnsiTheme="minorHAnsi" w:cstheme="minorHAnsi"/>
        </w:rPr>
        <w:t xml:space="preserve">Finally, a discussion chapter provides an overview of the findings and implications. This report is part of a suite of information relating to Youth’12 and the Youth2000 Survey Series. Other reports, publications and information relating to the Youth2000 Survey Series can be found at </w:t>
      </w:r>
      <w:hyperlink r:id="rId15" w:history="1">
        <w:r w:rsidRPr="00FE5A54">
          <w:rPr>
            <w:rStyle w:val="Hyperlink"/>
            <w:rFonts w:asciiTheme="minorHAnsi" w:hAnsiTheme="minorHAnsi" w:cstheme="minorHAnsi"/>
          </w:rPr>
          <w:t>www.youthresearch.auckland.ac.nz</w:t>
        </w:r>
      </w:hyperlink>
      <w:r w:rsidRPr="00FE5A54">
        <w:rPr>
          <w:rFonts w:asciiTheme="minorHAnsi" w:hAnsiTheme="minorHAnsi" w:cstheme="minorHAnsi"/>
        </w:rPr>
        <w:t>.</w:t>
      </w:r>
      <w:r>
        <w:rPr>
          <w:rFonts w:asciiTheme="minorHAnsi" w:hAnsiTheme="minorHAnsi" w:cstheme="minorHAnsi"/>
        </w:rPr>
        <w:t xml:space="preserve"> </w:t>
      </w:r>
    </w:p>
    <w:p w:rsidR="00043311" w:rsidRPr="006006F5" w:rsidRDefault="00043311" w:rsidP="0042130F">
      <w:pPr>
        <w:spacing w:line="360" w:lineRule="auto"/>
        <w:rPr>
          <w:rFonts w:asciiTheme="minorHAnsi" w:hAnsiTheme="minorHAnsi" w:cstheme="minorHAnsi"/>
          <w:b/>
          <w:highlight w:val="yellow"/>
        </w:rPr>
      </w:pPr>
    </w:p>
    <w:p w:rsidR="00043311" w:rsidRPr="00E3310E" w:rsidRDefault="00043311" w:rsidP="0042130F">
      <w:pPr>
        <w:pStyle w:val="Heading1"/>
        <w:spacing w:line="360" w:lineRule="auto"/>
        <w:rPr>
          <w:rFonts w:asciiTheme="minorHAnsi" w:hAnsiTheme="minorHAnsi" w:cstheme="minorHAnsi"/>
        </w:rPr>
      </w:pPr>
      <w:bookmarkStart w:id="26" w:name="_Ref248047111"/>
      <w:bookmarkStart w:id="27" w:name="_Toc294258161"/>
      <w:bookmarkStart w:id="28" w:name="_Toc367284397"/>
      <w:bookmarkStart w:id="29" w:name="_Toc245812634"/>
      <w:bookmarkEnd w:id="2"/>
      <w:r w:rsidRPr="00E3310E">
        <w:rPr>
          <w:rFonts w:asciiTheme="minorHAnsi" w:hAnsiTheme="minorHAnsi" w:cstheme="minorHAnsi"/>
        </w:rPr>
        <w:lastRenderedPageBreak/>
        <w:t>REVIEW OF LITERATURE</w:t>
      </w:r>
      <w:bookmarkEnd w:id="26"/>
      <w:bookmarkEnd w:id="27"/>
      <w:bookmarkEnd w:id="28"/>
      <w:r w:rsidRPr="00E3310E">
        <w:rPr>
          <w:rFonts w:asciiTheme="minorHAnsi" w:hAnsiTheme="minorHAnsi" w:cstheme="minorHAnsi"/>
        </w:rPr>
        <w:t xml:space="preserve"> </w:t>
      </w:r>
    </w:p>
    <w:p w:rsidR="00043311" w:rsidRPr="009A38A2" w:rsidRDefault="00043311" w:rsidP="0042130F">
      <w:pPr>
        <w:pStyle w:val="Paragraph"/>
        <w:spacing w:line="360" w:lineRule="auto"/>
        <w:ind w:right="22"/>
        <w:rPr>
          <w:rFonts w:asciiTheme="minorHAnsi" w:hAnsiTheme="minorHAnsi" w:cstheme="minorHAnsi"/>
          <w:szCs w:val="22"/>
        </w:rPr>
      </w:pPr>
      <w:r>
        <w:rPr>
          <w:rFonts w:asciiTheme="minorHAnsi" w:hAnsiTheme="minorHAnsi" w:cstheme="minorHAnsi"/>
          <w:szCs w:val="22"/>
        </w:rPr>
        <w:t>This</w:t>
      </w:r>
      <w:r w:rsidRPr="009A38A2">
        <w:rPr>
          <w:rFonts w:asciiTheme="minorHAnsi" w:hAnsiTheme="minorHAnsi" w:cstheme="minorHAnsi"/>
          <w:szCs w:val="22"/>
        </w:rPr>
        <w:t xml:space="preserve"> literature review provides an up-to-date summary and overview of National and International youth gambling and problem gambling literature. This review has informed the development of this project’s data analysis plan and interpretation of results. Topics of particular interest included:</w:t>
      </w:r>
    </w:p>
    <w:p w:rsidR="00043311" w:rsidRPr="009A38A2" w:rsidRDefault="00043311" w:rsidP="00043311">
      <w:pPr>
        <w:pStyle w:val="BodyText"/>
        <w:numPr>
          <w:ilvl w:val="0"/>
          <w:numId w:val="22"/>
        </w:numPr>
      </w:pPr>
      <w:r w:rsidRPr="009A38A2">
        <w:t>Youth participation in gambling;</w:t>
      </w:r>
    </w:p>
    <w:p w:rsidR="00043311" w:rsidRPr="009A38A2" w:rsidRDefault="00043311" w:rsidP="00043311">
      <w:pPr>
        <w:pStyle w:val="BodyText"/>
        <w:numPr>
          <w:ilvl w:val="0"/>
          <w:numId w:val="22"/>
        </w:numPr>
      </w:pPr>
      <w:r w:rsidRPr="009A38A2">
        <w:t>Likely impacts and consequences of gambling in young people;</w:t>
      </w:r>
    </w:p>
    <w:p w:rsidR="00043311" w:rsidRPr="009A38A2" w:rsidRDefault="00043311" w:rsidP="00043311">
      <w:pPr>
        <w:pStyle w:val="BodyText"/>
        <w:numPr>
          <w:ilvl w:val="0"/>
          <w:numId w:val="22"/>
        </w:numPr>
      </w:pPr>
      <w:r w:rsidRPr="009A38A2">
        <w:t>Pathways and mechanisms for parental or familial gambling to affect young people; and,</w:t>
      </w:r>
    </w:p>
    <w:p w:rsidR="00043311" w:rsidRPr="009A38A2" w:rsidRDefault="00043311" w:rsidP="00043311">
      <w:pPr>
        <w:pStyle w:val="BodyText"/>
        <w:numPr>
          <w:ilvl w:val="0"/>
          <w:numId w:val="22"/>
        </w:numPr>
      </w:pPr>
      <w:r w:rsidRPr="009A38A2">
        <w:t xml:space="preserve">Risk and resiliency factors likely to be relevant for exacerbating or minimising </w:t>
      </w:r>
      <w:r>
        <w:t xml:space="preserve">gambling and </w:t>
      </w:r>
      <w:r w:rsidRPr="009A38A2">
        <w:t>the impact</w:t>
      </w:r>
      <w:r>
        <w:t>s</w:t>
      </w:r>
      <w:r w:rsidRPr="009A38A2">
        <w:t xml:space="preserve"> of gambling on young people. </w:t>
      </w:r>
    </w:p>
    <w:p w:rsidR="00043311" w:rsidRPr="009A38A2" w:rsidRDefault="00043311" w:rsidP="00043311">
      <w:pPr>
        <w:pStyle w:val="Heading2"/>
        <w:numPr>
          <w:ilvl w:val="1"/>
          <w:numId w:val="27"/>
        </w:numPr>
        <w:spacing w:line="360" w:lineRule="auto"/>
      </w:pPr>
      <w:bookmarkStart w:id="30" w:name="_Toc294258162"/>
      <w:bookmarkStart w:id="31" w:name="_Toc352773511"/>
      <w:bookmarkStart w:id="32" w:name="_Toc360724453"/>
      <w:bookmarkStart w:id="33" w:name="_Toc367284398"/>
      <w:r w:rsidRPr="009A38A2">
        <w:t>Methods</w:t>
      </w:r>
      <w:bookmarkEnd w:id="30"/>
      <w:bookmarkEnd w:id="31"/>
      <w:bookmarkEnd w:id="32"/>
      <w:bookmarkEnd w:id="33"/>
    </w:p>
    <w:p w:rsidR="00043311" w:rsidRDefault="00043311" w:rsidP="0042130F">
      <w:pPr>
        <w:spacing w:line="360" w:lineRule="auto"/>
        <w:rPr>
          <w:rFonts w:asciiTheme="minorHAnsi" w:hAnsiTheme="minorHAnsi" w:cstheme="minorHAnsi"/>
        </w:rPr>
      </w:pPr>
      <w:bookmarkStart w:id="34" w:name="_Toc294258163"/>
      <w:r w:rsidRPr="009A38A2">
        <w:rPr>
          <w:rFonts w:asciiTheme="minorHAnsi" w:hAnsiTheme="minorHAnsi" w:cstheme="minorHAnsi"/>
        </w:rPr>
        <w:t>Literature searches were performed using the following databases: Medline, Psychinfo, Scopus, Embase. In addition, a search for peer reviewed and grey literature was undertaken via Google Scholar and through accessing relevant websites (e.g. Government departments or gambling-related sites). Keywords utilised included youth and gambling and adolescent and gambling</w:t>
      </w:r>
      <w:r w:rsidRPr="009A38A2">
        <w:rPr>
          <w:rStyle w:val="FootnoteReference"/>
          <w:rFonts w:asciiTheme="minorHAnsi" w:hAnsiTheme="minorHAnsi" w:cstheme="minorHAnsi"/>
        </w:rPr>
        <w:footnoteReference w:id="3"/>
      </w:r>
      <w:r w:rsidRPr="009A38A2">
        <w:rPr>
          <w:rFonts w:asciiTheme="minorHAnsi" w:hAnsiTheme="minorHAnsi" w:cstheme="minorHAnsi"/>
        </w:rPr>
        <w:t xml:space="preserve">. From the results, publications of relevance were selected and reviewed. </w:t>
      </w:r>
    </w:p>
    <w:p w:rsidR="00043311" w:rsidRPr="00B15B17" w:rsidRDefault="00043311" w:rsidP="0042130F">
      <w:pPr>
        <w:spacing w:line="360" w:lineRule="auto"/>
        <w:rPr>
          <w:rFonts w:asciiTheme="minorHAnsi" w:hAnsiTheme="minorHAnsi" w:cstheme="minorHAnsi"/>
        </w:rPr>
      </w:pPr>
      <w:r w:rsidRPr="00B15B17">
        <w:rPr>
          <w:rFonts w:asciiTheme="minorHAnsi" w:hAnsiTheme="minorHAnsi" w:cstheme="minorHAnsi"/>
        </w:rPr>
        <w:t xml:space="preserve">There is no standardised definition of ‘young people’ within the gambling field </w:t>
      </w:r>
      <w:r>
        <w:rPr>
          <w:rFonts w:asciiTheme="minorHAnsi" w:hAnsiTheme="minorHAnsi" w:cstheme="minorHAnsi"/>
          <w:noProof/>
        </w:rPr>
        <w:t>(Bellringer, et al., 2003)</w:t>
      </w:r>
      <w:r w:rsidRPr="00B15B17">
        <w:rPr>
          <w:rFonts w:asciiTheme="minorHAnsi" w:hAnsiTheme="minorHAnsi" w:cstheme="minorHAnsi"/>
        </w:rPr>
        <w:t>. For the purpose of this review, young people were defined as being under the age of 25 years</w:t>
      </w:r>
      <w:r w:rsidRPr="00B15B17">
        <w:rPr>
          <w:rStyle w:val="FootnoteReference"/>
          <w:rFonts w:asciiTheme="minorHAnsi" w:hAnsiTheme="minorHAnsi" w:cstheme="minorHAnsi"/>
        </w:rPr>
        <w:footnoteReference w:id="4"/>
      </w:r>
      <w:r w:rsidRPr="00B15B17">
        <w:rPr>
          <w:rFonts w:asciiTheme="minorHAnsi" w:hAnsiTheme="minorHAnsi" w:cstheme="minorHAnsi"/>
        </w:rPr>
        <w:t xml:space="preserve">. </w:t>
      </w:r>
      <w:r>
        <w:rPr>
          <w:rFonts w:asciiTheme="minorHAnsi" w:hAnsiTheme="minorHAnsi" w:cstheme="minorHAnsi"/>
        </w:rPr>
        <w:t>A number of t</w:t>
      </w:r>
      <w:r w:rsidRPr="00B15B17">
        <w:rPr>
          <w:rFonts w:asciiTheme="minorHAnsi" w:hAnsiTheme="minorHAnsi" w:cstheme="minorHAnsi"/>
        </w:rPr>
        <w:t xml:space="preserve">erms </w:t>
      </w:r>
      <w:r>
        <w:rPr>
          <w:rFonts w:asciiTheme="minorHAnsi" w:hAnsiTheme="minorHAnsi" w:cstheme="minorHAnsi"/>
        </w:rPr>
        <w:t xml:space="preserve">such as </w:t>
      </w:r>
      <w:r w:rsidRPr="00B15B17">
        <w:rPr>
          <w:rFonts w:asciiTheme="minorHAnsi" w:hAnsiTheme="minorHAnsi" w:cstheme="minorHAnsi"/>
        </w:rPr>
        <w:t xml:space="preserve">youth, young people, and adolescents </w:t>
      </w:r>
      <w:r>
        <w:rPr>
          <w:rFonts w:asciiTheme="minorHAnsi" w:hAnsiTheme="minorHAnsi" w:cstheme="minorHAnsi"/>
        </w:rPr>
        <w:t>have been used throughout this document to reflect those terms used in the source literature.  Similarly, a</w:t>
      </w:r>
      <w:r w:rsidRPr="00B15B17">
        <w:rPr>
          <w:rFonts w:asciiTheme="minorHAnsi" w:hAnsiTheme="minorHAnsi" w:cstheme="minorHAnsi"/>
        </w:rPr>
        <w:t xml:space="preserve"> number of terms and definitions have been employed with regard to the classification of gambling behaviour. For example, at-risk, problem</w:t>
      </w:r>
      <w:r>
        <w:rPr>
          <w:rFonts w:asciiTheme="minorHAnsi" w:hAnsiTheme="minorHAnsi" w:cstheme="minorHAnsi"/>
        </w:rPr>
        <w:t>,</w:t>
      </w:r>
      <w:r w:rsidRPr="00B15B17">
        <w:rPr>
          <w:rFonts w:asciiTheme="minorHAnsi" w:hAnsiTheme="minorHAnsi" w:cstheme="minorHAnsi"/>
        </w:rPr>
        <w:t xml:space="preserve"> potential pathological, probable pathological and pathological are all terms that have been cited within </w:t>
      </w:r>
      <w:r>
        <w:rPr>
          <w:rFonts w:asciiTheme="minorHAnsi" w:hAnsiTheme="minorHAnsi" w:cstheme="minorHAnsi"/>
        </w:rPr>
        <w:t xml:space="preserve">the youth gambling literature. </w:t>
      </w:r>
      <w:r w:rsidRPr="00B15B17">
        <w:rPr>
          <w:rFonts w:asciiTheme="minorHAnsi" w:hAnsiTheme="minorHAnsi" w:cstheme="minorHAnsi"/>
        </w:rPr>
        <w:t xml:space="preserve">Throughout this review, we have kept to the terminology of the original authors, where possible. </w:t>
      </w:r>
    </w:p>
    <w:p w:rsidR="00043311" w:rsidRPr="002160B3" w:rsidRDefault="00043311" w:rsidP="0042130F">
      <w:pPr>
        <w:pStyle w:val="Heading2"/>
        <w:spacing w:line="360" w:lineRule="auto"/>
      </w:pPr>
      <w:bookmarkStart w:id="35" w:name="_Toc352773512"/>
      <w:bookmarkStart w:id="36" w:name="_Toc360724454"/>
      <w:bookmarkStart w:id="37" w:name="_Toc367284399"/>
      <w:bookmarkEnd w:id="34"/>
      <w:r w:rsidRPr="002160B3">
        <w:t>Key findings from the literature review</w:t>
      </w:r>
      <w:bookmarkEnd w:id="35"/>
      <w:bookmarkEnd w:id="36"/>
      <w:bookmarkEnd w:id="37"/>
    </w:p>
    <w:p w:rsidR="00043311" w:rsidRPr="002160B3" w:rsidRDefault="00043311" w:rsidP="0042130F">
      <w:pPr>
        <w:spacing w:line="360" w:lineRule="auto"/>
        <w:rPr>
          <w:rFonts w:asciiTheme="minorHAnsi" w:hAnsiTheme="minorHAnsi" w:cstheme="minorHAnsi"/>
        </w:rPr>
      </w:pPr>
      <w:r w:rsidRPr="002160B3">
        <w:rPr>
          <w:rFonts w:asciiTheme="minorHAnsi" w:hAnsiTheme="minorHAnsi" w:cstheme="minorHAnsi"/>
        </w:rPr>
        <w:t xml:space="preserve">Gambling has become a widely available activity in today’s society </w:t>
      </w:r>
      <w:r w:rsidRPr="002160B3">
        <w:rPr>
          <w:rFonts w:asciiTheme="minorHAnsi" w:hAnsiTheme="minorHAnsi" w:cstheme="minorHAnsi"/>
          <w:noProof/>
        </w:rPr>
        <w:t>(Hardoon &amp; Derevensky, 2002; Turchi &amp; Derevensky, 2006)</w:t>
      </w:r>
      <w:r w:rsidRPr="002160B3">
        <w:rPr>
          <w:rFonts w:asciiTheme="minorHAnsi" w:hAnsiTheme="minorHAnsi" w:cstheme="minorHAnsi"/>
        </w:rPr>
        <w:t xml:space="preserve">. In fact, many researchers “have noted that an entire generation has now grown up in an era when lottery and casino gambling is widely available and heavily advertised” </w:t>
      </w:r>
      <w:r>
        <w:rPr>
          <w:rFonts w:asciiTheme="minorHAnsi" w:hAnsiTheme="minorHAnsi" w:cstheme="minorHAnsi"/>
          <w:noProof/>
        </w:rPr>
        <w:t>(Volberg, et al., 2010, p. 3)</w:t>
      </w:r>
      <w:r w:rsidRPr="002160B3">
        <w:rPr>
          <w:rFonts w:asciiTheme="minorHAnsi" w:hAnsiTheme="minorHAnsi" w:cstheme="minorHAnsi"/>
        </w:rPr>
        <w:t xml:space="preserve">.  Evidence suggests that it has become a popular past-time not only for adults, but also for children and young people </w:t>
      </w:r>
      <w:r>
        <w:rPr>
          <w:rFonts w:asciiTheme="minorHAnsi" w:hAnsiTheme="minorHAnsi" w:cstheme="minorHAnsi"/>
          <w:noProof/>
        </w:rPr>
        <w:lastRenderedPageBreak/>
        <w:t>(Derevensky &amp; Gupta, 2000; R. Gupta &amp; Derevensky, 1998a; Hardoon &amp; Derevensky, 2002; Jacobs, 2000; Splevins, et al., 2010; Turchi &amp; Derevensky, 2006)</w:t>
      </w:r>
      <w:r w:rsidRPr="002160B3">
        <w:rPr>
          <w:rFonts w:asciiTheme="minorHAnsi" w:hAnsiTheme="minorHAnsi" w:cstheme="minorHAnsi"/>
        </w:rPr>
        <w:t xml:space="preserve">. Moreover, research indicates that gambling is one of the first risky activities that adolescents become involved with (i.e. they begin gambling prior to experimentation with alcohol, drugs, sexual behaviour) </w:t>
      </w:r>
      <w:r>
        <w:rPr>
          <w:rFonts w:asciiTheme="minorHAnsi" w:hAnsiTheme="minorHAnsi" w:cstheme="minorHAnsi"/>
          <w:noProof/>
        </w:rPr>
        <w:t>(Volberg, et al., 2010)</w:t>
      </w:r>
      <w:r w:rsidRPr="002160B3">
        <w:rPr>
          <w:rFonts w:asciiTheme="minorHAnsi" w:hAnsiTheme="minorHAnsi" w:cstheme="minorHAnsi"/>
        </w:rPr>
        <w:t xml:space="preserve">. Whilst for many youth involvement in gambling does not result in problematic behaviour, others go on to experience serious problems </w:t>
      </w:r>
      <w:r>
        <w:rPr>
          <w:rFonts w:asciiTheme="minorHAnsi" w:hAnsiTheme="minorHAnsi" w:cstheme="minorHAnsi"/>
          <w:noProof/>
        </w:rPr>
        <w:t>(Dickson, et al., 2003)</w:t>
      </w:r>
      <w:r w:rsidRPr="002160B3">
        <w:rPr>
          <w:rFonts w:asciiTheme="minorHAnsi" w:hAnsiTheme="minorHAnsi" w:cstheme="minorHAnsi"/>
        </w:rPr>
        <w:t xml:space="preserve">. </w:t>
      </w:r>
    </w:p>
    <w:p w:rsidR="00043311" w:rsidRPr="002160B3" w:rsidRDefault="00043311" w:rsidP="0042130F">
      <w:pPr>
        <w:spacing w:line="360" w:lineRule="auto"/>
        <w:rPr>
          <w:rFonts w:asciiTheme="minorHAnsi" w:hAnsiTheme="minorHAnsi" w:cstheme="minorHAnsi"/>
        </w:rPr>
      </w:pPr>
      <w:r w:rsidRPr="002160B3">
        <w:rPr>
          <w:rFonts w:asciiTheme="minorHAnsi" w:hAnsiTheme="minorHAnsi" w:cstheme="minorHAnsi"/>
        </w:rPr>
        <w:t xml:space="preserve">It has been reported that the study of youth gambling is somewhat undeveloped </w:t>
      </w:r>
      <w:r>
        <w:rPr>
          <w:rFonts w:asciiTheme="minorHAnsi" w:hAnsiTheme="minorHAnsi" w:cstheme="minorHAnsi"/>
          <w:noProof/>
        </w:rPr>
        <w:t>(Blinn-Pike, et al., 2010; Derevensky &amp; Gupta, 2004; Huang &amp; Boyer, 2007; McGowan, Droessler, Nixon, &amp; Grimshaw, 2000)</w:t>
      </w:r>
      <w:r w:rsidRPr="002160B3">
        <w:rPr>
          <w:rFonts w:asciiTheme="minorHAnsi" w:hAnsiTheme="minorHAnsi" w:cstheme="minorHAnsi"/>
        </w:rPr>
        <w:t xml:space="preserve"> with much of the literature to date focussed on the gambling behaviour of adults. This was apparent when undertaking this review, in that no youth gambling literature prior to 1985 was identified, an issue that has been highlighted elsewhere </w:t>
      </w:r>
      <w:r>
        <w:rPr>
          <w:rFonts w:asciiTheme="minorHAnsi" w:hAnsiTheme="minorHAnsi" w:cstheme="minorHAnsi"/>
          <w:noProof/>
        </w:rPr>
        <w:t>(Blinn-Pike, et al., 2010)</w:t>
      </w:r>
      <w:r w:rsidRPr="002160B3">
        <w:rPr>
          <w:rFonts w:asciiTheme="minorHAnsi" w:hAnsiTheme="minorHAnsi" w:cstheme="minorHAnsi"/>
        </w:rPr>
        <w:t xml:space="preserve">. It has also been recognised that there is far less research in this field compared to that which has explored other youth risk behaviours such as substance use </w:t>
      </w:r>
      <w:r>
        <w:rPr>
          <w:rFonts w:asciiTheme="minorHAnsi" w:hAnsiTheme="minorHAnsi" w:cstheme="minorHAnsi"/>
          <w:noProof/>
        </w:rPr>
        <w:t>(Blinn-Pike, et al., 2010)</w:t>
      </w:r>
      <w:r w:rsidRPr="002160B3">
        <w:rPr>
          <w:rFonts w:asciiTheme="minorHAnsi" w:hAnsiTheme="minorHAnsi" w:cstheme="minorHAnsi"/>
        </w:rPr>
        <w:t xml:space="preserve">.  </w:t>
      </w:r>
    </w:p>
    <w:p w:rsidR="00043311" w:rsidRPr="002160B3" w:rsidRDefault="00043311" w:rsidP="0042130F">
      <w:pPr>
        <w:spacing w:line="360" w:lineRule="auto"/>
        <w:rPr>
          <w:rFonts w:asciiTheme="minorHAnsi" w:hAnsiTheme="minorHAnsi" w:cstheme="minorHAnsi"/>
        </w:rPr>
      </w:pPr>
      <w:r w:rsidRPr="002160B3">
        <w:rPr>
          <w:rFonts w:asciiTheme="minorHAnsi" w:hAnsiTheme="minorHAnsi" w:cstheme="minorHAnsi"/>
        </w:rPr>
        <w:t xml:space="preserve">A recent review of the research on adolescent gambling identified that the majority of research on youth gambling </w:t>
      </w:r>
      <w:r>
        <w:rPr>
          <w:rFonts w:asciiTheme="minorHAnsi" w:hAnsiTheme="minorHAnsi" w:cstheme="minorHAnsi"/>
        </w:rPr>
        <w:t>has been</w:t>
      </w:r>
      <w:r w:rsidRPr="002160B3">
        <w:rPr>
          <w:rFonts w:asciiTheme="minorHAnsi" w:hAnsiTheme="minorHAnsi" w:cstheme="minorHAnsi"/>
        </w:rPr>
        <w:t xml:space="preserve"> undertaken by a small group of researchers in Canada, the United States and Britain. Other key findings included that adolescent gambling research is: most commonly investigated with respect to alcohol use; not ethnically diverse; and, mostly quantitative, descriptive and empirically based </w:t>
      </w:r>
      <w:r>
        <w:rPr>
          <w:rFonts w:asciiTheme="minorHAnsi" w:hAnsiTheme="minorHAnsi" w:cstheme="minorHAnsi"/>
          <w:noProof/>
        </w:rPr>
        <w:t>(Blinn-Pike, et al., 2010)</w:t>
      </w:r>
      <w:r w:rsidRPr="002160B3">
        <w:rPr>
          <w:rFonts w:asciiTheme="minorHAnsi" w:hAnsiTheme="minorHAnsi" w:cstheme="minorHAnsi"/>
        </w:rPr>
        <w:t xml:space="preserve">. Others have highlighted that much of the research conducted to date has been concerned with the identification of the prevalence of youth gambling and problem gambling </w:t>
      </w:r>
      <w:r>
        <w:rPr>
          <w:rFonts w:asciiTheme="minorHAnsi" w:hAnsiTheme="minorHAnsi" w:cstheme="minorHAnsi"/>
          <w:noProof/>
        </w:rPr>
        <w:t>(Derevensky &amp; Gupta, 2004; McGowan, et al., 2000)</w:t>
      </w:r>
      <w:r w:rsidRPr="002160B3">
        <w:rPr>
          <w:rFonts w:asciiTheme="minorHAnsi" w:hAnsiTheme="minorHAnsi" w:cstheme="minorHAnsi"/>
        </w:rPr>
        <w:t xml:space="preserve">, although more recently there is a growing body of research </w:t>
      </w:r>
      <w:r>
        <w:rPr>
          <w:rFonts w:asciiTheme="minorHAnsi" w:hAnsiTheme="minorHAnsi" w:cstheme="minorHAnsi"/>
        </w:rPr>
        <w:t>aimed at</w:t>
      </w:r>
      <w:r w:rsidRPr="002160B3">
        <w:rPr>
          <w:rFonts w:asciiTheme="minorHAnsi" w:hAnsiTheme="minorHAnsi" w:cstheme="minorHAnsi"/>
        </w:rPr>
        <w:t xml:space="preserve"> identify</w:t>
      </w:r>
      <w:r>
        <w:rPr>
          <w:rFonts w:asciiTheme="minorHAnsi" w:hAnsiTheme="minorHAnsi" w:cstheme="minorHAnsi"/>
        </w:rPr>
        <w:t>ing</w:t>
      </w:r>
      <w:r w:rsidRPr="002160B3">
        <w:rPr>
          <w:rFonts w:asciiTheme="minorHAnsi" w:hAnsiTheme="minorHAnsi" w:cstheme="minorHAnsi"/>
        </w:rPr>
        <w:t xml:space="preserve"> the risk </w:t>
      </w:r>
      <w:r>
        <w:rPr>
          <w:rFonts w:asciiTheme="minorHAnsi" w:hAnsiTheme="minorHAnsi" w:cstheme="minorHAnsi"/>
        </w:rPr>
        <w:t xml:space="preserve">and protective </w:t>
      </w:r>
      <w:r w:rsidRPr="002160B3">
        <w:rPr>
          <w:rFonts w:asciiTheme="minorHAnsi" w:hAnsiTheme="minorHAnsi" w:cstheme="minorHAnsi"/>
        </w:rPr>
        <w:t xml:space="preserve">factors associated with the behaviour </w:t>
      </w:r>
      <w:r>
        <w:rPr>
          <w:rFonts w:asciiTheme="minorHAnsi" w:hAnsiTheme="minorHAnsi" w:cstheme="minorHAnsi"/>
          <w:noProof/>
        </w:rPr>
        <w:t>(Jackson, et al., 2008; Volberg, et al., 2010)</w:t>
      </w:r>
      <w:r w:rsidRPr="002160B3">
        <w:rPr>
          <w:rFonts w:asciiTheme="minorHAnsi" w:hAnsiTheme="minorHAnsi" w:cstheme="minorHAnsi"/>
        </w:rPr>
        <w:t xml:space="preserve">. The influence of a young person’s socio-economic status on problematic gambling behaviour has received limited attention in the literature </w:t>
      </w:r>
      <w:r>
        <w:rPr>
          <w:rFonts w:asciiTheme="minorHAnsi" w:hAnsiTheme="minorHAnsi" w:cstheme="minorHAnsi"/>
          <w:noProof/>
        </w:rPr>
        <w:t>(McGowan, et al., 2000; Welte, et al., 2008)</w:t>
      </w:r>
      <w:r w:rsidRPr="002160B3">
        <w:rPr>
          <w:rFonts w:asciiTheme="minorHAnsi" w:hAnsiTheme="minorHAnsi" w:cstheme="minorHAnsi"/>
        </w:rPr>
        <w:t xml:space="preserve">, as has religion </w:t>
      </w:r>
      <w:r>
        <w:rPr>
          <w:rFonts w:asciiTheme="minorHAnsi" w:hAnsiTheme="minorHAnsi" w:cstheme="minorHAnsi"/>
          <w:noProof/>
        </w:rPr>
        <w:t>(Welte, et al., 2008)</w:t>
      </w:r>
      <w:r w:rsidRPr="002160B3">
        <w:rPr>
          <w:rFonts w:asciiTheme="minorHAnsi" w:hAnsiTheme="minorHAnsi" w:cstheme="minorHAnsi"/>
        </w:rPr>
        <w:t xml:space="preserve"> and ethnicity </w:t>
      </w:r>
      <w:r>
        <w:rPr>
          <w:rFonts w:asciiTheme="minorHAnsi" w:hAnsiTheme="minorHAnsi" w:cstheme="minorHAnsi"/>
          <w:noProof/>
        </w:rPr>
        <w:t>(Blinn-Pike, et al., 2010; McGowan, et al., 2000; Rossen, 2008)</w:t>
      </w:r>
      <w:r w:rsidRPr="002160B3">
        <w:rPr>
          <w:rFonts w:asciiTheme="minorHAnsi" w:hAnsiTheme="minorHAnsi" w:cstheme="minorHAnsi"/>
        </w:rPr>
        <w:t xml:space="preserve">. </w:t>
      </w:r>
    </w:p>
    <w:p w:rsidR="00043311" w:rsidRPr="00292AF5" w:rsidRDefault="00043311" w:rsidP="0042130F">
      <w:pPr>
        <w:spacing w:line="360" w:lineRule="auto"/>
        <w:rPr>
          <w:rFonts w:asciiTheme="minorHAnsi" w:hAnsiTheme="minorHAnsi" w:cstheme="minorHAnsi"/>
        </w:rPr>
      </w:pPr>
      <w:r w:rsidRPr="00292AF5">
        <w:rPr>
          <w:rFonts w:asciiTheme="minorHAnsi" w:hAnsiTheme="minorHAnsi" w:cstheme="minorHAnsi"/>
        </w:rPr>
        <w:t xml:space="preserve">In the absence of extensive youth-specific data, knowledge of adult gambling is often applied to adolescent gamblers </w:t>
      </w:r>
      <w:r>
        <w:rPr>
          <w:rFonts w:asciiTheme="minorHAnsi" w:hAnsiTheme="minorHAnsi" w:cstheme="minorHAnsi"/>
          <w:noProof/>
        </w:rPr>
        <w:t>(McGowan, et al., 2000)</w:t>
      </w:r>
      <w:r>
        <w:rPr>
          <w:rFonts w:asciiTheme="minorHAnsi" w:hAnsiTheme="minorHAnsi" w:cstheme="minorHAnsi"/>
        </w:rPr>
        <w:t xml:space="preserve">, particularly with regard to identification of problem gambling </w:t>
      </w:r>
      <w:r>
        <w:rPr>
          <w:rFonts w:asciiTheme="minorHAnsi" w:hAnsiTheme="minorHAnsi" w:cstheme="minorHAnsi"/>
          <w:noProof/>
        </w:rPr>
        <w:t>(Volberg, et al., 2010)</w:t>
      </w:r>
      <w:r w:rsidRPr="00292AF5">
        <w:rPr>
          <w:rFonts w:asciiTheme="minorHAnsi" w:hAnsiTheme="minorHAnsi" w:cstheme="minorHAnsi"/>
        </w:rPr>
        <w:t>. This clearly has limitations, given the not insubstantial differences between the two groups in relation to patterns of gambling and response to the behaviour, as well as more general developmental differences</w:t>
      </w:r>
      <w:r>
        <w:rPr>
          <w:rFonts w:asciiTheme="minorHAnsi" w:hAnsiTheme="minorHAnsi" w:cstheme="minorHAnsi"/>
        </w:rPr>
        <w:t xml:space="preserve"> </w:t>
      </w:r>
      <w:r>
        <w:rPr>
          <w:rFonts w:asciiTheme="minorHAnsi" w:hAnsiTheme="minorHAnsi" w:cstheme="minorHAnsi"/>
          <w:noProof/>
        </w:rPr>
        <w:t>(Volberg, et al., 2010)</w:t>
      </w:r>
      <w:r w:rsidRPr="00292AF5">
        <w:rPr>
          <w:rFonts w:asciiTheme="minorHAnsi" w:hAnsiTheme="minorHAnsi" w:cstheme="minorHAnsi"/>
        </w:rPr>
        <w:t xml:space="preserve">. Moreover, whilst it is important to investigate problem gambling amongst young people in its own right – it is also interesting to note that adolescence may be an important period in the development of problem gambling later in life – as evident in studies amongst adult problem gamblers which have identified that most of these individuals began gambling at a young age </w:t>
      </w:r>
      <w:r>
        <w:rPr>
          <w:rFonts w:asciiTheme="minorHAnsi" w:hAnsiTheme="minorHAnsi" w:cstheme="minorHAnsi"/>
          <w:noProof/>
        </w:rPr>
        <w:t>(Shaffer &amp; Hall, 2001; Volberg, et al., 2010; Winters, Stinchfield, Botzet, &amp; Anderson, 2002)</w:t>
      </w:r>
      <w:r w:rsidRPr="00292AF5">
        <w:rPr>
          <w:rFonts w:asciiTheme="minorHAnsi" w:hAnsiTheme="minorHAnsi" w:cstheme="minorHAnsi"/>
        </w:rPr>
        <w:t>.</w:t>
      </w:r>
    </w:p>
    <w:p w:rsidR="00043311" w:rsidRPr="000D5CA7" w:rsidRDefault="00043311" w:rsidP="0042130F">
      <w:pPr>
        <w:pStyle w:val="Heading3"/>
        <w:spacing w:line="360" w:lineRule="auto"/>
      </w:pPr>
      <w:bookmarkStart w:id="38" w:name="_Toc352773513"/>
      <w:bookmarkStart w:id="39" w:name="_Toc360724455"/>
      <w:bookmarkStart w:id="40" w:name="_Toc367284400"/>
      <w:r w:rsidRPr="000D5CA7">
        <w:lastRenderedPageBreak/>
        <w:t>Prevalence of youth gambling and problem gambling</w:t>
      </w:r>
      <w:bookmarkEnd w:id="38"/>
      <w:bookmarkEnd w:id="39"/>
      <w:bookmarkEnd w:id="40"/>
    </w:p>
    <w:p w:rsidR="00043311" w:rsidRPr="000D5CA7" w:rsidRDefault="00043311" w:rsidP="0042130F">
      <w:pPr>
        <w:spacing w:line="360" w:lineRule="auto"/>
        <w:rPr>
          <w:rFonts w:asciiTheme="minorHAnsi" w:hAnsiTheme="minorHAnsi" w:cstheme="minorHAnsi"/>
        </w:rPr>
      </w:pPr>
      <w:r w:rsidRPr="000D5CA7">
        <w:rPr>
          <w:rFonts w:asciiTheme="minorHAnsi" w:hAnsiTheme="minorHAnsi" w:cstheme="minorHAnsi"/>
        </w:rPr>
        <w:t xml:space="preserve">There are a vast range of adolescent gambling prevalence studies that have been undertaken over the past 25 years, across different countries, and incorporating general populations as well as youth specifically. It is beyond the scope of this review to provide a detailed breakdown of these; instead this section presents an overview of rates of youth gambling and problem gambling and a selection of representative studies from various countries, incorporating different youth populations and a range of screening instruments. </w:t>
      </w:r>
    </w:p>
    <w:p w:rsidR="00043311" w:rsidRPr="000D5CA7" w:rsidRDefault="00043311" w:rsidP="0042130F">
      <w:pPr>
        <w:spacing w:line="360" w:lineRule="auto"/>
        <w:rPr>
          <w:rFonts w:asciiTheme="minorHAnsi" w:hAnsiTheme="minorHAnsi" w:cstheme="minorHAnsi"/>
        </w:rPr>
      </w:pPr>
      <w:r w:rsidRPr="000D5CA7">
        <w:rPr>
          <w:rFonts w:asciiTheme="minorHAnsi" w:hAnsiTheme="minorHAnsi" w:cstheme="minorHAnsi"/>
        </w:rPr>
        <w:t>A</w:t>
      </w:r>
      <w:r>
        <w:rPr>
          <w:rFonts w:asciiTheme="minorHAnsi" w:hAnsiTheme="minorHAnsi" w:cstheme="minorHAnsi"/>
        </w:rPr>
        <w:t xml:space="preserve"> recent</w:t>
      </w:r>
      <w:r w:rsidRPr="000D5CA7">
        <w:rPr>
          <w:rFonts w:asciiTheme="minorHAnsi" w:hAnsiTheme="minorHAnsi" w:cstheme="minorHAnsi"/>
        </w:rPr>
        <w:t xml:space="preserve"> review of studies of young people’s gambling</w:t>
      </w:r>
      <w:r>
        <w:rPr>
          <w:rFonts w:asciiTheme="minorHAnsi" w:hAnsiTheme="minorHAnsi" w:cstheme="minorHAnsi"/>
        </w:rPr>
        <w:t xml:space="preserve"> in the UK, </w:t>
      </w:r>
      <w:r w:rsidRPr="000D5CA7">
        <w:rPr>
          <w:rFonts w:asciiTheme="minorHAnsi" w:hAnsiTheme="minorHAnsi" w:cstheme="minorHAnsi"/>
        </w:rPr>
        <w:t>North America</w:t>
      </w:r>
      <w:r>
        <w:rPr>
          <w:rFonts w:asciiTheme="minorHAnsi" w:hAnsiTheme="minorHAnsi" w:cstheme="minorHAnsi"/>
        </w:rPr>
        <w:t xml:space="preserve">, Europe and Oceania </w:t>
      </w:r>
      <w:r w:rsidRPr="000D5CA7">
        <w:rPr>
          <w:rFonts w:asciiTheme="minorHAnsi" w:hAnsiTheme="minorHAnsi" w:cstheme="minorHAnsi"/>
        </w:rPr>
        <w:t>found that levels of</w:t>
      </w:r>
      <w:r>
        <w:rPr>
          <w:rFonts w:asciiTheme="minorHAnsi" w:hAnsiTheme="minorHAnsi" w:cstheme="minorHAnsi"/>
        </w:rPr>
        <w:t xml:space="preserve"> past year </w:t>
      </w:r>
      <w:r w:rsidRPr="000D5CA7">
        <w:rPr>
          <w:rFonts w:asciiTheme="minorHAnsi" w:hAnsiTheme="minorHAnsi" w:cstheme="minorHAnsi"/>
        </w:rPr>
        <w:t xml:space="preserve">gambling </w:t>
      </w:r>
      <w:r>
        <w:rPr>
          <w:rFonts w:asciiTheme="minorHAnsi" w:hAnsiTheme="minorHAnsi" w:cstheme="minorHAnsi"/>
        </w:rPr>
        <w:t xml:space="preserve">amongst young people </w:t>
      </w:r>
      <w:r w:rsidRPr="000D5CA7">
        <w:rPr>
          <w:rFonts w:asciiTheme="minorHAnsi" w:hAnsiTheme="minorHAnsi" w:cstheme="minorHAnsi"/>
        </w:rPr>
        <w:t>ranged from</w:t>
      </w:r>
      <w:r>
        <w:rPr>
          <w:rFonts w:asciiTheme="minorHAnsi" w:hAnsiTheme="minorHAnsi" w:cstheme="minorHAnsi"/>
        </w:rPr>
        <w:t xml:space="preserve"> 20-90 percent </w:t>
      </w:r>
      <w:r>
        <w:rPr>
          <w:rFonts w:asciiTheme="minorHAnsi" w:hAnsiTheme="minorHAnsi" w:cstheme="minorHAnsi"/>
          <w:noProof/>
        </w:rPr>
        <w:t>(Volberg, et al., 2010)</w:t>
      </w:r>
      <w:r>
        <w:rPr>
          <w:rFonts w:asciiTheme="minorHAnsi" w:hAnsiTheme="minorHAnsi" w:cstheme="minorHAnsi"/>
        </w:rPr>
        <w:t xml:space="preserve">. </w:t>
      </w:r>
      <w:r w:rsidRPr="000D5CA7">
        <w:rPr>
          <w:rFonts w:asciiTheme="minorHAnsi" w:hAnsiTheme="minorHAnsi" w:cstheme="minorHAnsi"/>
        </w:rPr>
        <w:t>This range is similarly reflected in Table 1 which displays rates of gambling from various countries</w:t>
      </w:r>
      <w:r w:rsidRPr="000D5CA7">
        <w:rPr>
          <w:rStyle w:val="FootnoteReference"/>
          <w:rFonts w:asciiTheme="minorHAnsi" w:hAnsiTheme="minorHAnsi" w:cstheme="minorHAnsi"/>
        </w:rPr>
        <w:footnoteReference w:id="5"/>
      </w:r>
      <w:r w:rsidRPr="000D5CA7">
        <w:rPr>
          <w:rFonts w:asciiTheme="minorHAnsi" w:hAnsiTheme="minorHAnsi" w:cstheme="minorHAnsi"/>
        </w:rPr>
        <w:t xml:space="preserve">. It has been estimated that between 4-8% of young people gamble at problem/pathological gambling levels </w:t>
      </w:r>
      <w:r>
        <w:rPr>
          <w:rFonts w:asciiTheme="minorHAnsi" w:hAnsiTheme="minorHAnsi" w:cstheme="minorHAnsi"/>
          <w:noProof/>
        </w:rPr>
        <w:t>(Hardoon &amp; Derevensky, 2002; Jackson, et al., 2008)</w:t>
      </w:r>
      <w:r w:rsidRPr="000D5CA7">
        <w:rPr>
          <w:rFonts w:asciiTheme="minorHAnsi" w:hAnsiTheme="minorHAnsi" w:cstheme="minorHAnsi"/>
        </w:rPr>
        <w:t xml:space="preserve"> and a further 10-15% are at risk of developing a gambling problem </w:t>
      </w:r>
      <w:r w:rsidRPr="000D5CA7">
        <w:rPr>
          <w:rFonts w:asciiTheme="minorHAnsi" w:hAnsiTheme="minorHAnsi" w:cstheme="minorHAnsi"/>
          <w:noProof/>
        </w:rPr>
        <w:t>(Shaffer &amp; Hall, 1996; Turchi &amp; Derevensky, 2006)</w:t>
      </w:r>
      <w:r w:rsidRPr="000D5CA7">
        <w:rPr>
          <w:rFonts w:asciiTheme="minorHAnsi" w:hAnsiTheme="minorHAnsi" w:cstheme="minorHAnsi"/>
        </w:rPr>
        <w:t xml:space="preserve">. It has also been suggested that youth gambling may be somewhat ‘polarised’ – with young people either abstaining from gambling altogether, or becoming involved in more problematic gambling – due to the lower levels of non-problem gamblers, but higher levels of non-gamblers and problem gamblers than adults </w:t>
      </w:r>
      <w:r w:rsidRPr="000D5CA7">
        <w:rPr>
          <w:rFonts w:asciiTheme="minorHAnsi" w:hAnsiTheme="minorHAnsi" w:cstheme="minorHAnsi"/>
          <w:noProof/>
        </w:rPr>
        <w:t>(Huang &amp; Boyer, 2007)</w:t>
      </w:r>
      <w:r w:rsidRPr="000D5CA7">
        <w:rPr>
          <w:rFonts w:asciiTheme="minorHAnsi" w:hAnsiTheme="minorHAnsi" w:cstheme="minorHAnsi"/>
        </w:rPr>
        <w:t xml:space="preserve">. </w:t>
      </w:r>
    </w:p>
    <w:p w:rsidR="00043311" w:rsidRPr="00E61EB8" w:rsidRDefault="00043311" w:rsidP="0042130F">
      <w:pPr>
        <w:spacing w:line="360" w:lineRule="auto"/>
        <w:rPr>
          <w:rFonts w:asciiTheme="minorHAnsi" w:hAnsiTheme="minorHAnsi" w:cstheme="minorHAnsi"/>
        </w:rPr>
      </w:pPr>
      <w:r w:rsidRPr="00E61EB8">
        <w:rPr>
          <w:rFonts w:asciiTheme="minorHAnsi" w:hAnsiTheme="minorHAnsi" w:cstheme="minorHAnsi"/>
        </w:rPr>
        <w:t xml:space="preserve">Rates of youth problem gambling have often been found to be higher than the rates identified for adults </w:t>
      </w:r>
      <w:r>
        <w:rPr>
          <w:rFonts w:asciiTheme="minorHAnsi" w:hAnsiTheme="minorHAnsi" w:cstheme="minorHAnsi"/>
          <w:noProof/>
        </w:rPr>
        <w:t>(Huang &amp; Boyer, 2007; Shaffer &amp; Hall, 1996; Welte, et al., 2008; Williams, et al., 2008)</w:t>
      </w:r>
      <w:r w:rsidRPr="00E61EB8">
        <w:rPr>
          <w:rFonts w:asciiTheme="minorHAnsi" w:hAnsiTheme="minorHAnsi" w:cstheme="minorHAnsi"/>
        </w:rPr>
        <w:t xml:space="preserve">, with some estimating them to be more than double those of adults </w:t>
      </w:r>
      <w:r>
        <w:rPr>
          <w:rFonts w:asciiTheme="minorHAnsi" w:hAnsiTheme="minorHAnsi" w:cstheme="minorHAnsi"/>
          <w:noProof/>
        </w:rPr>
        <w:t>(Gupta &amp; Derevensky, 1998a; Jackson, et al., 2008; Lesieur, et al., 1991)</w:t>
      </w:r>
      <w:r w:rsidRPr="00E61EB8">
        <w:rPr>
          <w:rFonts w:asciiTheme="minorHAnsi" w:hAnsiTheme="minorHAnsi" w:cstheme="minorHAnsi"/>
        </w:rPr>
        <w:t xml:space="preserve">, or up to three times as high </w:t>
      </w:r>
      <w:r w:rsidRPr="00E61EB8">
        <w:rPr>
          <w:rFonts w:asciiTheme="minorHAnsi" w:hAnsiTheme="minorHAnsi" w:cstheme="minorHAnsi"/>
          <w:noProof/>
        </w:rPr>
        <w:t>(Rigbye, 2010)</w:t>
      </w:r>
      <w:r w:rsidRPr="00E61EB8">
        <w:rPr>
          <w:rFonts w:asciiTheme="minorHAnsi" w:hAnsiTheme="minorHAnsi" w:cstheme="minorHAnsi"/>
        </w:rPr>
        <w:t xml:space="preserve">. In a Canadian survey of over 5000 young people aged 15-34 years, it was reported that youth were nearly 1.5 times as likely as adults to be either ‘problem’ or ‘moderate-risk’ gamblers. Other studies have identified rates of youth problem gambling as being 2-4 times higher </w:t>
      </w:r>
      <w:r>
        <w:rPr>
          <w:rFonts w:asciiTheme="minorHAnsi" w:hAnsiTheme="minorHAnsi" w:cstheme="minorHAnsi"/>
          <w:noProof/>
        </w:rPr>
        <w:t>(Blinn-Pike, et al., 2010; Delfabbro, Lahn, &amp; Grabosky, 2005; Rina Gupta &amp; Derevensky, 2000; Jackson, et al., 2008)</w:t>
      </w:r>
      <w:r w:rsidRPr="00E61EB8">
        <w:rPr>
          <w:rFonts w:asciiTheme="minorHAnsi" w:hAnsiTheme="minorHAnsi" w:cstheme="minorHAnsi"/>
        </w:rPr>
        <w:t xml:space="preserve">. </w:t>
      </w:r>
    </w:p>
    <w:p w:rsidR="00043311" w:rsidRPr="003A6ADE" w:rsidRDefault="00043311" w:rsidP="0042130F">
      <w:pPr>
        <w:spacing w:line="360" w:lineRule="auto"/>
        <w:rPr>
          <w:rFonts w:asciiTheme="minorHAnsi" w:hAnsiTheme="minorHAnsi" w:cstheme="minorHAnsi"/>
        </w:rPr>
      </w:pPr>
      <w:r w:rsidRPr="00E61EB8">
        <w:rPr>
          <w:rFonts w:asciiTheme="minorHAnsi" w:hAnsiTheme="minorHAnsi" w:cstheme="minorHAnsi"/>
        </w:rPr>
        <w:t xml:space="preserve">It is important to note that measurements of the prevalence of problem gambling amongst youth have produced differing results </w:t>
      </w:r>
      <w:r>
        <w:rPr>
          <w:rFonts w:asciiTheme="minorHAnsi" w:hAnsiTheme="minorHAnsi" w:cstheme="minorHAnsi"/>
          <w:noProof/>
        </w:rPr>
        <w:t>(Derevensky, Gupta, &amp; Winters, 2003; Moodie &amp; Finnigan, 2006; Valentine, 2008; Volberg, et al., 2010; Welte, et al., 2008)</w:t>
      </w:r>
      <w:r w:rsidRPr="00E61EB8">
        <w:rPr>
          <w:rFonts w:asciiTheme="minorHAnsi" w:hAnsiTheme="minorHAnsi" w:cstheme="minorHAnsi"/>
        </w:rPr>
        <w:t xml:space="preserve">. This may be due to differences in the definitions of problem gambling that have been utilised </w:t>
      </w:r>
      <w:r>
        <w:rPr>
          <w:rFonts w:asciiTheme="minorHAnsi" w:hAnsiTheme="minorHAnsi" w:cstheme="minorHAnsi"/>
          <w:noProof/>
        </w:rPr>
        <w:t>(Welte, et al., 2008)</w:t>
      </w:r>
      <w:r w:rsidRPr="00E61EB8">
        <w:rPr>
          <w:rFonts w:asciiTheme="minorHAnsi" w:hAnsiTheme="minorHAnsi" w:cstheme="minorHAnsi"/>
        </w:rPr>
        <w:t xml:space="preserve"> as well as geographical differences </w:t>
      </w:r>
      <w:r>
        <w:rPr>
          <w:rFonts w:asciiTheme="minorHAnsi" w:hAnsiTheme="minorHAnsi" w:cstheme="minorHAnsi"/>
          <w:noProof/>
        </w:rPr>
        <w:t>(Derevensky, et al., 2003; Fisher, 1999; Welte, et al., 2008)</w:t>
      </w:r>
      <w:r w:rsidRPr="00E61EB8">
        <w:rPr>
          <w:rFonts w:asciiTheme="minorHAnsi" w:hAnsiTheme="minorHAnsi" w:cstheme="minorHAnsi"/>
        </w:rPr>
        <w:t>, different instruments</w:t>
      </w:r>
      <w:r w:rsidRPr="00E61EB8">
        <w:rPr>
          <w:rStyle w:val="FootnoteReference"/>
          <w:rFonts w:asciiTheme="minorHAnsi" w:hAnsiTheme="minorHAnsi" w:cstheme="minorHAnsi"/>
        </w:rPr>
        <w:footnoteReference w:id="6"/>
      </w:r>
      <w:r w:rsidRPr="00E61EB8">
        <w:rPr>
          <w:rFonts w:asciiTheme="minorHAnsi" w:hAnsiTheme="minorHAnsi" w:cstheme="minorHAnsi"/>
        </w:rPr>
        <w:t xml:space="preserve"> being employed </w:t>
      </w:r>
      <w:r>
        <w:rPr>
          <w:rFonts w:asciiTheme="minorHAnsi" w:hAnsiTheme="minorHAnsi" w:cstheme="minorHAnsi"/>
          <w:noProof/>
        </w:rPr>
        <w:t>(Derevensky, et al., 2003; Jackson, et al., 2008; Rossen, 2008; Valentine, 2008; Volberg, et al., 2010)</w:t>
      </w:r>
      <w:r w:rsidRPr="00E61EB8">
        <w:rPr>
          <w:rFonts w:asciiTheme="minorHAnsi" w:hAnsiTheme="minorHAnsi" w:cstheme="minorHAnsi"/>
        </w:rPr>
        <w:t xml:space="preserve"> and the adoption of varying sampling procedures </w:t>
      </w:r>
      <w:r>
        <w:rPr>
          <w:rFonts w:asciiTheme="minorHAnsi" w:hAnsiTheme="minorHAnsi" w:cstheme="minorHAnsi"/>
          <w:noProof/>
        </w:rPr>
        <w:t xml:space="preserve">(Derevensky, et al., 2003; </w:t>
      </w:r>
      <w:r>
        <w:rPr>
          <w:rFonts w:asciiTheme="minorHAnsi" w:hAnsiTheme="minorHAnsi" w:cstheme="minorHAnsi"/>
          <w:noProof/>
        </w:rPr>
        <w:lastRenderedPageBreak/>
        <w:t>Valentine, 2008)</w:t>
      </w:r>
      <w:r w:rsidRPr="00E61EB8">
        <w:rPr>
          <w:rFonts w:asciiTheme="minorHAnsi" w:hAnsiTheme="minorHAnsi" w:cstheme="minorHAnsi"/>
        </w:rPr>
        <w:t xml:space="preserve">. </w:t>
      </w:r>
      <w:r w:rsidRPr="003A6ADE">
        <w:rPr>
          <w:rFonts w:asciiTheme="minorHAnsi" w:hAnsiTheme="minorHAnsi" w:cstheme="minorHAnsi"/>
        </w:rPr>
        <w:t>For example, researchers from the UK found that the prevalence of problem gambling was significantly higher amongst young people residing by the sea, compared to those living inland, a result that was attributed to the greater accessibility to fruit machines</w:t>
      </w:r>
      <w:r>
        <w:rPr>
          <w:rStyle w:val="FootnoteReference"/>
          <w:rFonts w:asciiTheme="minorHAnsi" w:hAnsiTheme="minorHAnsi"/>
        </w:rPr>
        <w:footnoteReference w:id="7"/>
      </w:r>
      <w:r w:rsidRPr="003A6ADE">
        <w:rPr>
          <w:rFonts w:asciiTheme="minorHAnsi" w:hAnsiTheme="minorHAnsi" w:cstheme="minorHAnsi"/>
        </w:rPr>
        <w:t xml:space="preserve"> via seaside arcades for these residents </w:t>
      </w:r>
      <w:r w:rsidRPr="003A6ADE">
        <w:rPr>
          <w:rFonts w:asciiTheme="minorHAnsi" w:hAnsiTheme="minorHAnsi" w:cstheme="minorHAnsi"/>
          <w:noProof/>
        </w:rPr>
        <w:t>(Fisher, 1999)</w:t>
      </w:r>
      <w:r w:rsidRPr="003A6ADE">
        <w:rPr>
          <w:rFonts w:asciiTheme="minorHAnsi" w:hAnsiTheme="minorHAnsi" w:cstheme="minorHAnsi"/>
        </w:rPr>
        <w:t xml:space="preserve">. Other researchers have highlighted cross-cultural differences and the impact of different legislative frameworks in different countries </w:t>
      </w:r>
      <w:r w:rsidRPr="003A6ADE">
        <w:rPr>
          <w:rFonts w:asciiTheme="minorHAnsi" w:hAnsiTheme="minorHAnsi" w:cstheme="minorHAnsi"/>
          <w:noProof/>
        </w:rPr>
        <w:t>(Moodie &amp; Finnigan, 2006)</w:t>
      </w:r>
      <w:r w:rsidRPr="003A6ADE">
        <w:rPr>
          <w:rFonts w:asciiTheme="minorHAnsi" w:hAnsiTheme="minorHAnsi" w:cstheme="minorHAnsi"/>
        </w:rPr>
        <w:t xml:space="preserve">, as well as the inconsistent use of different terminology </w:t>
      </w:r>
      <w:r>
        <w:rPr>
          <w:rFonts w:asciiTheme="minorHAnsi" w:hAnsiTheme="minorHAnsi" w:cstheme="minorHAnsi"/>
          <w:noProof/>
        </w:rPr>
        <w:t>(Rossen, 2008)</w:t>
      </w:r>
      <w:r w:rsidRPr="003A6ADE">
        <w:rPr>
          <w:rFonts w:asciiTheme="minorHAnsi" w:hAnsiTheme="minorHAnsi" w:cstheme="minorHAnsi"/>
        </w:rPr>
        <w:t xml:space="preserve">. In spite of these issues, it has been claimed that the variability in youth problem gambling rates is much greater that that reported for adult problem gambling </w:t>
      </w:r>
      <w:r>
        <w:rPr>
          <w:rFonts w:asciiTheme="minorHAnsi" w:hAnsiTheme="minorHAnsi" w:cstheme="minorHAnsi"/>
          <w:noProof/>
        </w:rPr>
        <w:t>(Derevensky, et al., 2003)</w:t>
      </w:r>
      <w:r w:rsidRPr="003A6ADE">
        <w:rPr>
          <w:rFonts w:asciiTheme="minorHAnsi" w:hAnsiTheme="minorHAnsi" w:cstheme="minorHAnsi"/>
        </w:rPr>
        <w:t>.</w:t>
      </w:r>
    </w:p>
    <w:p w:rsidR="00043311" w:rsidRPr="00E229AC" w:rsidRDefault="00043311" w:rsidP="0042130F">
      <w:pPr>
        <w:spacing w:line="360" w:lineRule="auto"/>
        <w:rPr>
          <w:rFonts w:asciiTheme="minorHAnsi" w:hAnsiTheme="minorHAnsi" w:cstheme="minorHAnsi"/>
        </w:rPr>
      </w:pPr>
      <w:r w:rsidRPr="00E229AC">
        <w:rPr>
          <w:rFonts w:asciiTheme="minorHAnsi" w:hAnsiTheme="minorHAnsi" w:cstheme="minorHAnsi"/>
        </w:rPr>
        <w:t xml:space="preserve">There have also been issues raised around the rates of problem gambling amongst youth having been inflated </w:t>
      </w:r>
      <w:r>
        <w:rPr>
          <w:rFonts w:asciiTheme="minorHAnsi" w:hAnsiTheme="minorHAnsi" w:cstheme="minorHAnsi"/>
          <w:noProof/>
        </w:rPr>
        <w:t>(Derevensky, et al., 2003)</w:t>
      </w:r>
      <w:r w:rsidRPr="00E229AC">
        <w:rPr>
          <w:rFonts w:asciiTheme="minorHAnsi" w:hAnsiTheme="minorHAnsi" w:cstheme="minorHAnsi"/>
        </w:rPr>
        <w:t xml:space="preserve">. This was investigated by Derevensky and colleagues (2003) who identified five core arguments utilised to support the proposition. These included: 1) if rates are as high as reported, it could be expected that more youth would be accessing treatment; 2) questions in the problem gambling screens may be misunderstood by youth; 3) given adult gamblers’ greater access to ‘high-stakes gambling’, discrepancy in prevalence rates between adults and youth is ‘illogical’; 4) overestimates may be due to scoring errors in instruments; 5) there is insufficient construct validity in adolescent screening instruments. Their 2003 paper discusses – and broadly discounts – these arguments and they conclude that whilst differences in prevalence rates may be due to a range of reasons (e.g. cultural factors), they are not a result of levels of problem gambling being over-represented </w:t>
      </w:r>
      <w:r>
        <w:rPr>
          <w:rFonts w:asciiTheme="minorHAnsi" w:hAnsiTheme="minorHAnsi" w:cstheme="minorHAnsi"/>
          <w:noProof/>
        </w:rPr>
        <w:t>(Derevensky, et al., 2003)</w:t>
      </w:r>
      <w:r w:rsidRPr="00E229AC">
        <w:rPr>
          <w:rFonts w:asciiTheme="minorHAnsi" w:hAnsiTheme="minorHAnsi" w:cstheme="minorHAnsi"/>
        </w:rPr>
        <w:t xml:space="preserve">. </w:t>
      </w:r>
    </w:p>
    <w:p w:rsidR="00043311" w:rsidRPr="00D176AE" w:rsidRDefault="00043311" w:rsidP="0042130F">
      <w:pPr>
        <w:spacing w:line="360" w:lineRule="auto"/>
        <w:rPr>
          <w:rFonts w:asciiTheme="minorHAnsi" w:hAnsiTheme="minorHAnsi" w:cstheme="minorHAnsi"/>
        </w:rPr>
      </w:pPr>
      <w:r w:rsidRPr="00D176AE">
        <w:rPr>
          <w:rFonts w:asciiTheme="minorHAnsi" w:hAnsiTheme="minorHAnsi" w:cstheme="minorHAnsi"/>
        </w:rPr>
        <w:t>Table 1 provides a snapshot of prevalence rates from a range of international studies conducted in the UK, North America, New Zealand and Australia. As can be observed, these are reflective of the literature more broadly in that there is variance in the prevalence rates of</w:t>
      </w:r>
      <w:r>
        <w:rPr>
          <w:rFonts w:asciiTheme="minorHAnsi" w:hAnsiTheme="minorHAnsi" w:cstheme="minorHAnsi"/>
        </w:rPr>
        <w:t xml:space="preserve"> gambling and </w:t>
      </w:r>
      <w:r w:rsidRPr="00D176AE">
        <w:rPr>
          <w:rFonts w:asciiTheme="minorHAnsi" w:hAnsiTheme="minorHAnsi" w:cstheme="minorHAnsi"/>
        </w:rPr>
        <w:t>problem gambling amongst young people across different countries.</w:t>
      </w:r>
    </w:p>
    <w:p w:rsidR="00043311" w:rsidRDefault="00043311">
      <w:pPr>
        <w:spacing w:before="0" w:line="240" w:lineRule="auto"/>
        <w:jc w:val="left"/>
        <w:rPr>
          <w:rFonts w:asciiTheme="minorHAnsi" w:hAnsiTheme="minorHAnsi" w:cstheme="minorHAnsi"/>
          <w:b/>
          <w:bCs/>
          <w:sz w:val="20"/>
          <w:szCs w:val="20"/>
        </w:rPr>
      </w:pPr>
      <w:bookmarkStart w:id="41" w:name="_Toc352773232"/>
      <w:r>
        <w:rPr>
          <w:rFonts w:asciiTheme="minorHAnsi" w:hAnsiTheme="minorHAnsi" w:cstheme="minorHAnsi"/>
        </w:rPr>
        <w:br w:type="page"/>
      </w:r>
    </w:p>
    <w:p w:rsidR="00043311" w:rsidRPr="008B5AC1" w:rsidRDefault="00007C77" w:rsidP="008B5AC1">
      <w:pPr>
        <w:pStyle w:val="Caption"/>
        <w:spacing w:line="240" w:lineRule="auto"/>
        <w:rPr>
          <w:rFonts w:asciiTheme="minorHAnsi" w:hAnsiTheme="minorHAnsi" w:cstheme="minorHAnsi"/>
        </w:rPr>
      </w:pPr>
      <w:bookmarkStart w:id="42" w:name="_Toc367285384"/>
      <w:r w:rsidRPr="008B5AC1">
        <w:rPr>
          <w:rFonts w:asciiTheme="minorHAnsi" w:hAnsiTheme="minorHAnsi"/>
        </w:rPr>
        <w:lastRenderedPageBreak/>
        <w:t xml:space="preserve">Table </w:t>
      </w:r>
      <w:r w:rsidR="007B447B" w:rsidRPr="008B5AC1">
        <w:rPr>
          <w:rFonts w:asciiTheme="minorHAnsi" w:hAnsiTheme="minorHAnsi"/>
        </w:rPr>
        <w:fldChar w:fldCharType="begin"/>
      </w:r>
      <w:r w:rsidRPr="008B5AC1">
        <w:rPr>
          <w:rFonts w:asciiTheme="minorHAnsi" w:hAnsiTheme="minorHAnsi"/>
        </w:rPr>
        <w:instrText xml:space="preserve"> SEQ Table \* ARABIC </w:instrText>
      </w:r>
      <w:r w:rsidR="007B447B" w:rsidRPr="008B5AC1">
        <w:rPr>
          <w:rFonts w:asciiTheme="minorHAnsi" w:hAnsiTheme="minorHAnsi"/>
        </w:rPr>
        <w:fldChar w:fldCharType="separate"/>
      </w:r>
      <w:r w:rsidR="009E3D1C">
        <w:rPr>
          <w:rFonts w:asciiTheme="minorHAnsi" w:hAnsiTheme="minorHAnsi"/>
          <w:noProof/>
        </w:rPr>
        <w:t>1</w:t>
      </w:r>
      <w:r w:rsidR="007B447B" w:rsidRPr="008B5AC1">
        <w:rPr>
          <w:rFonts w:asciiTheme="minorHAnsi" w:hAnsiTheme="minorHAnsi"/>
        </w:rPr>
        <w:fldChar w:fldCharType="end"/>
      </w:r>
      <w:r w:rsidRPr="008B5AC1">
        <w:rPr>
          <w:rFonts w:asciiTheme="minorHAnsi" w:hAnsiTheme="minorHAnsi"/>
        </w:rPr>
        <w:t xml:space="preserve">: </w:t>
      </w:r>
      <w:r w:rsidRPr="008B5AC1">
        <w:rPr>
          <w:rFonts w:asciiTheme="minorHAnsi" w:hAnsiTheme="minorHAnsi" w:cstheme="minorHAnsi"/>
        </w:rPr>
        <w:t>Prevalence of youth gambling and problem gambling across different countries</w:t>
      </w:r>
      <w:bookmarkEnd w:id="41"/>
      <w:bookmarkEnd w:id="42"/>
    </w:p>
    <w:tbl>
      <w:tblPr>
        <w:tblW w:w="10646" w:type="dxa"/>
        <w:jc w:val="center"/>
        <w:tblInd w:w="-151"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0A0" w:firstRow="1" w:lastRow="0" w:firstColumn="1" w:lastColumn="0" w:noHBand="0" w:noVBand="0"/>
      </w:tblPr>
      <w:tblGrid>
        <w:gridCol w:w="1202"/>
        <w:gridCol w:w="1145"/>
        <w:gridCol w:w="2410"/>
        <w:gridCol w:w="2101"/>
        <w:gridCol w:w="1544"/>
        <w:gridCol w:w="2244"/>
      </w:tblGrid>
      <w:tr w:rsidR="00043311" w:rsidRPr="007D615E" w:rsidTr="0042130F">
        <w:trPr>
          <w:trHeight w:val="312"/>
          <w:jc w:val="center"/>
        </w:trPr>
        <w:tc>
          <w:tcPr>
            <w:tcW w:w="1202" w:type="dxa"/>
            <w:shd w:val="clear" w:color="auto" w:fill="8DB3E2"/>
          </w:tcPr>
          <w:p w:rsidR="00043311" w:rsidRPr="007D615E" w:rsidRDefault="00043311" w:rsidP="0042130F">
            <w:pPr>
              <w:spacing w:before="0" w:line="240" w:lineRule="auto"/>
              <w:jc w:val="left"/>
              <w:rPr>
                <w:rFonts w:asciiTheme="minorHAnsi" w:hAnsiTheme="minorHAnsi" w:cstheme="minorHAnsi"/>
                <w:b/>
                <w:sz w:val="16"/>
                <w:szCs w:val="16"/>
              </w:rPr>
            </w:pPr>
            <w:r w:rsidRPr="007D615E">
              <w:rPr>
                <w:rFonts w:asciiTheme="minorHAnsi" w:hAnsiTheme="minorHAnsi" w:cstheme="minorHAnsi"/>
                <w:b/>
                <w:sz w:val="16"/>
                <w:szCs w:val="16"/>
              </w:rPr>
              <w:t>Authors</w:t>
            </w:r>
          </w:p>
        </w:tc>
        <w:tc>
          <w:tcPr>
            <w:tcW w:w="1145" w:type="dxa"/>
            <w:shd w:val="clear" w:color="auto" w:fill="8DB3E2"/>
          </w:tcPr>
          <w:p w:rsidR="00043311" w:rsidRPr="007D615E" w:rsidRDefault="00043311" w:rsidP="0042130F">
            <w:pPr>
              <w:spacing w:before="0" w:line="240" w:lineRule="auto"/>
              <w:rPr>
                <w:rFonts w:asciiTheme="minorHAnsi" w:hAnsiTheme="minorHAnsi" w:cstheme="minorHAnsi"/>
                <w:b/>
                <w:sz w:val="16"/>
                <w:szCs w:val="16"/>
              </w:rPr>
            </w:pPr>
            <w:r w:rsidRPr="007D615E">
              <w:rPr>
                <w:rFonts w:asciiTheme="minorHAnsi" w:hAnsiTheme="minorHAnsi" w:cstheme="minorHAnsi"/>
                <w:b/>
                <w:sz w:val="16"/>
                <w:szCs w:val="16"/>
              </w:rPr>
              <w:t>Country</w:t>
            </w:r>
          </w:p>
        </w:tc>
        <w:tc>
          <w:tcPr>
            <w:tcW w:w="2410" w:type="dxa"/>
            <w:shd w:val="clear" w:color="auto" w:fill="8DB3E2"/>
          </w:tcPr>
          <w:p w:rsidR="00043311" w:rsidRPr="007D615E" w:rsidRDefault="00043311" w:rsidP="0042130F">
            <w:pPr>
              <w:spacing w:before="0" w:line="240" w:lineRule="auto"/>
              <w:rPr>
                <w:rFonts w:asciiTheme="minorHAnsi" w:hAnsiTheme="minorHAnsi" w:cstheme="minorHAnsi"/>
                <w:b/>
                <w:sz w:val="16"/>
                <w:szCs w:val="16"/>
              </w:rPr>
            </w:pPr>
            <w:r w:rsidRPr="007D615E">
              <w:rPr>
                <w:rFonts w:asciiTheme="minorHAnsi" w:hAnsiTheme="minorHAnsi" w:cstheme="minorHAnsi"/>
                <w:b/>
                <w:sz w:val="16"/>
                <w:szCs w:val="16"/>
              </w:rPr>
              <w:t>Population</w:t>
            </w:r>
          </w:p>
        </w:tc>
        <w:tc>
          <w:tcPr>
            <w:tcW w:w="2101" w:type="dxa"/>
            <w:shd w:val="clear" w:color="auto" w:fill="8DB3E2"/>
          </w:tcPr>
          <w:p w:rsidR="00043311" w:rsidRPr="007D615E" w:rsidRDefault="00043311" w:rsidP="0042130F">
            <w:pPr>
              <w:spacing w:before="0" w:line="240" w:lineRule="auto"/>
              <w:jc w:val="left"/>
              <w:rPr>
                <w:rFonts w:asciiTheme="minorHAnsi" w:hAnsiTheme="minorHAnsi" w:cstheme="minorHAnsi"/>
                <w:b/>
                <w:sz w:val="16"/>
                <w:szCs w:val="16"/>
              </w:rPr>
            </w:pPr>
            <w:r w:rsidRPr="007D615E">
              <w:rPr>
                <w:rFonts w:asciiTheme="minorHAnsi" w:hAnsiTheme="minorHAnsi" w:cstheme="minorHAnsi"/>
                <w:b/>
                <w:sz w:val="16"/>
                <w:szCs w:val="16"/>
              </w:rPr>
              <w:t>Instruments / Measures (problem / pathological gambling)</w:t>
            </w:r>
          </w:p>
        </w:tc>
        <w:tc>
          <w:tcPr>
            <w:tcW w:w="1544" w:type="dxa"/>
            <w:shd w:val="clear" w:color="auto" w:fill="8DB3E2"/>
          </w:tcPr>
          <w:p w:rsidR="00043311" w:rsidRPr="007D615E" w:rsidRDefault="00043311" w:rsidP="0042130F">
            <w:pPr>
              <w:spacing w:before="0" w:line="240" w:lineRule="auto"/>
              <w:rPr>
                <w:rFonts w:asciiTheme="minorHAnsi" w:hAnsiTheme="minorHAnsi" w:cstheme="minorHAnsi"/>
                <w:b/>
                <w:sz w:val="16"/>
                <w:szCs w:val="16"/>
              </w:rPr>
            </w:pPr>
            <w:r w:rsidRPr="007D615E">
              <w:rPr>
                <w:rFonts w:asciiTheme="minorHAnsi" w:hAnsiTheme="minorHAnsi" w:cstheme="minorHAnsi"/>
                <w:b/>
                <w:sz w:val="16"/>
                <w:szCs w:val="16"/>
              </w:rPr>
              <w:t>Prevalence</w:t>
            </w:r>
          </w:p>
          <w:p w:rsidR="00043311" w:rsidRPr="007D615E" w:rsidRDefault="00043311" w:rsidP="0042130F">
            <w:pPr>
              <w:spacing w:before="0" w:line="240" w:lineRule="auto"/>
              <w:rPr>
                <w:rFonts w:asciiTheme="minorHAnsi" w:hAnsiTheme="minorHAnsi" w:cstheme="minorHAnsi"/>
                <w:b/>
                <w:sz w:val="16"/>
                <w:szCs w:val="16"/>
              </w:rPr>
            </w:pPr>
            <w:r w:rsidRPr="007D615E">
              <w:rPr>
                <w:rFonts w:asciiTheme="minorHAnsi" w:hAnsiTheme="minorHAnsi" w:cstheme="minorHAnsi"/>
                <w:b/>
                <w:sz w:val="16"/>
                <w:szCs w:val="16"/>
              </w:rPr>
              <w:t>(Gambling)</w:t>
            </w:r>
          </w:p>
        </w:tc>
        <w:tc>
          <w:tcPr>
            <w:tcW w:w="2244" w:type="dxa"/>
            <w:shd w:val="clear" w:color="auto" w:fill="8DB3E2"/>
          </w:tcPr>
          <w:p w:rsidR="00043311" w:rsidRPr="007D615E" w:rsidRDefault="00043311" w:rsidP="0042130F">
            <w:pPr>
              <w:spacing w:before="0" w:line="240" w:lineRule="auto"/>
              <w:rPr>
                <w:rFonts w:asciiTheme="minorHAnsi" w:hAnsiTheme="minorHAnsi" w:cstheme="minorHAnsi"/>
                <w:b/>
                <w:sz w:val="16"/>
                <w:szCs w:val="16"/>
              </w:rPr>
            </w:pPr>
            <w:r w:rsidRPr="007D615E">
              <w:rPr>
                <w:rFonts w:asciiTheme="minorHAnsi" w:hAnsiTheme="minorHAnsi" w:cstheme="minorHAnsi"/>
                <w:b/>
                <w:sz w:val="16"/>
                <w:szCs w:val="16"/>
              </w:rPr>
              <w:t>Prevalence Rates</w:t>
            </w:r>
          </w:p>
          <w:p w:rsidR="00043311" w:rsidRPr="007D615E" w:rsidRDefault="00043311" w:rsidP="0042130F">
            <w:pPr>
              <w:spacing w:before="0" w:line="240" w:lineRule="auto"/>
              <w:jc w:val="left"/>
              <w:rPr>
                <w:rFonts w:asciiTheme="minorHAnsi" w:hAnsiTheme="minorHAnsi" w:cstheme="minorHAnsi"/>
                <w:b/>
                <w:sz w:val="16"/>
                <w:szCs w:val="16"/>
              </w:rPr>
            </w:pPr>
            <w:r w:rsidRPr="007D615E">
              <w:rPr>
                <w:rFonts w:asciiTheme="minorHAnsi" w:hAnsiTheme="minorHAnsi" w:cstheme="minorHAnsi"/>
                <w:b/>
                <w:sz w:val="16"/>
                <w:szCs w:val="16"/>
              </w:rPr>
              <w:t>(problem / pathological gambling)</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noProof/>
                <w:sz w:val="16"/>
                <w:szCs w:val="16"/>
              </w:rPr>
            </w:pPr>
            <w:r w:rsidRPr="007D615E">
              <w:rPr>
                <w:rFonts w:asciiTheme="minorHAnsi" w:hAnsiTheme="minorHAnsi" w:cstheme="minorHAnsi"/>
                <w:noProof/>
                <w:sz w:val="16"/>
                <w:szCs w:val="16"/>
              </w:rPr>
              <w:t>Raisamo et al., 2013</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Finland</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Adolescents 12-18 years</w:t>
            </w:r>
          </w:p>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(N=4,566)</w:t>
            </w:r>
          </w:p>
        </w:tc>
        <w:tc>
          <w:tcPr>
            <w:tcW w:w="2101" w:type="dxa"/>
            <w:shd w:val="clear" w:color="auto" w:fill="DBE5F1"/>
          </w:tcPr>
          <w:p w:rsidR="00043311" w:rsidRPr="007D615E" w:rsidRDefault="00043311" w:rsidP="0042130F">
            <w:pPr>
              <w:pStyle w:val="ListParagraph"/>
              <w:numPr>
                <w:ilvl w:val="0"/>
                <w:numId w:val="19"/>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Unnamed gambling items</w:t>
            </w:r>
          </w:p>
        </w:tc>
        <w:tc>
          <w:tcPr>
            <w:tcW w:w="1544" w:type="dxa"/>
            <w:shd w:val="clear" w:color="auto" w:fill="DBE5F1"/>
          </w:tcPr>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44% past six months</w:t>
            </w:r>
          </w:p>
        </w:tc>
        <w:tc>
          <w:tcPr>
            <w:tcW w:w="2244" w:type="dxa"/>
            <w:shd w:val="clear" w:color="auto" w:fill="DBE5F1"/>
          </w:tcPr>
          <w:p w:rsidR="00043311" w:rsidRPr="007D615E" w:rsidRDefault="00043311" w:rsidP="0042130F">
            <w:pPr>
              <w:pStyle w:val="ListParagraph"/>
              <w:numPr>
                <w:ilvl w:val="0"/>
                <w:numId w:val="19"/>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n/a</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noProof/>
                <w:sz w:val="16"/>
                <w:szCs w:val="16"/>
              </w:rPr>
            </w:pPr>
            <w:r w:rsidRPr="007D615E">
              <w:rPr>
                <w:rFonts w:asciiTheme="minorHAnsi" w:hAnsiTheme="minorHAnsi" w:cstheme="minorHAnsi"/>
                <w:noProof/>
                <w:sz w:val="16"/>
                <w:szCs w:val="16"/>
              </w:rPr>
              <w:t>Purdie et al., 2011</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Australia</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School-based students (10-17 years) and non-school- based youth (15-24 years) (N=5,685)</w:t>
            </w:r>
          </w:p>
        </w:tc>
        <w:tc>
          <w:tcPr>
            <w:tcW w:w="2101" w:type="dxa"/>
            <w:shd w:val="clear" w:color="auto" w:fill="DBE5F1"/>
          </w:tcPr>
          <w:p w:rsidR="00043311" w:rsidRPr="007D615E" w:rsidRDefault="00043311" w:rsidP="0042130F">
            <w:pPr>
              <w:pStyle w:val="ListParagraph"/>
              <w:numPr>
                <w:ilvl w:val="0"/>
                <w:numId w:val="19"/>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DSM-IV-MR-J</w:t>
            </w:r>
          </w:p>
        </w:tc>
        <w:tc>
          <w:tcPr>
            <w:tcW w:w="1544" w:type="dxa"/>
            <w:shd w:val="clear" w:color="auto" w:fill="DBE5F1"/>
          </w:tcPr>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77% past year</w:t>
            </w:r>
          </w:p>
        </w:tc>
        <w:tc>
          <w:tcPr>
            <w:tcW w:w="2244" w:type="dxa"/>
            <w:shd w:val="clear" w:color="auto" w:fill="DBE5F1"/>
          </w:tcPr>
          <w:p w:rsidR="00043311" w:rsidRPr="007D615E" w:rsidRDefault="00043311" w:rsidP="0042130F">
            <w:pPr>
              <w:pStyle w:val="ListParagraph"/>
              <w:numPr>
                <w:ilvl w:val="0"/>
                <w:numId w:val="19"/>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5% Problem gamblers</w:t>
            </w:r>
          </w:p>
          <w:p w:rsidR="00043311" w:rsidRPr="007D615E" w:rsidRDefault="00043311" w:rsidP="0042130F">
            <w:pPr>
              <w:pStyle w:val="ListParagraph"/>
              <w:numPr>
                <w:ilvl w:val="0"/>
                <w:numId w:val="19"/>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16% At-risk gamblers</w:t>
            </w:r>
          </w:p>
        </w:tc>
      </w:tr>
      <w:tr w:rsidR="00B23EE5" w:rsidRPr="007D615E" w:rsidTr="0042130F">
        <w:trPr>
          <w:trHeight w:val="62"/>
          <w:jc w:val="center"/>
        </w:trPr>
        <w:tc>
          <w:tcPr>
            <w:tcW w:w="1202" w:type="dxa"/>
            <w:shd w:val="clear" w:color="auto" w:fill="DBE5F1"/>
          </w:tcPr>
          <w:p w:rsidR="00B23EE5" w:rsidRDefault="00AE74F0" w:rsidP="00AE74F0">
            <w:pPr>
              <w:spacing w:before="0" w:line="240" w:lineRule="auto"/>
              <w:jc w:val="left"/>
              <w:rPr>
                <w:rFonts w:asciiTheme="minorHAnsi" w:hAnsiTheme="minorHAnsi" w:cstheme="minorHAnsi"/>
                <w:sz w:val="16"/>
                <w:szCs w:val="16"/>
              </w:rPr>
            </w:pPr>
            <w:r>
              <w:rPr>
                <w:rFonts w:asciiTheme="minorHAnsi" w:hAnsiTheme="minorHAnsi" w:cstheme="minorHAnsi"/>
                <w:sz w:val="16"/>
                <w:szCs w:val="16"/>
              </w:rPr>
              <w:t>Gray</w:t>
            </w:r>
            <w:r w:rsidR="00B23EE5">
              <w:rPr>
                <w:rFonts w:asciiTheme="minorHAnsi" w:hAnsiTheme="minorHAnsi" w:cstheme="minorHAnsi"/>
                <w:sz w:val="16"/>
                <w:szCs w:val="16"/>
              </w:rPr>
              <w:t>, 201</w:t>
            </w:r>
            <w:r>
              <w:rPr>
                <w:rFonts w:asciiTheme="minorHAnsi" w:hAnsiTheme="minorHAnsi" w:cstheme="minorHAnsi"/>
                <w:sz w:val="16"/>
                <w:szCs w:val="16"/>
              </w:rPr>
              <w:t>1</w:t>
            </w:r>
          </w:p>
        </w:tc>
        <w:tc>
          <w:tcPr>
            <w:tcW w:w="1145" w:type="dxa"/>
            <w:shd w:val="clear" w:color="auto" w:fill="DBE5F1"/>
          </w:tcPr>
          <w:p w:rsidR="00B23EE5" w:rsidRPr="007D615E" w:rsidRDefault="00AE74F0" w:rsidP="0042130F">
            <w:pPr>
              <w:spacing w:before="0" w:line="240" w:lineRule="auto"/>
              <w:rPr>
                <w:rFonts w:asciiTheme="minorHAnsi" w:hAnsiTheme="minorHAnsi" w:cstheme="minorHAnsi"/>
                <w:sz w:val="16"/>
                <w:szCs w:val="16"/>
              </w:rPr>
            </w:pPr>
            <w:r>
              <w:rPr>
                <w:rFonts w:asciiTheme="minorHAnsi" w:hAnsiTheme="minorHAnsi" w:cstheme="minorHAnsi"/>
                <w:sz w:val="16"/>
                <w:szCs w:val="16"/>
              </w:rPr>
              <w:t>New Zealand</w:t>
            </w:r>
          </w:p>
        </w:tc>
        <w:tc>
          <w:tcPr>
            <w:tcW w:w="2410" w:type="dxa"/>
            <w:shd w:val="clear" w:color="auto" w:fill="DBE5F1"/>
          </w:tcPr>
          <w:p w:rsidR="00B23EE5" w:rsidRPr="007D615E" w:rsidRDefault="00AE74F0" w:rsidP="00372C4C">
            <w:pPr>
              <w:spacing w:before="0" w:line="240" w:lineRule="auto"/>
              <w:rPr>
                <w:rFonts w:asciiTheme="minorHAnsi" w:hAnsiTheme="minorHAnsi" w:cstheme="minorHAnsi"/>
                <w:sz w:val="16"/>
                <w:szCs w:val="16"/>
              </w:rPr>
            </w:pPr>
            <w:r>
              <w:rPr>
                <w:rFonts w:asciiTheme="minorHAnsi" w:hAnsiTheme="minorHAnsi" w:cstheme="minorHAnsi"/>
                <w:sz w:val="16"/>
                <w:szCs w:val="16"/>
              </w:rPr>
              <w:t>In-home survey of NZ residents</w:t>
            </w:r>
            <w:r w:rsidR="00AD4A88">
              <w:rPr>
                <w:rFonts w:asciiTheme="minorHAnsi" w:hAnsiTheme="minorHAnsi" w:cstheme="minorHAnsi"/>
                <w:sz w:val="16"/>
                <w:szCs w:val="16"/>
              </w:rPr>
              <w:t xml:space="preserve">  </w:t>
            </w:r>
            <w:r w:rsidR="00372C4C">
              <w:rPr>
                <w:rFonts w:asciiTheme="minorHAnsi" w:hAnsiTheme="minorHAnsi" w:cstheme="minorHAnsi"/>
                <w:sz w:val="16"/>
                <w:szCs w:val="16"/>
              </w:rPr>
              <w:t>(N=</w:t>
            </w:r>
            <w:r w:rsidR="00B9775D">
              <w:rPr>
                <w:rFonts w:asciiTheme="minorHAnsi" w:hAnsiTheme="minorHAnsi" w:cstheme="minorHAnsi"/>
                <w:sz w:val="16"/>
                <w:szCs w:val="16"/>
              </w:rPr>
              <w:t>1,740</w:t>
            </w:r>
            <w:r w:rsidR="00372C4C" w:rsidRPr="007D615E">
              <w:rPr>
                <w:rFonts w:asciiTheme="minorHAnsi" w:hAnsiTheme="minorHAnsi" w:cstheme="minorHAnsi"/>
                <w:sz w:val="16"/>
                <w:szCs w:val="16"/>
              </w:rPr>
              <w:t xml:space="preserve"> aged 15+ years)</w:t>
            </w:r>
          </w:p>
        </w:tc>
        <w:tc>
          <w:tcPr>
            <w:tcW w:w="2101" w:type="dxa"/>
            <w:shd w:val="clear" w:color="auto" w:fill="DBE5F1"/>
          </w:tcPr>
          <w:p w:rsidR="00B23EE5" w:rsidRPr="00F20231" w:rsidRDefault="00372C4C" w:rsidP="00F20231">
            <w:pPr>
              <w:pStyle w:val="ListParagraph"/>
              <w:numPr>
                <w:ilvl w:val="0"/>
                <w:numId w:val="19"/>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Problem Gambling Severity Index (PGSI)</w:t>
            </w:r>
          </w:p>
        </w:tc>
        <w:tc>
          <w:tcPr>
            <w:tcW w:w="1544" w:type="dxa"/>
            <w:shd w:val="clear" w:color="auto" w:fill="DBE5F1"/>
          </w:tcPr>
          <w:p w:rsidR="00B23EE5" w:rsidRPr="007D615E" w:rsidRDefault="00B9775D" w:rsidP="00F20231">
            <w:pPr>
              <w:pStyle w:val="ListParagraph"/>
              <w:numPr>
                <w:ilvl w:val="0"/>
                <w:numId w:val="19"/>
              </w:numPr>
              <w:spacing w:line="240" w:lineRule="auto"/>
              <w:ind w:left="175" w:hanging="141"/>
              <w:jc w:val="left"/>
              <w:rPr>
                <w:rFonts w:asciiTheme="minorHAnsi" w:hAnsiTheme="minorHAnsi" w:cstheme="minorHAnsi"/>
                <w:sz w:val="16"/>
                <w:szCs w:val="16"/>
              </w:rPr>
            </w:pPr>
            <w:r w:rsidRPr="007D615E">
              <w:rPr>
                <w:rFonts w:asciiTheme="minorHAnsi" w:hAnsiTheme="minorHAnsi" w:cstheme="minorHAnsi"/>
                <w:sz w:val="16"/>
                <w:szCs w:val="16"/>
              </w:rPr>
              <w:t>n/a</w:t>
            </w:r>
            <w:r>
              <w:rPr>
                <w:rFonts w:asciiTheme="minorHAnsi" w:hAnsiTheme="minorHAnsi" w:cstheme="minorHAnsi"/>
                <w:sz w:val="16"/>
                <w:szCs w:val="16"/>
              </w:rPr>
              <w:t xml:space="preserve"> </w:t>
            </w:r>
            <w:r w:rsidR="00F20231">
              <w:rPr>
                <w:rFonts w:asciiTheme="minorHAnsi" w:hAnsiTheme="minorHAnsi" w:cstheme="minorHAnsi"/>
                <w:sz w:val="18"/>
                <w:szCs w:val="16"/>
                <w:vertAlign w:val="superscript"/>
              </w:rPr>
              <w:t>1</w:t>
            </w:r>
          </w:p>
        </w:tc>
        <w:tc>
          <w:tcPr>
            <w:tcW w:w="2244" w:type="dxa"/>
            <w:shd w:val="clear" w:color="auto" w:fill="DBE5F1"/>
          </w:tcPr>
          <w:p w:rsidR="00B23EE5" w:rsidRPr="007D615E" w:rsidRDefault="00B9775D" w:rsidP="0042130F">
            <w:pPr>
              <w:pStyle w:val="ListParagraph"/>
              <w:numPr>
                <w:ilvl w:val="0"/>
                <w:numId w:val="20"/>
              </w:numPr>
              <w:spacing w:line="240" w:lineRule="auto"/>
              <w:ind w:left="242" w:hanging="142"/>
              <w:jc w:val="left"/>
              <w:rPr>
                <w:rFonts w:asciiTheme="minorHAnsi" w:hAnsiTheme="minorHAnsi" w:cstheme="minorHAnsi"/>
                <w:sz w:val="16"/>
                <w:szCs w:val="16"/>
              </w:rPr>
            </w:pPr>
            <w:r>
              <w:rPr>
                <w:rFonts w:asciiTheme="minorHAnsi" w:hAnsiTheme="minorHAnsi" w:cstheme="minorHAnsi"/>
                <w:sz w:val="16"/>
                <w:szCs w:val="16"/>
              </w:rPr>
              <w:t xml:space="preserve">3.4% Problem gamblers </w:t>
            </w:r>
            <w:r w:rsidRPr="007D615E">
              <w:rPr>
                <w:rFonts w:asciiTheme="minorHAnsi" w:hAnsiTheme="minorHAnsi" w:cstheme="minorHAnsi"/>
                <w:sz w:val="16"/>
                <w:szCs w:val="16"/>
              </w:rPr>
              <w:t>(15-24yrs)</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Pr>
                <w:rFonts w:asciiTheme="minorHAnsi" w:hAnsiTheme="minorHAnsi" w:cstheme="minorHAnsi"/>
                <w:sz w:val="16"/>
                <w:szCs w:val="16"/>
              </w:rPr>
              <w:t>Molde et al., 2009</w:t>
            </w:r>
            <w:r w:rsidRPr="007D615E">
              <w:rPr>
                <w:rFonts w:asciiTheme="minorHAnsi" w:hAnsiTheme="minorHAnsi" w:cstheme="minorHAnsi"/>
                <w:sz w:val="16"/>
                <w:szCs w:val="16"/>
              </w:rPr>
              <w:t xml:space="preserve"> </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Norway</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High school students aged 16-19 years (N=1,351)</w:t>
            </w:r>
          </w:p>
        </w:tc>
        <w:tc>
          <w:tcPr>
            <w:tcW w:w="2101" w:type="dxa"/>
            <w:shd w:val="clear" w:color="auto" w:fill="DBE5F1"/>
          </w:tcPr>
          <w:p w:rsidR="00043311" w:rsidRPr="007D615E" w:rsidRDefault="00043311" w:rsidP="0042130F">
            <w:pPr>
              <w:pStyle w:val="ListParagraph"/>
              <w:numPr>
                <w:ilvl w:val="0"/>
                <w:numId w:val="19"/>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Massachusetts Adolescent Gambling Screen (MAGS)</w:t>
            </w:r>
          </w:p>
        </w:tc>
        <w:tc>
          <w:tcPr>
            <w:tcW w:w="1544" w:type="dxa"/>
            <w:shd w:val="clear" w:color="auto" w:fill="DBE5F1"/>
          </w:tcPr>
          <w:p w:rsidR="00043311" w:rsidRPr="007D615E" w:rsidRDefault="00043311" w:rsidP="0042130F">
            <w:pPr>
              <w:pStyle w:val="ListParagraph"/>
              <w:numPr>
                <w:ilvl w:val="0"/>
                <w:numId w:val="19"/>
              </w:numPr>
              <w:spacing w:line="240" w:lineRule="auto"/>
              <w:ind w:left="175" w:hanging="141"/>
              <w:jc w:val="left"/>
              <w:rPr>
                <w:rFonts w:asciiTheme="minorHAnsi" w:hAnsiTheme="minorHAnsi" w:cstheme="minorHAnsi"/>
                <w:sz w:val="16"/>
                <w:szCs w:val="16"/>
              </w:rPr>
            </w:pPr>
            <w:r w:rsidRPr="007D615E">
              <w:rPr>
                <w:rFonts w:asciiTheme="minorHAnsi" w:hAnsiTheme="minorHAnsi" w:cstheme="minorHAnsi"/>
                <w:sz w:val="16"/>
                <w:szCs w:val="16"/>
              </w:rPr>
              <w:t>n/a</w:t>
            </w:r>
          </w:p>
        </w:tc>
        <w:tc>
          <w:tcPr>
            <w:tcW w:w="2244" w:type="dxa"/>
            <w:shd w:val="clear" w:color="auto" w:fill="DBE5F1"/>
          </w:tcPr>
          <w:p w:rsidR="00043311" w:rsidRPr="007D615E" w:rsidRDefault="00043311" w:rsidP="0042130F">
            <w:pPr>
              <w:pStyle w:val="ListParagraph"/>
              <w:numPr>
                <w:ilvl w:val="0"/>
                <w:numId w:val="20"/>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1.9% Problem gamblers</w:t>
            </w:r>
          </w:p>
          <w:p w:rsidR="00043311" w:rsidRPr="007D615E" w:rsidRDefault="00043311" w:rsidP="0042130F">
            <w:pPr>
              <w:pStyle w:val="ListParagraph"/>
              <w:numPr>
                <w:ilvl w:val="0"/>
                <w:numId w:val="20"/>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2.5% Pathological gamblers</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sz w:val="16"/>
                <w:szCs w:val="16"/>
              </w:rPr>
              <w:t>Ipsos MORI, 2009</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Great Britain</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School students 12-15 years</w:t>
            </w:r>
          </w:p>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(N=8,958)</w:t>
            </w:r>
          </w:p>
        </w:tc>
        <w:tc>
          <w:tcPr>
            <w:tcW w:w="2101" w:type="dxa"/>
            <w:shd w:val="clear" w:color="auto" w:fill="DBE5F1"/>
          </w:tcPr>
          <w:p w:rsidR="00043311" w:rsidRPr="007D615E" w:rsidRDefault="00043311" w:rsidP="0042130F">
            <w:pPr>
              <w:pStyle w:val="ListParagraph"/>
              <w:numPr>
                <w:ilvl w:val="0"/>
                <w:numId w:val="19"/>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DSM-IV-MR-J</w:t>
            </w:r>
          </w:p>
          <w:p w:rsidR="00043311" w:rsidRPr="007D615E" w:rsidRDefault="00043311" w:rsidP="0042130F">
            <w:pPr>
              <w:spacing w:before="0" w:line="240" w:lineRule="auto"/>
              <w:jc w:val="left"/>
              <w:rPr>
                <w:rFonts w:asciiTheme="minorHAnsi" w:hAnsiTheme="minorHAnsi" w:cstheme="minorHAnsi"/>
                <w:sz w:val="16"/>
                <w:szCs w:val="16"/>
              </w:rPr>
            </w:pPr>
          </w:p>
        </w:tc>
        <w:tc>
          <w:tcPr>
            <w:tcW w:w="1544" w:type="dxa"/>
            <w:shd w:val="clear" w:color="auto" w:fill="DBE5F1"/>
          </w:tcPr>
          <w:p w:rsidR="00043311" w:rsidRPr="007D615E" w:rsidRDefault="00043311" w:rsidP="0042130F">
            <w:pPr>
              <w:pStyle w:val="ListParagraph"/>
              <w:numPr>
                <w:ilvl w:val="0"/>
                <w:numId w:val="19"/>
              </w:numPr>
              <w:spacing w:line="240" w:lineRule="auto"/>
              <w:ind w:left="175" w:hanging="141"/>
              <w:jc w:val="left"/>
              <w:rPr>
                <w:rFonts w:asciiTheme="minorHAnsi" w:hAnsiTheme="minorHAnsi" w:cstheme="minorHAnsi"/>
                <w:sz w:val="16"/>
                <w:szCs w:val="16"/>
              </w:rPr>
            </w:pPr>
            <w:r w:rsidRPr="007D615E">
              <w:rPr>
                <w:rFonts w:asciiTheme="minorHAnsi" w:hAnsiTheme="minorHAnsi" w:cstheme="minorHAnsi"/>
                <w:sz w:val="16"/>
                <w:szCs w:val="16"/>
              </w:rPr>
              <w:t>21% last-week gambling</w:t>
            </w:r>
          </w:p>
        </w:tc>
        <w:tc>
          <w:tcPr>
            <w:tcW w:w="2244" w:type="dxa"/>
            <w:shd w:val="clear" w:color="auto" w:fill="DBE5F1"/>
          </w:tcPr>
          <w:p w:rsidR="00043311" w:rsidRPr="007D615E" w:rsidRDefault="00043311" w:rsidP="0042130F">
            <w:pPr>
              <w:pStyle w:val="ListParagraph"/>
              <w:numPr>
                <w:ilvl w:val="0"/>
                <w:numId w:val="20"/>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2% Problem gamblers</w:t>
            </w:r>
          </w:p>
          <w:p w:rsidR="00043311" w:rsidRPr="007D615E" w:rsidRDefault="00043311" w:rsidP="0042130F">
            <w:pPr>
              <w:spacing w:before="0" w:line="240" w:lineRule="auto"/>
              <w:jc w:val="left"/>
              <w:rPr>
                <w:rFonts w:asciiTheme="minorHAnsi" w:eastAsia="Calibri" w:hAnsiTheme="minorHAnsi" w:cstheme="minorHAnsi"/>
                <w:sz w:val="16"/>
                <w:szCs w:val="16"/>
              </w:rPr>
            </w:pP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sz w:val="16"/>
                <w:szCs w:val="16"/>
              </w:rPr>
              <w:t>Ministry of Health, 2009</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New Zealand</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 xml:space="preserve">National household survey (N=12,488 aged 15+ years) </w:t>
            </w:r>
          </w:p>
        </w:tc>
        <w:tc>
          <w:tcPr>
            <w:tcW w:w="2101" w:type="dxa"/>
            <w:shd w:val="clear" w:color="auto" w:fill="DBE5F1"/>
          </w:tcPr>
          <w:p w:rsidR="00043311" w:rsidRPr="00410534" w:rsidRDefault="00043311" w:rsidP="00410534">
            <w:pPr>
              <w:pStyle w:val="ListParagraph"/>
              <w:numPr>
                <w:ilvl w:val="0"/>
                <w:numId w:val="19"/>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Problem Gambling Severity Index (PGSI)</w:t>
            </w:r>
          </w:p>
        </w:tc>
        <w:tc>
          <w:tcPr>
            <w:tcW w:w="1544" w:type="dxa"/>
            <w:shd w:val="clear" w:color="auto" w:fill="DBE5F1"/>
          </w:tcPr>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25.3% last-year gambling (15-17yrs)</w:t>
            </w:r>
          </w:p>
        </w:tc>
        <w:tc>
          <w:tcPr>
            <w:tcW w:w="2244" w:type="dxa"/>
            <w:shd w:val="clear" w:color="auto" w:fill="DBE5F1"/>
          </w:tcPr>
          <w:p w:rsidR="00043311" w:rsidRPr="007D615E" w:rsidRDefault="00043311" w:rsidP="0042130F">
            <w:pPr>
              <w:pStyle w:val="ListParagraph"/>
              <w:numPr>
                <w:ilvl w:val="0"/>
                <w:numId w:val="20"/>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0.4% Problem gamblers</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sz w:val="16"/>
                <w:szCs w:val="16"/>
              </w:rPr>
              <w:t>Rossen, 2008</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New Zealand</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High school students aged 11-17 years (N=2,005)</w:t>
            </w:r>
          </w:p>
        </w:tc>
        <w:tc>
          <w:tcPr>
            <w:tcW w:w="2101" w:type="dxa"/>
            <w:shd w:val="clear" w:color="auto" w:fill="DBE5F1"/>
          </w:tcPr>
          <w:p w:rsidR="00043311" w:rsidRPr="00410534" w:rsidRDefault="00043311" w:rsidP="00410534">
            <w:pPr>
              <w:pStyle w:val="ListParagraph"/>
              <w:numPr>
                <w:ilvl w:val="0"/>
                <w:numId w:val="19"/>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DSM-IV-MR-J</w:t>
            </w:r>
          </w:p>
        </w:tc>
        <w:tc>
          <w:tcPr>
            <w:tcW w:w="1544" w:type="dxa"/>
            <w:shd w:val="clear" w:color="auto" w:fill="DBE5F1"/>
          </w:tcPr>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65.4% past year</w:t>
            </w:r>
          </w:p>
        </w:tc>
        <w:tc>
          <w:tcPr>
            <w:tcW w:w="2244" w:type="dxa"/>
            <w:shd w:val="clear" w:color="auto" w:fill="DBE5F1"/>
          </w:tcPr>
          <w:p w:rsidR="00043311" w:rsidRPr="007D615E" w:rsidRDefault="00043311" w:rsidP="0042130F">
            <w:pPr>
              <w:pStyle w:val="ListParagraph"/>
              <w:numPr>
                <w:ilvl w:val="0"/>
                <w:numId w:val="20"/>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3.8% Problem gamblers</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sz w:val="16"/>
                <w:szCs w:val="16"/>
              </w:rPr>
              <w:t>Welte et al., 2008</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US</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Adolescents 14-21 years</w:t>
            </w:r>
          </w:p>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(N=2,274)</w:t>
            </w:r>
          </w:p>
        </w:tc>
        <w:tc>
          <w:tcPr>
            <w:tcW w:w="2101" w:type="dxa"/>
            <w:shd w:val="clear" w:color="auto" w:fill="DBE5F1"/>
          </w:tcPr>
          <w:p w:rsidR="00043311" w:rsidRPr="007D615E" w:rsidRDefault="00043311" w:rsidP="0042130F">
            <w:pPr>
              <w:pStyle w:val="ListParagraph"/>
              <w:numPr>
                <w:ilvl w:val="0"/>
                <w:numId w:val="15"/>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SOGS-RA</w:t>
            </w:r>
          </w:p>
          <w:p w:rsidR="00043311" w:rsidRPr="007D615E" w:rsidRDefault="00043311" w:rsidP="0042130F">
            <w:pPr>
              <w:pStyle w:val="ListParagraph"/>
              <w:numPr>
                <w:ilvl w:val="0"/>
                <w:numId w:val="15"/>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Diagnostic Interview Schedule for pathological gambling</w:t>
            </w:r>
          </w:p>
        </w:tc>
        <w:tc>
          <w:tcPr>
            <w:tcW w:w="1544" w:type="dxa"/>
            <w:shd w:val="clear" w:color="auto" w:fill="DBE5F1"/>
          </w:tcPr>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68% past year</w:t>
            </w:r>
          </w:p>
        </w:tc>
        <w:tc>
          <w:tcPr>
            <w:tcW w:w="2244" w:type="dxa"/>
            <w:shd w:val="clear" w:color="auto" w:fill="DBE5F1"/>
          </w:tcPr>
          <w:p w:rsidR="00043311" w:rsidRPr="007D615E" w:rsidRDefault="00043311" w:rsidP="0042130F">
            <w:pPr>
              <w:pStyle w:val="ListParagraph"/>
              <w:numPr>
                <w:ilvl w:val="0"/>
                <w:numId w:val="16"/>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2.1% Problem gamblers</w:t>
            </w:r>
          </w:p>
          <w:p w:rsidR="00043311" w:rsidRPr="007D615E" w:rsidRDefault="00043311" w:rsidP="0042130F">
            <w:pPr>
              <w:pStyle w:val="ListParagraph"/>
              <w:numPr>
                <w:ilvl w:val="0"/>
                <w:numId w:val="16"/>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6.5% At-risk or problem gamblers</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sz w:val="16"/>
                <w:szCs w:val="16"/>
              </w:rPr>
              <w:t>Huang and Boyer, 2007</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Canada</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 xml:space="preserve">Youth aged 15-24 years </w:t>
            </w:r>
          </w:p>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(N=5,666)</w:t>
            </w:r>
          </w:p>
        </w:tc>
        <w:tc>
          <w:tcPr>
            <w:tcW w:w="2101" w:type="dxa"/>
            <w:shd w:val="clear" w:color="auto" w:fill="DBE5F1"/>
          </w:tcPr>
          <w:p w:rsidR="00043311" w:rsidRPr="007D615E" w:rsidRDefault="00043311" w:rsidP="0042130F">
            <w:pPr>
              <w:pStyle w:val="ListParagraph"/>
              <w:numPr>
                <w:ilvl w:val="0"/>
                <w:numId w:val="17"/>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The Canadian Problem Gambling Index</w:t>
            </w:r>
          </w:p>
        </w:tc>
        <w:tc>
          <w:tcPr>
            <w:tcW w:w="1544" w:type="dxa"/>
            <w:shd w:val="clear" w:color="auto" w:fill="DBE5F1"/>
          </w:tcPr>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61% past year</w:t>
            </w:r>
          </w:p>
        </w:tc>
        <w:tc>
          <w:tcPr>
            <w:tcW w:w="2244" w:type="dxa"/>
            <w:shd w:val="clear" w:color="auto" w:fill="DBE5F1"/>
          </w:tcPr>
          <w:p w:rsidR="00043311" w:rsidRPr="007D615E" w:rsidRDefault="00043311" w:rsidP="0042130F">
            <w:pPr>
              <w:pStyle w:val="ListParagraph"/>
              <w:numPr>
                <w:ilvl w:val="0"/>
                <w:numId w:val="17"/>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 xml:space="preserve">2.22%  Moderate-risk or problem gamblers </w:t>
            </w:r>
          </w:p>
          <w:p w:rsidR="00043311" w:rsidRPr="007D615E" w:rsidRDefault="00043311" w:rsidP="0042130F">
            <w:pPr>
              <w:pStyle w:val="ListParagraph"/>
              <w:numPr>
                <w:ilvl w:val="0"/>
                <w:numId w:val="17"/>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3.55% Low-risk gamblers</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noProof/>
                <w:sz w:val="16"/>
                <w:szCs w:val="16"/>
              </w:rPr>
              <w:t>Ministry of Health, 2006</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New Zealand</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 xml:space="preserve">National household survey </w:t>
            </w:r>
          </w:p>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(N=12,929 aged 15+ years)</w:t>
            </w:r>
          </w:p>
        </w:tc>
        <w:tc>
          <w:tcPr>
            <w:tcW w:w="2101" w:type="dxa"/>
            <w:shd w:val="clear" w:color="auto" w:fill="DBE5F1"/>
          </w:tcPr>
          <w:p w:rsidR="00043311" w:rsidRPr="007D615E" w:rsidRDefault="00043311" w:rsidP="00F20231">
            <w:pPr>
              <w:pStyle w:val="ListParagraph"/>
              <w:numPr>
                <w:ilvl w:val="0"/>
                <w:numId w:val="21"/>
              </w:numPr>
              <w:spacing w:line="240" w:lineRule="auto"/>
              <w:ind w:left="171" w:hanging="141"/>
              <w:jc w:val="left"/>
              <w:rPr>
                <w:rFonts w:asciiTheme="minorHAnsi" w:hAnsiTheme="minorHAnsi" w:cstheme="minorHAnsi"/>
                <w:sz w:val="16"/>
                <w:szCs w:val="16"/>
              </w:rPr>
            </w:pPr>
            <w:r w:rsidRPr="007D615E">
              <w:rPr>
                <w:rFonts w:asciiTheme="minorHAnsi" w:hAnsiTheme="minorHAnsi" w:cstheme="minorHAnsi"/>
                <w:sz w:val="16"/>
                <w:szCs w:val="16"/>
              </w:rPr>
              <w:t>Unnamed gambling screen</w:t>
            </w:r>
            <w:r>
              <w:rPr>
                <w:rFonts w:asciiTheme="minorHAnsi" w:hAnsiTheme="minorHAnsi" w:cstheme="minorHAnsi"/>
                <w:sz w:val="16"/>
                <w:szCs w:val="16"/>
              </w:rPr>
              <w:t xml:space="preserve"> </w:t>
            </w:r>
            <w:r w:rsidRPr="000B19BE">
              <w:rPr>
                <w:rFonts w:asciiTheme="minorHAnsi" w:hAnsiTheme="minorHAnsi" w:cstheme="minorHAnsi"/>
                <w:sz w:val="18"/>
                <w:szCs w:val="16"/>
                <w:vertAlign w:val="superscript"/>
              </w:rPr>
              <w:t xml:space="preserve"> </w:t>
            </w:r>
            <w:r w:rsidR="00F20231">
              <w:rPr>
                <w:rFonts w:asciiTheme="minorHAnsi" w:hAnsiTheme="minorHAnsi" w:cstheme="minorHAnsi"/>
                <w:sz w:val="18"/>
                <w:szCs w:val="16"/>
                <w:vertAlign w:val="superscript"/>
              </w:rPr>
              <w:t>2</w:t>
            </w:r>
          </w:p>
        </w:tc>
        <w:tc>
          <w:tcPr>
            <w:tcW w:w="1544" w:type="dxa"/>
            <w:shd w:val="clear" w:color="auto" w:fill="DBE5F1"/>
          </w:tcPr>
          <w:p w:rsidR="00043311" w:rsidRPr="007D615E" w:rsidRDefault="00043311" w:rsidP="0042130F">
            <w:pPr>
              <w:pStyle w:val="ListParagraph"/>
              <w:numPr>
                <w:ilvl w:val="0"/>
                <w:numId w:val="20"/>
              </w:numPr>
              <w:spacing w:line="240" w:lineRule="auto"/>
              <w:ind w:left="162" w:hanging="162"/>
              <w:jc w:val="left"/>
              <w:rPr>
                <w:rFonts w:asciiTheme="minorHAnsi" w:hAnsiTheme="minorHAnsi" w:cstheme="minorHAnsi"/>
                <w:sz w:val="16"/>
                <w:szCs w:val="16"/>
              </w:rPr>
            </w:pPr>
            <w:r w:rsidRPr="007D615E">
              <w:rPr>
                <w:rFonts w:asciiTheme="minorHAnsi" w:hAnsiTheme="minorHAnsi" w:cstheme="minorHAnsi"/>
                <w:sz w:val="16"/>
                <w:szCs w:val="16"/>
              </w:rPr>
              <w:t>58.8% last-year gambling (15-24yrs)</w:t>
            </w:r>
          </w:p>
        </w:tc>
        <w:tc>
          <w:tcPr>
            <w:tcW w:w="2244" w:type="dxa"/>
            <w:shd w:val="clear" w:color="auto" w:fill="DBE5F1"/>
          </w:tcPr>
          <w:p w:rsidR="00043311" w:rsidRPr="007D615E" w:rsidRDefault="00043311" w:rsidP="0042130F">
            <w:pPr>
              <w:pStyle w:val="ListParagraph"/>
              <w:numPr>
                <w:ilvl w:val="0"/>
                <w:numId w:val="20"/>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1.5% Problem gamblers</w:t>
            </w:r>
            <w:r w:rsidR="00B9775D">
              <w:rPr>
                <w:rFonts w:asciiTheme="minorHAnsi" w:hAnsiTheme="minorHAnsi" w:cstheme="minorHAnsi"/>
                <w:sz w:val="16"/>
                <w:szCs w:val="16"/>
              </w:rPr>
              <w:t xml:space="preserve"> </w:t>
            </w:r>
            <w:r w:rsidR="00B9775D" w:rsidRPr="007D615E">
              <w:rPr>
                <w:rFonts w:asciiTheme="minorHAnsi" w:hAnsiTheme="minorHAnsi" w:cstheme="minorHAnsi"/>
                <w:sz w:val="16"/>
                <w:szCs w:val="16"/>
              </w:rPr>
              <w:t>(15-24yrs)</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sz w:val="16"/>
                <w:szCs w:val="16"/>
              </w:rPr>
              <w:t>Moodie and Finnigan, 2006</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Scotland</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Primary and secondary school students 11-16 years</w:t>
            </w:r>
          </w:p>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(N=2,043)</w:t>
            </w:r>
          </w:p>
        </w:tc>
        <w:tc>
          <w:tcPr>
            <w:tcW w:w="2101" w:type="dxa"/>
            <w:shd w:val="clear" w:color="auto" w:fill="DBE5F1"/>
          </w:tcPr>
          <w:p w:rsidR="00043311" w:rsidRPr="007D615E" w:rsidRDefault="00043311" w:rsidP="0042130F">
            <w:pPr>
              <w:pStyle w:val="ListParagraph"/>
              <w:numPr>
                <w:ilvl w:val="0"/>
                <w:numId w:val="15"/>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DSM-IV-J</w:t>
            </w:r>
          </w:p>
        </w:tc>
        <w:tc>
          <w:tcPr>
            <w:tcW w:w="1544" w:type="dxa"/>
            <w:shd w:val="clear" w:color="auto" w:fill="DBE5F1"/>
          </w:tcPr>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80% past year</w:t>
            </w:r>
          </w:p>
        </w:tc>
        <w:tc>
          <w:tcPr>
            <w:tcW w:w="2244" w:type="dxa"/>
            <w:shd w:val="clear" w:color="auto" w:fill="DBE5F1"/>
          </w:tcPr>
          <w:p w:rsidR="00043311" w:rsidRPr="007D615E" w:rsidRDefault="00043311" w:rsidP="0042130F">
            <w:pPr>
              <w:pStyle w:val="ListParagraph"/>
              <w:numPr>
                <w:ilvl w:val="0"/>
                <w:numId w:val="16"/>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9% Problem gamblers</w:t>
            </w:r>
          </w:p>
          <w:p w:rsidR="00043311" w:rsidRPr="007D615E" w:rsidRDefault="00043311" w:rsidP="0042130F">
            <w:pPr>
              <w:pStyle w:val="ListParagraph"/>
              <w:numPr>
                <w:ilvl w:val="0"/>
                <w:numId w:val="16"/>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15.1% At-risk Gamblers</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sz w:val="16"/>
                <w:szCs w:val="16"/>
              </w:rPr>
              <w:t>Ólason et al., 2006</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Iceland</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Primary school students 13-15 years (N=3,511)</w:t>
            </w:r>
          </w:p>
        </w:tc>
        <w:tc>
          <w:tcPr>
            <w:tcW w:w="2101" w:type="dxa"/>
            <w:shd w:val="clear" w:color="auto" w:fill="DBE5F1"/>
          </w:tcPr>
          <w:p w:rsidR="00043311" w:rsidRPr="007D615E" w:rsidRDefault="00043311" w:rsidP="0042130F">
            <w:pPr>
              <w:pStyle w:val="ListParagraph"/>
              <w:numPr>
                <w:ilvl w:val="0"/>
                <w:numId w:val="15"/>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DSM-IV-MR-J</w:t>
            </w:r>
          </w:p>
          <w:p w:rsidR="00043311" w:rsidRPr="007D615E" w:rsidRDefault="00043311" w:rsidP="0042130F">
            <w:pPr>
              <w:pStyle w:val="ListParagraph"/>
              <w:numPr>
                <w:ilvl w:val="0"/>
                <w:numId w:val="15"/>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SOGS-RA</w:t>
            </w:r>
          </w:p>
        </w:tc>
        <w:tc>
          <w:tcPr>
            <w:tcW w:w="1544" w:type="dxa"/>
            <w:shd w:val="clear" w:color="auto" w:fill="DBE5F1"/>
          </w:tcPr>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 xml:space="preserve">93% lifetime </w:t>
            </w:r>
          </w:p>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70% past year</w:t>
            </w:r>
          </w:p>
        </w:tc>
        <w:tc>
          <w:tcPr>
            <w:tcW w:w="2244" w:type="dxa"/>
            <w:shd w:val="clear" w:color="auto" w:fill="DBE5F1"/>
          </w:tcPr>
          <w:p w:rsidR="00043311" w:rsidRPr="007D615E" w:rsidRDefault="00043311" w:rsidP="0042130F">
            <w:pPr>
              <w:pStyle w:val="ListParagraph"/>
              <w:numPr>
                <w:ilvl w:val="0"/>
                <w:numId w:val="16"/>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1.9% Problem gamblers (DSM-IV-MR-J)</w:t>
            </w:r>
          </w:p>
          <w:p w:rsidR="00043311" w:rsidRPr="007D615E" w:rsidRDefault="00043311" w:rsidP="0042130F">
            <w:pPr>
              <w:pStyle w:val="ListParagraph"/>
              <w:numPr>
                <w:ilvl w:val="0"/>
                <w:numId w:val="16"/>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2.8% Problem gamblers (SOGS-RA)</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noProof/>
                <w:sz w:val="16"/>
                <w:szCs w:val="16"/>
              </w:rPr>
              <w:t>Ste-Marie et al., 2006</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Canada</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High school students 12-17 years (N=1,044)</w:t>
            </w:r>
          </w:p>
        </w:tc>
        <w:tc>
          <w:tcPr>
            <w:tcW w:w="2101" w:type="dxa"/>
            <w:shd w:val="clear" w:color="auto" w:fill="DBE5F1"/>
          </w:tcPr>
          <w:p w:rsidR="00043311" w:rsidRPr="007D615E" w:rsidRDefault="00043311" w:rsidP="0042130F">
            <w:pPr>
              <w:pStyle w:val="ListParagraph"/>
              <w:numPr>
                <w:ilvl w:val="0"/>
                <w:numId w:val="15"/>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DSM-IV-MR-J</w:t>
            </w:r>
          </w:p>
        </w:tc>
        <w:tc>
          <w:tcPr>
            <w:tcW w:w="1544" w:type="dxa"/>
            <w:shd w:val="clear" w:color="auto" w:fill="DBE5F1"/>
          </w:tcPr>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71% past year</w:t>
            </w:r>
          </w:p>
        </w:tc>
        <w:tc>
          <w:tcPr>
            <w:tcW w:w="2244" w:type="dxa"/>
            <w:shd w:val="clear" w:color="auto" w:fill="DBE5F1"/>
          </w:tcPr>
          <w:p w:rsidR="00043311" w:rsidRPr="007D615E" w:rsidRDefault="00043311" w:rsidP="0042130F">
            <w:pPr>
              <w:pStyle w:val="ListParagraph"/>
              <w:numPr>
                <w:ilvl w:val="0"/>
                <w:numId w:val="16"/>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 xml:space="preserve">4.5% Probable Pathological Gamblers </w:t>
            </w:r>
          </w:p>
          <w:p w:rsidR="00043311" w:rsidRPr="007D615E" w:rsidRDefault="00043311" w:rsidP="0042130F">
            <w:pPr>
              <w:pStyle w:val="ListParagraph"/>
              <w:numPr>
                <w:ilvl w:val="0"/>
                <w:numId w:val="16"/>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9.7%  At-risk Gamblers</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sz w:val="16"/>
                <w:szCs w:val="16"/>
              </w:rPr>
              <w:t>Delfabbro et al., 2005</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Australia</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School students aged 11-19 years (N=926)</w:t>
            </w:r>
          </w:p>
        </w:tc>
        <w:tc>
          <w:tcPr>
            <w:tcW w:w="2101" w:type="dxa"/>
            <w:shd w:val="clear" w:color="auto" w:fill="DBE5F1"/>
          </w:tcPr>
          <w:p w:rsidR="00043311" w:rsidRPr="007D615E" w:rsidRDefault="00043311" w:rsidP="0042130F">
            <w:pPr>
              <w:pStyle w:val="ListParagraph"/>
              <w:numPr>
                <w:ilvl w:val="0"/>
                <w:numId w:val="20"/>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DSM-IV-J</w:t>
            </w:r>
          </w:p>
          <w:p w:rsidR="00043311" w:rsidRPr="007D615E" w:rsidRDefault="00043311" w:rsidP="0042130F">
            <w:pPr>
              <w:pStyle w:val="ListParagraph"/>
              <w:numPr>
                <w:ilvl w:val="0"/>
                <w:numId w:val="20"/>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Victorian Gambling Screen (VGS)</w:t>
            </w:r>
          </w:p>
        </w:tc>
        <w:tc>
          <w:tcPr>
            <w:tcW w:w="1544" w:type="dxa"/>
            <w:shd w:val="clear" w:color="auto" w:fill="DBE5F1"/>
          </w:tcPr>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70% past year</w:t>
            </w:r>
          </w:p>
        </w:tc>
        <w:tc>
          <w:tcPr>
            <w:tcW w:w="2244" w:type="dxa"/>
            <w:shd w:val="clear" w:color="auto" w:fill="DBE5F1"/>
          </w:tcPr>
          <w:p w:rsidR="00043311" w:rsidRPr="007D615E" w:rsidRDefault="00043311" w:rsidP="0042130F">
            <w:pPr>
              <w:pStyle w:val="ListParagraph"/>
              <w:numPr>
                <w:ilvl w:val="0"/>
                <w:numId w:val="20"/>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4.4% Problem gamblers (DSM-IV-J)</w:t>
            </w:r>
          </w:p>
          <w:p w:rsidR="00043311" w:rsidRPr="007D615E" w:rsidRDefault="00043311" w:rsidP="0042130F">
            <w:pPr>
              <w:pStyle w:val="ListParagraph"/>
              <w:numPr>
                <w:ilvl w:val="0"/>
                <w:numId w:val="20"/>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3.3% Problem gamblers (VGS)</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sz w:val="16"/>
                <w:szCs w:val="16"/>
              </w:rPr>
              <w:t>Fisher, 1999</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Great Britain</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School students aged 12-15 years (N=9,774)</w:t>
            </w:r>
          </w:p>
        </w:tc>
        <w:tc>
          <w:tcPr>
            <w:tcW w:w="2101" w:type="dxa"/>
            <w:shd w:val="clear" w:color="auto" w:fill="DBE5F1"/>
          </w:tcPr>
          <w:p w:rsidR="00043311" w:rsidRPr="007D615E" w:rsidRDefault="00043311" w:rsidP="0042130F">
            <w:pPr>
              <w:pStyle w:val="ListParagraph"/>
              <w:numPr>
                <w:ilvl w:val="0"/>
                <w:numId w:val="15"/>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DSM-IV-MR-J</w:t>
            </w:r>
          </w:p>
        </w:tc>
        <w:tc>
          <w:tcPr>
            <w:tcW w:w="1544" w:type="dxa"/>
            <w:shd w:val="clear" w:color="auto" w:fill="DBE5F1"/>
          </w:tcPr>
          <w:p w:rsidR="00043311" w:rsidRPr="007D615E" w:rsidRDefault="00043311" w:rsidP="00F20231">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n/a</w:t>
            </w:r>
            <w:r>
              <w:rPr>
                <w:rFonts w:asciiTheme="minorHAnsi" w:hAnsiTheme="minorHAnsi" w:cstheme="minorHAnsi"/>
                <w:sz w:val="16"/>
                <w:szCs w:val="16"/>
              </w:rPr>
              <w:t xml:space="preserve"> </w:t>
            </w:r>
            <w:r w:rsidR="00F20231">
              <w:rPr>
                <w:rFonts w:asciiTheme="minorHAnsi" w:hAnsiTheme="minorHAnsi" w:cstheme="minorHAnsi"/>
                <w:sz w:val="18"/>
                <w:szCs w:val="16"/>
                <w:vertAlign w:val="superscript"/>
              </w:rPr>
              <w:t>1</w:t>
            </w:r>
            <w:r w:rsidRPr="007D615E">
              <w:rPr>
                <w:rFonts w:asciiTheme="minorHAnsi" w:hAnsiTheme="minorHAnsi" w:cstheme="minorHAnsi"/>
                <w:sz w:val="16"/>
                <w:szCs w:val="16"/>
              </w:rPr>
              <w:t xml:space="preserve"> </w:t>
            </w:r>
          </w:p>
        </w:tc>
        <w:tc>
          <w:tcPr>
            <w:tcW w:w="2244" w:type="dxa"/>
            <w:shd w:val="clear" w:color="auto" w:fill="DBE5F1"/>
          </w:tcPr>
          <w:p w:rsidR="00043311" w:rsidRPr="007D615E" w:rsidRDefault="00043311" w:rsidP="0042130F">
            <w:pPr>
              <w:pStyle w:val="ListParagraph"/>
              <w:numPr>
                <w:ilvl w:val="0"/>
                <w:numId w:val="15"/>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5.6% Problem gamblers</w:t>
            </w:r>
          </w:p>
        </w:tc>
      </w:tr>
      <w:tr w:rsidR="00043311" w:rsidRPr="007D615E" w:rsidTr="0042130F">
        <w:trPr>
          <w:trHeight w:val="62"/>
          <w:jc w:val="center"/>
        </w:trPr>
        <w:tc>
          <w:tcPr>
            <w:tcW w:w="1202" w:type="dxa"/>
            <w:shd w:val="clear" w:color="auto" w:fill="DBE5F1"/>
          </w:tcPr>
          <w:p w:rsidR="00043311" w:rsidRPr="007D615E" w:rsidRDefault="00043311" w:rsidP="0042130F">
            <w:pPr>
              <w:spacing w:before="0" w:line="240" w:lineRule="auto"/>
              <w:jc w:val="left"/>
              <w:rPr>
                <w:rFonts w:asciiTheme="minorHAnsi" w:hAnsiTheme="minorHAnsi" w:cstheme="minorHAnsi"/>
                <w:sz w:val="16"/>
                <w:szCs w:val="16"/>
              </w:rPr>
            </w:pPr>
            <w:r w:rsidRPr="007D615E">
              <w:rPr>
                <w:rFonts w:asciiTheme="minorHAnsi" w:hAnsiTheme="minorHAnsi" w:cstheme="minorHAnsi"/>
                <w:sz w:val="16"/>
                <w:szCs w:val="16"/>
              </w:rPr>
              <w:t>Gupta and Derevensky, 1998a</w:t>
            </w:r>
          </w:p>
        </w:tc>
        <w:tc>
          <w:tcPr>
            <w:tcW w:w="1145"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Canada</w:t>
            </w:r>
          </w:p>
        </w:tc>
        <w:tc>
          <w:tcPr>
            <w:tcW w:w="2410" w:type="dxa"/>
            <w:shd w:val="clear" w:color="auto" w:fill="DBE5F1"/>
          </w:tcPr>
          <w:p w:rsidR="00043311" w:rsidRPr="007D615E" w:rsidRDefault="00043311" w:rsidP="0042130F">
            <w:pPr>
              <w:spacing w:before="0" w:line="240" w:lineRule="auto"/>
              <w:rPr>
                <w:rFonts w:asciiTheme="minorHAnsi" w:hAnsiTheme="minorHAnsi" w:cstheme="minorHAnsi"/>
                <w:sz w:val="16"/>
                <w:szCs w:val="16"/>
              </w:rPr>
            </w:pPr>
            <w:r w:rsidRPr="007D615E">
              <w:rPr>
                <w:rFonts w:asciiTheme="minorHAnsi" w:hAnsiTheme="minorHAnsi" w:cstheme="minorHAnsi"/>
                <w:sz w:val="16"/>
                <w:szCs w:val="16"/>
              </w:rPr>
              <w:t xml:space="preserve">High school students 12-17 years (n=817) </w:t>
            </w:r>
          </w:p>
        </w:tc>
        <w:tc>
          <w:tcPr>
            <w:tcW w:w="2101" w:type="dxa"/>
            <w:shd w:val="clear" w:color="auto" w:fill="DBE5F1"/>
          </w:tcPr>
          <w:p w:rsidR="00043311" w:rsidRPr="007D615E" w:rsidRDefault="00043311" w:rsidP="0042130F">
            <w:pPr>
              <w:pStyle w:val="ListParagraph"/>
              <w:numPr>
                <w:ilvl w:val="0"/>
                <w:numId w:val="15"/>
              </w:numPr>
              <w:spacing w:line="240" w:lineRule="auto"/>
              <w:ind w:left="215" w:hanging="181"/>
              <w:jc w:val="left"/>
              <w:rPr>
                <w:rFonts w:asciiTheme="minorHAnsi" w:hAnsiTheme="minorHAnsi" w:cstheme="minorHAnsi"/>
                <w:sz w:val="16"/>
                <w:szCs w:val="16"/>
              </w:rPr>
            </w:pPr>
            <w:r w:rsidRPr="007D615E">
              <w:rPr>
                <w:rFonts w:asciiTheme="minorHAnsi" w:hAnsiTheme="minorHAnsi" w:cstheme="minorHAnsi"/>
                <w:sz w:val="16"/>
                <w:szCs w:val="16"/>
              </w:rPr>
              <w:t>DSM-IV-J (4/9 criteria)</w:t>
            </w:r>
          </w:p>
        </w:tc>
        <w:tc>
          <w:tcPr>
            <w:tcW w:w="1544" w:type="dxa"/>
            <w:shd w:val="clear" w:color="auto" w:fill="DBE5F1"/>
          </w:tcPr>
          <w:p w:rsidR="00043311" w:rsidRPr="007D615E" w:rsidRDefault="00043311" w:rsidP="0042130F">
            <w:pPr>
              <w:pStyle w:val="ListParagraph"/>
              <w:numPr>
                <w:ilvl w:val="0"/>
                <w:numId w:val="21"/>
              </w:numPr>
              <w:spacing w:line="240" w:lineRule="auto"/>
              <w:ind w:left="175" w:hanging="175"/>
              <w:jc w:val="left"/>
              <w:rPr>
                <w:rFonts w:asciiTheme="minorHAnsi" w:hAnsiTheme="minorHAnsi" w:cstheme="minorHAnsi"/>
                <w:sz w:val="16"/>
                <w:szCs w:val="16"/>
              </w:rPr>
            </w:pPr>
            <w:r w:rsidRPr="007D615E">
              <w:rPr>
                <w:rFonts w:asciiTheme="minorHAnsi" w:hAnsiTheme="minorHAnsi" w:cstheme="minorHAnsi"/>
                <w:sz w:val="16"/>
                <w:szCs w:val="16"/>
              </w:rPr>
              <w:t>80.2% past year</w:t>
            </w:r>
          </w:p>
        </w:tc>
        <w:tc>
          <w:tcPr>
            <w:tcW w:w="2244" w:type="dxa"/>
            <w:shd w:val="clear" w:color="auto" w:fill="DBE5F1"/>
          </w:tcPr>
          <w:p w:rsidR="00043311" w:rsidRPr="007D615E" w:rsidRDefault="00043311" w:rsidP="0042130F">
            <w:pPr>
              <w:pStyle w:val="ListParagraph"/>
              <w:numPr>
                <w:ilvl w:val="0"/>
                <w:numId w:val="16"/>
              </w:numPr>
              <w:spacing w:line="240" w:lineRule="auto"/>
              <w:ind w:left="242" w:hanging="142"/>
              <w:jc w:val="left"/>
              <w:rPr>
                <w:rFonts w:asciiTheme="minorHAnsi" w:hAnsiTheme="minorHAnsi" w:cstheme="minorHAnsi"/>
                <w:sz w:val="16"/>
                <w:szCs w:val="16"/>
              </w:rPr>
            </w:pPr>
            <w:r w:rsidRPr="007D615E">
              <w:rPr>
                <w:rFonts w:asciiTheme="minorHAnsi" w:hAnsiTheme="minorHAnsi" w:cstheme="minorHAnsi"/>
                <w:sz w:val="16"/>
                <w:szCs w:val="16"/>
              </w:rPr>
              <w:t>4.7% Pathological Gamblers</w:t>
            </w:r>
          </w:p>
        </w:tc>
      </w:tr>
    </w:tbl>
    <w:p w:rsidR="00043311" w:rsidRPr="0055372F" w:rsidRDefault="00043311" w:rsidP="004F324D">
      <w:pPr>
        <w:spacing w:before="0" w:line="240" w:lineRule="auto"/>
        <w:rPr>
          <w:rFonts w:asciiTheme="minorHAnsi" w:hAnsiTheme="minorHAnsi" w:cstheme="minorHAnsi"/>
          <w:sz w:val="18"/>
        </w:rPr>
      </w:pPr>
      <w:r w:rsidRPr="0055372F">
        <w:rPr>
          <w:rFonts w:asciiTheme="minorHAnsi" w:hAnsiTheme="minorHAnsi" w:cstheme="minorHAnsi"/>
          <w:sz w:val="18"/>
        </w:rPr>
        <w:t>Note</w:t>
      </w:r>
      <w:r>
        <w:rPr>
          <w:rFonts w:asciiTheme="minorHAnsi" w:hAnsiTheme="minorHAnsi" w:cstheme="minorHAnsi"/>
          <w:sz w:val="18"/>
        </w:rPr>
        <w:t>s</w:t>
      </w:r>
      <w:r w:rsidRPr="0055372F">
        <w:rPr>
          <w:rFonts w:asciiTheme="minorHAnsi" w:hAnsiTheme="minorHAnsi" w:cstheme="minorHAnsi"/>
          <w:sz w:val="18"/>
        </w:rPr>
        <w:t>:</w:t>
      </w:r>
    </w:p>
    <w:p w:rsidR="00F20231" w:rsidRPr="000B19BE" w:rsidRDefault="004F324D" w:rsidP="004F324D">
      <w:pPr>
        <w:pStyle w:val="ListParagraph"/>
        <w:spacing w:line="240" w:lineRule="auto"/>
        <w:ind w:left="142"/>
        <w:rPr>
          <w:rFonts w:asciiTheme="minorHAnsi" w:hAnsiTheme="minorHAnsi" w:cstheme="minorHAnsi"/>
          <w:sz w:val="18"/>
          <w:szCs w:val="16"/>
        </w:rPr>
      </w:pPr>
      <w:r>
        <w:rPr>
          <w:rFonts w:asciiTheme="minorHAnsi" w:hAnsiTheme="minorHAnsi" w:cstheme="minorHAnsi"/>
          <w:sz w:val="18"/>
          <w:szCs w:val="16"/>
        </w:rPr>
        <w:t xml:space="preserve">1. </w:t>
      </w:r>
      <w:r w:rsidR="00C62DF3">
        <w:rPr>
          <w:rFonts w:asciiTheme="minorHAnsi" w:hAnsiTheme="minorHAnsi" w:cstheme="minorHAnsi"/>
          <w:sz w:val="18"/>
          <w:szCs w:val="16"/>
        </w:rPr>
        <w:t>Overall prevalence</w:t>
      </w:r>
      <w:r w:rsidR="00F20231">
        <w:rPr>
          <w:rFonts w:asciiTheme="minorHAnsi" w:hAnsiTheme="minorHAnsi" w:cstheme="minorHAnsi"/>
          <w:sz w:val="18"/>
          <w:szCs w:val="16"/>
        </w:rPr>
        <w:t xml:space="preserve"> r</w:t>
      </w:r>
      <w:r w:rsidR="00F20231" w:rsidRPr="000B19BE">
        <w:rPr>
          <w:rFonts w:asciiTheme="minorHAnsi" w:hAnsiTheme="minorHAnsi" w:cstheme="minorHAnsi"/>
          <w:sz w:val="18"/>
          <w:szCs w:val="16"/>
        </w:rPr>
        <w:t>ates</w:t>
      </w:r>
      <w:r w:rsidR="00F20231">
        <w:rPr>
          <w:rFonts w:asciiTheme="minorHAnsi" w:hAnsiTheme="minorHAnsi" w:cstheme="minorHAnsi"/>
          <w:sz w:val="18"/>
          <w:szCs w:val="16"/>
        </w:rPr>
        <w:t xml:space="preserve"> cannot be reported as rates </w:t>
      </w:r>
      <w:r w:rsidR="00F20231" w:rsidRPr="000B19BE">
        <w:rPr>
          <w:rFonts w:asciiTheme="minorHAnsi" w:hAnsiTheme="minorHAnsi" w:cstheme="minorHAnsi"/>
          <w:sz w:val="18"/>
          <w:szCs w:val="16"/>
        </w:rPr>
        <w:t xml:space="preserve">were </w:t>
      </w:r>
      <w:r w:rsidR="00F20231">
        <w:rPr>
          <w:rFonts w:asciiTheme="minorHAnsi" w:hAnsiTheme="minorHAnsi" w:cstheme="minorHAnsi"/>
          <w:sz w:val="18"/>
          <w:szCs w:val="16"/>
        </w:rPr>
        <w:t>only available in relation</w:t>
      </w:r>
      <w:r w:rsidR="00F20231" w:rsidRPr="000B19BE">
        <w:rPr>
          <w:rFonts w:asciiTheme="minorHAnsi" w:hAnsiTheme="minorHAnsi" w:cstheme="minorHAnsi"/>
          <w:sz w:val="18"/>
          <w:szCs w:val="16"/>
        </w:rPr>
        <w:t xml:space="preserve"> to specific gambling formats, e.g. 53% had ‘ever played’ cards for money.</w:t>
      </w:r>
    </w:p>
    <w:p w:rsidR="00043311" w:rsidRPr="000B19BE" w:rsidRDefault="004F324D" w:rsidP="004F324D">
      <w:pPr>
        <w:pStyle w:val="ListParagraph"/>
        <w:spacing w:line="240" w:lineRule="auto"/>
        <w:ind w:left="142"/>
        <w:rPr>
          <w:rFonts w:asciiTheme="minorHAnsi" w:hAnsiTheme="minorHAnsi" w:cstheme="minorHAnsi"/>
          <w:sz w:val="18"/>
          <w:szCs w:val="16"/>
        </w:rPr>
      </w:pPr>
      <w:r>
        <w:rPr>
          <w:rFonts w:asciiTheme="minorHAnsi" w:hAnsiTheme="minorHAnsi" w:cstheme="minorHAnsi"/>
          <w:sz w:val="18"/>
          <w:szCs w:val="16"/>
        </w:rPr>
        <w:t xml:space="preserve">2. </w:t>
      </w:r>
      <w:r w:rsidR="00043311" w:rsidRPr="000B19BE">
        <w:rPr>
          <w:rFonts w:asciiTheme="minorHAnsi" w:hAnsiTheme="minorHAnsi" w:cstheme="minorHAnsi"/>
          <w:sz w:val="18"/>
          <w:szCs w:val="16"/>
        </w:rPr>
        <w:t xml:space="preserve">It was reported that a new screen </w:t>
      </w:r>
      <w:r w:rsidR="00410534">
        <w:rPr>
          <w:rFonts w:asciiTheme="minorHAnsi" w:hAnsiTheme="minorHAnsi" w:cstheme="minorHAnsi"/>
          <w:sz w:val="18"/>
          <w:szCs w:val="16"/>
        </w:rPr>
        <w:t xml:space="preserve">(that had not been validated) </w:t>
      </w:r>
      <w:r w:rsidR="00043311" w:rsidRPr="000B19BE">
        <w:rPr>
          <w:rFonts w:asciiTheme="minorHAnsi" w:hAnsiTheme="minorHAnsi" w:cstheme="minorHAnsi"/>
          <w:sz w:val="18"/>
          <w:szCs w:val="16"/>
        </w:rPr>
        <w:t>was utilised for this survey.</w:t>
      </w:r>
      <w:r w:rsidR="00043311">
        <w:rPr>
          <w:rFonts w:asciiTheme="minorHAnsi" w:hAnsiTheme="minorHAnsi" w:cstheme="minorHAnsi"/>
          <w:sz w:val="18"/>
          <w:szCs w:val="16"/>
        </w:rPr>
        <w:t xml:space="preserve"> </w:t>
      </w:r>
    </w:p>
    <w:p w:rsidR="00043311" w:rsidRDefault="00043311">
      <w:pPr>
        <w:spacing w:before="0" w:line="240" w:lineRule="auto"/>
        <w:jc w:val="left"/>
        <w:rPr>
          <w:rFonts w:asciiTheme="minorHAnsi" w:hAnsiTheme="minorHAnsi" w:cstheme="minorHAnsi"/>
          <w:bCs/>
          <w:i/>
          <w:color w:val="1F497D"/>
          <w:szCs w:val="28"/>
        </w:rPr>
      </w:pPr>
      <w:r>
        <w:rPr>
          <w:rFonts w:asciiTheme="minorHAnsi" w:hAnsiTheme="minorHAnsi" w:cstheme="minorHAnsi"/>
          <w:b/>
          <w:i/>
        </w:rPr>
        <w:br w:type="page"/>
      </w:r>
    </w:p>
    <w:p w:rsidR="00043311" w:rsidRPr="00CD2243" w:rsidRDefault="00043311" w:rsidP="0042130F">
      <w:pPr>
        <w:pStyle w:val="Heading4"/>
        <w:spacing w:line="360" w:lineRule="auto"/>
        <w:rPr>
          <w:rFonts w:asciiTheme="minorHAnsi" w:hAnsiTheme="minorHAnsi" w:cstheme="minorHAnsi"/>
          <w:b w:val="0"/>
          <w:i/>
        </w:rPr>
      </w:pPr>
      <w:r w:rsidRPr="00CD2243">
        <w:rPr>
          <w:rFonts w:asciiTheme="minorHAnsi" w:hAnsiTheme="minorHAnsi" w:cstheme="minorHAnsi"/>
          <w:b w:val="0"/>
          <w:i/>
        </w:rPr>
        <w:lastRenderedPageBreak/>
        <w:t>New Zealand</w:t>
      </w:r>
    </w:p>
    <w:p w:rsidR="00043311" w:rsidRPr="00CD2243" w:rsidRDefault="00043311" w:rsidP="0042130F">
      <w:pPr>
        <w:spacing w:line="360" w:lineRule="auto"/>
        <w:rPr>
          <w:rFonts w:asciiTheme="minorHAnsi" w:hAnsiTheme="minorHAnsi" w:cstheme="minorHAnsi"/>
        </w:rPr>
      </w:pPr>
      <w:r w:rsidRPr="00CD2243">
        <w:rPr>
          <w:rFonts w:asciiTheme="minorHAnsi" w:hAnsiTheme="minorHAnsi" w:cstheme="minorHAnsi"/>
        </w:rPr>
        <w:t xml:space="preserve">The gap in New Zealand-based information regarding prevalence of youth gambling has been identified previously </w:t>
      </w:r>
      <w:r>
        <w:rPr>
          <w:rFonts w:asciiTheme="minorHAnsi" w:hAnsiTheme="minorHAnsi" w:cstheme="minorHAnsi"/>
          <w:noProof/>
        </w:rPr>
        <w:t>(Bellringer, et al., 2003; Rossen, et al., 2009)</w:t>
      </w:r>
      <w:r w:rsidRPr="00CD2243">
        <w:rPr>
          <w:rFonts w:asciiTheme="minorHAnsi" w:hAnsiTheme="minorHAnsi" w:cstheme="minorHAnsi"/>
        </w:rPr>
        <w:t xml:space="preserve"> and in 2003 it was recommended that research be undertaken to measure the involvement of New Zealand youth in gambling as well as associated factors and gambling-related problems </w:t>
      </w:r>
      <w:r>
        <w:rPr>
          <w:rFonts w:asciiTheme="minorHAnsi" w:hAnsiTheme="minorHAnsi" w:cstheme="minorHAnsi"/>
          <w:noProof/>
        </w:rPr>
        <w:t>(Bellringer, et al., 2003)</w:t>
      </w:r>
      <w:r w:rsidRPr="00CD2243">
        <w:rPr>
          <w:rFonts w:asciiTheme="minorHAnsi" w:hAnsiTheme="minorHAnsi" w:cstheme="minorHAnsi"/>
        </w:rPr>
        <w:t>.</w:t>
      </w:r>
    </w:p>
    <w:p w:rsidR="00043311" w:rsidRPr="00CD2243" w:rsidRDefault="00043311" w:rsidP="0042130F">
      <w:pPr>
        <w:spacing w:line="360" w:lineRule="auto"/>
        <w:rPr>
          <w:rFonts w:asciiTheme="minorHAnsi" w:hAnsiTheme="minorHAnsi" w:cstheme="minorHAnsi"/>
        </w:rPr>
      </w:pPr>
      <w:r w:rsidRPr="00CD2243">
        <w:rPr>
          <w:rFonts w:asciiTheme="minorHAnsi" w:hAnsiTheme="minorHAnsi" w:cstheme="minorHAnsi"/>
        </w:rPr>
        <w:t xml:space="preserve">The first national survey of pathological gambling in this country, published in 1994, identified that 50% of those who were identified as problem or probable pathological gamblers (PPGs) were aged under 30 years, and the authors note that respondents in this age range had a much higher lifetime prevalence of probable pathological and problem gambling, compared to older respondents </w:t>
      </w:r>
      <w:r w:rsidRPr="00CD2243">
        <w:rPr>
          <w:rFonts w:asciiTheme="minorHAnsi" w:hAnsiTheme="minorHAnsi" w:cstheme="minorHAnsi"/>
          <w:noProof/>
        </w:rPr>
        <w:t>(Volberg &amp; Abbott, 1994)</w:t>
      </w:r>
      <w:r w:rsidRPr="00CD2243">
        <w:rPr>
          <w:rFonts w:asciiTheme="minorHAnsi" w:hAnsiTheme="minorHAnsi" w:cstheme="minorHAnsi"/>
        </w:rPr>
        <w:t xml:space="preserve">. Other, more recent, data suggest that gambling amongst young people is not commonplace in New Zealand, particularly when compared with older age groups </w:t>
      </w:r>
      <w:r w:rsidRPr="00CD2243">
        <w:rPr>
          <w:rFonts w:asciiTheme="minorHAnsi" w:hAnsiTheme="minorHAnsi" w:cstheme="minorHAnsi"/>
          <w:noProof/>
        </w:rPr>
        <w:t>(Department of Internal Affairs, 2008)</w:t>
      </w:r>
      <w:r w:rsidRPr="00CD2243">
        <w:rPr>
          <w:rFonts w:asciiTheme="minorHAnsi" w:hAnsiTheme="minorHAnsi" w:cstheme="minorHAnsi"/>
        </w:rPr>
        <w:t xml:space="preserve">. In a study carried out in 2005, it was found that fewer teenagers (aged 15-19 years) participated in gambling than any other age group, and that they took part in less gambling activities, and were less likely to spend over $100 annually (28% compared to 55% of all participants) </w:t>
      </w:r>
      <w:r w:rsidRPr="00CD2243">
        <w:rPr>
          <w:rFonts w:asciiTheme="minorHAnsi" w:hAnsiTheme="minorHAnsi" w:cstheme="minorHAnsi"/>
          <w:noProof/>
        </w:rPr>
        <w:t>(Department of Internal Affairs, 2008)</w:t>
      </w:r>
      <w:r w:rsidRPr="00CD2243">
        <w:rPr>
          <w:rFonts w:asciiTheme="minorHAnsi" w:hAnsiTheme="minorHAnsi" w:cstheme="minorHAnsi"/>
        </w:rPr>
        <w:t xml:space="preserve">. </w:t>
      </w:r>
    </w:p>
    <w:p w:rsidR="00043311" w:rsidRPr="00110ABE" w:rsidRDefault="00043311" w:rsidP="0042130F">
      <w:pPr>
        <w:spacing w:line="360" w:lineRule="auto"/>
        <w:rPr>
          <w:rFonts w:asciiTheme="minorHAnsi" w:hAnsiTheme="minorHAnsi" w:cstheme="minorHAnsi"/>
        </w:rPr>
      </w:pPr>
      <w:r w:rsidRPr="00110ABE">
        <w:rPr>
          <w:rFonts w:asciiTheme="minorHAnsi" w:hAnsiTheme="minorHAnsi" w:cstheme="minorHAnsi"/>
        </w:rPr>
        <w:t xml:space="preserve">Findings from the 2002/03 Health Survey in New Zealand revealed that 59% of young people aged 15-24 years had gambled in the 12 months previous </w:t>
      </w:r>
      <w:r w:rsidRPr="00110ABE">
        <w:rPr>
          <w:rFonts w:asciiTheme="minorHAnsi" w:hAnsiTheme="minorHAnsi" w:cstheme="minorHAnsi"/>
          <w:noProof/>
        </w:rPr>
        <w:t>(Ministry of Health, 2006)</w:t>
      </w:r>
      <w:r w:rsidRPr="00110ABE">
        <w:rPr>
          <w:rFonts w:asciiTheme="minorHAnsi" w:hAnsiTheme="minorHAnsi" w:cstheme="minorHAnsi"/>
        </w:rPr>
        <w:t xml:space="preserve">. Whilst gambling rates were higher in older age groups (e.g. those aged 45-54 years), it was reported that participation rates for non-casino </w:t>
      </w:r>
      <w:r>
        <w:rPr>
          <w:rFonts w:asciiTheme="minorHAnsi" w:hAnsiTheme="minorHAnsi" w:cstheme="minorHAnsi"/>
        </w:rPr>
        <w:t>E</w:t>
      </w:r>
      <w:r w:rsidRPr="00110ABE">
        <w:rPr>
          <w:rFonts w:asciiTheme="minorHAnsi" w:hAnsiTheme="minorHAnsi" w:cstheme="minorHAnsi"/>
        </w:rPr>
        <w:t xml:space="preserve">lectronic </w:t>
      </w:r>
      <w:r>
        <w:rPr>
          <w:rFonts w:asciiTheme="minorHAnsi" w:hAnsiTheme="minorHAnsi" w:cstheme="minorHAnsi"/>
        </w:rPr>
        <w:t>G</w:t>
      </w:r>
      <w:r w:rsidRPr="00110ABE">
        <w:rPr>
          <w:rFonts w:asciiTheme="minorHAnsi" w:hAnsiTheme="minorHAnsi" w:cstheme="minorHAnsi"/>
        </w:rPr>
        <w:t xml:space="preserve">ambling </w:t>
      </w:r>
      <w:r>
        <w:rPr>
          <w:rFonts w:asciiTheme="minorHAnsi" w:hAnsiTheme="minorHAnsi" w:cstheme="minorHAnsi"/>
        </w:rPr>
        <w:t>M</w:t>
      </w:r>
      <w:r w:rsidRPr="00110ABE">
        <w:rPr>
          <w:rFonts w:asciiTheme="minorHAnsi" w:hAnsiTheme="minorHAnsi" w:cstheme="minorHAnsi"/>
        </w:rPr>
        <w:t xml:space="preserve">achines (EGMs) were highest amongst 15-24 year olds. In terms of problem gambling, 1.2% of the overall sample was identified as problem gamblers, with slightly higher rates (1.5%) amongst the 15-24 age group. Moreover, younger gamblers comprised one fifth of problem gamblers. Whilst the risk of being a problem gambler was highest amongst adults aged 25-34, it was also noted as being ‘relatively high’ for young people in the sample </w:t>
      </w:r>
      <w:r w:rsidRPr="00110ABE">
        <w:rPr>
          <w:rFonts w:asciiTheme="minorHAnsi" w:hAnsiTheme="minorHAnsi" w:cstheme="minorHAnsi"/>
          <w:noProof/>
        </w:rPr>
        <w:t>(Ministry of Health, 2006)</w:t>
      </w:r>
      <w:r w:rsidRPr="00110ABE">
        <w:rPr>
          <w:rFonts w:asciiTheme="minorHAnsi" w:hAnsiTheme="minorHAnsi" w:cstheme="minorHAnsi"/>
        </w:rPr>
        <w:t>.</w:t>
      </w:r>
    </w:p>
    <w:p w:rsidR="00043311" w:rsidRPr="00110ABE" w:rsidRDefault="00043311" w:rsidP="0042130F">
      <w:pPr>
        <w:spacing w:line="360" w:lineRule="auto"/>
        <w:rPr>
          <w:rFonts w:asciiTheme="minorHAnsi" w:hAnsiTheme="minorHAnsi" w:cstheme="minorHAnsi"/>
        </w:rPr>
      </w:pPr>
      <w:r w:rsidRPr="00110ABE">
        <w:rPr>
          <w:rFonts w:asciiTheme="minorHAnsi" w:hAnsiTheme="minorHAnsi" w:cstheme="minorHAnsi"/>
        </w:rPr>
        <w:t xml:space="preserve">In the subsequent 2006/07 Health Survey, it was reported that the prevalence of past-year gambling was ‘fairly stable’ across all age groups, although lower rates were identified amongst those aged 15-24 years </w:t>
      </w:r>
      <w:r w:rsidRPr="00110ABE">
        <w:rPr>
          <w:rFonts w:asciiTheme="minorHAnsi" w:hAnsiTheme="minorHAnsi" w:cstheme="minorHAnsi"/>
          <w:noProof/>
        </w:rPr>
        <w:t>(Ministry of Health, 2008)</w:t>
      </w:r>
      <w:r w:rsidRPr="00110ABE">
        <w:rPr>
          <w:rFonts w:asciiTheme="minorHAnsi" w:hAnsiTheme="minorHAnsi" w:cstheme="minorHAnsi"/>
        </w:rPr>
        <w:t xml:space="preserve">. A quarter of 15-17 years olds had gambled in the previous 12 months </w:t>
      </w:r>
      <w:r w:rsidRPr="00110ABE">
        <w:rPr>
          <w:rFonts w:asciiTheme="minorHAnsi" w:hAnsiTheme="minorHAnsi" w:cstheme="minorHAnsi"/>
          <w:noProof/>
        </w:rPr>
        <w:t>(Ministry of Health, 2008, 2009)</w:t>
      </w:r>
      <w:r w:rsidRPr="00110ABE">
        <w:rPr>
          <w:rFonts w:asciiTheme="minorHAnsi" w:hAnsiTheme="minorHAnsi" w:cstheme="minorHAnsi"/>
        </w:rPr>
        <w:t xml:space="preserve"> and one in six had gambled on Instant Kiwi or other scratch tickets </w:t>
      </w:r>
      <w:r w:rsidRPr="00110ABE">
        <w:rPr>
          <w:rFonts w:asciiTheme="minorHAnsi" w:hAnsiTheme="minorHAnsi" w:cstheme="minorHAnsi"/>
          <w:noProof/>
        </w:rPr>
        <w:t>(Ministry of Health, 2009)</w:t>
      </w:r>
      <w:r w:rsidRPr="00110ABE">
        <w:rPr>
          <w:rFonts w:asciiTheme="minorHAnsi" w:hAnsiTheme="minorHAnsi" w:cstheme="minorHAnsi"/>
        </w:rPr>
        <w:t xml:space="preserve">. Moreover, the highest level of participation in both Instant Kiwi and non-casino EGMs was amongst 18-24 year olds. Overall, 60% of 18-24 year olds had participated in any gambling activity in the previous year, which was slightly lower than all older age groups </w:t>
      </w:r>
      <w:r w:rsidRPr="00110ABE">
        <w:rPr>
          <w:rFonts w:asciiTheme="minorHAnsi" w:hAnsiTheme="minorHAnsi" w:cstheme="minorHAnsi"/>
          <w:noProof/>
        </w:rPr>
        <w:t>(Ministry of Health, 2009)</w:t>
      </w:r>
      <w:r w:rsidRPr="00110ABE">
        <w:rPr>
          <w:rFonts w:asciiTheme="minorHAnsi" w:hAnsiTheme="minorHAnsi" w:cstheme="minorHAnsi"/>
        </w:rPr>
        <w:t xml:space="preserve">. In terms of problem gambling, rates were lower amongst the 15-24 year age group (0.3%), compared to their older counterparts </w:t>
      </w:r>
      <w:r>
        <w:rPr>
          <w:rFonts w:asciiTheme="minorHAnsi" w:hAnsiTheme="minorHAnsi" w:cstheme="minorHAnsi"/>
          <w:noProof/>
        </w:rPr>
        <w:t>(Gray, 2010)</w:t>
      </w:r>
      <w:r>
        <w:rPr>
          <w:rFonts w:asciiTheme="minorHAnsi" w:hAnsiTheme="minorHAnsi" w:cstheme="minorHAnsi"/>
        </w:rPr>
        <w:t>. It was</w:t>
      </w:r>
      <w:r w:rsidRPr="00110ABE">
        <w:rPr>
          <w:rFonts w:asciiTheme="minorHAnsi" w:hAnsiTheme="minorHAnsi" w:cstheme="minorHAnsi"/>
        </w:rPr>
        <w:t xml:space="preserve"> concluded that participation by youth (defined as 15-17 years) in all forms of gambling  except for Instant Kiwi was low – with </w:t>
      </w:r>
      <w:r w:rsidRPr="00110ABE">
        <w:rPr>
          <w:rFonts w:asciiTheme="minorHAnsi" w:hAnsiTheme="minorHAnsi" w:cstheme="minorHAnsi"/>
        </w:rPr>
        <w:lastRenderedPageBreak/>
        <w:t xml:space="preserve">problem gambling rates also low in this age group (0.4% compared to 1.7% of the total adult population) </w:t>
      </w:r>
      <w:r w:rsidRPr="00110ABE">
        <w:rPr>
          <w:rFonts w:asciiTheme="minorHAnsi" w:hAnsiTheme="minorHAnsi" w:cstheme="minorHAnsi"/>
          <w:noProof/>
        </w:rPr>
        <w:t>(Ministry of Health, 2009)</w:t>
      </w:r>
      <w:r w:rsidRPr="00110ABE">
        <w:rPr>
          <w:rFonts w:asciiTheme="minorHAnsi" w:hAnsiTheme="minorHAnsi" w:cstheme="minorHAnsi"/>
        </w:rPr>
        <w:t xml:space="preserve">. It was noted, however, that the research did not investigate participation in informal gambling activities – such as playing cards with friends – something that young people may participate in </w:t>
      </w:r>
      <w:r w:rsidRPr="00110ABE">
        <w:rPr>
          <w:rFonts w:asciiTheme="minorHAnsi" w:hAnsiTheme="minorHAnsi" w:cstheme="minorHAnsi"/>
          <w:noProof/>
        </w:rPr>
        <w:t>(Ministry of Health, 2009)</w:t>
      </w:r>
      <w:r w:rsidRPr="00110ABE">
        <w:rPr>
          <w:rFonts w:asciiTheme="minorHAnsi" w:hAnsiTheme="minorHAnsi" w:cstheme="minorHAnsi"/>
        </w:rPr>
        <w:t xml:space="preserve">. </w:t>
      </w:r>
    </w:p>
    <w:p w:rsidR="00043311" w:rsidRPr="00AE5D84" w:rsidRDefault="00043311" w:rsidP="0042130F">
      <w:pPr>
        <w:spacing w:line="360" w:lineRule="auto"/>
        <w:rPr>
          <w:rFonts w:asciiTheme="minorHAnsi" w:hAnsiTheme="minorHAnsi" w:cstheme="minorHAnsi"/>
        </w:rPr>
      </w:pPr>
      <w:r>
        <w:rPr>
          <w:rFonts w:asciiTheme="minorHAnsi" w:hAnsiTheme="minorHAnsi" w:cstheme="minorHAnsi"/>
        </w:rPr>
        <w:t>Other</w:t>
      </w:r>
      <w:r w:rsidRPr="00110ABE">
        <w:rPr>
          <w:rFonts w:asciiTheme="minorHAnsi" w:hAnsiTheme="minorHAnsi" w:cstheme="minorHAnsi"/>
        </w:rPr>
        <w:t xml:space="preserve"> research from New Zealand found that whilst gambling was a widespread activity undertaken by young people (around one third had gambled by the age of ten), it was generally of low importance to them. </w:t>
      </w:r>
      <w:r w:rsidRPr="00AE5D84">
        <w:rPr>
          <w:rFonts w:asciiTheme="minorHAnsi" w:hAnsiTheme="minorHAnsi" w:cstheme="minorHAnsi"/>
        </w:rPr>
        <w:t>As with youth in other countries, there was a preference for Lottery products and other ‘informal’ modes of gambling, and a substantial proportion of the sample (3.8% of all participants), satisfied the DSM-IV-MR-J problem gambling criteria</w:t>
      </w:r>
      <w:r>
        <w:rPr>
          <w:rFonts w:asciiTheme="minorHAnsi" w:hAnsiTheme="minorHAnsi" w:cstheme="minorHAnsi"/>
        </w:rPr>
        <w:t xml:space="preserve"> </w:t>
      </w:r>
      <w:r>
        <w:rPr>
          <w:rFonts w:asciiTheme="minorHAnsi" w:hAnsiTheme="minorHAnsi" w:cstheme="minorHAnsi"/>
          <w:noProof/>
        </w:rPr>
        <w:t>(Rossen, 2008)</w:t>
      </w:r>
      <w:r w:rsidRPr="00AE5D84">
        <w:rPr>
          <w:rFonts w:asciiTheme="minorHAnsi" w:hAnsiTheme="minorHAnsi" w:cstheme="minorHAnsi"/>
        </w:rPr>
        <w:t xml:space="preserve">. </w:t>
      </w:r>
    </w:p>
    <w:p w:rsidR="00043311" w:rsidRPr="00AE5D84" w:rsidRDefault="00043311" w:rsidP="0042130F">
      <w:pPr>
        <w:spacing w:line="360" w:lineRule="auto"/>
        <w:rPr>
          <w:rFonts w:asciiTheme="minorHAnsi" w:hAnsiTheme="minorHAnsi" w:cstheme="minorHAnsi"/>
        </w:rPr>
      </w:pPr>
      <w:r w:rsidRPr="00AE5D84">
        <w:rPr>
          <w:rFonts w:asciiTheme="minorHAnsi" w:hAnsiTheme="minorHAnsi" w:cstheme="minorHAnsi"/>
        </w:rPr>
        <w:t xml:space="preserve">More recently, Rossen and colleagues </w:t>
      </w:r>
      <w:r>
        <w:rPr>
          <w:rFonts w:asciiTheme="minorHAnsi" w:hAnsiTheme="minorHAnsi" w:cstheme="minorHAnsi"/>
          <w:noProof/>
        </w:rPr>
        <w:t>(2011)</w:t>
      </w:r>
      <w:r w:rsidRPr="00AE5D84">
        <w:rPr>
          <w:rFonts w:asciiTheme="minorHAnsi" w:hAnsiTheme="minorHAnsi" w:cstheme="minorHAnsi"/>
        </w:rPr>
        <w:t xml:space="preserve"> analysed gambling-related data from Youth’07 – The Second National Health and Wellbeing Survey of New Zealand Secondary School Students. Less than one-tenth of the entire sample indicated that they had gambled in the past four weeks and students appeared to not typically spend much money or time on gambling activities. The most ‘popular’ (i.e. those that were endorsed the most) modes/activities that students had gambled on included bets with friends, Instant Kiwi (scratchies), cards or coins, and Lotto (including Strike, Powerball etc).</w:t>
      </w:r>
    </w:p>
    <w:p w:rsidR="00043311" w:rsidRPr="00110ABE" w:rsidRDefault="00043311" w:rsidP="0042130F">
      <w:pPr>
        <w:spacing w:line="360" w:lineRule="auto"/>
        <w:rPr>
          <w:rFonts w:asciiTheme="minorHAnsi" w:hAnsiTheme="minorHAnsi" w:cstheme="minorHAnsi"/>
        </w:rPr>
      </w:pPr>
      <w:r w:rsidRPr="00AE5D84">
        <w:rPr>
          <w:rFonts w:asciiTheme="minorHAnsi" w:hAnsiTheme="minorHAnsi" w:cstheme="minorHAnsi"/>
        </w:rPr>
        <w:t>Both of these studies found that social connectedness fulfilled a protective function with regard to problem / unhealthy gambling: those gambling at problematic/unhealthy levels were less socially connected than their counterparts</w:t>
      </w:r>
      <w:r>
        <w:rPr>
          <w:rFonts w:asciiTheme="minorHAnsi" w:hAnsiTheme="minorHAnsi" w:cstheme="minorHAnsi"/>
        </w:rPr>
        <w:t xml:space="preserve"> </w:t>
      </w:r>
      <w:r>
        <w:rPr>
          <w:rFonts w:asciiTheme="minorHAnsi" w:hAnsiTheme="minorHAnsi" w:cstheme="minorHAnsi"/>
          <w:noProof/>
        </w:rPr>
        <w:t>(Rossen, 2008; Rossen, et al., 2011)</w:t>
      </w:r>
      <w:r w:rsidRPr="00AE5D84">
        <w:rPr>
          <w:rFonts w:asciiTheme="minorHAnsi" w:hAnsiTheme="minorHAnsi" w:cstheme="minorHAnsi"/>
        </w:rPr>
        <w:t xml:space="preserve">. </w:t>
      </w:r>
    </w:p>
    <w:p w:rsidR="00043311" w:rsidRPr="00055C7E" w:rsidRDefault="00043311" w:rsidP="0042130F">
      <w:pPr>
        <w:pStyle w:val="Heading4"/>
        <w:spacing w:line="360" w:lineRule="auto"/>
        <w:rPr>
          <w:rFonts w:asciiTheme="minorHAnsi" w:hAnsiTheme="minorHAnsi" w:cstheme="minorHAnsi"/>
          <w:b w:val="0"/>
          <w:i/>
        </w:rPr>
      </w:pPr>
      <w:r w:rsidRPr="00055C7E">
        <w:rPr>
          <w:rFonts w:asciiTheme="minorHAnsi" w:hAnsiTheme="minorHAnsi" w:cstheme="minorHAnsi"/>
          <w:b w:val="0"/>
          <w:i/>
        </w:rPr>
        <w:t>Australia</w:t>
      </w:r>
    </w:p>
    <w:p w:rsidR="00043311" w:rsidRDefault="00043311" w:rsidP="0042130F">
      <w:pPr>
        <w:spacing w:line="360" w:lineRule="auto"/>
        <w:rPr>
          <w:rFonts w:asciiTheme="minorHAnsi" w:hAnsiTheme="minorHAnsi" w:cstheme="minorHAnsi"/>
        </w:rPr>
      </w:pPr>
      <w:r w:rsidRPr="005E58D1">
        <w:rPr>
          <w:rFonts w:asciiTheme="minorHAnsi" w:hAnsiTheme="minorHAnsi" w:cstheme="minorHAnsi"/>
        </w:rPr>
        <w:t xml:space="preserve">Adolescent problem gambling rates have been reported as being between 3-5% in Australia </w:t>
      </w:r>
      <w:r>
        <w:rPr>
          <w:rFonts w:asciiTheme="minorHAnsi" w:hAnsiTheme="minorHAnsi" w:cstheme="minorHAnsi"/>
          <w:noProof/>
        </w:rPr>
        <w:t>(Delfabbro, et al., 2005; Paul Delfabbro &amp; Thrupp, 2003; Moore &amp; Ohtsuka, 1997; Purdie, et al., 2011)</w:t>
      </w:r>
      <w:r w:rsidRPr="005E58D1">
        <w:rPr>
          <w:rFonts w:asciiTheme="minorHAnsi" w:hAnsiTheme="minorHAnsi" w:cstheme="minorHAnsi"/>
        </w:rPr>
        <w:t xml:space="preserve">. Whilst this is two times the level of adult problem gamblers in the country </w:t>
      </w:r>
      <w:r>
        <w:rPr>
          <w:rFonts w:asciiTheme="minorHAnsi" w:hAnsiTheme="minorHAnsi" w:cstheme="minorHAnsi"/>
          <w:noProof/>
        </w:rPr>
        <w:t>(Delfabbro, et al., 2005)</w:t>
      </w:r>
      <w:r w:rsidRPr="005E58D1">
        <w:rPr>
          <w:rFonts w:asciiTheme="minorHAnsi" w:hAnsiTheme="minorHAnsi" w:cstheme="minorHAnsi"/>
        </w:rPr>
        <w:t xml:space="preserve">, it is lower than that reported in other nations such as Canada </w:t>
      </w:r>
      <w:r>
        <w:rPr>
          <w:rFonts w:asciiTheme="minorHAnsi" w:hAnsiTheme="minorHAnsi" w:cstheme="minorHAnsi"/>
          <w:noProof/>
        </w:rPr>
        <w:t>(Delfabbro, et al., 2005)</w:t>
      </w:r>
      <w:r w:rsidRPr="005E58D1">
        <w:rPr>
          <w:rFonts w:asciiTheme="minorHAnsi" w:hAnsiTheme="minorHAnsi" w:cstheme="minorHAnsi"/>
        </w:rPr>
        <w:t xml:space="preserve">. Participation in gambling by youth has also been identified as being lower than the rates identified in international studies </w:t>
      </w:r>
      <w:r>
        <w:rPr>
          <w:rFonts w:asciiTheme="minorHAnsi" w:hAnsiTheme="minorHAnsi" w:cstheme="minorHAnsi"/>
          <w:noProof/>
        </w:rPr>
        <w:t>(Jackson, et al., 2008)</w:t>
      </w:r>
      <w:r w:rsidRPr="005E58D1">
        <w:rPr>
          <w:rFonts w:asciiTheme="minorHAnsi" w:hAnsiTheme="minorHAnsi" w:cstheme="minorHAnsi"/>
        </w:rPr>
        <w:t xml:space="preserve">. Delfabbro and colleagues (2005) suggest that this may be due to the more limited access to gambling for Australian youth, given that many of the activities are restricted to venues such as casinos and hotels. Others have commented that further research examining gambling rates amongst young people is required, given the variation in levels of participation evident in Australian-based research </w:t>
      </w:r>
      <w:r>
        <w:rPr>
          <w:rFonts w:asciiTheme="minorHAnsi" w:hAnsiTheme="minorHAnsi" w:cstheme="minorHAnsi"/>
          <w:noProof/>
        </w:rPr>
        <w:t>(Jackson, et al., 2008)</w:t>
      </w:r>
      <w:r w:rsidRPr="005E58D1">
        <w:rPr>
          <w:rFonts w:asciiTheme="minorHAnsi" w:hAnsiTheme="minorHAnsi" w:cstheme="minorHAnsi"/>
        </w:rPr>
        <w:t>.</w:t>
      </w:r>
    </w:p>
    <w:p w:rsidR="00043311" w:rsidRDefault="00043311">
      <w:pPr>
        <w:spacing w:before="0" w:line="240" w:lineRule="auto"/>
        <w:jc w:val="left"/>
        <w:rPr>
          <w:rFonts w:asciiTheme="minorHAnsi" w:hAnsiTheme="minorHAnsi" w:cstheme="minorHAnsi"/>
          <w:bCs/>
          <w:i/>
          <w:color w:val="1F497D"/>
          <w:szCs w:val="28"/>
        </w:rPr>
      </w:pPr>
      <w:r>
        <w:rPr>
          <w:rFonts w:asciiTheme="minorHAnsi" w:hAnsiTheme="minorHAnsi" w:cstheme="minorHAnsi"/>
          <w:b/>
          <w:i/>
        </w:rPr>
        <w:br w:type="page"/>
      </w:r>
    </w:p>
    <w:p w:rsidR="00043311" w:rsidRPr="00984AAD" w:rsidRDefault="00043311" w:rsidP="0042130F">
      <w:pPr>
        <w:pStyle w:val="Heading4"/>
        <w:spacing w:line="360" w:lineRule="auto"/>
        <w:rPr>
          <w:rFonts w:asciiTheme="minorHAnsi" w:hAnsiTheme="minorHAnsi" w:cstheme="minorHAnsi"/>
          <w:b w:val="0"/>
          <w:i/>
        </w:rPr>
      </w:pPr>
      <w:r w:rsidRPr="00984AAD">
        <w:rPr>
          <w:rFonts w:asciiTheme="minorHAnsi" w:hAnsiTheme="minorHAnsi" w:cstheme="minorHAnsi"/>
          <w:b w:val="0"/>
          <w:i/>
        </w:rPr>
        <w:lastRenderedPageBreak/>
        <w:t>United States of America and Canada</w:t>
      </w:r>
    </w:p>
    <w:p w:rsidR="00043311" w:rsidRDefault="00043311" w:rsidP="0042130F">
      <w:pPr>
        <w:spacing w:line="360" w:lineRule="auto"/>
        <w:rPr>
          <w:rFonts w:asciiTheme="minorHAnsi" w:hAnsiTheme="minorHAnsi" w:cstheme="minorHAnsi"/>
        </w:rPr>
      </w:pPr>
      <w:r>
        <w:rPr>
          <w:rFonts w:asciiTheme="minorHAnsi" w:hAnsiTheme="minorHAnsi" w:cstheme="minorHAnsi"/>
        </w:rPr>
        <w:t>Historically, r</w:t>
      </w:r>
      <w:r w:rsidRPr="00084A4F">
        <w:rPr>
          <w:rFonts w:asciiTheme="minorHAnsi" w:hAnsiTheme="minorHAnsi" w:cstheme="minorHAnsi"/>
        </w:rPr>
        <w:t xml:space="preserve">ates of problem/pathological gambling amongst North American youth (aged 13 to 20 years) have been estimated at between 4.4% and 7.4% </w:t>
      </w:r>
      <w:r w:rsidRPr="00084A4F">
        <w:rPr>
          <w:rFonts w:asciiTheme="minorHAnsi" w:hAnsiTheme="minorHAnsi" w:cstheme="minorHAnsi"/>
          <w:noProof/>
        </w:rPr>
        <w:t>(Shaffer &amp; Hall, 1996)</w:t>
      </w:r>
      <w:r w:rsidRPr="00084A4F">
        <w:rPr>
          <w:rFonts w:asciiTheme="minorHAnsi" w:hAnsiTheme="minorHAnsi" w:cstheme="minorHAnsi"/>
        </w:rPr>
        <w:t xml:space="preserve">. Similarly, an analysis of eight research studies undertaken by Gupta, Derevensky and colleagues in Canada, identified prevalence rates as between 3.4% and 6.7% of young people </w:t>
      </w:r>
      <w:r>
        <w:rPr>
          <w:rFonts w:asciiTheme="minorHAnsi" w:hAnsiTheme="minorHAnsi" w:cstheme="minorHAnsi"/>
          <w:noProof/>
        </w:rPr>
        <w:t>(Derevensky, et al., 2003)</w:t>
      </w:r>
      <w:r w:rsidRPr="00084A4F">
        <w:rPr>
          <w:rFonts w:asciiTheme="minorHAnsi" w:hAnsiTheme="minorHAnsi" w:cstheme="minorHAnsi"/>
        </w:rPr>
        <w:t>.</w:t>
      </w:r>
      <w:r>
        <w:rPr>
          <w:rFonts w:asciiTheme="minorHAnsi" w:hAnsiTheme="minorHAnsi" w:cstheme="minorHAnsi"/>
        </w:rPr>
        <w:t xml:space="preserve"> However, a more recent comprehensive review of the youth gambling literature reported that </w:t>
      </w:r>
      <w:r w:rsidRPr="00984AAD">
        <w:rPr>
          <w:rFonts w:asciiTheme="minorHAnsi" w:hAnsiTheme="minorHAnsi" w:cstheme="minorHAnsi"/>
        </w:rPr>
        <w:t xml:space="preserve">estimates of problem/pathological gambling </w:t>
      </w:r>
      <w:r>
        <w:rPr>
          <w:rFonts w:asciiTheme="minorHAnsi" w:hAnsiTheme="minorHAnsi" w:cstheme="minorHAnsi"/>
        </w:rPr>
        <w:t xml:space="preserve">for the period of 1998-2009, </w:t>
      </w:r>
      <w:r w:rsidRPr="00984AAD">
        <w:rPr>
          <w:rFonts w:asciiTheme="minorHAnsi" w:hAnsiTheme="minorHAnsi" w:cstheme="minorHAnsi"/>
        </w:rPr>
        <w:t xml:space="preserve">range between 1.9% and 3.0% </w:t>
      </w:r>
      <w:r>
        <w:rPr>
          <w:rFonts w:asciiTheme="minorHAnsi" w:hAnsiTheme="minorHAnsi" w:cstheme="minorHAnsi"/>
        </w:rPr>
        <w:t>for US</w:t>
      </w:r>
      <w:r w:rsidRPr="00984AAD">
        <w:rPr>
          <w:rFonts w:asciiTheme="minorHAnsi" w:hAnsiTheme="minorHAnsi" w:cstheme="minorHAnsi"/>
        </w:rPr>
        <w:t xml:space="preserve"> youth </w:t>
      </w:r>
      <w:r>
        <w:rPr>
          <w:rFonts w:asciiTheme="minorHAnsi" w:hAnsiTheme="minorHAnsi" w:cstheme="minorHAnsi"/>
        </w:rPr>
        <w:t xml:space="preserve">and 2.2% to 5.0% for Canadian youth </w:t>
      </w:r>
      <w:r>
        <w:rPr>
          <w:rFonts w:asciiTheme="minorHAnsi" w:hAnsiTheme="minorHAnsi" w:cstheme="minorHAnsi"/>
          <w:noProof/>
        </w:rPr>
        <w:t>(Volberg, et al., 2010)</w:t>
      </w:r>
      <w:r w:rsidRPr="00984AAD">
        <w:rPr>
          <w:rFonts w:asciiTheme="minorHAnsi" w:hAnsiTheme="minorHAnsi" w:cstheme="minorHAnsi"/>
        </w:rPr>
        <w:t>.</w:t>
      </w:r>
    </w:p>
    <w:p w:rsidR="00043311" w:rsidRDefault="00043311" w:rsidP="0042130F">
      <w:pPr>
        <w:spacing w:line="360" w:lineRule="auto"/>
        <w:rPr>
          <w:rFonts w:asciiTheme="minorHAnsi" w:hAnsiTheme="minorHAnsi" w:cstheme="minorHAnsi"/>
        </w:rPr>
      </w:pPr>
      <w:r w:rsidRPr="00831031">
        <w:rPr>
          <w:rFonts w:asciiTheme="minorHAnsi" w:hAnsiTheme="minorHAnsi" w:cstheme="minorHAnsi"/>
        </w:rPr>
        <w:t>A review of the incidence of youth gambling in the United States and Canada between 1984 and 1999 identified that there was a ‘substantial increase’</w:t>
      </w:r>
      <w:r w:rsidRPr="00831031">
        <w:rPr>
          <w:rFonts w:asciiTheme="minorHAnsi" w:hAnsiTheme="minorHAnsi" w:cstheme="minorHAnsi"/>
          <w:i/>
        </w:rPr>
        <w:t xml:space="preserve"> </w:t>
      </w:r>
      <w:r w:rsidRPr="00831031">
        <w:rPr>
          <w:rFonts w:asciiTheme="minorHAnsi" w:hAnsiTheme="minorHAnsi" w:cstheme="minorHAnsi"/>
        </w:rPr>
        <w:t xml:space="preserve">in the number of young people reporting last year gambling behaviour, as well as an increase in the proportion who experienced serious problems related to their gambling </w:t>
      </w:r>
      <w:r w:rsidRPr="00831031">
        <w:rPr>
          <w:rFonts w:asciiTheme="minorHAnsi" w:hAnsiTheme="minorHAnsi" w:cstheme="minorHAnsi"/>
          <w:noProof/>
        </w:rPr>
        <w:t>(Jacobs, 2000)</w:t>
      </w:r>
      <w:r w:rsidRPr="00831031">
        <w:rPr>
          <w:rFonts w:asciiTheme="minorHAnsi" w:hAnsiTheme="minorHAnsi" w:cstheme="minorHAnsi"/>
        </w:rPr>
        <w:t xml:space="preserve">. For example, in the US between 1984 and 1988, the mean level of participation in last year gambling by school age students was 45% (range: 20-86%);  during the period 1989-1999 this increased to 66% (range: 52-71%) </w:t>
      </w:r>
      <w:r w:rsidRPr="00831031">
        <w:rPr>
          <w:rFonts w:asciiTheme="minorHAnsi" w:hAnsiTheme="minorHAnsi" w:cstheme="minorHAnsi"/>
          <w:noProof/>
        </w:rPr>
        <w:t>(Jacobs, 2000)</w:t>
      </w:r>
      <w:r w:rsidRPr="00831031">
        <w:rPr>
          <w:rFonts w:asciiTheme="minorHAnsi" w:hAnsiTheme="minorHAnsi" w:cstheme="minorHAnsi"/>
        </w:rPr>
        <w:t xml:space="preserve">. A more recent telephone survey with a representative sample of US residents aged 14-21 years (n=2,274 respondents) identified that around two thirds (68%) had gambled in the previous year, and that 11% had done so more than two times per week. The prevalence of problem gambling in the overall sample was 2.1% </w:t>
      </w:r>
      <w:r>
        <w:rPr>
          <w:rFonts w:asciiTheme="minorHAnsi" w:hAnsiTheme="minorHAnsi" w:cstheme="minorHAnsi"/>
          <w:noProof/>
        </w:rPr>
        <w:t>(Welte, et al., 2008)</w:t>
      </w:r>
      <w:r w:rsidRPr="00831031">
        <w:rPr>
          <w:rFonts w:asciiTheme="minorHAnsi" w:hAnsiTheme="minorHAnsi" w:cstheme="minorHAnsi"/>
        </w:rPr>
        <w:t>.</w:t>
      </w:r>
    </w:p>
    <w:p w:rsidR="00043311" w:rsidRDefault="00043311" w:rsidP="0042130F">
      <w:pPr>
        <w:spacing w:line="360" w:lineRule="auto"/>
        <w:rPr>
          <w:rFonts w:asciiTheme="minorHAnsi" w:hAnsiTheme="minorHAnsi" w:cstheme="minorHAnsi"/>
        </w:rPr>
      </w:pPr>
      <w:r w:rsidRPr="00831031">
        <w:rPr>
          <w:rFonts w:asciiTheme="minorHAnsi" w:hAnsiTheme="minorHAnsi" w:cstheme="minorHAnsi"/>
        </w:rPr>
        <w:t xml:space="preserve">Recent research from Canada identified that more than 3 in 5 (61%) Canadian youth had gambled in the past year and that, compared to adults, there were higher rates of past year low-risk, moderate-risk, and problem gambling amongst this population group </w:t>
      </w:r>
      <w:r w:rsidRPr="00831031">
        <w:rPr>
          <w:rFonts w:asciiTheme="minorHAnsi" w:hAnsiTheme="minorHAnsi" w:cstheme="minorHAnsi"/>
          <w:noProof/>
        </w:rPr>
        <w:t>(Huang &amp; Boyer, 2007)</w:t>
      </w:r>
      <w:r w:rsidRPr="00831031">
        <w:rPr>
          <w:rFonts w:asciiTheme="minorHAnsi" w:hAnsiTheme="minorHAnsi" w:cstheme="minorHAnsi"/>
        </w:rPr>
        <w:t xml:space="preserve">. This study also identified differences between males and females, with the level of young women non-gamblers being significantly higher than that of males (43% compared with 35%). Adolescent females also had significantly lower prevalence of moderate-risk or problem gambling, compared to their male counterparts </w:t>
      </w:r>
      <w:r w:rsidRPr="00831031">
        <w:rPr>
          <w:rFonts w:asciiTheme="minorHAnsi" w:hAnsiTheme="minorHAnsi" w:cstheme="minorHAnsi"/>
          <w:noProof/>
        </w:rPr>
        <w:t>(Huang &amp; Boyer, 2007)</w:t>
      </w:r>
      <w:r w:rsidRPr="00831031">
        <w:rPr>
          <w:rFonts w:asciiTheme="minorHAnsi" w:hAnsiTheme="minorHAnsi" w:cstheme="minorHAnsi"/>
        </w:rPr>
        <w:t xml:space="preserve">. </w:t>
      </w:r>
    </w:p>
    <w:p w:rsidR="00043311" w:rsidRPr="00084A4F" w:rsidRDefault="00043311" w:rsidP="0042130F">
      <w:pPr>
        <w:pStyle w:val="Heading4"/>
        <w:spacing w:line="360" w:lineRule="auto"/>
        <w:rPr>
          <w:rFonts w:asciiTheme="minorHAnsi" w:hAnsiTheme="minorHAnsi" w:cstheme="minorHAnsi"/>
          <w:b w:val="0"/>
          <w:i/>
        </w:rPr>
      </w:pPr>
      <w:r w:rsidRPr="00084A4F">
        <w:rPr>
          <w:rFonts w:asciiTheme="minorHAnsi" w:hAnsiTheme="minorHAnsi" w:cstheme="minorHAnsi"/>
          <w:b w:val="0"/>
          <w:i/>
        </w:rPr>
        <w:t>United Kingdom</w:t>
      </w:r>
    </w:p>
    <w:p w:rsidR="00043311" w:rsidRPr="004D7282" w:rsidRDefault="00043311" w:rsidP="0042130F">
      <w:pPr>
        <w:spacing w:line="360" w:lineRule="auto"/>
        <w:rPr>
          <w:rFonts w:asciiTheme="minorHAnsi" w:hAnsiTheme="minorHAnsi" w:cstheme="minorHAnsi"/>
        </w:rPr>
      </w:pPr>
      <w:r w:rsidRPr="004D7282">
        <w:rPr>
          <w:rFonts w:asciiTheme="minorHAnsi" w:hAnsiTheme="minorHAnsi" w:cstheme="minorHAnsi"/>
        </w:rPr>
        <w:t xml:space="preserve">The </w:t>
      </w:r>
      <w:r>
        <w:rPr>
          <w:rFonts w:asciiTheme="minorHAnsi" w:hAnsiTheme="minorHAnsi" w:cstheme="minorHAnsi"/>
        </w:rPr>
        <w:t xml:space="preserve">most recent </w:t>
      </w:r>
      <w:r w:rsidRPr="004D7282">
        <w:rPr>
          <w:rFonts w:asciiTheme="minorHAnsi" w:hAnsiTheme="minorHAnsi" w:cstheme="minorHAnsi"/>
        </w:rPr>
        <w:t xml:space="preserve">British gambling prevalence study was undertaken in 2010, and includes a sample of 16-24 year old young adults </w:t>
      </w:r>
      <w:r>
        <w:rPr>
          <w:rFonts w:asciiTheme="minorHAnsi" w:hAnsiTheme="minorHAnsi" w:cstheme="minorHAnsi"/>
          <w:noProof/>
        </w:rPr>
        <w:t>(Wardle, et al., 2011)</w:t>
      </w:r>
      <w:r w:rsidRPr="004D7282">
        <w:rPr>
          <w:rFonts w:asciiTheme="minorHAnsi" w:hAnsiTheme="minorHAnsi" w:cstheme="minorHAnsi"/>
        </w:rPr>
        <w:t xml:space="preserve">. Findings reveal gambling prevalence rates in this age group (68%) were broadly similar to those identified in 1999, and that the National Lottery Draw, scratch-cards, and slot machines were the most popular activities for younger gamblers. The authors note that whilst those aged 16-24 had a lower overall gambling prevalence rate compared to older age groups, they did have the second highest mean score with regard to annual gambling activities undertaken (2.3 compared to 2.5 for those aged 25-34 years). Moreover, younger adults aged 16-24 had the highest rates of low risk and moderate risk gambling, and were second only to those aged 25-34 in relation to problem gambling rates (which were reported as 1.9%) </w:t>
      </w:r>
      <w:r>
        <w:rPr>
          <w:rFonts w:asciiTheme="minorHAnsi" w:hAnsiTheme="minorHAnsi" w:cstheme="minorHAnsi"/>
          <w:noProof/>
        </w:rPr>
        <w:t>(Wardle, et al., 2011)</w:t>
      </w:r>
      <w:r w:rsidRPr="004D7282">
        <w:rPr>
          <w:rFonts w:asciiTheme="minorHAnsi" w:hAnsiTheme="minorHAnsi" w:cstheme="minorHAnsi"/>
        </w:rPr>
        <w:t>.</w:t>
      </w:r>
    </w:p>
    <w:p w:rsidR="00043311" w:rsidRDefault="00043311" w:rsidP="0042130F">
      <w:pPr>
        <w:spacing w:line="360" w:lineRule="auto"/>
        <w:rPr>
          <w:rFonts w:asciiTheme="minorHAnsi" w:hAnsiTheme="minorHAnsi" w:cstheme="minorHAnsi"/>
        </w:rPr>
      </w:pPr>
      <w:r>
        <w:rPr>
          <w:rFonts w:asciiTheme="minorHAnsi" w:hAnsiTheme="minorHAnsi" w:cstheme="minorHAnsi"/>
        </w:rPr>
        <w:lastRenderedPageBreak/>
        <w:t>R</w:t>
      </w:r>
      <w:r w:rsidRPr="004D7282">
        <w:rPr>
          <w:rFonts w:asciiTheme="minorHAnsi" w:hAnsiTheme="minorHAnsi" w:cstheme="minorHAnsi"/>
        </w:rPr>
        <w:t xml:space="preserve">ecent </w:t>
      </w:r>
      <w:r>
        <w:rPr>
          <w:rFonts w:asciiTheme="minorHAnsi" w:hAnsiTheme="minorHAnsi" w:cstheme="minorHAnsi"/>
        </w:rPr>
        <w:t xml:space="preserve">research </w:t>
      </w:r>
      <w:r w:rsidRPr="004D7282">
        <w:rPr>
          <w:rFonts w:asciiTheme="minorHAnsi" w:hAnsiTheme="minorHAnsi" w:cstheme="minorHAnsi"/>
        </w:rPr>
        <w:t>involving younger British youth (12-1</w:t>
      </w:r>
      <w:r>
        <w:rPr>
          <w:rFonts w:asciiTheme="minorHAnsi" w:hAnsiTheme="minorHAnsi" w:cstheme="minorHAnsi"/>
        </w:rPr>
        <w:t>6</w:t>
      </w:r>
      <w:r w:rsidRPr="004D7282">
        <w:rPr>
          <w:rFonts w:asciiTheme="minorHAnsi" w:hAnsiTheme="minorHAnsi" w:cstheme="minorHAnsi"/>
        </w:rPr>
        <w:t xml:space="preserve"> years) identified that </w:t>
      </w:r>
      <w:r>
        <w:rPr>
          <w:rFonts w:asciiTheme="minorHAnsi" w:hAnsiTheme="minorHAnsi" w:cstheme="minorHAnsi"/>
        </w:rPr>
        <w:t>approximately one-fifth had gambled in the last week</w:t>
      </w:r>
      <w:r w:rsidRPr="004D7282">
        <w:rPr>
          <w:rFonts w:asciiTheme="minorHAnsi" w:hAnsiTheme="minorHAnsi" w:cstheme="minorHAnsi"/>
        </w:rPr>
        <w:t xml:space="preserve">. </w:t>
      </w:r>
      <w:r>
        <w:rPr>
          <w:rFonts w:asciiTheme="minorHAnsi" w:hAnsiTheme="minorHAnsi" w:cstheme="minorHAnsi"/>
        </w:rPr>
        <w:t>Overall, these r</w:t>
      </w:r>
      <w:r w:rsidRPr="004D7282">
        <w:rPr>
          <w:rFonts w:asciiTheme="minorHAnsi" w:hAnsiTheme="minorHAnsi" w:cstheme="minorHAnsi"/>
        </w:rPr>
        <w:t>esults</w:t>
      </w:r>
      <w:r>
        <w:rPr>
          <w:rFonts w:asciiTheme="minorHAnsi" w:hAnsiTheme="minorHAnsi" w:cstheme="minorHAnsi"/>
        </w:rPr>
        <w:t xml:space="preserve"> reveal </w:t>
      </w:r>
      <w:r w:rsidRPr="004D7282">
        <w:rPr>
          <w:rFonts w:asciiTheme="minorHAnsi" w:hAnsiTheme="minorHAnsi" w:cstheme="minorHAnsi"/>
        </w:rPr>
        <w:t xml:space="preserve">a decrease in both rates of gambling and problem gambling compared with previous studies undertaken between 2005 and 2008 </w:t>
      </w:r>
      <w:r>
        <w:rPr>
          <w:rFonts w:asciiTheme="minorHAnsi" w:hAnsiTheme="minorHAnsi" w:cstheme="minorHAnsi"/>
          <w:noProof/>
        </w:rPr>
        <w:t>(Ipsos MORI, 2009, 2012)</w:t>
      </w:r>
      <w:r w:rsidRPr="004D7282">
        <w:rPr>
          <w:rFonts w:asciiTheme="minorHAnsi" w:hAnsiTheme="minorHAnsi" w:cstheme="minorHAnsi"/>
        </w:rPr>
        <w:t xml:space="preserve">. </w:t>
      </w:r>
    </w:p>
    <w:p w:rsidR="00043311" w:rsidRDefault="00043311" w:rsidP="0042130F">
      <w:pPr>
        <w:spacing w:line="360" w:lineRule="auto"/>
        <w:rPr>
          <w:rFonts w:asciiTheme="minorHAnsi" w:hAnsiTheme="minorHAnsi" w:cstheme="minorHAnsi"/>
        </w:rPr>
      </w:pPr>
      <w:r>
        <w:rPr>
          <w:rFonts w:asciiTheme="minorHAnsi" w:hAnsiTheme="minorHAnsi" w:cstheme="minorHAnsi"/>
        </w:rPr>
        <w:t xml:space="preserve">In his review of more than 30 British based studies of youth gambling, Griffiths’ </w:t>
      </w:r>
      <w:r>
        <w:rPr>
          <w:rFonts w:asciiTheme="minorHAnsi" w:hAnsiTheme="minorHAnsi" w:cstheme="minorHAnsi"/>
          <w:noProof/>
        </w:rPr>
        <w:t>(2009, cited in Volberg et al., 2010)</w:t>
      </w:r>
      <w:r>
        <w:rPr>
          <w:rFonts w:asciiTheme="minorHAnsi" w:hAnsiTheme="minorHAnsi" w:cstheme="minorHAnsi"/>
        </w:rPr>
        <w:t xml:space="preserve"> concluded that:</w:t>
      </w:r>
    </w:p>
    <w:p w:rsidR="00043311" w:rsidRDefault="00043311" w:rsidP="00043311">
      <w:pPr>
        <w:pStyle w:val="ListParagraph"/>
        <w:numPr>
          <w:ilvl w:val="0"/>
          <w:numId w:val="26"/>
        </w:numPr>
        <w:spacing w:line="360" w:lineRule="auto"/>
        <w:rPr>
          <w:rFonts w:asciiTheme="minorHAnsi" w:hAnsiTheme="minorHAnsi" w:cstheme="minorHAnsi"/>
        </w:rPr>
      </w:pPr>
      <w:r>
        <w:rPr>
          <w:rFonts w:asciiTheme="minorHAnsi" w:hAnsiTheme="minorHAnsi" w:cstheme="minorHAnsi"/>
        </w:rPr>
        <w:t>“At least two-thirds of adolescents have ever played slot machines;</w:t>
      </w:r>
    </w:p>
    <w:p w:rsidR="00043311" w:rsidRDefault="00043311" w:rsidP="00043311">
      <w:pPr>
        <w:pStyle w:val="ListParagraph"/>
        <w:numPr>
          <w:ilvl w:val="0"/>
          <w:numId w:val="26"/>
        </w:numPr>
        <w:spacing w:line="360" w:lineRule="auto"/>
        <w:rPr>
          <w:rFonts w:asciiTheme="minorHAnsi" w:hAnsiTheme="minorHAnsi" w:cstheme="minorHAnsi"/>
        </w:rPr>
      </w:pPr>
      <w:r>
        <w:rPr>
          <w:rFonts w:asciiTheme="minorHAnsi" w:hAnsiTheme="minorHAnsi" w:cstheme="minorHAnsi"/>
        </w:rPr>
        <w:t>One third of adolescents have played slot machines in the last month;</w:t>
      </w:r>
    </w:p>
    <w:p w:rsidR="00043311" w:rsidRDefault="00043311" w:rsidP="00043311">
      <w:pPr>
        <w:pStyle w:val="ListParagraph"/>
        <w:numPr>
          <w:ilvl w:val="0"/>
          <w:numId w:val="26"/>
        </w:numPr>
        <w:spacing w:line="360" w:lineRule="auto"/>
        <w:rPr>
          <w:rFonts w:asciiTheme="minorHAnsi" w:hAnsiTheme="minorHAnsi" w:cstheme="minorHAnsi"/>
        </w:rPr>
      </w:pPr>
      <w:r>
        <w:rPr>
          <w:rFonts w:asciiTheme="minorHAnsi" w:hAnsiTheme="minorHAnsi" w:cstheme="minorHAnsi"/>
        </w:rPr>
        <w:t>Up to 20% of adolescents are regular slot machine players (playing at least once a week) (9% in the latest 2009 national prevalence survey);</w:t>
      </w:r>
    </w:p>
    <w:p w:rsidR="00043311" w:rsidRPr="00807072" w:rsidRDefault="00043311" w:rsidP="00043311">
      <w:pPr>
        <w:pStyle w:val="ListParagraph"/>
        <w:numPr>
          <w:ilvl w:val="0"/>
          <w:numId w:val="26"/>
        </w:numPr>
        <w:spacing w:line="360" w:lineRule="auto"/>
        <w:rPr>
          <w:rFonts w:asciiTheme="minorHAnsi" w:hAnsiTheme="minorHAnsi" w:cstheme="minorHAnsi"/>
        </w:rPr>
      </w:pPr>
      <w:r>
        <w:rPr>
          <w:rFonts w:asciiTheme="minorHAnsi" w:hAnsiTheme="minorHAnsi" w:cstheme="minorHAnsi"/>
        </w:rPr>
        <w:t>Up to 6% of adolescents are probable pathological gamblers and/or have severe gambling-related difficulties (2% in 2009, down from 3.5% in 2006, 4.9% in 2000 and 5.4% in 1999.” (p. 16).</w:t>
      </w:r>
    </w:p>
    <w:p w:rsidR="00043311" w:rsidRPr="000C0789" w:rsidRDefault="00043311" w:rsidP="0042130F">
      <w:pPr>
        <w:pStyle w:val="Heading4"/>
        <w:spacing w:line="360" w:lineRule="auto"/>
        <w:rPr>
          <w:rFonts w:asciiTheme="minorHAnsi" w:hAnsiTheme="minorHAnsi" w:cstheme="minorHAnsi"/>
          <w:b w:val="0"/>
          <w:i/>
        </w:rPr>
      </w:pPr>
      <w:r w:rsidRPr="000C0789">
        <w:rPr>
          <w:rFonts w:asciiTheme="minorHAnsi" w:hAnsiTheme="minorHAnsi" w:cstheme="minorHAnsi"/>
          <w:b w:val="0"/>
          <w:i/>
        </w:rPr>
        <w:t>Demographic Correlates</w:t>
      </w:r>
    </w:p>
    <w:p w:rsidR="00043311" w:rsidRDefault="00043311" w:rsidP="0042130F">
      <w:pPr>
        <w:spacing w:line="360" w:lineRule="auto"/>
        <w:rPr>
          <w:rFonts w:asciiTheme="minorHAnsi" w:hAnsiTheme="minorHAnsi" w:cstheme="minorHAnsi"/>
        </w:rPr>
      </w:pPr>
      <w:r w:rsidRPr="000C0789">
        <w:rPr>
          <w:rFonts w:asciiTheme="minorHAnsi" w:hAnsiTheme="minorHAnsi" w:cstheme="minorHAnsi"/>
        </w:rPr>
        <w:t xml:space="preserve">Prevalence of problem gambling amongst youth from different ethnic groups has not been widely investigated </w:t>
      </w:r>
      <w:r>
        <w:rPr>
          <w:rFonts w:asciiTheme="minorHAnsi" w:hAnsiTheme="minorHAnsi" w:cstheme="minorHAnsi"/>
          <w:noProof/>
        </w:rPr>
        <w:t>(Blinn-Pike, et al., 2010)</w:t>
      </w:r>
      <w:r w:rsidRPr="000C0789">
        <w:rPr>
          <w:rFonts w:asciiTheme="minorHAnsi" w:hAnsiTheme="minorHAnsi" w:cstheme="minorHAnsi"/>
        </w:rPr>
        <w:t xml:space="preserve">. In their recent review of the literature, Blinn-Pike et al highlighted that few studies either reported the ethnic composition of their samples and/or made ethnic-based comparisons within the data </w:t>
      </w:r>
      <w:r>
        <w:rPr>
          <w:rFonts w:asciiTheme="minorHAnsi" w:hAnsiTheme="minorHAnsi" w:cstheme="minorHAnsi"/>
          <w:noProof/>
        </w:rPr>
        <w:t>(Blinn-Pike, et al., 2010)</w:t>
      </w:r>
      <w:r w:rsidRPr="000C0789">
        <w:rPr>
          <w:rFonts w:asciiTheme="minorHAnsi" w:hAnsiTheme="minorHAnsi" w:cstheme="minorHAnsi"/>
        </w:rPr>
        <w:t xml:space="preserve">. Of the studies identified, they note surprise that, given the increase in the number of gambling venues on North American reservations, only three explored differences between American Indian and non-Indian adolescents </w:t>
      </w:r>
      <w:r>
        <w:rPr>
          <w:rFonts w:asciiTheme="minorHAnsi" w:hAnsiTheme="minorHAnsi" w:cstheme="minorHAnsi"/>
          <w:noProof/>
        </w:rPr>
        <w:t>(Blinn-Pike, et al., 2010)</w:t>
      </w:r>
      <w:r w:rsidRPr="000C0789">
        <w:rPr>
          <w:rFonts w:asciiTheme="minorHAnsi" w:hAnsiTheme="minorHAnsi" w:cstheme="minorHAnsi"/>
        </w:rPr>
        <w:t xml:space="preserve">. Others have asserted that whilst some research has identified higher rates of problem gambling amongst young people from ethnic communities, this finding is not universal </w:t>
      </w:r>
      <w:r>
        <w:rPr>
          <w:rFonts w:asciiTheme="minorHAnsi" w:hAnsiTheme="minorHAnsi" w:cstheme="minorHAnsi"/>
          <w:noProof/>
        </w:rPr>
        <w:t>(Welte, et al., 2008)</w:t>
      </w:r>
      <w:r w:rsidRPr="000C0789">
        <w:rPr>
          <w:rFonts w:asciiTheme="minorHAnsi" w:hAnsiTheme="minorHAnsi" w:cstheme="minorHAnsi"/>
        </w:rPr>
        <w:t>.</w:t>
      </w:r>
      <w:r>
        <w:rPr>
          <w:rFonts w:asciiTheme="minorHAnsi" w:hAnsiTheme="minorHAnsi" w:cstheme="minorHAnsi"/>
        </w:rPr>
        <w:t xml:space="preserve">  However, following their recent review of the literature </w:t>
      </w:r>
      <w:r w:rsidRPr="00435C85">
        <w:rPr>
          <w:rFonts w:asciiTheme="minorHAnsi" w:hAnsiTheme="minorHAnsi" w:cstheme="minorHAnsi"/>
        </w:rPr>
        <w:t>Volberg</w:t>
      </w:r>
      <w:r>
        <w:rPr>
          <w:rFonts w:asciiTheme="minorHAnsi" w:hAnsiTheme="minorHAnsi" w:cstheme="minorHAnsi"/>
        </w:rPr>
        <w:t xml:space="preserve"> et al </w:t>
      </w:r>
      <w:r>
        <w:rPr>
          <w:rFonts w:asciiTheme="minorHAnsi" w:hAnsiTheme="minorHAnsi" w:cstheme="minorHAnsi"/>
          <w:noProof/>
        </w:rPr>
        <w:t>(2010)</w:t>
      </w:r>
      <w:r>
        <w:rPr>
          <w:rFonts w:asciiTheme="minorHAnsi" w:hAnsiTheme="minorHAnsi" w:cstheme="minorHAnsi"/>
        </w:rPr>
        <w:t xml:space="preserve"> concluded that “while ethnic and indigenous youth are less likely than other youth to gamble, the former are more likely to gamble regularly when they do gamble and to experience problems” (p.22). </w:t>
      </w:r>
    </w:p>
    <w:p w:rsidR="00043311" w:rsidRPr="000C0789" w:rsidRDefault="00043311" w:rsidP="0042130F">
      <w:pPr>
        <w:spacing w:line="360" w:lineRule="auto"/>
        <w:rPr>
          <w:rFonts w:asciiTheme="minorHAnsi" w:hAnsiTheme="minorHAnsi" w:cstheme="minorHAnsi"/>
        </w:rPr>
      </w:pPr>
      <w:r w:rsidRPr="000C0789">
        <w:rPr>
          <w:rFonts w:asciiTheme="minorHAnsi" w:hAnsiTheme="minorHAnsi" w:cstheme="minorHAnsi"/>
        </w:rPr>
        <w:t xml:space="preserve">A study from the US found that ‘Blacks’, ‘Asians’ and ‘Mixed/Unknown’ were less likely to have gambled than ‘whites’ (with ‘Asians’ reporting the lowest gambling involvement). ‘Blacks’ and ‘American Indians’ were more likely to gamble more frequently than ‘Whites’, although there were no differences between all the ethnic groups in terms of levels of ‘at risk/problem’ or ‘problem gambling’ </w:t>
      </w:r>
      <w:r>
        <w:rPr>
          <w:rFonts w:asciiTheme="minorHAnsi" w:hAnsiTheme="minorHAnsi" w:cstheme="minorHAnsi"/>
          <w:noProof/>
        </w:rPr>
        <w:t>(Welte, et al., 2008)</w:t>
      </w:r>
      <w:r w:rsidRPr="000C0789">
        <w:rPr>
          <w:rFonts w:asciiTheme="minorHAnsi" w:hAnsiTheme="minorHAnsi" w:cstheme="minorHAnsi"/>
        </w:rPr>
        <w:t xml:space="preserve">. Similarly, another US study reported lower rates of gambling frequency amongst Asian American and Caucasian students </w:t>
      </w:r>
      <w:r w:rsidRPr="000C0789">
        <w:rPr>
          <w:rFonts w:asciiTheme="minorHAnsi" w:hAnsiTheme="minorHAnsi" w:cstheme="minorHAnsi"/>
          <w:noProof/>
        </w:rPr>
        <w:t>(Stinchfield, 2000)</w:t>
      </w:r>
      <w:r w:rsidRPr="000C0789">
        <w:rPr>
          <w:rFonts w:asciiTheme="minorHAnsi" w:hAnsiTheme="minorHAnsi" w:cstheme="minorHAnsi"/>
        </w:rPr>
        <w:t xml:space="preserve">. It has been reported that amongst Native American samples, rates of youth problem and pathological gambling are generally higher than the general population </w:t>
      </w:r>
      <w:r>
        <w:rPr>
          <w:rFonts w:asciiTheme="minorHAnsi" w:hAnsiTheme="minorHAnsi" w:cstheme="minorHAnsi"/>
          <w:noProof/>
        </w:rPr>
        <w:t>(McGowan, et al., 2000)</w:t>
      </w:r>
      <w:r w:rsidRPr="000C0789">
        <w:rPr>
          <w:rFonts w:asciiTheme="minorHAnsi" w:hAnsiTheme="minorHAnsi" w:cstheme="minorHAnsi"/>
        </w:rPr>
        <w:t>.</w:t>
      </w:r>
    </w:p>
    <w:p w:rsidR="00043311" w:rsidRPr="000C0789" w:rsidRDefault="00043311" w:rsidP="0042130F">
      <w:pPr>
        <w:spacing w:line="360" w:lineRule="auto"/>
        <w:rPr>
          <w:rFonts w:asciiTheme="minorHAnsi" w:hAnsiTheme="minorHAnsi" w:cstheme="minorHAnsi"/>
        </w:rPr>
      </w:pPr>
      <w:r w:rsidRPr="000C0789">
        <w:rPr>
          <w:rFonts w:asciiTheme="minorHAnsi" w:hAnsiTheme="minorHAnsi" w:cstheme="minorHAnsi"/>
        </w:rPr>
        <w:t xml:space="preserve">Research from the UK has found no significant difference in the prevalence of problem gambling across different ethnic groups </w:t>
      </w:r>
      <w:r w:rsidRPr="000C0789">
        <w:rPr>
          <w:rFonts w:asciiTheme="minorHAnsi" w:hAnsiTheme="minorHAnsi" w:cstheme="minorHAnsi"/>
          <w:noProof/>
        </w:rPr>
        <w:t>(Fisher, 1999; Ipsos MORI, 2009)</w:t>
      </w:r>
      <w:r w:rsidRPr="000C0789">
        <w:rPr>
          <w:rFonts w:asciiTheme="minorHAnsi" w:hAnsiTheme="minorHAnsi" w:cstheme="minorHAnsi"/>
        </w:rPr>
        <w:t xml:space="preserve">, although a recent British study of 12-15 year old school children </w:t>
      </w:r>
      <w:r w:rsidRPr="000C0789">
        <w:rPr>
          <w:rFonts w:asciiTheme="minorHAnsi" w:hAnsiTheme="minorHAnsi" w:cstheme="minorHAnsi"/>
        </w:rPr>
        <w:lastRenderedPageBreak/>
        <w:t xml:space="preserve">identified that whilst rates of gambling amongst Asian children were no higher than those from other ethnic backgrounds, they were more likely to be problem gamblers </w:t>
      </w:r>
      <w:r w:rsidRPr="000C0789">
        <w:rPr>
          <w:rFonts w:asciiTheme="minorHAnsi" w:hAnsiTheme="minorHAnsi" w:cstheme="minorHAnsi"/>
          <w:noProof/>
        </w:rPr>
        <w:t>(Ipsos MORI, 2009)</w:t>
      </w:r>
      <w:r w:rsidRPr="000C0789">
        <w:rPr>
          <w:rFonts w:asciiTheme="minorHAnsi" w:hAnsiTheme="minorHAnsi" w:cstheme="minorHAnsi"/>
        </w:rPr>
        <w:t>.</w:t>
      </w:r>
    </w:p>
    <w:p w:rsidR="00043311" w:rsidRDefault="00043311" w:rsidP="0042130F">
      <w:pPr>
        <w:spacing w:line="360" w:lineRule="auto"/>
        <w:rPr>
          <w:rFonts w:asciiTheme="minorHAnsi" w:hAnsiTheme="minorHAnsi" w:cstheme="minorHAnsi"/>
        </w:rPr>
      </w:pPr>
      <w:r w:rsidRPr="000C0789">
        <w:rPr>
          <w:rFonts w:asciiTheme="minorHAnsi" w:hAnsiTheme="minorHAnsi" w:cstheme="minorHAnsi"/>
        </w:rPr>
        <w:t xml:space="preserve">In contrast, high rates of frequent and problem gambling amongst young people from indigenous backgrounds were reported in an Australian study </w:t>
      </w:r>
      <w:r>
        <w:rPr>
          <w:rFonts w:asciiTheme="minorHAnsi" w:hAnsiTheme="minorHAnsi" w:cstheme="minorHAnsi"/>
          <w:noProof/>
        </w:rPr>
        <w:t>(Delfabbro, et al., 2005)</w:t>
      </w:r>
      <w:r w:rsidRPr="000C0789">
        <w:rPr>
          <w:rFonts w:asciiTheme="minorHAnsi" w:hAnsiTheme="minorHAnsi" w:cstheme="minorHAnsi"/>
        </w:rPr>
        <w:t xml:space="preserve">. Whilst the authors note the need for further research in this area, they hypothesise that the findings may be indicative of the links between ethnicity and economic status, and subsequent involvement in gambling behaviour due to poverty and unemployment </w:t>
      </w:r>
      <w:r>
        <w:rPr>
          <w:rFonts w:asciiTheme="minorHAnsi" w:hAnsiTheme="minorHAnsi" w:cstheme="minorHAnsi"/>
          <w:noProof/>
        </w:rPr>
        <w:t>(Delfabbro, et al., 2005)</w:t>
      </w:r>
      <w:r w:rsidRPr="000C0789">
        <w:rPr>
          <w:rFonts w:asciiTheme="minorHAnsi" w:hAnsiTheme="minorHAnsi" w:cstheme="minorHAnsi"/>
        </w:rPr>
        <w:t xml:space="preserve">. </w:t>
      </w:r>
    </w:p>
    <w:p w:rsidR="00043311" w:rsidRPr="00610E96" w:rsidRDefault="00043311" w:rsidP="0042130F">
      <w:pPr>
        <w:spacing w:line="360" w:lineRule="auto"/>
        <w:rPr>
          <w:rFonts w:asciiTheme="minorHAnsi" w:hAnsiTheme="minorHAnsi" w:cstheme="minorHAnsi"/>
        </w:rPr>
      </w:pPr>
      <w:r w:rsidRPr="00A652A0">
        <w:rPr>
          <w:rFonts w:asciiTheme="minorHAnsi" w:hAnsiTheme="minorHAnsi" w:cstheme="minorHAnsi"/>
        </w:rPr>
        <w:t xml:space="preserve">A number of research projects </w:t>
      </w:r>
      <w:r>
        <w:rPr>
          <w:rFonts w:asciiTheme="minorHAnsi" w:hAnsiTheme="minorHAnsi" w:cstheme="minorHAnsi"/>
        </w:rPr>
        <w:t xml:space="preserve">with </w:t>
      </w:r>
      <w:r w:rsidRPr="00A652A0">
        <w:rPr>
          <w:rFonts w:asciiTheme="minorHAnsi" w:hAnsiTheme="minorHAnsi" w:cstheme="minorHAnsi"/>
        </w:rPr>
        <w:t>New Zealand</w:t>
      </w:r>
      <w:r>
        <w:rPr>
          <w:rFonts w:asciiTheme="minorHAnsi" w:hAnsiTheme="minorHAnsi" w:cstheme="minorHAnsi"/>
        </w:rPr>
        <w:t xml:space="preserve"> adults </w:t>
      </w:r>
      <w:r w:rsidRPr="00A652A0">
        <w:rPr>
          <w:rFonts w:asciiTheme="minorHAnsi" w:hAnsiTheme="minorHAnsi" w:cstheme="minorHAnsi"/>
        </w:rPr>
        <w:t xml:space="preserve">have highlighted the disproportionate effects of gambling </w:t>
      </w:r>
      <w:r>
        <w:rPr>
          <w:rFonts w:asciiTheme="minorHAnsi" w:hAnsiTheme="minorHAnsi" w:cstheme="minorHAnsi"/>
        </w:rPr>
        <w:t xml:space="preserve">for people of non-European descent </w:t>
      </w:r>
      <w:r>
        <w:rPr>
          <w:rFonts w:asciiTheme="minorHAnsi" w:hAnsiTheme="minorHAnsi" w:cstheme="minorHAnsi"/>
          <w:noProof/>
        </w:rPr>
        <w:t>(Abbott &amp; Volberg, 1991; Abbott &amp; Volberg, 2000; Australian Institute for Gambling Research Studies, 1998; Bellringer, Perese, Abbott, &amp; Williams, 2006; Devlin, 2011; Guttenbeil-Po'uhila, Hand, Htay, &amp; Tu'itahi, 2004; Perese, 2009; Perese, Bellringer, Williams, &amp; Abbott, 2009; Thorne, Bellringer, Abbott, &amp; Landon, 2012; Tse, et al., 2005; Tu'itahi, Guttenbeil-Po'uhila, Hand, &amp; Htay, 2004)</w:t>
      </w:r>
      <w:r w:rsidRPr="00A652A0">
        <w:rPr>
          <w:rFonts w:asciiTheme="minorHAnsi" w:hAnsiTheme="minorHAnsi" w:cstheme="minorHAnsi"/>
        </w:rPr>
        <w:t>. Similar findings have emerged from research with New Zealand youth</w:t>
      </w:r>
      <w:r>
        <w:rPr>
          <w:rFonts w:asciiTheme="minorHAnsi" w:hAnsiTheme="minorHAnsi" w:cstheme="minorHAnsi"/>
        </w:rPr>
        <w:t>. In particular, Māori and Pacific youth are at greater risk of experiencing problematic gambling than their NZ European/</w:t>
      </w:r>
      <w:r w:rsidR="009F6C42">
        <w:rPr>
          <w:rFonts w:asciiTheme="minorHAnsi" w:hAnsiTheme="minorHAnsi" w:cstheme="minorHAnsi"/>
        </w:rPr>
        <w:t>Pākehā</w:t>
      </w:r>
      <w:r>
        <w:rPr>
          <w:rFonts w:asciiTheme="minorHAnsi" w:hAnsiTheme="minorHAnsi" w:cstheme="minorHAnsi"/>
        </w:rPr>
        <w:t xml:space="preserve"> peers </w:t>
      </w:r>
      <w:r>
        <w:rPr>
          <w:rFonts w:asciiTheme="minorHAnsi" w:hAnsiTheme="minorHAnsi" w:cstheme="minorHAnsi"/>
          <w:noProof/>
        </w:rPr>
        <w:t>(Rossen, 2008; Rossen, et al., 2011; Taufa, 2006)</w:t>
      </w:r>
      <w:r w:rsidRPr="00610E96">
        <w:rPr>
          <w:rFonts w:asciiTheme="minorHAnsi" w:hAnsiTheme="minorHAnsi" w:cstheme="minorHAnsi"/>
        </w:rPr>
        <w:t xml:space="preserve">. There has been limited research which has focussed on Asian peoples and gambling in this country, although it has been reported that this population – including international students – may be at greater risk of developing gambling-related problems </w:t>
      </w:r>
      <w:r w:rsidR="007D324B">
        <w:rPr>
          <w:rFonts w:asciiTheme="minorHAnsi" w:hAnsiTheme="minorHAnsi" w:cstheme="minorHAnsi"/>
          <w:noProof/>
        </w:rPr>
        <w:t>(</w:t>
      </w:r>
      <w:r w:rsidR="0096450D">
        <w:rPr>
          <w:rFonts w:asciiTheme="minorHAnsi" w:hAnsiTheme="minorHAnsi" w:cstheme="minorHAnsi"/>
          <w:noProof/>
        </w:rPr>
        <w:t>B</w:t>
      </w:r>
      <w:r>
        <w:rPr>
          <w:rFonts w:asciiTheme="minorHAnsi" w:hAnsiTheme="minorHAnsi" w:cstheme="minorHAnsi"/>
          <w:noProof/>
        </w:rPr>
        <w:t>ellringer, et al., 2003)</w:t>
      </w:r>
      <w:r w:rsidRPr="00610E96">
        <w:rPr>
          <w:rFonts w:asciiTheme="minorHAnsi" w:hAnsiTheme="minorHAnsi" w:cstheme="minorHAnsi"/>
        </w:rPr>
        <w:t>.</w:t>
      </w:r>
    </w:p>
    <w:p w:rsidR="00043311" w:rsidRDefault="00043311" w:rsidP="0042130F">
      <w:pPr>
        <w:spacing w:line="360" w:lineRule="auto"/>
        <w:rPr>
          <w:rFonts w:asciiTheme="minorHAnsi" w:hAnsiTheme="minorHAnsi" w:cstheme="minorHAnsi"/>
        </w:rPr>
      </w:pPr>
      <w:r w:rsidRPr="000C0789">
        <w:rPr>
          <w:rFonts w:asciiTheme="minorHAnsi" w:hAnsiTheme="minorHAnsi" w:cstheme="minorHAnsi"/>
        </w:rPr>
        <w:t xml:space="preserve">Others have identified the relationship between increased gambling rates and socio-economic status of young people from </w:t>
      </w:r>
      <w:r w:rsidR="00F06B39">
        <w:rPr>
          <w:rFonts w:asciiTheme="minorHAnsi" w:hAnsiTheme="minorHAnsi" w:cstheme="minorHAnsi"/>
        </w:rPr>
        <w:t>non-dominant</w:t>
      </w:r>
      <w:r w:rsidR="00F06B39" w:rsidRPr="000C0789">
        <w:rPr>
          <w:rFonts w:asciiTheme="minorHAnsi" w:hAnsiTheme="minorHAnsi" w:cstheme="minorHAnsi"/>
        </w:rPr>
        <w:t xml:space="preserve"> </w:t>
      </w:r>
      <w:r w:rsidRPr="000C0789">
        <w:rPr>
          <w:rFonts w:asciiTheme="minorHAnsi" w:hAnsiTheme="minorHAnsi" w:cstheme="minorHAnsi"/>
        </w:rPr>
        <w:t xml:space="preserve">ethnic groups </w:t>
      </w:r>
      <w:r w:rsidRPr="000C0789">
        <w:rPr>
          <w:rFonts w:asciiTheme="minorHAnsi" w:hAnsiTheme="minorHAnsi" w:cstheme="minorHAnsi"/>
          <w:noProof/>
        </w:rPr>
        <w:t>(Zitzow, 1996)</w:t>
      </w:r>
      <w:r w:rsidRPr="000C0789">
        <w:rPr>
          <w:rFonts w:asciiTheme="minorHAnsi" w:hAnsiTheme="minorHAnsi" w:cstheme="minorHAnsi"/>
        </w:rPr>
        <w:t xml:space="preserve">. The need for further research into differences in gambling behaviour between various ethnic groups has been identified </w:t>
      </w:r>
      <w:r w:rsidRPr="000C0789">
        <w:rPr>
          <w:rFonts w:asciiTheme="minorHAnsi" w:hAnsiTheme="minorHAnsi" w:cstheme="minorHAnsi"/>
          <w:noProof/>
        </w:rPr>
        <w:t>(Stinchfield, 2000)</w:t>
      </w:r>
      <w:r w:rsidRPr="000C0789">
        <w:rPr>
          <w:rFonts w:asciiTheme="minorHAnsi" w:hAnsiTheme="minorHAnsi" w:cstheme="minorHAnsi"/>
        </w:rPr>
        <w:t xml:space="preserve"> particularly given the potential differing cultural meaning ascribed to the behaviour </w:t>
      </w:r>
      <w:r w:rsidRPr="000C0789">
        <w:rPr>
          <w:rFonts w:asciiTheme="minorHAnsi" w:hAnsiTheme="minorHAnsi" w:cstheme="minorHAnsi"/>
          <w:noProof/>
        </w:rPr>
        <w:t>(Stinchfield, 2000)</w:t>
      </w:r>
      <w:r w:rsidRPr="000C0789">
        <w:rPr>
          <w:rFonts w:asciiTheme="minorHAnsi" w:hAnsiTheme="minorHAnsi" w:cstheme="minorHAnsi"/>
        </w:rPr>
        <w:t xml:space="preserve"> and the potential for socio economic status to act as a confounding factor </w:t>
      </w:r>
      <w:r>
        <w:rPr>
          <w:rFonts w:asciiTheme="minorHAnsi" w:hAnsiTheme="minorHAnsi" w:cstheme="minorHAnsi"/>
          <w:noProof/>
        </w:rPr>
        <w:t>(Welte, et al., 2008)</w:t>
      </w:r>
      <w:r w:rsidRPr="000C0789">
        <w:rPr>
          <w:rFonts w:asciiTheme="minorHAnsi" w:hAnsiTheme="minorHAnsi" w:cstheme="minorHAnsi"/>
        </w:rPr>
        <w:t>.</w:t>
      </w:r>
    </w:p>
    <w:p w:rsidR="00043311" w:rsidRDefault="00043311" w:rsidP="0042130F">
      <w:pPr>
        <w:spacing w:line="360" w:lineRule="auto"/>
        <w:rPr>
          <w:rFonts w:asciiTheme="minorHAnsi" w:hAnsiTheme="minorHAnsi" w:cstheme="minorHAnsi"/>
        </w:rPr>
      </w:pPr>
      <w:r w:rsidRPr="008F4B0D">
        <w:rPr>
          <w:rFonts w:asciiTheme="minorHAnsi" w:hAnsiTheme="minorHAnsi" w:cstheme="minorHAnsi"/>
        </w:rPr>
        <w:t xml:space="preserve">Gender differences are evident in the youth gambling literature </w:t>
      </w:r>
      <w:r>
        <w:rPr>
          <w:rFonts w:asciiTheme="minorHAnsi" w:hAnsiTheme="minorHAnsi" w:cstheme="minorHAnsi"/>
          <w:noProof/>
        </w:rPr>
        <w:t>(Darling, Reeder, McGee, &amp; Williams, 2006; Floros, Siomos, Fisoun, &amp; Geroukalis, 2013; Molde, et al., 2009; Raisamo, Halme, Murto, &amp; Lintonen, 2013; Rossen, 2008; Rossen, et al., 2011; Volberg, et al., 2010; Wood &amp; Williams, 2009)</w:t>
      </w:r>
      <w:r w:rsidRPr="008F4B0D">
        <w:rPr>
          <w:rFonts w:asciiTheme="minorHAnsi" w:hAnsiTheme="minorHAnsi" w:cstheme="minorHAnsi"/>
        </w:rPr>
        <w:t xml:space="preserve">. Of note, male youth are more likely than their female counterparts to engage in gambling, a finding that is consistently reported across different countries </w:t>
      </w:r>
      <w:r>
        <w:rPr>
          <w:rFonts w:asciiTheme="minorHAnsi" w:hAnsiTheme="minorHAnsi" w:cstheme="minorHAnsi"/>
          <w:noProof/>
        </w:rPr>
        <w:t>(Blinn-Pike, et al., 2010; Delfabbro, et al., 2005; Hardoon, Derevensky, &amp; Gupta, 2002; Huang &amp; Boyer, 2007; Jacobs, 2000; Raisamo, et al., 2013; Ste-Marie, Derevensky, &amp; Gupta, 2002; Stinchfield, 2000; Turchi &amp; Derevensky, 2006)</w:t>
      </w:r>
      <w:r>
        <w:rPr>
          <w:rFonts w:asciiTheme="minorHAnsi" w:hAnsiTheme="minorHAnsi" w:cstheme="minorHAnsi"/>
        </w:rPr>
        <w:t xml:space="preserve">, including New Zealand </w:t>
      </w:r>
      <w:r>
        <w:rPr>
          <w:rFonts w:asciiTheme="minorHAnsi" w:hAnsiTheme="minorHAnsi" w:cstheme="minorHAnsi"/>
          <w:noProof/>
        </w:rPr>
        <w:t>(Darling, et al., 2006; Rossen, 2008; Rossen, et al., 2011; Taufa, 2006)</w:t>
      </w:r>
      <w:r w:rsidRPr="008F4B0D">
        <w:rPr>
          <w:rFonts w:asciiTheme="minorHAnsi" w:hAnsiTheme="minorHAnsi" w:cstheme="minorHAnsi"/>
        </w:rPr>
        <w:t xml:space="preserve">. Males have also been identified as both gambling more frequently </w:t>
      </w:r>
      <w:r>
        <w:rPr>
          <w:rFonts w:asciiTheme="minorHAnsi" w:hAnsiTheme="minorHAnsi" w:cstheme="minorHAnsi"/>
          <w:noProof/>
        </w:rPr>
        <w:t>(Delfabbro, et al., 2005; Gupta &amp; Derevensky, 1998a, 1998b; Hardoon, et al., 2002; Jacobs, 2000; Rossen, 2008; Rossen, et al., 2011)</w:t>
      </w:r>
      <w:r w:rsidRPr="008F4B0D">
        <w:rPr>
          <w:rFonts w:asciiTheme="minorHAnsi" w:hAnsiTheme="minorHAnsi" w:cstheme="minorHAnsi"/>
        </w:rPr>
        <w:t xml:space="preserve"> and on a wider range of </w:t>
      </w:r>
      <w:r w:rsidRPr="008F4B0D">
        <w:rPr>
          <w:rFonts w:asciiTheme="minorHAnsi" w:hAnsiTheme="minorHAnsi" w:cstheme="minorHAnsi"/>
        </w:rPr>
        <w:lastRenderedPageBreak/>
        <w:t xml:space="preserve">activities </w:t>
      </w:r>
      <w:r>
        <w:rPr>
          <w:rFonts w:asciiTheme="minorHAnsi" w:hAnsiTheme="minorHAnsi" w:cstheme="minorHAnsi"/>
          <w:noProof/>
        </w:rPr>
        <w:t>(Delfabbro, et al., 2005; Jacobs, 2000)</w:t>
      </w:r>
      <w:r w:rsidRPr="008F4B0D">
        <w:rPr>
          <w:rFonts w:asciiTheme="minorHAnsi" w:hAnsiTheme="minorHAnsi" w:cstheme="minorHAnsi"/>
        </w:rPr>
        <w:t xml:space="preserve">. In addition, there have been differences reported with regard to attitudes towards gambling, with females significantly more likely to perceive gambling as a risky behaviour without economic benefits </w:t>
      </w:r>
      <w:r>
        <w:rPr>
          <w:rFonts w:asciiTheme="minorHAnsi" w:hAnsiTheme="minorHAnsi" w:cstheme="minorHAnsi"/>
          <w:noProof/>
        </w:rPr>
        <w:t>(Splevins, et al., 2010)</w:t>
      </w:r>
      <w:r w:rsidRPr="008F4B0D">
        <w:rPr>
          <w:rFonts w:asciiTheme="minorHAnsi" w:hAnsiTheme="minorHAnsi" w:cstheme="minorHAnsi"/>
        </w:rPr>
        <w:t xml:space="preserve">. In line with this, (older) male adolescent gamblers have been identified as being more likely than their female peers to subscribe to the view that ‘some people have skills or special approaches that can improve their chances of winning at gambling’ </w:t>
      </w:r>
      <w:r>
        <w:rPr>
          <w:rFonts w:asciiTheme="minorHAnsi" w:hAnsiTheme="minorHAnsi" w:cstheme="minorHAnsi"/>
          <w:noProof/>
        </w:rPr>
        <w:t>(Rossen, et al., 2009)</w:t>
      </w:r>
      <w:r w:rsidRPr="008F4B0D">
        <w:rPr>
          <w:rFonts w:asciiTheme="minorHAnsi" w:hAnsiTheme="minorHAnsi" w:cstheme="minorHAnsi"/>
        </w:rPr>
        <w:t xml:space="preserve">. Although the evidence is sometimes contradictory, further gender related differences have been found with regard to preferred mode of gambling. Males, for example, are more likely to prefer informal gambling activities such as card games and betting with friends </w:t>
      </w:r>
      <w:r w:rsidRPr="008F4B0D">
        <w:rPr>
          <w:rFonts w:asciiTheme="minorHAnsi" w:hAnsiTheme="minorHAnsi" w:cstheme="minorHAnsi"/>
          <w:noProof/>
        </w:rPr>
        <w:t>(Stinchfield, 2000; Wallisch, 1996)</w:t>
      </w:r>
      <w:r w:rsidRPr="008F4B0D">
        <w:rPr>
          <w:rFonts w:asciiTheme="minorHAnsi" w:hAnsiTheme="minorHAnsi" w:cstheme="minorHAnsi"/>
        </w:rPr>
        <w:t xml:space="preserve">, while females tend to prefer lotteries, card games, EGMs bingo and horse racing </w:t>
      </w:r>
      <w:r w:rsidRPr="008F4B0D">
        <w:rPr>
          <w:rFonts w:asciiTheme="minorHAnsi" w:hAnsiTheme="minorHAnsi" w:cstheme="minorHAnsi"/>
          <w:noProof/>
        </w:rPr>
        <w:t>(Gupta &amp; Derevensky, 1998a; Stinchfield, 2000; Wallisch, 1996)</w:t>
      </w:r>
      <w:r w:rsidRPr="008F4B0D">
        <w:rPr>
          <w:rFonts w:asciiTheme="minorHAnsi" w:hAnsiTheme="minorHAnsi" w:cstheme="minorHAnsi"/>
        </w:rPr>
        <w:t xml:space="preserve">. Research has also identified males being more attracted to sports betting than females </w:t>
      </w:r>
      <w:r w:rsidRPr="008F4B0D">
        <w:rPr>
          <w:rFonts w:asciiTheme="minorHAnsi" w:hAnsiTheme="minorHAnsi" w:cstheme="minorHAnsi"/>
          <w:noProof/>
        </w:rPr>
        <w:t>(Gupta &amp; Derevensky, 1998a; Jacobs, 2000)</w:t>
      </w:r>
      <w:r w:rsidRPr="008F4B0D">
        <w:rPr>
          <w:rFonts w:asciiTheme="minorHAnsi" w:hAnsiTheme="minorHAnsi" w:cstheme="minorHAnsi"/>
        </w:rPr>
        <w:t>.</w:t>
      </w:r>
    </w:p>
    <w:p w:rsidR="00043311" w:rsidRPr="00A652A0" w:rsidRDefault="00043311" w:rsidP="0042130F">
      <w:pPr>
        <w:spacing w:line="360" w:lineRule="auto"/>
        <w:rPr>
          <w:rFonts w:asciiTheme="minorHAnsi" w:hAnsiTheme="minorHAnsi" w:cstheme="minorHAnsi"/>
        </w:rPr>
      </w:pPr>
      <w:r>
        <w:rPr>
          <w:rFonts w:asciiTheme="minorHAnsi" w:hAnsiTheme="minorHAnsi" w:cstheme="minorHAnsi"/>
        </w:rPr>
        <w:t xml:space="preserve">In-depth research to explore the </w:t>
      </w:r>
      <w:r w:rsidRPr="00A652A0">
        <w:rPr>
          <w:rFonts w:asciiTheme="minorHAnsi" w:hAnsiTheme="minorHAnsi" w:cstheme="minorHAnsi"/>
        </w:rPr>
        <w:t xml:space="preserve">effects of gambling on the lives of young New Zealand-born Tongans </w:t>
      </w:r>
      <w:r>
        <w:rPr>
          <w:rFonts w:asciiTheme="minorHAnsi" w:hAnsiTheme="minorHAnsi" w:cstheme="minorHAnsi"/>
        </w:rPr>
        <w:t xml:space="preserve">has also </w:t>
      </w:r>
      <w:r w:rsidRPr="00A652A0">
        <w:rPr>
          <w:rFonts w:asciiTheme="minorHAnsi" w:hAnsiTheme="minorHAnsi" w:cstheme="minorHAnsi"/>
        </w:rPr>
        <w:t>highlighted gender differences</w:t>
      </w:r>
      <w:r>
        <w:rPr>
          <w:rFonts w:asciiTheme="minorHAnsi" w:hAnsiTheme="minorHAnsi" w:cstheme="minorHAnsi"/>
        </w:rPr>
        <w:t xml:space="preserve"> </w:t>
      </w:r>
      <w:r>
        <w:rPr>
          <w:rFonts w:asciiTheme="minorHAnsi" w:hAnsiTheme="minorHAnsi" w:cstheme="minorHAnsi"/>
          <w:noProof/>
        </w:rPr>
        <w:t>(Taufa, 2006)</w:t>
      </w:r>
      <w:r w:rsidRPr="00A652A0">
        <w:rPr>
          <w:rFonts w:asciiTheme="minorHAnsi" w:hAnsiTheme="minorHAnsi" w:cstheme="minorHAnsi"/>
        </w:rPr>
        <w:t>.</w:t>
      </w:r>
      <w:r>
        <w:rPr>
          <w:rFonts w:asciiTheme="minorHAnsi" w:hAnsiTheme="minorHAnsi" w:cstheme="minorHAnsi"/>
        </w:rPr>
        <w:t xml:space="preserve"> This unpublished</w:t>
      </w:r>
      <w:r w:rsidRPr="00A652A0">
        <w:rPr>
          <w:rFonts w:asciiTheme="minorHAnsi" w:hAnsiTheme="minorHAnsi" w:cstheme="minorHAnsi"/>
        </w:rPr>
        <w:t xml:space="preserve"> Master’s dissertation examined the motives for gambling and the subsequent effects through semi-structured interviews with eight young people, aged 20-25 years. Gender differences were highlighted as a key finding of the research: males were introduced to gambling at an earlier age than females; males were introduced to gambling by friends, while family members introduced females to gambling; and, males were motivated to gamble so as to multiply income, females gambled to obtain money for household bills. Stress was identified as both a motive for gambling and an outcome of gambling (regardless of gender). </w:t>
      </w:r>
    </w:p>
    <w:p w:rsidR="00043311" w:rsidRPr="00CE0AA8" w:rsidRDefault="00043311" w:rsidP="0042130F">
      <w:pPr>
        <w:pStyle w:val="Heading3"/>
        <w:spacing w:line="360" w:lineRule="auto"/>
      </w:pPr>
      <w:bookmarkStart w:id="43" w:name="_Toc352773514"/>
      <w:bookmarkStart w:id="44" w:name="_Toc360724456"/>
      <w:bookmarkStart w:id="45" w:name="_Toc367284401"/>
      <w:r w:rsidRPr="00CE0AA8">
        <w:t>Attitudes towards gambling</w:t>
      </w:r>
      <w:bookmarkEnd w:id="43"/>
      <w:bookmarkEnd w:id="44"/>
      <w:bookmarkEnd w:id="45"/>
    </w:p>
    <w:p w:rsidR="00043311" w:rsidRPr="0008686B" w:rsidRDefault="00043311" w:rsidP="0042130F">
      <w:pPr>
        <w:spacing w:line="360" w:lineRule="auto"/>
        <w:rPr>
          <w:rFonts w:asciiTheme="minorHAnsi" w:hAnsiTheme="minorHAnsi" w:cstheme="minorHAnsi"/>
        </w:rPr>
      </w:pPr>
      <w:r w:rsidRPr="00CE0AA8">
        <w:rPr>
          <w:rFonts w:asciiTheme="minorHAnsi" w:hAnsiTheme="minorHAnsi" w:cstheme="minorHAnsi"/>
        </w:rPr>
        <w:t xml:space="preserve">A number of studies have explored young people’s motivations for gambling </w:t>
      </w:r>
      <w:r>
        <w:rPr>
          <w:rFonts w:asciiTheme="minorHAnsi" w:hAnsiTheme="minorHAnsi" w:cstheme="minorHAnsi"/>
          <w:noProof/>
        </w:rPr>
        <w:t>(Gupta &amp; Derevensky, 1998a; Hardoon, 2004; Moodie &amp; Finnigan, 2006; Rossen, 2008; Splevins, et al., 2010; Valentine, 2008)</w:t>
      </w:r>
      <w:r w:rsidRPr="00CE0AA8">
        <w:rPr>
          <w:rFonts w:asciiTheme="minorHAnsi" w:hAnsiTheme="minorHAnsi" w:cstheme="minorHAnsi"/>
        </w:rPr>
        <w:t xml:space="preserve">. A recent review of the literature suggested that young people participate in gambling for entertainment, to win money, because of the sensation of winning and the thrill of the game, or as a means to escape from stress and other problems </w:t>
      </w:r>
      <w:r w:rsidRPr="00CE0AA8">
        <w:rPr>
          <w:rFonts w:asciiTheme="minorHAnsi" w:hAnsiTheme="minorHAnsi" w:cstheme="minorHAnsi"/>
          <w:noProof/>
        </w:rPr>
        <w:t>(Valentine, 2008)</w:t>
      </w:r>
      <w:r w:rsidRPr="00CE0AA8">
        <w:rPr>
          <w:rFonts w:asciiTheme="minorHAnsi" w:hAnsiTheme="minorHAnsi" w:cstheme="minorHAnsi"/>
        </w:rPr>
        <w:t xml:space="preserve">. </w:t>
      </w:r>
      <w:r w:rsidRPr="0008686B">
        <w:rPr>
          <w:rFonts w:asciiTheme="minorHAnsi" w:hAnsiTheme="minorHAnsi" w:cstheme="minorHAnsi"/>
        </w:rPr>
        <w:t xml:space="preserve">A study from Scotland involving school students aged 11-16 years found that the most frequently reported reasons for gambling was to win money, followed by fun, excitement, boredom and risk taking </w:t>
      </w:r>
      <w:r w:rsidRPr="0008686B">
        <w:rPr>
          <w:rFonts w:asciiTheme="minorHAnsi" w:hAnsiTheme="minorHAnsi" w:cstheme="minorHAnsi"/>
          <w:noProof/>
        </w:rPr>
        <w:t>(Moodie &amp; Finnigan, 2006)</w:t>
      </w:r>
      <w:r w:rsidRPr="0008686B">
        <w:rPr>
          <w:rFonts w:asciiTheme="minorHAnsi" w:hAnsiTheme="minorHAnsi" w:cstheme="minorHAnsi"/>
        </w:rPr>
        <w:t xml:space="preserve">. Gambling may also be undertaken to avoid problems </w:t>
      </w:r>
      <w:r w:rsidRPr="0008686B">
        <w:rPr>
          <w:rFonts w:asciiTheme="minorHAnsi" w:hAnsiTheme="minorHAnsi" w:cstheme="minorHAnsi"/>
          <w:noProof/>
        </w:rPr>
        <w:t>(Gupta &amp; Derevensky, 1998a; Hardoon, 2004)</w:t>
      </w:r>
      <w:r w:rsidRPr="0008686B">
        <w:rPr>
          <w:rFonts w:asciiTheme="minorHAnsi" w:hAnsiTheme="minorHAnsi" w:cstheme="minorHAnsi"/>
        </w:rPr>
        <w:t xml:space="preserve"> or as a way of escaping depression or anxiety </w:t>
      </w:r>
      <w:r w:rsidRPr="0008686B">
        <w:rPr>
          <w:rFonts w:asciiTheme="minorHAnsi" w:hAnsiTheme="minorHAnsi" w:cstheme="minorHAnsi"/>
          <w:noProof/>
        </w:rPr>
        <w:t>(Gupta &amp; Derevensky, 1998a; Moodie &amp; Finnigan, 2006)</w:t>
      </w:r>
      <w:r w:rsidRPr="0008686B">
        <w:rPr>
          <w:rFonts w:asciiTheme="minorHAnsi" w:hAnsiTheme="minorHAnsi" w:cstheme="minorHAnsi"/>
        </w:rPr>
        <w:t xml:space="preserve">. </w:t>
      </w:r>
    </w:p>
    <w:p w:rsidR="00043311" w:rsidRPr="00CE0AA8" w:rsidRDefault="00043311" w:rsidP="0042130F">
      <w:pPr>
        <w:spacing w:line="360" w:lineRule="auto"/>
        <w:rPr>
          <w:rFonts w:asciiTheme="minorHAnsi" w:hAnsiTheme="minorHAnsi" w:cstheme="minorHAnsi"/>
        </w:rPr>
      </w:pPr>
      <w:r w:rsidRPr="00CE0AA8">
        <w:rPr>
          <w:rFonts w:asciiTheme="minorHAnsi" w:hAnsiTheme="minorHAnsi" w:cstheme="minorHAnsi"/>
        </w:rPr>
        <w:t xml:space="preserve">In New Zealand, researchers have found similar motivations for gambling, with </w:t>
      </w:r>
      <w:r>
        <w:rPr>
          <w:rFonts w:asciiTheme="minorHAnsi" w:hAnsiTheme="minorHAnsi" w:cstheme="minorHAnsi"/>
        </w:rPr>
        <w:t>common</w:t>
      </w:r>
      <w:r w:rsidRPr="00CE0AA8">
        <w:rPr>
          <w:rFonts w:asciiTheme="minorHAnsi" w:hAnsiTheme="minorHAnsi" w:cstheme="minorHAnsi"/>
        </w:rPr>
        <w:t xml:space="preserve"> reasons for young people taking part in gambling including: enjoyment, to win money, for excitement, to relieve boredom, and for a </w:t>
      </w:r>
      <w:r w:rsidRPr="00CE0AA8">
        <w:rPr>
          <w:rFonts w:asciiTheme="minorHAnsi" w:hAnsiTheme="minorHAnsi" w:cstheme="minorHAnsi"/>
        </w:rPr>
        <w:lastRenderedPageBreak/>
        <w:t xml:space="preserve">challenge </w:t>
      </w:r>
      <w:r>
        <w:rPr>
          <w:rFonts w:asciiTheme="minorHAnsi" w:hAnsiTheme="minorHAnsi" w:cstheme="minorHAnsi"/>
          <w:noProof/>
        </w:rPr>
        <w:t>(Gray, 2010; Rossen, 2008; Rossen, et al., 2011)</w:t>
      </w:r>
      <w:r w:rsidRPr="00CE0AA8">
        <w:rPr>
          <w:rFonts w:asciiTheme="minorHAnsi" w:hAnsiTheme="minorHAnsi" w:cstheme="minorHAnsi"/>
        </w:rPr>
        <w:t xml:space="preserve">. </w:t>
      </w:r>
      <w:r>
        <w:rPr>
          <w:rFonts w:asciiTheme="minorHAnsi" w:hAnsiTheme="minorHAnsi" w:cstheme="minorHAnsi"/>
        </w:rPr>
        <w:t xml:space="preserve">For instance, the 2006/2007 Gaming and Betting Activities Survey found that: approximately one-half (52%) of the young people surveyed said that winning money would be a reason to start gambling. Moreover, just under one-half (46%) said that losing money, or seeing others lose, would put people off gambling </w:t>
      </w:r>
      <w:r>
        <w:rPr>
          <w:rFonts w:asciiTheme="minorHAnsi" w:hAnsiTheme="minorHAnsi" w:cstheme="minorHAnsi"/>
          <w:noProof/>
        </w:rPr>
        <w:t>(Gray, 2010)</w:t>
      </w:r>
      <w:r>
        <w:rPr>
          <w:rFonts w:asciiTheme="minorHAnsi" w:hAnsiTheme="minorHAnsi" w:cstheme="minorHAnsi"/>
        </w:rPr>
        <w:t>.</w:t>
      </w:r>
    </w:p>
    <w:p w:rsidR="00043311" w:rsidRPr="00B36701" w:rsidRDefault="00043311" w:rsidP="0042130F">
      <w:pPr>
        <w:spacing w:line="360" w:lineRule="auto"/>
        <w:rPr>
          <w:rFonts w:asciiTheme="minorHAnsi" w:hAnsiTheme="minorHAnsi" w:cstheme="minorHAnsi"/>
        </w:rPr>
      </w:pPr>
      <w:r w:rsidRPr="00B36701">
        <w:rPr>
          <w:rFonts w:asciiTheme="minorHAnsi" w:hAnsiTheme="minorHAnsi" w:cstheme="minorHAnsi"/>
        </w:rPr>
        <w:t>Splevins and colleagues (2010)</w:t>
      </w:r>
      <w:r w:rsidRPr="00B36701">
        <w:rPr>
          <w:rStyle w:val="FootnoteReference"/>
          <w:rFonts w:asciiTheme="minorHAnsi" w:hAnsiTheme="minorHAnsi" w:cstheme="minorHAnsi"/>
        </w:rPr>
        <w:footnoteReference w:id="8"/>
      </w:r>
      <w:r w:rsidRPr="00B36701">
        <w:rPr>
          <w:rFonts w:asciiTheme="minorHAnsi" w:hAnsiTheme="minorHAnsi" w:cstheme="minorHAnsi"/>
        </w:rPr>
        <w:t xml:space="preserve"> identified differences between different types of gamblers in relation to their motivations for gambling, with problem gamblers more likely to take part than non-problem gamblers to win money, or because they liked the challenge/risk </w:t>
      </w:r>
      <w:r>
        <w:rPr>
          <w:rFonts w:asciiTheme="minorHAnsi" w:hAnsiTheme="minorHAnsi" w:cstheme="minorHAnsi"/>
          <w:noProof/>
        </w:rPr>
        <w:t>(Splevins, et al., 2010)</w:t>
      </w:r>
      <w:r w:rsidRPr="00B36701">
        <w:rPr>
          <w:rFonts w:asciiTheme="minorHAnsi" w:hAnsiTheme="minorHAnsi" w:cstheme="minorHAnsi"/>
        </w:rPr>
        <w:t xml:space="preserve">. </w:t>
      </w:r>
    </w:p>
    <w:p w:rsidR="00043311" w:rsidRPr="00B36701" w:rsidRDefault="00043311" w:rsidP="0042130F">
      <w:pPr>
        <w:spacing w:line="360" w:lineRule="auto"/>
        <w:rPr>
          <w:rFonts w:asciiTheme="minorHAnsi" w:hAnsiTheme="minorHAnsi" w:cstheme="minorHAnsi"/>
        </w:rPr>
      </w:pPr>
      <w:r w:rsidRPr="00B36701">
        <w:rPr>
          <w:rFonts w:asciiTheme="minorHAnsi" w:hAnsiTheme="minorHAnsi" w:cstheme="minorHAnsi"/>
        </w:rPr>
        <w:t xml:space="preserve">Various forms of gambling may be perceived in different ways by young people </w:t>
      </w:r>
      <w:r>
        <w:rPr>
          <w:rFonts w:asciiTheme="minorHAnsi" w:hAnsiTheme="minorHAnsi" w:cstheme="minorHAnsi"/>
          <w:noProof/>
        </w:rPr>
        <w:t>(Moodie &amp; Finnigan, 2006; Splevins, et al., 2010)</w:t>
      </w:r>
      <w:r w:rsidRPr="00B36701">
        <w:rPr>
          <w:rFonts w:asciiTheme="minorHAnsi" w:hAnsiTheme="minorHAnsi" w:cstheme="minorHAnsi"/>
        </w:rPr>
        <w:t xml:space="preserve">. For example, the National Lottery and scratch-cards were not considered forms of gambling by around one third of young people (gamblers and non-gamblers) who were surveyed in Scotland </w:t>
      </w:r>
      <w:r w:rsidRPr="00B36701">
        <w:rPr>
          <w:rFonts w:asciiTheme="minorHAnsi" w:hAnsiTheme="minorHAnsi" w:cstheme="minorHAnsi"/>
          <w:noProof/>
        </w:rPr>
        <w:t>(Moodie &amp; Finnigan, 2006)</w:t>
      </w:r>
      <w:r w:rsidRPr="00B36701">
        <w:rPr>
          <w:rFonts w:asciiTheme="minorHAnsi" w:hAnsiTheme="minorHAnsi" w:cstheme="minorHAnsi"/>
        </w:rPr>
        <w:t xml:space="preserve">. Different modes may also be linked with requiring different skill levels </w:t>
      </w:r>
      <w:r>
        <w:rPr>
          <w:rFonts w:asciiTheme="minorHAnsi" w:hAnsiTheme="minorHAnsi" w:cstheme="minorHAnsi"/>
          <w:noProof/>
        </w:rPr>
        <w:t>(Rossen, et al., 2009; Splevins, et al., 2010)</w:t>
      </w:r>
      <w:r w:rsidRPr="00B36701">
        <w:rPr>
          <w:rFonts w:asciiTheme="minorHAnsi" w:hAnsiTheme="minorHAnsi" w:cstheme="minorHAnsi"/>
        </w:rPr>
        <w:t xml:space="preserve">. A study of youth gamblers in New Zealand found that casino table games and internet gambling were viewed as involving a level of skill, whereas lottery products, bets with friends/family, housie/bingo, gaming/casino evenings, and telephone text games were not perceived by as many young people to be skill-based activities </w:t>
      </w:r>
      <w:r>
        <w:rPr>
          <w:rFonts w:asciiTheme="minorHAnsi" w:hAnsiTheme="minorHAnsi" w:cstheme="minorHAnsi"/>
          <w:noProof/>
        </w:rPr>
        <w:t>(Rossen, et al., 2009)</w:t>
      </w:r>
      <w:r w:rsidRPr="00B36701">
        <w:rPr>
          <w:rFonts w:asciiTheme="minorHAnsi" w:hAnsiTheme="minorHAnsi" w:cstheme="minorHAnsi"/>
        </w:rPr>
        <w:t>.</w:t>
      </w:r>
    </w:p>
    <w:p w:rsidR="00043311" w:rsidRPr="00B36701" w:rsidRDefault="00043311" w:rsidP="0042130F">
      <w:pPr>
        <w:spacing w:line="360" w:lineRule="auto"/>
        <w:rPr>
          <w:rFonts w:asciiTheme="minorHAnsi" w:hAnsiTheme="minorHAnsi" w:cstheme="minorHAnsi"/>
        </w:rPr>
      </w:pPr>
      <w:r w:rsidRPr="00B36701">
        <w:rPr>
          <w:rFonts w:asciiTheme="minorHAnsi" w:hAnsiTheme="minorHAnsi" w:cstheme="minorHAnsi"/>
        </w:rPr>
        <w:t xml:space="preserve">Differences have also been identified between problem and non-problem adolescent gamblers in relation to their beliefs about the level of skill involved in gambling </w:t>
      </w:r>
      <w:r>
        <w:rPr>
          <w:rFonts w:asciiTheme="minorHAnsi" w:hAnsiTheme="minorHAnsi" w:cstheme="minorHAnsi"/>
          <w:noProof/>
        </w:rPr>
        <w:t>(Rossen, et al., 2009; Splevins, et al., 2010)</w:t>
      </w:r>
      <w:r w:rsidRPr="00B36701">
        <w:rPr>
          <w:rFonts w:asciiTheme="minorHAnsi" w:hAnsiTheme="minorHAnsi" w:cstheme="minorHAnsi"/>
        </w:rPr>
        <w:t xml:space="preserve">. For example, a survey of secondary school students identified that problem gamblers were more likely to display an optimistic attitude towards gambling as a means of generating income </w:t>
      </w:r>
      <w:r>
        <w:rPr>
          <w:rFonts w:asciiTheme="minorHAnsi" w:hAnsiTheme="minorHAnsi" w:cstheme="minorHAnsi"/>
          <w:noProof/>
        </w:rPr>
        <w:t>(Splevins, et al., 2010)</w:t>
      </w:r>
      <w:r w:rsidRPr="00B36701">
        <w:rPr>
          <w:rFonts w:asciiTheme="minorHAnsi" w:hAnsiTheme="minorHAnsi" w:cstheme="minorHAnsi"/>
        </w:rPr>
        <w:t xml:space="preserve">. Overall, youth who perceive gambling as a skill-based activity – and who believe that they are ‘good’ at it – are more likely to gamble, to gamble heavily, and to be a problem gambler </w:t>
      </w:r>
      <w:r w:rsidRPr="00B36701">
        <w:rPr>
          <w:rFonts w:asciiTheme="minorHAnsi" w:hAnsiTheme="minorHAnsi" w:cstheme="minorHAnsi"/>
          <w:noProof/>
        </w:rPr>
        <w:t>(Derevensky, Gupta, &amp; Della Cioppa, 1996; Gupta &amp; Derevensky, 1998a)</w:t>
      </w:r>
      <w:r w:rsidRPr="00B36701">
        <w:rPr>
          <w:rFonts w:asciiTheme="minorHAnsi" w:hAnsiTheme="minorHAnsi" w:cstheme="minorHAnsi"/>
        </w:rPr>
        <w:t xml:space="preserve">. In addition, they are more likely to gamble on the mode that they link with having a skill-based component </w:t>
      </w:r>
      <w:r>
        <w:rPr>
          <w:rFonts w:asciiTheme="minorHAnsi" w:hAnsiTheme="minorHAnsi" w:cstheme="minorHAnsi"/>
          <w:noProof/>
        </w:rPr>
        <w:t>(Carroll &amp; Huxley, 1994; Griffiths, 1995; Rossen, 2008)</w:t>
      </w:r>
      <w:r w:rsidRPr="00B36701">
        <w:rPr>
          <w:rFonts w:asciiTheme="minorHAnsi" w:hAnsiTheme="minorHAnsi" w:cstheme="minorHAnsi"/>
        </w:rPr>
        <w:t>.</w:t>
      </w:r>
    </w:p>
    <w:p w:rsidR="00043311" w:rsidRPr="00E3310E" w:rsidRDefault="00043311" w:rsidP="0042130F">
      <w:pPr>
        <w:spacing w:line="360" w:lineRule="auto"/>
        <w:rPr>
          <w:rFonts w:asciiTheme="minorHAnsi" w:hAnsiTheme="minorHAnsi" w:cstheme="minorHAnsi"/>
          <w:highlight w:val="yellow"/>
        </w:rPr>
      </w:pPr>
      <w:r w:rsidRPr="00C45991">
        <w:rPr>
          <w:rFonts w:asciiTheme="minorHAnsi" w:hAnsiTheme="minorHAnsi" w:cstheme="minorHAnsi"/>
        </w:rPr>
        <w:t xml:space="preserve">Research from New Zealand investigated young people’s attitudes towards gambling, and found that they were slightly more likely to think of disadvantages rather than advantages for the community from raising money through gambling, and generally viewed the activity as doing ‘more harm than good’ </w:t>
      </w:r>
      <w:r>
        <w:rPr>
          <w:rFonts w:asciiTheme="minorHAnsi" w:hAnsiTheme="minorHAnsi" w:cstheme="minorHAnsi"/>
          <w:noProof/>
        </w:rPr>
        <w:t>(Rossen, et al., 2009)</w:t>
      </w:r>
      <w:r w:rsidRPr="00C45991">
        <w:rPr>
          <w:rFonts w:asciiTheme="minorHAnsi" w:hAnsiTheme="minorHAnsi" w:cstheme="minorHAnsi"/>
        </w:rPr>
        <w:t xml:space="preserve">. Despite this, the vast majority of gambling activities were viewed as having a social component by around half the sample, in that they offered people ‘the opportunity for a good night or day out’ </w:t>
      </w:r>
      <w:r>
        <w:rPr>
          <w:rFonts w:asciiTheme="minorHAnsi" w:hAnsiTheme="minorHAnsi" w:cstheme="minorHAnsi"/>
          <w:noProof/>
        </w:rPr>
        <w:t>(Rossen, et al., 2009)</w:t>
      </w:r>
      <w:r w:rsidRPr="00C45991">
        <w:rPr>
          <w:rFonts w:asciiTheme="minorHAnsi" w:hAnsiTheme="minorHAnsi" w:cstheme="minorHAnsi"/>
        </w:rPr>
        <w:t>. The 2006/2007 Gaming and Betting Activities Survey found</w:t>
      </w:r>
      <w:r>
        <w:rPr>
          <w:rFonts w:asciiTheme="minorHAnsi" w:hAnsiTheme="minorHAnsi" w:cstheme="minorHAnsi"/>
        </w:rPr>
        <w:t xml:space="preserve"> that: approximately one-half (52%) of the young people </w:t>
      </w:r>
      <w:r>
        <w:rPr>
          <w:rFonts w:asciiTheme="minorHAnsi" w:hAnsiTheme="minorHAnsi" w:cstheme="minorHAnsi"/>
        </w:rPr>
        <w:lastRenderedPageBreak/>
        <w:t xml:space="preserve">surveyed said that winning money would be a reason to start gambling; and, just under one-half (46%) said that losing money, or seeing others lose, would put people off gambling </w:t>
      </w:r>
      <w:r>
        <w:rPr>
          <w:rFonts w:asciiTheme="minorHAnsi" w:hAnsiTheme="minorHAnsi" w:cstheme="minorHAnsi"/>
          <w:noProof/>
        </w:rPr>
        <w:t>(Gray, 2010)</w:t>
      </w:r>
      <w:r>
        <w:rPr>
          <w:rFonts w:asciiTheme="minorHAnsi" w:hAnsiTheme="minorHAnsi" w:cstheme="minorHAnsi"/>
        </w:rPr>
        <w:t>.</w:t>
      </w:r>
    </w:p>
    <w:p w:rsidR="00043311" w:rsidRPr="00C45991" w:rsidRDefault="00043311" w:rsidP="0042130F">
      <w:pPr>
        <w:pStyle w:val="Heading3"/>
        <w:spacing w:line="360" w:lineRule="auto"/>
      </w:pPr>
      <w:bookmarkStart w:id="46" w:name="_Toc352773515"/>
      <w:bookmarkStart w:id="47" w:name="_Toc360724457"/>
      <w:bookmarkStart w:id="48" w:name="_Toc367284402"/>
      <w:r w:rsidRPr="00C45991">
        <w:t>Patterns of behaviour</w:t>
      </w:r>
      <w:bookmarkEnd w:id="46"/>
      <w:bookmarkEnd w:id="47"/>
      <w:bookmarkEnd w:id="48"/>
    </w:p>
    <w:p w:rsidR="00043311" w:rsidRPr="00C45991" w:rsidRDefault="00043311" w:rsidP="0042130F">
      <w:pPr>
        <w:spacing w:line="360" w:lineRule="auto"/>
        <w:rPr>
          <w:rFonts w:asciiTheme="minorHAnsi" w:hAnsiTheme="minorHAnsi" w:cstheme="minorHAnsi"/>
        </w:rPr>
      </w:pPr>
      <w:r w:rsidRPr="00C45991">
        <w:rPr>
          <w:rFonts w:asciiTheme="minorHAnsi" w:hAnsiTheme="minorHAnsi" w:cstheme="minorHAnsi"/>
        </w:rPr>
        <w:t xml:space="preserve">Similar to adult problem gamblers, adolescent problem gamblers tend to play several games on a regular basis, although they may have their ‘favourite’ games </w:t>
      </w:r>
      <w:r w:rsidRPr="00C45991">
        <w:rPr>
          <w:rFonts w:asciiTheme="minorHAnsi" w:hAnsiTheme="minorHAnsi" w:cstheme="minorHAnsi"/>
          <w:noProof/>
        </w:rPr>
        <w:t>(Fisher, 1999)</w:t>
      </w:r>
      <w:r w:rsidRPr="00C45991">
        <w:rPr>
          <w:rFonts w:asciiTheme="minorHAnsi" w:hAnsiTheme="minorHAnsi" w:cstheme="minorHAnsi"/>
        </w:rPr>
        <w:t xml:space="preserve">. They also spend significantly more money and time on the activity than their non-problem gambling peers </w:t>
      </w:r>
      <w:r>
        <w:rPr>
          <w:rFonts w:asciiTheme="minorHAnsi" w:hAnsiTheme="minorHAnsi" w:cstheme="minorHAnsi"/>
          <w:noProof/>
        </w:rPr>
        <w:t>(Fisher, 1999; Jacobs, 2000; Moodie &amp; Finnigan, 2006; Raisamo, et al., 2013)</w:t>
      </w:r>
      <w:r w:rsidRPr="00C45991">
        <w:rPr>
          <w:rFonts w:asciiTheme="minorHAnsi" w:hAnsiTheme="minorHAnsi" w:cstheme="minorHAnsi"/>
        </w:rPr>
        <w:t xml:space="preserve">. It has been suggested that gambling problems amongst youth may ‘wax and wane’ over time </w:t>
      </w:r>
      <w:r>
        <w:rPr>
          <w:rFonts w:asciiTheme="minorHAnsi" w:hAnsiTheme="minorHAnsi" w:cstheme="minorHAnsi"/>
          <w:noProof/>
        </w:rPr>
        <w:t>(Petry, Weinstock, Morasco, &amp; Ledgerwood, 2009; Slutske, Jackson, &amp; Sher, 2003; Winters, et al., 2002)</w:t>
      </w:r>
      <w:r w:rsidRPr="00C45991">
        <w:rPr>
          <w:rFonts w:asciiTheme="minorHAnsi" w:hAnsiTheme="minorHAnsi" w:cstheme="minorHAnsi"/>
        </w:rPr>
        <w:t xml:space="preserve"> and resolve naturally </w:t>
      </w:r>
      <w:r>
        <w:rPr>
          <w:rFonts w:asciiTheme="minorHAnsi" w:hAnsiTheme="minorHAnsi" w:cstheme="minorHAnsi"/>
          <w:noProof/>
        </w:rPr>
        <w:t>(Slutske, et al., 2003)</w:t>
      </w:r>
      <w:r w:rsidRPr="00C45991">
        <w:rPr>
          <w:rFonts w:asciiTheme="minorHAnsi" w:hAnsiTheme="minorHAnsi" w:cstheme="minorHAnsi"/>
        </w:rPr>
        <w:t xml:space="preserve">, although others have argued that there is a lack of empirical evidence to support this claim </w:t>
      </w:r>
      <w:r>
        <w:rPr>
          <w:rFonts w:asciiTheme="minorHAnsi" w:hAnsiTheme="minorHAnsi" w:cstheme="minorHAnsi"/>
          <w:noProof/>
        </w:rPr>
        <w:t>(Derevensky, et al., 2003)</w:t>
      </w:r>
      <w:r w:rsidRPr="00C45991">
        <w:rPr>
          <w:rFonts w:asciiTheme="minorHAnsi" w:hAnsiTheme="minorHAnsi" w:cstheme="minorHAnsi"/>
        </w:rPr>
        <w:t>.</w:t>
      </w:r>
    </w:p>
    <w:p w:rsidR="00043311" w:rsidRPr="00C45991" w:rsidRDefault="00043311" w:rsidP="0042130F">
      <w:pPr>
        <w:pStyle w:val="Heading4"/>
        <w:spacing w:line="360" w:lineRule="auto"/>
        <w:rPr>
          <w:rFonts w:asciiTheme="minorHAnsi" w:hAnsiTheme="minorHAnsi" w:cstheme="minorHAnsi"/>
          <w:b w:val="0"/>
          <w:i/>
        </w:rPr>
      </w:pPr>
      <w:r w:rsidRPr="00C45991">
        <w:rPr>
          <w:rFonts w:asciiTheme="minorHAnsi" w:hAnsiTheme="minorHAnsi" w:cstheme="minorHAnsi"/>
          <w:b w:val="0"/>
          <w:i/>
        </w:rPr>
        <w:t>Young people and different gambling formats</w:t>
      </w:r>
    </w:p>
    <w:p w:rsidR="00043311" w:rsidRPr="00C45991" w:rsidRDefault="00043311" w:rsidP="0042130F">
      <w:pPr>
        <w:spacing w:line="360" w:lineRule="auto"/>
        <w:rPr>
          <w:rFonts w:asciiTheme="minorHAnsi" w:hAnsiTheme="minorHAnsi" w:cstheme="minorHAnsi"/>
        </w:rPr>
      </w:pPr>
      <w:r w:rsidRPr="00C45991">
        <w:rPr>
          <w:rFonts w:asciiTheme="minorHAnsi" w:hAnsiTheme="minorHAnsi" w:cstheme="minorHAnsi"/>
        </w:rPr>
        <w:t xml:space="preserve">Youth gamblers engage in a range of gambling activities, from informal modes such as betting amongst friends </w:t>
      </w:r>
      <w:r w:rsidRPr="00C45991">
        <w:rPr>
          <w:rFonts w:asciiTheme="minorHAnsi" w:hAnsiTheme="minorHAnsi" w:cstheme="minorHAnsi"/>
          <w:noProof/>
        </w:rPr>
        <w:t>(Stinchfield, 2000; Turner, Macdonald, Bartoshuk, &amp; Zangeneh, 2008; Wallisch, 1996)</w:t>
      </w:r>
      <w:r w:rsidRPr="00C45991">
        <w:rPr>
          <w:rFonts w:asciiTheme="minorHAnsi" w:hAnsiTheme="minorHAnsi" w:cstheme="minorHAnsi"/>
        </w:rPr>
        <w:t xml:space="preserve"> through to more formal activities such as fruit machines</w:t>
      </w:r>
      <w:r>
        <w:rPr>
          <w:rFonts w:asciiTheme="minorHAnsi" w:hAnsiTheme="minorHAnsi" w:cstheme="minorHAnsi"/>
        </w:rPr>
        <w:t>. EGMs</w:t>
      </w:r>
      <w:r w:rsidRPr="00C45991">
        <w:rPr>
          <w:rFonts w:asciiTheme="minorHAnsi" w:hAnsiTheme="minorHAnsi" w:cstheme="minorHAnsi"/>
        </w:rPr>
        <w:t xml:space="preserve"> and lottery based products </w:t>
      </w:r>
      <w:r>
        <w:rPr>
          <w:rFonts w:asciiTheme="minorHAnsi" w:hAnsiTheme="minorHAnsi" w:cstheme="minorHAnsi"/>
          <w:noProof/>
        </w:rPr>
        <w:t>(Department of Internal Affairs, 2008; Felsher, Derevensky, &amp; Gupta, 2003; Fisher, 1999; Ipsos MORI, 2009; Rossen, et al., 2009; Shaffer, 2003; Stinchfield, 2001)</w:t>
      </w:r>
      <w:r w:rsidRPr="00C45991">
        <w:rPr>
          <w:rFonts w:asciiTheme="minorHAnsi" w:hAnsiTheme="minorHAnsi" w:cstheme="minorHAnsi"/>
          <w:sz w:val="24"/>
        </w:rPr>
        <w:t>.</w:t>
      </w:r>
      <w:r w:rsidRPr="00C45991">
        <w:rPr>
          <w:rFonts w:asciiTheme="minorHAnsi" w:hAnsiTheme="minorHAnsi" w:cstheme="minorHAnsi"/>
        </w:rPr>
        <w:t xml:space="preserve"> Research has shown that access to this latter type of gambling remains accessible to young people, despite age-related restrictions </w:t>
      </w:r>
      <w:r>
        <w:rPr>
          <w:rFonts w:asciiTheme="minorHAnsi" w:hAnsiTheme="minorHAnsi" w:cstheme="minorHAnsi"/>
          <w:noProof/>
        </w:rPr>
        <w:t>(Fisher, 1999; Griffiths &amp; Wood, 2007; Rossen, et al., 2011; Rossen, et al., 2009)</w:t>
      </w:r>
      <w:r w:rsidRPr="00C45991">
        <w:rPr>
          <w:rFonts w:asciiTheme="minorHAnsi" w:hAnsiTheme="minorHAnsi" w:cstheme="minorHAnsi"/>
        </w:rPr>
        <w:t>.</w:t>
      </w:r>
    </w:p>
    <w:p w:rsidR="00043311" w:rsidRPr="00C45991" w:rsidRDefault="00043311" w:rsidP="0042130F">
      <w:pPr>
        <w:spacing w:line="360" w:lineRule="auto"/>
        <w:rPr>
          <w:rFonts w:asciiTheme="minorHAnsi" w:hAnsiTheme="minorHAnsi" w:cstheme="minorHAnsi"/>
        </w:rPr>
      </w:pPr>
      <w:r w:rsidRPr="00C45991">
        <w:rPr>
          <w:rFonts w:asciiTheme="minorHAnsi" w:hAnsiTheme="minorHAnsi" w:cstheme="minorHAnsi"/>
        </w:rPr>
        <w:t xml:space="preserve">Involvement in different gambling activities has been shown to differ, depending on a young person’s relationship with gambling </w:t>
      </w:r>
      <w:r>
        <w:rPr>
          <w:rFonts w:asciiTheme="minorHAnsi" w:hAnsiTheme="minorHAnsi" w:cstheme="minorHAnsi"/>
          <w:noProof/>
        </w:rPr>
        <w:t>(Delfabbro, et al., 2005; Jacobs, 2000)</w:t>
      </w:r>
      <w:r w:rsidRPr="00C45991">
        <w:rPr>
          <w:rFonts w:asciiTheme="minorHAnsi" w:hAnsiTheme="minorHAnsi" w:cstheme="minorHAnsi"/>
        </w:rPr>
        <w:t xml:space="preserve">. For example, researchers in Australia found that problem gamblers were significantly more likely to be involved with card games, racing, and sports betting, but not with scratch-cards, lotteries or bingo. It was also reported that problem gamblers participated in a wider range of gambling activities </w:t>
      </w:r>
      <w:r>
        <w:rPr>
          <w:rFonts w:asciiTheme="minorHAnsi" w:hAnsiTheme="minorHAnsi" w:cstheme="minorHAnsi"/>
          <w:noProof/>
        </w:rPr>
        <w:t>(Delfabbro, et al., 2005)</w:t>
      </w:r>
      <w:r w:rsidRPr="00C45991">
        <w:rPr>
          <w:rFonts w:asciiTheme="minorHAnsi" w:hAnsiTheme="minorHAnsi" w:cstheme="minorHAnsi"/>
        </w:rPr>
        <w:t xml:space="preserve">. Findings from a British survey indicate that youth gamblers were similar to the general population sample in that they comprised a large group of broadly similar gamblers who gamble across a range of activities – with a smaller subset involved in more technical  forms of gambling such as spread betting, online betting and betting exchanges. However, the researchers concluded that adolescent gamblers were more likely to bet privately and gamble on slot machines, due to the accessibility of these types of gambling </w:t>
      </w:r>
      <w:r>
        <w:rPr>
          <w:rFonts w:asciiTheme="minorHAnsi" w:hAnsiTheme="minorHAnsi" w:cstheme="minorHAnsi"/>
          <w:noProof/>
        </w:rPr>
        <w:t>(Williams, et al., 2008)</w:t>
      </w:r>
      <w:r w:rsidRPr="00C45991">
        <w:rPr>
          <w:rFonts w:asciiTheme="minorHAnsi" w:hAnsiTheme="minorHAnsi" w:cstheme="minorHAnsi"/>
        </w:rPr>
        <w:t xml:space="preserve">. Research also suggests that gambling behaviour may change as young people progress developmentally </w:t>
      </w:r>
      <w:r>
        <w:rPr>
          <w:rFonts w:asciiTheme="minorHAnsi" w:hAnsiTheme="minorHAnsi" w:cstheme="minorHAnsi"/>
          <w:noProof/>
        </w:rPr>
        <w:t>(Rossen, et al., 2009)</w:t>
      </w:r>
      <w:r w:rsidRPr="00C45991">
        <w:rPr>
          <w:rFonts w:asciiTheme="minorHAnsi" w:hAnsiTheme="minorHAnsi" w:cstheme="minorHAnsi"/>
        </w:rPr>
        <w:t>, with</w:t>
      </w:r>
      <w:r>
        <w:rPr>
          <w:rFonts w:asciiTheme="minorHAnsi" w:hAnsiTheme="minorHAnsi" w:cstheme="minorHAnsi"/>
        </w:rPr>
        <w:t xml:space="preserve"> accessible (but age-restricted) activities such as </w:t>
      </w:r>
      <w:r w:rsidRPr="00C45991">
        <w:rPr>
          <w:rFonts w:asciiTheme="minorHAnsi" w:hAnsiTheme="minorHAnsi" w:cstheme="minorHAnsi"/>
        </w:rPr>
        <w:t xml:space="preserve">lottery products and EGMs becoming more attractive to older youth </w:t>
      </w:r>
      <w:r>
        <w:rPr>
          <w:rFonts w:asciiTheme="minorHAnsi" w:hAnsiTheme="minorHAnsi" w:cstheme="minorHAnsi"/>
          <w:noProof/>
        </w:rPr>
        <w:t>(Rossen, et al., 2009; Stinchfield, 2000; Volberg, et al., 2010; Winters, Stinchfield, &amp; Kim, 1995)</w:t>
      </w:r>
      <w:r w:rsidRPr="00C45991">
        <w:rPr>
          <w:rFonts w:asciiTheme="minorHAnsi" w:hAnsiTheme="minorHAnsi" w:cstheme="minorHAnsi"/>
        </w:rPr>
        <w:t xml:space="preserve">. </w:t>
      </w:r>
    </w:p>
    <w:p w:rsidR="00043311" w:rsidRPr="00C45991" w:rsidRDefault="00043311" w:rsidP="0042130F">
      <w:pPr>
        <w:spacing w:line="360" w:lineRule="auto"/>
        <w:rPr>
          <w:rFonts w:asciiTheme="minorHAnsi" w:hAnsiTheme="minorHAnsi" w:cstheme="minorHAnsi"/>
          <w:b/>
        </w:rPr>
      </w:pPr>
      <w:r w:rsidRPr="00C45991">
        <w:rPr>
          <w:rFonts w:asciiTheme="minorHAnsi" w:hAnsiTheme="minorHAnsi" w:cstheme="minorHAnsi"/>
          <w:i/>
        </w:rPr>
        <w:lastRenderedPageBreak/>
        <w:t>Fruit machines</w:t>
      </w:r>
      <w:r w:rsidRPr="00C45991">
        <w:rPr>
          <w:rFonts w:asciiTheme="minorHAnsi" w:hAnsiTheme="minorHAnsi" w:cstheme="minorHAnsi"/>
        </w:rPr>
        <w:t xml:space="preserve"> have been identified as a popular form of gambling for some young people in the UK </w:t>
      </w:r>
      <w:r w:rsidRPr="00C45991">
        <w:rPr>
          <w:rFonts w:asciiTheme="minorHAnsi" w:hAnsiTheme="minorHAnsi" w:cstheme="minorHAnsi"/>
          <w:noProof/>
        </w:rPr>
        <w:t>(Fisher, 1999; Huxley &amp; Carroll, 1992; Moodie &amp; Finnigan, 2006)</w:t>
      </w:r>
      <w:r w:rsidRPr="00C45991">
        <w:rPr>
          <w:rFonts w:asciiTheme="minorHAnsi" w:hAnsiTheme="minorHAnsi" w:cstheme="minorHAnsi"/>
        </w:rPr>
        <w:t xml:space="preserve">. A large survey found that three quarters of 12-15 year olds had played these machines at least once, and that more was spent on them than any other gambling activities undertaken by the young people </w:t>
      </w:r>
      <w:r w:rsidRPr="00C45991">
        <w:rPr>
          <w:rFonts w:asciiTheme="minorHAnsi" w:hAnsiTheme="minorHAnsi" w:cstheme="minorHAnsi"/>
          <w:noProof/>
        </w:rPr>
        <w:t>(Fisher, 1999)</w:t>
      </w:r>
      <w:r w:rsidRPr="00C45991">
        <w:rPr>
          <w:rFonts w:asciiTheme="minorHAnsi" w:hAnsiTheme="minorHAnsi" w:cstheme="minorHAnsi"/>
        </w:rPr>
        <w:t xml:space="preserve">. </w:t>
      </w:r>
      <w:r>
        <w:rPr>
          <w:rFonts w:asciiTheme="minorHAnsi" w:hAnsiTheme="minorHAnsi" w:cstheme="minorHAnsi"/>
        </w:rPr>
        <w:t>A more recent</w:t>
      </w:r>
      <w:r w:rsidRPr="00C45991">
        <w:rPr>
          <w:rFonts w:asciiTheme="minorHAnsi" w:hAnsiTheme="minorHAnsi" w:cstheme="minorHAnsi"/>
        </w:rPr>
        <w:t xml:space="preserve"> survey of school pupils aged 11-16 years in Scotland found that fruit machines were by far the most popular form of gambling amongst all types of gamblers (non-problem, at-risk and problem) </w:t>
      </w:r>
      <w:r w:rsidRPr="00C45991">
        <w:rPr>
          <w:rFonts w:asciiTheme="minorHAnsi" w:hAnsiTheme="minorHAnsi" w:cstheme="minorHAnsi"/>
          <w:noProof/>
        </w:rPr>
        <w:t>(Moodie &amp; Finnigan, 2006)</w:t>
      </w:r>
      <w:r w:rsidRPr="00C45991">
        <w:rPr>
          <w:rFonts w:asciiTheme="minorHAnsi" w:hAnsiTheme="minorHAnsi" w:cstheme="minorHAnsi"/>
        </w:rPr>
        <w:t xml:space="preserve">. </w:t>
      </w:r>
      <w:r>
        <w:rPr>
          <w:rFonts w:asciiTheme="minorHAnsi" w:hAnsiTheme="minorHAnsi" w:cstheme="minorHAnsi"/>
        </w:rPr>
        <w:t>S</w:t>
      </w:r>
      <w:r w:rsidRPr="00C45991">
        <w:rPr>
          <w:rFonts w:asciiTheme="minorHAnsi" w:hAnsiTheme="minorHAnsi" w:cstheme="minorHAnsi"/>
        </w:rPr>
        <w:t>tud</w:t>
      </w:r>
      <w:r>
        <w:rPr>
          <w:rFonts w:asciiTheme="minorHAnsi" w:hAnsiTheme="minorHAnsi" w:cstheme="minorHAnsi"/>
        </w:rPr>
        <w:t>ies</w:t>
      </w:r>
      <w:r w:rsidRPr="00C45991">
        <w:rPr>
          <w:rFonts w:asciiTheme="minorHAnsi" w:hAnsiTheme="minorHAnsi" w:cstheme="minorHAnsi"/>
        </w:rPr>
        <w:t xml:space="preserve"> from New Zealand</w:t>
      </w:r>
      <w:r>
        <w:rPr>
          <w:rFonts w:asciiTheme="minorHAnsi" w:hAnsiTheme="minorHAnsi" w:cstheme="minorHAnsi"/>
        </w:rPr>
        <w:t xml:space="preserve"> have</w:t>
      </w:r>
      <w:r w:rsidRPr="00BD29EF">
        <w:rPr>
          <w:rFonts w:asciiTheme="minorHAnsi" w:hAnsiTheme="minorHAnsi" w:cstheme="minorHAnsi"/>
        </w:rPr>
        <w:t xml:space="preserve"> </w:t>
      </w:r>
      <w:r w:rsidRPr="00C45991">
        <w:rPr>
          <w:rFonts w:asciiTheme="minorHAnsi" w:hAnsiTheme="minorHAnsi" w:cstheme="minorHAnsi"/>
        </w:rPr>
        <w:t xml:space="preserve">highlighted concern around </w:t>
      </w:r>
      <w:r>
        <w:rPr>
          <w:rFonts w:asciiTheme="minorHAnsi" w:hAnsiTheme="minorHAnsi" w:cstheme="minorHAnsi"/>
        </w:rPr>
        <w:t xml:space="preserve">youth access to casino and internet gambling, and </w:t>
      </w:r>
      <w:r w:rsidR="00410534" w:rsidRPr="00C45991">
        <w:rPr>
          <w:rFonts w:asciiTheme="minorHAnsi" w:hAnsiTheme="minorHAnsi" w:cstheme="minorHAnsi"/>
        </w:rPr>
        <w:t>EGMs</w:t>
      </w:r>
      <w:r w:rsidR="00410534">
        <w:rPr>
          <w:rFonts w:asciiTheme="minorHAnsi" w:hAnsiTheme="minorHAnsi" w:cstheme="minorHAnsi"/>
        </w:rPr>
        <w:t xml:space="preserve"> given</w:t>
      </w:r>
      <w:r>
        <w:rPr>
          <w:rFonts w:asciiTheme="minorHAnsi" w:hAnsiTheme="minorHAnsi" w:cstheme="minorHAnsi"/>
        </w:rPr>
        <w:t xml:space="preserve"> the increased associations of these modes with</w:t>
      </w:r>
      <w:r w:rsidRPr="00C45991">
        <w:rPr>
          <w:rFonts w:asciiTheme="minorHAnsi" w:hAnsiTheme="minorHAnsi" w:cstheme="minorHAnsi"/>
        </w:rPr>
        <w:t xml:space="preserve"> problem and pathological gambling </w:t>
      </w:r>
      <w:r>
        <w:rPr>
          <w:rFonts w:asciiTheme="minorHAnsi" w:hAnsiTheme="minorHAnsi" w:cstheme="minorHAnsi"/>
          <w:noProof/>
        </w:rPr>
        <w:t>(Department of Internal Affairs, 1995; Rossen, 2008; Rossen, et al., 2011)</w:t>
      </w:r>
      <w:r w:rsidRPr="00C45991">
        <w:rPr>
          <w:rFonts w:asciiTheme="minorHAnsi" w:hAnsiTheme="minorHAnsi" w:cstheme="minorHAnsi"/>
        </w:rPr>
        <w:t xml:space="preserve">. </w:t>
      </w:r>
    </w:p>
    <w:p w:rsidR="00043311" w:rsidRPr="00C45991" w:rsidRDefault="00043311" w:rsidP="0042130F">
      <w:pPr>
        <w:spacing w:line="360" w:lineRule="auto"/>
        <w:rPr>
          <w:rFonts w:asciiTheme="minorHAnsi" w:hAnsiTheme="minorHAnsi" w:cstheme="minorHAnsi"/>
        </w:rPr>
      </w:pPr>
      <w:r w:rsidRPr="00C45991">
        <w:rPr>
          <w:rFonts w:asciiTheme="minorHAnsi" w:hAnsiTheme="minorHAnsi" w:cstheme="minorHAnsi"/>
        </w:rPr>
        <w:t xml:space="preserve">Across different countries, it has been reported that </w:t>
      </w:r>
      <w:r>
        <w:rPr>
          <w:rFonts w:asciiTheme="minorHAnsi" w:hAnsiTheme="minorHAnsi" w:cstheme="minorHAnsi"/>
          <w:i/>
        </w:rPr>
        <w:t>instant (</w:t>
      </w:r>
      <w:r w:rsidRPr="00C45991">
        <w:rPr>
          <w:rFonts w:asciiTheme="minorHAnsi" w:hAnsiTheme="minorHAnsi" w:cstheme="minorHAnsi"/>
          <w:i/>
        </w:rPr>
        <w:t>scratch</w:t>
      </w:r>
      <w:r>
        <w:rPr>
          <w:rFonts w:asciiTheme="minorHAnsi" w:hAnsiTheme="minorHAnsi" w:cstheme="minorHAnsi"/>
          <w:i/>
        </w:rPr>
        <w:t>) lottery</w:t>
      </w:r>
      <w:r w:rsidRPr="00C45991">
        <w:rPr>
          <w:rFonts w:asciiTheme="minorHAnsi" w:hAnsiTheme="minorHAnsi" w:cstheme="minorHAnsi"/>
          <w:i/>
        </w:rPr>
        <w:t xml:space="preserve"> tickets </w:t>
      </w:r>
      <w:r w:rsidRPr="00C45991">
        <w:rPr>
          <w:rFonts w:asciiTheme="minorHAnsi" w:hAnsiTheme="minorHAnsi" w:cstheme="minorHAnsi"/>
        </w:rPr>
        <w:t xml:space="preserve">are a popular gambling activity amongst young people </w:t>
      </w:r>
      <w:r>
        <w:rPr>
          <w:rFonts w:asciiTheme="minorHAnsi" w:hAnsiTheme="minorHAnsi" w:cstheme="minorHAnsi"/>
          <w:noProof/>
        </w:rPr>
        <w:t>(Delfabbro, et al., 2005; Department of Internal Affairs, 2008; Jackson, et al., 2008; Ólason, Skarphedinsson, Jonsdottir, Mikaelsson, &amp; Gretarsson, 2006; Rossen, 2008; Rossen, et al., 2011; Wood &amp; Griffiths, 1998)</w:t>
      </w:r>
      <w:r w:rsidRPr="00C45991">
        <w:rPr>
          <w:rFonts w:asciiTheme="minorHAnsi" w:hAnsiTheme="minorHAnsi" w:cstheme="minorHAnsi"/>
        </w:rPr>
        <w:t xml:space="preserve">. This may be due to their easy accessibility </w:t>
      </w:r>
      <w:r w:rsidRPr="00C45991">
        <w:rPr>
          <w:rFonts w:asciiTheme="minorHAnsi" w:hAnsiTheme="minorHAnsi" w:cstheme="minorHAnsi"/>
          <w:noProof/>
        </w:rPr>
        <w:t>(M. Griffiths, 2000)</w:t>
      </w:r>
      <w:r w:rsidRPr="00C45991">
        <w:rPr>
          <w:rFonts w:asciiTheme="minorHAnsi" w:hAnsiTheme="minorHAnsi" w:cstheme="minorHAnsi"/>
        </w:rPr>
        <w:t xml:space="preserve"> and the fact that they are often purchased by parents and given to their children </w:t>
      </w:r>
      <w:r>
        <w:rPr>
          <w:rFonts w:asciiTheme="minorHAnsi" w:hAnsiTheme="minorHAnsi" w:cstheme="minorHAnsi"/>
          <w:noProof/>
        </w:rPr>
        <w:t>(Felsher, et al., 2003; Kundu, et al., 2013; Wood &amp; Griffiths, 1998)</w:t>
      </w:r>
      <w:r w:rsidRPr="00C45991">
        <w:rPr>
          <w:rFonts w:asciiTheme="minorHAnsi" w:hAnsiTheme="minorHAnsi" w:cstheme="minorHAnsi"/>
        </w:rPr>
        <w:t xml:space="preserve">. </w:t>
      </w:r>
      <w:r w:rsidRPr="00C45991">
        <w:rPr>
          <w:rFonts w:asciiTheme="minorHAnsi" w:hAnsiTheme="minorHAnsi" w:cstheme="minorHAnsi"/>
          <w:i/>
        </w:rPr>
        <w:t>Lottery tickets</w:t>
      </w:r>
      <w:r w:rsidRPr="00C45991">
        <w:rPr>
          <w:rFonts w:asciiTheme="minorHAnsi" w:hAnsiTheme="minorHAnsi" w:cstheme="minorHAnsi"/>
        </w:rPr>
        <w:t xml:space="preserve"> have also been identified as being commonly bought by parents on behalf of their child </w:t>
      </w:r>
      <w:r>
        <w:rPr>
          <w:rFonts w:asciiTheme="minorHAnsi" w:hAnsiTheme="minorHAnsi" w:cstheme="minorHAnsi"/>
          <w:noProof/>
        </w:rPr>
        <w:t>(Fisher, 1999; Splevins, et al., 2010; Wood &amp; Griffiths, 1998)</w:t>
      </w:r>
      <w:r w:rsidRPr="00C45991">
        <w:rPr>
          <w:rFonts w:asciiTheme="minorHAnsi" w:hAnsiTheme="minorHAnsi" w:cstheme="minorHAnsi"/>
        </w:rPr>
        <w:t xml:space="preserve">, with gambling on </w:t>
      </w:r>
      <w:r>
        <w:rPr>
          <w:rFonts w:asciiTheme="minorHAnsi" w:hAnsiTheme="minorHAnsi" w:cstheme="minorHAnsi"/>
        </w:rPr>
        <w:t>l</w:t>
      </w:r>
      <w:r w:rsidRPr="00C45991">
        <w:rPr>
          <w:rFonts w:asciiTheme="minorHAnsi" w:hAnsiTheme="minorHAnsi" w:cstheme="minorHAnsi"/>
        </w:rPr>
        <w:t>otter</w:t>
      </w:r>
      <w:r>
        <w:rPr>
          <w:rFonts w:asciiTheme="minorHAnsi" w:hAnsiTheme="minorHAnsi" w:cstheme="minorHAnsi"/>
        </w:rPr>
        <w:t>ies being</w:t>
      </w:r>
      <w:r w:rsidRPr="00C45991">
        <w:rPr>
          <w:rFonts w:asciiTheme="minorHAnsi" w:hAnsiTheme="minorHAnsi" w:cstheme="minorHAnsi"/>
        </w:rPr>
        <w:t xml:space="preserve"> one of the most common forms of gambling undertaken by young people </w:t>
      </w:r>
      <w:r>
        <w:rPr>
          <w:rFonts w:asciiTheme="minorHAnsi" w:hAnsiTheme="minorHAnsi" w:cstheme="minorHAnsi"/>
          <w:noProof/>
        </w:rPr>
        <w:t>(Department of Internal Affairs, 2008; Felsher, Derevensky, &amp; Gupta, 2004a, 2004b; Gupta &amp; Derevensky, 1998a; Jacobs, 2000; Rossen, 2008; Rossen, et al., 2011; Wardle, et al., 2011)</w:t>
      </w:r>
      <w:r w:rsidRPr="00C45991">
        <w:rPr>
          <w:rFonts w:asciiTheme="minorHAnsi" w:hAnsiTheme="minorHAnsi" w:cstheme="minorHAnsi"/>
        </w:rPr>
        <w:t xml:space="preserve">. The most recent British Gambling Prevalence Survey found that 42% of young people aged 16-24 years had participated in the National Lottery Draw in the last year </w:t>
      </w:r>
      <w:r>
        <w:rPr>
          <w:rFonts w:asciiTheme="minorHAnsi" w:hAnsiTheme="minorHAnsi" w:cstheme="minorHAnsi"/>
          <w:noProof/>
        </w:rPr>
        <w:t>(Wardle, et al., 2011)</w:t>
      </w:r>
      <w:r w:rsidRPr="00C45991">
        <w:rPr>
          <w:rFonts w:asciiTheme="minorHAnsi" w:hAnsiTheme="minorHAnsi" w:cstheme="minorHAnsi"/>
        </w:rPr>
        <w:t xml:space="preserve"> and a review of research from Canada and the US found that lottery games were favoured by young people </w:t>
      </w:r>
      <w:r w:rsidRPr="00C45991">
        <w:rPr>
          <w:rFonts w:asciiTheme="minorHAnsi" w:hAnsiTheme="minorHAnsi" w:cstheme="minorHAnsi"/>
          <w:noProof/>
        </w:rPr>
        <w:t>(Jacobs, 2000)</w:t>
      </w:r>
      <w:r w:rsidRPr="00C45991">
        <w:rPr>
          <w:rFonts w:asciiTheme="minorHAnsi" w:hAnsiTheme="minorHAnsi" w:cstheme="minorHAnsi"/>
        </w:rPr>
        <w:t xml:space="preserve">. Jacobs (2000) also notes that there was an increase in the number of young people gambling following the introduction of state or provincial lotteries into an area. </w:t>
      </w:r>
    </w:p>
    <w:p w:rsidR="00043311" w:rsidRPr="00C45991" w:rsidRDefault="00043311" w:rsidP="0042130F">
      <w:pPr>
        <w:spacing w:line="360" w:lineRule="auto"/>
        <w:rPr>
          <w:rFonts w:asciiTheme="minorHAnsi" w:hAnsiTheme="minorHAnsi" w:cstheme="minorHAnsi"/>
        </w:rPr>
      </w:pPr>
      <w:r w:rsidRPr="00C45991">
        <w:rPr>
          <w:rFonts w:asciiTheme="minorHAnsi" w:hAnsiTheme="minorHAnsi" w:cstheme="minorHAnsi"/>
        </w:rPr>
        <w:t xml:space="preserve">Playing gambling games on the Internet – without any financial outlay – has been shown to be common amongst young people </w:t>
      </w:r>
      <w:r w:rsidR="0096450D">
        <w:rPr>
          <w:rFonts w:asciiTheme="minorHAnsi" w:hAnsiTheme="minorHAnsi" w:cstheme="minorHAnsi"/>
          <w:noProof/>
        </w:rPr>
        <w:t>(</w:t>
      </w:r>
      <w:r>
        <w:rPr>
          <w:rFonts w:asciiTheme="minorHAnsi" w:hAnsiTheme="minorHAnsi" w:cstheme="minorHAnsi"/>
          <w:noProof/>
        </w:rPr>
        <w:t xml:space="preserve">Griffiths &amp; Wood, 2007; </w:t>
      </w:r>
      <w:r w:rsidR="0096450D">
        <w:rPr>
          <w:rFonts w:asciiTheme="minorHAnsi" w:hAnsiTheme="minorHAnsi" w:cstheme="minorHAnsi"/>
          <w:noProof/>
        </w:rPr>
        <w:t xml:space="preserve">Griffiths &amp; Parke, 2010; </w:t>
      </w:r>
      <w:r>
        <w:rPr>
          <w:rFonts w:asciiTheme="minorHAnsi" w:hAnsiTheme="minorHAnsi" w:cstheme="minorHAnsi"/>
          <w:noProof/>
        </w:rPr>
        <w:t>Hardoon, et al., 2002; Ólason, et al., 2006)</w:t>
      </w:r>
      <w:r w:rsidRPr="00C45991">
        <w:rPr>
          <w:rFonts w:asciiTheme="minorHAnsi" w:hAnsiTheme="minorHAnsi" w:cstheme="minorHAnsi"/>
        </w:rPr>
        <w:t xml:space="preserve">, with a recent study identifying that of the 8% of the young people aged 12-15 years who had played a National Lottery game on the Internet, around one third had also played the ‘free’ games on offer </w:t>
      </w:r>
      <w:r w:rsidR="0096450D">
        <w:rPr>
          <w:rFonts w:asciiTheme="minorHAnsi" w:hAnsiTheme="minorHAnsi" w:cstheme="minorHAnsi"/>
          <w:noProof/>
        </w:rPr>
        <w:t>(</w:t>
      </w:r>
      <w:r w:rsidRPr="00C45991">
        <w:rPr>
          <w:rFonts w:asciiTheme="minorHAnsi" w:hAnsiTheme="minorHAnsi" w:cstheme="minorHAnsi"/>
          <w:noProof/>
        </w:rPr>
        <w:t>Griffiths &amp; Wood, 2007)</w:t>
      </w:r>
      <w:r w:rsidRPr="00C45991">
        <w:rPr>
          <w:rFonts w:asciiTheme="minorHAnsi" w:hAnsiTheme="minorHAnsi" w:cstheme="minorHAnsi"/>
        </w:rPr>
        <w:t xml:space="preserve">. Indeed, young people have been identified as being particularly vulnerable to remote gambling opportunities </w:t>
      </w:r>
      <w:r>
        <w:rPr>
          <w:rFonts w:asciiTheme="minorHAnsi" w:hAnsiTheme="minorHAnsi" w:cstheme="minorHAnsi"/>
          <w:noProof/>
        </w:rPr>
        <w:t>(Floros, et al., 2013; Griffiths, Wardle, Orford, Sprotson, &amp; Erens, 2008)</w:t>
      </w:r>
      <w:r w:rsidRPr="00C45991">
        <w:rPr>
          <w:rFonts w:asciiTheme="minorHAnsi" w:hAnsiTheme="minorHAnsi" w:cstheme="minorHAnsi"/>
        </w:rPr>
        <w:t xml:space="preserve">, not least because of their familiarity and skill in using and accessing new media </w:t>
      </w:r>
      <w:r w:rsidRPr="00C45991">
        <w:rPr>
          <w:rFonts w:asciiTheme="minorHAnsi" w:hAnsiTheme="minorHAnsi" w:cstheme="minorHAnsi"/>
          <w:noProof/>
        </w:rPr>
        <w:t>(Griffiths &amp; Parke, 2010)</w:t>
      </w:r>
      <w:r w:rsidRPr="00C45991">
        <w:rPr>
          <w:rFonts w:asciiTheme="minorHAnsi" w:hAnsiTheme="minorHAnsi" w:cstheme="minorHAnsi"/>
        </w:rPr>
        <w:t xml:space="preserve">. There are differences, however, evident in the literature with regard to young people’s </w:t>
      </w:r>
      <w:r w:rsidRPr="00EB744A">
        <w:rPr>
          <w:rFonts w:asciiTheme="minorHAnsi" w:hAnsiTheme="minorHAnsi" w:cstheme="minorHAnsi"/>
        </w:rPr>
        <w:t xml:space="preserve">participation in </w:t>
      </w:r>
      <w:r w:rsidRPr="00EB744A">
        <w:rPr>
          <w:rFonts w:asciiTheme="minorHAnsi" w:hAnsiTheme="minorHAnsi" w:cstheme="minorHAnsi"/>
          <w:i/>
        </w:rPr>
        <w:t>on-line gambling</w:t>
      </w:r>
      <w:r w:rsidRPr="00EB744A">
        <w:rPr>
          <w:rFonts w:asciiTheme="minorHAnsi" w:hAnsiTheme="minorHAnsi" w:cstheme="minorHAnsi"/>
        </w:rPr>
        <w:t>, with reportage of past year rates varying somewhat</w:t>
      </w:r>
      <w:r>
        <w:rPr>
          <w:rFonts w:asciiTheme="minorHAnsi" w:hAnsiTheme="minorHAnsi" w:cstheme="minorHAnsi"/>
        </w:rPr>
        <w:t xml:space="preserve"> </w:t>
      </w:r>
      <w:r w:rsidR="0096450D">
        <w:rPr>
          <w:rFonts w:asciiTheme="minorHAnsi" w:hAnsiTheme="minorHAnsi" w:cstheme="minorHAnsi"/>
          <w:noProof/>
        </w:rPr>
        <w:t>(</w:t>
      </w:r>
      <w:r w:rsidRPr="00C45991">
        <w:rPr>
          <w:rFonts w:asciiTheme="minorHAnsi" w:hAnsiTheme="minorHAnsi" w:cstheme="minorHAnsi"/>
          <w:noProof/>
        </w:rPr>
        <w:t>Griffiths &amp; Parke, 2010)</w:t>
      </w:r>
      <w:r w:rsidRPr="00C45991">
        <w:rPr>
          <w:rFonts w:asciiTheme="minorHAnsi" w:hAnsiTheme="minorHAnsi" w:cstheme="minorHAnsi"/>
        </w:rPr>
        <w:t xml:space="preserve">. Secondary analysis of data from a recent British survey reveal that </w:t>
      </w:r>
      <w:r w:rsidRPr="00C45991">
        <w:rPr>
          <w:rFonts w:asciiTheme="minorHAnsi" w:hAnsiTheme="minorHAnsi" w:cstheme="minorHAnsi"/>
        </w:rPr>
        <w:lastRenderedPageBreak/>
        <w:t xml:space="preserve">prevalence of Internet gambling was highest amongst those in the 16-34 years age range, with 9% of 16-24 year olds having gambled on-line in the past year </w:t>
      </w:r>
      <w:r>
        <w:rPr>
          <w:rFonts w:asciiTheme="minorHAnsi" w:hAnsiTheme="minorHAnsi" w:cstheme="minorHAnsi"/>
          <w:noProof/>
        </w:rPr>
        <w:t>(Griffiths, et al., 2008)</w:t>
      </w:r>
      <w:r w:rsidRPr="00C45991">
        <w:rPr>
          <w:rFonts w:asciiTheme="minorHAnsi" w:hAnsiTheme="minorHAnsi" w:cstheme="minorHAnsi"/>
        </w:rPr>
        <w:t xml:space="preserve">. </w:t>
      </w:r>
      <w:r>
        <w:rPr>
          <w:rFonts w:asciiTheme="minorHAnsi" w:hAnsiTheme="minorHAnsi" w:cstheme="minorHAnsi"/>
        </w:rPr>
        <w:t>Another</w:t>
      </w:r>
      <w:r w:rsidRPr="00C45991">
        <w:rPr>
          <w:rFonts w:asciiTheme="minorHAnsi" w:hAnsiTheme="minorHAnsi" w:cstheme="minorHAnsi"/>
        </w:rPr>
        <w:t xml:space="preserve"> recent study of 1</w:t>
      </w:r>
      <w:r>
        <w:rPr>
          <w:rFonts w:asciiTheme="minorHAnsi" w:hAnsiTheme="minorHAnsi" w:cstheme="minorHAnsi"/>
        </w:rPr>
        <w:t>1-16</w:t>
      </w:r>
      <w:r w:rsidRPr="00C45991">
        <w:rPr>
          <w:rFonts w:asciiTheme="minorHAnsi" w:hAnsiTheme="minorHAnsi" w:cstheme="minorHAnsi"/>
        </w:rPr>
        <w:t xml:space="preserve"> year olds from the UK found that</w:t>
      </w:r>
      <w:r>
        <w:rPr>
          <w:rFonts w:asciiTheme="minorHAnsi" w:hAnsiTheme="minorHAnsi" w:cstheme="minorHAnsi"/>
        </w:rPr>
        <w:t xml:space="preserve"> “thirteen percent of children say they have played </w:t>
      </w:r>
      <w:r>
        <w:rPr>
          <w:rFonts w:asciiTheme="minorHAnsi" w:hAnsiTheme="minorHAnsi" w:cstheme="minorHAnsi"/>
          <w:i/>
        </w:rPr>
        <w:t xml:space="preserve">free </w:t>
      </w:r>
      <w:r>
        <w:rPr>
          <w:rFonts w:asciiTheme="minorHAnsi" w:hAnsiTheme="minorHAnsi" w:cstheme="minorHAnsi"/>
        </w:rPr>
        <w:t xml:space="preserve">online gambling games; this is most often through Facebook. Seven per cent of children aged 11-15 say they have some experience of playing online games </w:t>
      </w:r>
      <w:r>
        <w:rPr>
          <w:rFonts w:asciiTheme="minorHAnsi" w:hAnsiTheme="minorHAnsi" w:cstheme="minorHAnsi"/>
          <w:i/>
        </w:rPr>
        <w:t xml:space="preserve">for money, </w:t>
      </w:r>
      <w:r>
        <w:rPr>
          <w:rFonts w:asciiTheme="minorHAnsi" w:hAnsiTheme="minorHAnsi" w:cstheme="minorHAnsi"/>
        </w:rPr>
        <w:t xml:space="preserve">although around half of this can be explained by children playing alongside parents, with parents’ permission.” </w:t>
      </w:r>
      <w:r>
        <w:rPr>
          <w:rFonts w:asciiTheme="minorHAnsi" w:hAnsiTheme="minorHAnsi" w:cstheme="minorHAnsi"/>
          <w:noProof/>
        </w:rPr>
        <w:t>(Ipsos MORI, 2012, p. 1-2)</w:t>
      </w:r>
      <w:r>
        <w:rPr>
          <w:rFonts w:asciiTheme="minorHAnsi" w:hAnsiTheme="minorHAnsi" w:cstheme="minorHAnsi"/>
        </w:rPr>
        <w:t xml:space="preserve">. </w:t>
      </w:r>
      <w:r w:rsidRPr="00C45991">
        <w:rPr>
          <w:rFonts w:asciiTheme="minorHAnsi" w:hAnsiTheme="minorHAnsi" w:cstheme="minorHAnsi"/>
        </w:rPr>
        <w:t xml:space="preserve">In contrast, Internet gambling was the least popular form of gambling amongst school students in an Australian study (only 5% of the sample had ever participated in this activity) </w:t>
      </w:r>
      <w:r>
        <w:rPr>
          <w:rFonts w:asciiTheme="minorHAnsi" w:hAnsiTheme="minorHAnsi" w:cstheme="minorHAnsi"/>
          <w:noProof/>
        </w:rPr>
        <w:t>(Delfabbro, et al., 2005)</w:t>
      </w:r>
      <w:r>
        <w:rPr>
          <w:rFonts w:asciiTheme="minorHAnsi" w:hAnsiTheme="minorHAnsi" w:cstheme="minorHAnsi"/>
        </w:rPr>
        <w:t>.</w:t>
      </w:r>
      <w:r w:rsidRPr="00C45991">
        <w:rPr>
          <w:rFonts w:asciiTheme="minorHAnsi" w:hAnsiTheme="minorHAnsi" w:cstheme="minorHAnsi"/>
        </w:rPr>
        <w:t xml:space="preserve"> </w:t>
      </w:r>
      <w:r>
        <w:rPr>
          <w:rFonts w:asciiTheme="minorHAnsi" w:hAnsiTheme="minorHAnsi" w:cstheme="minorHAnsi"/>
        </w:rPr>
        <w:t xml:space="preserve"> </w:t>
      </w:r>
      <w:r w:rsidRPr="00C45991">
        <w:rPr>
          <w:rFonts w:asciiTheme="minorHAnsi" w:hAnsiTheme="minorHAnsi" w:cstheme="minorHAnsi"/>
        </w:rPr>
        <w:t>Research from New Zealand has also indicated that Internet-based gambling is not widely undertaken by young people</w:t>
      </w:r>
      <w:r>
        <w:rPr>
          <w:rFonts w:asciiTheme="minorHAnsi" w:hAnsiTheme="minorHAnsi" w:cstheme="minorHAnsi"/>
        </w:rPr>
        <w:t xml:space="preserve"> </w:t>
      </w:r>
      <w:r>
        <w:rPr>
          <w:rFonts w:asciiTheme="minorHAnsi" w:hAnsiTheme="minorHAnsi" w:cstheme="minorHAnsi"/>
          <w:noProof/>
        </w:rPr>
        <w:t>(Rossen, et al., 2011)</w:t>
      </w:r>
      <w:r>
        <w:rPr>
          <w:rFonts w:asciiTheme="minorHAnsi" w:hAnsiTheme="minorHAnsi" w:cstheme="minorHAnsi"/>
        </w:rPr>
        <w:t xml:space="preserve">, with other data indicating that this is </w:t>
      </w:r>
      <w:r w:rsidRPr="00C45991">
        <w:rPr>
          <w:rFonts w:asciiTheme="minorHAnsi" w:hAnsiTheme="minorHAnsi" w:cstheme="minorHAnsi"/>
        </w:rPr>
        <w:t>due to a lack of interest or because it was considered a waste of time/money</w:t>
      </w:r>
      <w:r w:rsidRPr="00C45991">
        <w:rPr>
          <w:rFonts w:asciiTheme="minorHAnsi" w:hAnsiTheme="minorHAnsi" w:cstheme="minorHAnsi"/>
          <w:i/>
        </w:rPr>
        <w:t xml:space="preserve"> </w:t>
      </w:r>
      <w:r w:rsidRPr="00C45991">
        <w:rPr>
          <w:rFonts w:asciiTheme="minorHAnsi" w:hAnsiTheme="minorHAnsi" w:cstheme="minorHAnsi"/>
          <w:noProof/>
        </w:rPr>
        <w:t>(Department of Internal Affairs, 2008)</w:t>
      </w:r>
      <w:r>
        <w:rPr>
          <w:rFonts w:asciiTheme="minorHAnsi" w:hAnsiTheme="minorHAnsi" w:cstheme="minorHAnsi"/>
        </w:rPr>
        <w:t xml:space="preserve">. </w:t>
      </w:r>
      <w:r w:rsidRPr="00C45991">
        <w:rPr>
          <w:rFonts w:asciiTheme="minorHAnsi" w:hAnsiTheme="minorHAnsi" w:cstheme="minorHAnsi"/>
        </w:rPr>
        <w:t xml:space="preserve">A recent review of adolescent gambling on the Internet concluded that despite the variations in reported participation rates, a small but important minority of adolescents do take part in this mode of gambling </w:t>
      </w:r>
      <w:r w:rsidRPr="00C45991">
        <w:rPr>
          <w:rFonts w:asciiTheme="minorHAnsi" w:hAnsiTheme="minorHAnsi" w:cstheme="minorHAnsi"/>
          <w:noProof/>
        </w:rPr>
        <w:t>(Griffiths &amp; Parke, 2010)</w:t>
      </w:r>
      <w:r w:rsidRPr="00C45991">
        <w:rPr>
          <w:rFonts w:asciiTheme="minorHAnsi" w:hAnsiTheme="minorHAnsi" w:cstheme="minorHAnsi"/>
        </w:rPr>
        <w:t>.</w:t>
      </w:r>
    </w:p>
    <w:p w:rsidR="00043311" w:rsidRPr="00C33C74" w:rsidRDefault="00043311" w:rsidP="0042130F">
      <w:pPr>
        <w:pStyle w:val="Heading4"/>
        <w:spacing w:line="360" w:lineRule="auto"/>
        <w:rPr>
          <w:rFonts w:asciiTheme="minorHAnsi" w:hAnsiTheme="minorHAnsi" w:cstheme="minorHAnsi"/>
          <w:b w:val="0"/>
          <w:i/>
        </w:rPr>
      </w:pPr>
      <w:r w:rsidRPr="00C33C74">
        <w:rPr>
          <w:rFonts w:asciiTheme="minorHAnsi" w:hAnsiTheme="minorHAnsi" w:cstheme="minorHAnsi"/>
          <w:b w:val="0"/>
          <w:i/>
        </w:rPr>
        <w:t xml:space="preserve"> Social context of gambling</w:t>
      </w:r>
    </w:p>
    <w:p w:rsidR="002D69F1" w:rsidRDefault="00043311" w:rsidP="002D69F1">
      <w:pPr>
        <w:spacing w:line="360" w:lineRule="auto"/>
        <w:rPr>
          <w:rFonts w:asciiTheme="minorHAnsi" w:hAnsiTheme="minorHAnsi" w:cstheme="minorHAnsi"/>
        </w:rPr>
      </w:pPr>
      <w:r w:rsidRPr="00C33C74">
        <w:rPr>
          <w:rFonts w:asciiTheme="minorHAnsi" w:hAnsiTheme="minorHAnsi" w:cstheme="minorHAnsi"/>
        </w:rPr>
        <w:t>The social context of gambling was investigated as part of an Australian study on adolescent gambling and problem gambling</w:t>
      </w:r>
      <w:r>
        <w:rPr>
          <w:rFonts w:asciiTheme="minorHAnsi" w:hAnsiTheme="minorHAnsi" w:cstheme="minorHAnsi"/>
        </w:rPr>
        <w:t xml:space="preserve"> </w:t>
      </w:r>
      <w:r>
        <w:rPr>
          <w:rFonts w:asciiTheme="minorHAnsi" w:hAnsiTheme="minorHAnsi" w:cstheme="minorHAnsi"/>
          <w:noProof/>
        </w:rPr>
        <w:t>(Delfabbro, et al., 2005)</w:t>
      </w:r>
      <w:r w:rsidRPr="00C33C74">
        <w:rPr>
          <w:rFonts w:asciiTheme="minorHAnsi" w:hAnsiTheme="minorHAnsi" w:cstheme="minorHAnsi"/>
        </w:rPr>
        <w:t xml:space="preserve">. Respondents were asked to indicate the circumstances in which they gambled, with a summary of the results displayed in Table 2. </w:t>
      </w:r>
    </w:p>
    <w:p w:rsidR="00043311" w:rsidRPr="008B5AC1" w:rsidRDefault="008B5AC1" w:rsidP="00982130">
      <w:pPr>
        <w:pStyle w:val="Caption"/>
        <w:keepNext/>
        <w:spacing w:line="240" w:lineRule="auto"/>
        <w:rPr>
          <w:rFonts w:asciiTheme="minorHAnsi" w:hAnsiTheme="minorHAnsi" w:cstheme="minorHAnsi"/>
        </w:rPr>
      </w:pPr>
      <w:bookmarkStart w:id="49" w:name="_Toc367285385"/>
      <w:r w:rsidRPr="008B5AC1">
        <w:rPr>
          <w:rFonts w:asciiTheme="minorHAnsi" w:hAnsiTheme="minorHAnsi"/>
        </w:rPr>
        <w:t xml:space="preserve">Table </w:t>
      </w:r>
      <w:r w:rsidR="007B447B" w:rsidRPr="008B5AC1">
        <w:rPr>
          <w:rFonts w:asciiTheme="minorHAnsi" w:hAnsiTheme="minorHAnsi"/>
        </w:rPr>
        <w:fldChar w:fldCharType="begin"/>
      </w:r>
      <w:r w:rsidRPr="008B5AC1">
        <w:rPr>
          <w:rFonts w:asciiTheme="minorHAnsi" w:hAnsiTheme="minorHAnsi"/>
        </w:rPr>
        <w:instrText xml:space="preserve"> SEQ Table \* ARABIC </w:instrText>
      </w:r>
      <w:r w:rsidR="007B447B" w:rsidRPr="008B5AC1">
        <w:rPr>
          <w:rFonts w:asciiTheme="minorHAnsi" w:hAnsiTheme="minorHAnsi"/>
        </w:rPr>
        <w:fldChar w:fldCharType="separate"/>
      </w:r>
      <w:r w:rsidR="009E3D1C">
        <w:rPr>
          <w:rFonts w:asciiTheme="minorHAnsi" w:hAnsiTheme="minorHAnsi"/>
          <w:noProof/>
        </w:rPr>
        <w:t>2</w:t>
      </w:r>
      <w:r w:rsidR="007B447B" w:rsidRPr="008B5AC1">
        <w:rPr>
          <w:rFonts w:asciiTheme="minorHAnsi" w:hAnsiTheme="minorHAnsi"/>
        </w:rPr>
        <w:fldChar w:fldCharType="end"/>
      </w:r>
      <w:r w:rsidRPr="008B5AC1">
        <w:rPr>
          <w:rFonts w:asciiTheme="minorHAnsi" w:hAnsiTheme="minorHAnsi"/>
        </w:rPr>
        <w:t xml:space="preserve">: </w:t>
      </w:r>
      <w:r w:rsidRPr="008B5AC1">
        <w:rPr>
          <w:rFonts w:asciiTheme="minorHAnsi" w:hAnsiTheme="minorHAnsi" w:cstheme="minorHAnsi"/>
        </w:rPr>
        <w:t xml:space="preserve">The social context of gambling – </w:t>
      </w:r>
      <w:r>
        <w:rPr>
          <w:rFonts w:asciiTheme="minorHAnsi" w:hAnsiTheme="minorHAnsi" w:cstheme="minorHAnsi"/>
        </w:rPr>
        <w:t>who do adolescents gamble with?</w:t>
      </w:r>
      <w:bookmarkEnd w:id="49"/>
    </w:p>
    <w:tbl>
      <w:tblPr>
        <w:tblW w:w="0" w:type="auto"/>
        <w:jc w:val="center"/>
        <w:tblInd w:w="-654" w:type="dxa"/>
        <w:tblLook w:val="00A0" w:firstRow="1" w:lastRow="0" w:firstColumn="1" w:lastColumn="0" w:noHBand="0" w:noVBand="0"/>
      </w:tblPr>
      <w:tblGrid>
        <w:gridCol w:w="1468"/>
        <w:gridCol w:w="708"/>
        <w:gridCol w:w="1625"/>
        <w:gridCol w:w="1626"/>
        <w:gridCol w:w="1626"/>
        <w:gridCol w:w="1626"/>
        <w:gridCol w:w="1626"/>
      </w:tblGrid>
      <w:tr w:rsidR="00043311" w:rsidRPr="002125CC" w:rsidTr="0042130F">
        <w:trPr>
          <w:jc w:val="center"/>
        </w:trPr>
        <w:tc>
          <w:tcPr>
            <w:tcW w:w="1468" w:type="dxa"/>
            <w:tcBorders>
              <w:top w:val="single" w:sz="6" w:space="0" w:color="auto"/>
              <w:left w:val="single" w:sz="6" w:space="0" w:color="auto"/>
              <w:bottom w:val="single" w:sz="4" w:space="0" w:color="auto"/>
              <w:right w:val="single" w:sz="4" w:space="0" w:color="auto"/>
            </w:tcBorders>
            <w:shd w:val="clear" w:color="auto" w:fill="8DB3E2"/>
          </w:tcPr>
          <w:p w:rsidR="00043311" w:rsidRPr="002125CC" w:rsidRDefault="00043311" w:rsidP="0042130F">
            <w:pPr>
              <w:spacing w:before="0" w:line="240" w:lineRule="auto"/>
              <w:jc w:val="center"/>
              <w:rPr>
                <w:rFonts w:asciiTheme="minorHAnsi" w:hAnsiTheme="minorHAnsi" w:cstheme="minorHAnsi"/>
                <w:b/>
                <w:sz w:val="20"/>
                <w:szCs w:val="20"/>
              </w:rPr>
            </w:pPr>
          </w:p>
        </w:tc>
        <w:tc>
          <w:tcPr>
            <w:tcW w:w="708" w:type="dxa"/>
            <w:tcBorders>
              <w:top w:val="single" w:sz="6" w:space="0" w:color="auto"/>
              <w:left w:val="single" w:sz="4" w:space="0" w:color="auto"/>
              <w:bottom w:val="single" w:sz="4" w:space="0" w:color="auto"/>
              <w:right w:val="single" w:sz="4" w:space="0" w:color="auto"/>
            </w:tcBorders>
            <w:shd w:val="clear" w:color="auto" w:fill="8DB3E2"/>
          </w:tcPr>
          <w:p w:rsidR="00043311" w:rsidRDefault="00043311" w:rsidP="0042130F">
            <w:pPr>
              <w:spacing w:before="0" w:line="240" w:lineRule="auto"/>
              <w:jc w:val="center"/>
              <w:rPr>
                <w:rFonts w:asciiTheme="minorHAnsi" w:hAnsiTheme="minorHAnsi" w:cstheme="minorHAnsi"/>
                <w:b/>
                <w:sz w:val="20"/>
                <w:szCs w:val="20"/>
              </w:rPr>
            </w:pPr>
          </w:p>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N</w:t>
            </w:r>
          </w:p>
        </w:tc>
        <w:tc>
          <w:tcPr>
            <w:tcW w:w="1625" w:type="dxa"/>
            <w:tcBorders>
              <w:top w:val="single" w:sz="6" w:space="0" w:color="auto"/>
              <w:left w:val="single" w:sz="4" w:space="0" w:color="auto"/>
              <w:bottom w:val="single" w:sz="4" w:space="0" w:color="auto"/>
              <w:right w:val="single" w:sz="4" w:space="0" w:color="auto"/>
            </w:tcBorders>
            <w:shd w:val="clear" w:color="auto" w:fill="8DB3E2"/>
          </w:tcPr>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Alone</w:t>
            </w:r>
          </w:p>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n</w:t>
            </w:r>
          </w:p>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 xml:space="preserve"> (%)</w:t>
            </w:r>
          </w:p>
        </w:tc>
        <w:tc>
          <w:tcPr>
            <w:tcW w:w="1626" w:type="dxa"/>
            <w:tcBorders>
              <w:top w:val="single" w:sz="6" w:space="0" w:color="auto"/>
              <w:left w:val="single" w:sz="4" w:space="0" w:color="auto"/>
              <w:bottom w:val="single" w:sz="4" w:space="0" w:color="auto"/>
              <w:right w:val="single" w:sz="4" w:space="0" w:color="auto"/>
            </w:tcBorders>
            <w:shd w:val="clear" w:color="auto" w:fill="8DB3E2"/>
          </w:tcPr>
          <w:p w:rsidR="00043311" w:rsidRPr="002125CC" w:rsidRDefault="00043311" w:rsidP="0042130F">
            <w:pPr>
              <w:spacing w:before="0" w:line="240" w:lineRule="auto"/>
              <w:jc w:val="center"/>
              <w:rPr>
                <w:rFonts w:asciiTheme="minorHAnsi" w:hAnsiTheme="minorHAnsi" w:cstheme="minorHAnsi"/>
                <w:b/>
                <w:sz w:val="20"/>
                <w:szCs w:val="20"/>
              </w:rPr>
            </w:pPr>
            <w:r>
              <w:rPr>
                <w:rFonts w:asciiTheme="minorHAnsi" w:hAnsiTheme="minorHAnsi" w:cstheme="minorHAnsi"/>
                <w:b/>
                <w:sz w:val="20"/>
                <w:szCs w:val="20"/>
              </w:rPr>
              <w:t>P</w:t>
            </w:r>
            <w:r w:rsidRPr="002125CC">
              <w:rPr>
                <w:rFonts w:asciiTheme="minorHAnsi" w:hAnsiTheme="minorHAnsi" w:cstheme="minorHAnsi"/>
                <w:b/>
                <w:sz w:val="20"/>
                <w:szCs w:val="20"/>
              </w:rPr>
              <w:t>arents</w:t>
            </w:r>
          </w:p>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 xml:space="preserve">n </w:t>
            </w:r>
          </w:p>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w:t>
            </w:r>
          </w:p>
        </w:tc>
        <w:tc>
          <w:tcPr>
            <w:tcW w:w="1626" w:type="dxa"/>
            <w:tcBorders>
              <w:top w:val="single" w:sz="6" w:space="0" w:color="auto"/>
              <w:left w:val="single" w:sz="4" w:space="0" w:color="auto"/>
              <w:bottom w:val="single" w:sz="4" w:space="0" w:color="auto"/>
              <w:right w:val="single" w:sz="4" w:space="0" w:color="auto"/>
            </w:tcBorders>
            <w:shd w:val="clear" w:color="auto" w:fill="8DB3E2"/>
          </w:tcPr>
          <w:p w:rsidR="00043311" w:rsidRPr="002125CC" w:rsidRDefault="00043311" w:rsidP="0042130F">
            <w:pPr>
              <w:spacing w:before="0" w:line="240" w:lineRule="auto"/>
              <w:jc w:val="center"/>
              <w:rPr>
                <w:rFonts w:asciiTheme="minorHAnsi" w:hAnsiTheme="minorHAnsi" w:cstheme="minorHAnsi"/>
                <w:b/>
                <w:sz w:val="20"/>
                <w:szCs w:val="20"/>
              </w:rPr>
            </w:pPr>
            <w:r>
              <w:rPr>
                <w:rFonts w:asciiTheme="minorHAnsi" w:hAnsiTheme="minorHAnsi" w:cstheme="minorHAnsi"/>
                <w:b/>
                <w:sz w:val="20"/>
                <w:szCs w:val="20"/>
              </w:rPr>
              <w:t>S</w:t>
            </w:r>
            <w:r w:rsidRPr="002125CC">
              <w:rPr>
                <w:rFonts w:asciiTheme="minorHAnsi" w:hAnsiTheme="minorHAnsi" w:cstheme="minorHAnsi"/>
                <w:b/>
                <w:sz w:val="20"/>
                <w:szCs w:val="20"/>
              </w:rPr>
              <w:t>iblings</w:t>
            </w:r>
          </w:p>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 xml:space="preserve">n </w:t>
            </w:r>
          </w:p>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w:t>
            </w:r>
          </w:p>
        </w:tc>
        <w:tc>
          <w:tcPr>
            <w:tcW w:w="1626" w:type="dxa"/>
            <w:tcBorders>
              <w:top w:val="single" w:sz="6" w:space="0" w:color="auto"/>
              <w:left w:val="single" w:sz="4" w:space="0" w:color="auto"/>
              <w:bottom w:val="single" w:sz="4" w:space="0" w:color="auto"/>
              <w:right w:val="single" w:sz="4" w:space="0" w:color="auto"/>
            </w:tcBorders>
            <w:shd w:val="clear" w:color="auto" w:fill="8DB3E2"/>
          </w:tcPr>
          <w:p w:rsidR="00043311" w:rsidRPr="002125CC" w:rsidRDefault="00043311" w:rsidP="0042130F">
            <w:pPr>
              <w:spacing w:before="0" w:line="240" w:lineRule="auto"/>
              <w:jc w:val="center"/>
              <w:rPr>
                <w:rFonts w:asciiTheme="minorHAnsi" w:hAnsiTheme="minorHAnsi" w:cstheme="minorHAnsi"/>
                <w:b/>
                <w:sz w:val="20"/>
                <w:szCs w:val="20"/>
              </w:rPr>
            </w:pPr>
            <w:r>
              <w:rPr>
                <w:rFonts w:asciiTheme="minorHAnsi" w:hAnsiTheme="minorHAnsi" w:cstheme="minorHAnsi"/>
                <w:b/>
                <w:sz w:val="20"/>
                <w:szCs w:val="20"/>
              </w:rPr>
              <w:t>O</w:t>
            </w:r>
            <w:r w:rsidRPr="002125CC">
              <w:rPr>
                <w:rFonts w:asciiTheme="minorHAnsi" w:hAnsiTheme="minorHAnsi" w:cstheme="minorHAnsi"/>
                <w:b/>
                <w:sz w:val="20"/>
                <w:szCs w:val="20"/>
              </w:rPr>
              <w:t>ther relatives</w:t>
            </w:r>
          </w:p>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 xml:space="preserve">n </w:t>
            </w:r>
          </w:p>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w:t>
            </w:r>
          </w:p>
        </w:tc>
        <w:tc>
          <w:tcPr>
            <w:tcW w:w="1626" w:type="dxa"/>
            <w:tcBorders>
              <w:top w:val="single" w:sz="6" w:space="0" w:color="auto"/>
              <w:left w:val="single" w:sz="4" w:space="0" w:color="auto"/>
              <w:bottom w:val="single" w:sz="4" w:space="0" w:color="auto"/>
              <w:right w:val="single" w:sz="6" w:space="0" w:color="auto"/>
            </w:tcBorders>
            <w:shd w:val="clear" w:color="auto" w:fill="8DB3E2"/>
          </w:tcPr>
          <w:p w:rsidR="00043311" w:rsidRPr="002125CC" w:rsidRDefault="00043311" w:rsidP="0042130F">
            <w:pPr>
              <w:spacing w:before="0" w:line="240" w:lineRule="auto"/>
              <w:jc w:val="center"/>
              <w:rPr>
                <w:rFonts w:asciiTheme="minorHAnsi" w:hAnsiTheme="minorHAnsi" w:cstheme="minorHAnsi"/>
                <w:b/>
                <w:sz w:val="20"/>
                <w:szCs w:val="20"/>
              </w:rPr>
            </w:pPr>
            <w:r>
              <w:rPr>
                <w:rFonts w:asciiTheme="minorHAnsi" w:hAnsiTheme="minorHAnsi" w:cstheme="minorHAnsi"/>
                <w:b/>
                <w:sz w:val="20"/>
                <w:szCs w:val="20"/>
              </w:rPr>
              <w:t>F</w:t>
            </w:r>
            <w:r w:rsidRPr="002125CC">
              <w:rPr>
                <w:rFonts w:asciiTheme="minorHAnsi" w:hAnsiTheme="minorHAnsi" w:cstheme="minorHAnsi"/>
                <w:b/>
                <w:sz w:val="20"/>
                <w:szCs w:val="20"/>
              </w:rPr>
              <w:t>riends</w:t>
            </w:r>
          </w:p>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 xml:space="preserve">n </w:t>
            </w:r>
          </w:p>
          <w:p w:rsidR="00043311" w:rsidRPr="002125CC" w:rsidRDefault="00043311" w:rsidP="0042130F">
            <w:pPr>
              <w:spacing w:before="0" w:line="240" w:lineRule="auto"/>
              <w:jc w:val="center"/>
              <w:rPr>
                <w:rFonts w:asciiTheme="minorHAnsi" w:hAnsiTheme="minorHAnsi" w:cstheme="minorHAnsi"/>
                <w:b/>
                <w:sz w:val="20"/>
                <w:szCs w:val="20"/>
              </w:rPr>
            </w:pPr>
            <w:r w:rsidRPr="002125CC">
              <w:rPr>
                <w:rFonts w:asciiTheme="minorHAnsi" w:hAnsiTheme="minorHAnsi" w:cstheme="minorHAnsi"/>
                <w:b/>
                <w:sz w:val="20"/>
                <w:szCs w:val="20"/>
              </w:rPr>
              <w:t>(%)</w:t>
            </w:r>
          </w:p>
        </w:tc>
      </w:tr>
      <w:tr w:rsidR="00043311" w:rsidRPr="002125CC" w:rsidTr="0042130F">
        <w:trPr>
          <w:jc w:val="center"/>
        </w:trPr>
        <w:tc>
          <w:tcPr>
            <w:tcW w:w="146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left"/>
              <w:rPr>
                <w:rFonts w:asciiTheme="minorHAnsi" w:hAnsiTheme="minorHAnsi" w:cstheme="minorHAnsi"/>
                <w:sz w:val="20"/>
                <w:szCs w:val="20"/>
              </w:rPr>
            </w:pPr>
            <w:r w:rsidRPr="002125CC">
              <w:rPr>
                <w:rFonts w:asciiTheme="minorHAnsi" w:hAnsiTheme="minorHAnsi" w:cstheme="minorHAnsi"/>
                <w:sz w:val="20"/>
                <w:szCs w:val="20"/>
              </w:rPr>
              <w:t>Card games</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418</w:t>
            </w:r>
          </w:p>
        </w:tc>
        <w:tc>
          <w:tcPr>
            <w:tcW w:w="1625"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55</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(13.2)</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28</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(6.7)</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46</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(11.0)</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33</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(7.9)</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150</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(35.9)</w:t>
            </w:r>
          </w:p>
        </w:tc>
      </w:tr>
      <w:tr w:rsidR="00043311" w:rsidRPr="002125CC" w:rsidTr="0042130F">
        <w:trPr>
          <w:jc w:val="center"/>
        </w:trPr>
        <w:tc>
          <w:tcPr>
            <w:tcW w:w="146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left"/>
              <w:rPr>
                <w:rFonts w:asciiTheme="minorHAnsi" w:hAnsiTheme="minorHAnsi" w:cstheme="minorHAnsi"/>
                <w:sz w:val="20"/>
                <w:szCs w:val="20"/>
              </w:rPr>
            </w:pPr>
            <w:r w:rsidRPr="002125CC">
              <w:rPr>
                <w:rFonts w:asciiTheme="minorHAnsi" w:hAnsiTheme="minorHAnsi" w:cstheme="minorHAnsi"/>
                <w:sz w:val="20"/>
                <w:szCs w:val="20"/>
              </w:rPr>
              <w:t>Poker/EGMs</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172</w:t>
            </w:r>
          </w:p>
        </w:tc>
        <w:tc>
          <w:tcPr>
            <w:tcW w:w="1625"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67</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(39.0)</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32</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(18.6)</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6</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(3.5)</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10</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(5.8)</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45</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(26.2)</w:t>
            </w:r>
          </w:p>
        </w:tc>
      </w:tr>
      <w:tr w:rsidR="00043311" w:rsidRPr="002125CC" w:rsidTr="0042130F">
        <w:trPr>
          <w:jc w:val="center"/>
        </w:trPr>
        <w:tc>
          <w:tcPr>
            <w:tcW w:w="146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left"/>
              <w:rPr>
                <w:rFonts w:asciiTheme="minorHAnsi" w:hAnsiTheme="minorHAnsi" w:cstheme="minorHAnsi"/>
                <w:sz w:val="20"/>
                <w:szCs w:val="20"/>
              </w:rPr>
            </w:pPr>
            <w:r w:rsidRPr="002125CC">
              <w:rPr>
                <w:rFonts w:asciiTheme="minorHAnsi" w:hAnsiTheme="minorHAnsi" w:cstheme="minorHAnsi"/>
                <w:sz w:val="20"/>
                <w:szCs w:val="20"/>
              </w:rPr>
              <w:t>Racing</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318</w:t>
            </w:r>
          </w:p>
        </w:tc>
        <w:tc>
          <w:tcPr>
            <w:tcW w:w="1625"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59</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(18.6)</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150</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(47.2)</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12</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(3.8)</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20</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(6.3)</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33</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(10.4)</w:t>
            </w:r>
          </w:p>
        </w:tc>
      </w:tr>
      <w:tr w:rsidR="00043311" w:rsidRPr="002125CC" w:rsidTr="0042130F">
        <w:trPr>
          <w:jc w:val="center"/>
        </w:trPr>
        <w:tc>
          <w:tcPr>
            <w:tcW w:w="146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left"/>
              <w:rPr>
                <w:rFonts w:asciiTheme="minorHAnsi" w:hAnsiTheme="minorHAnsi" w:cstheme="minorHAnsi"/>
                <w:sz w:val="20"/>
                <w:szCs w:val="20"/>
              </w:rPr>
            </w:pPr>
            <w:r w:rsidRPr="002125CC">
              <w:rPr>
                <w:rFonts w:asciiTheme="minorHAnsi" w:hAnsiTheme="minorHAnsi" w:cstheme="minorHAnsi"/>
                <w:sz w:val="20"/>
                <w:szCs w:val="20"/>
              </w:rPr>
              <w:t>Sports betting</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272</w:t>
            </w:r>
          </w:p>
        </w:tc>
        <w:tc>
          <w:tcPr>
            <w:tcW w:w="1625"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59</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(21.7)</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70</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(25.7)</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20</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(7.4)</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22</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(8.1)</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66</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(24.3)</w:t>
            </w:r>
          </w:p>
        </w:tc>
      </w:tr>
      <w:tr w:rsidR="00043311" w:rsidRPr="002125CC" w:rsidTr="0042130F">
        <w:trPr>
          <w:jc w:val="center"/>
        </w:trPr>
        <w:tc>
          <w:tcPr>
            <w:tcW w:w="146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left"/>
              <w:rPr>
                <w:rFonts w:asciiTheme="minorHAnsi" w:hAnsiTheme="minorHAnsi" w:cstheme="minorHAnsi"/>
                <w:sz w:val="20"/>
                <w:szCs w:val="20"/>
              </w:rPr>
            </w:pPr>
            <w:r w:rsidRPr="002125CC">
              <w:rPr>
                <w:rFonts w:asciiTheme="minorHAnsi" w:hAnsiTheme="minorHAnsi" w:cstheme="minorHAnsi"/>
                <w:sz w:val="20"/>
                <w:szCs w:val="20"/>
              </w:rPr>
              <w:t>Lotteries</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250</w:t>
            </w:r>
          </w:p>
        </w:tc>
        <w:tc>
          <w:tcPr>
            <w:tcW w:w="1625"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63</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(25.2)</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138</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(55.2)</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10</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(4.0)</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14</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(5.6)</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12</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(4.8)</w:t>
            </w:r>
          </w:p>
        </w:tc>
      </w:tr>
      <w:tr w:rsidR="00043311" w:rsidRPr="002125CC" w:rsidTr="0042130F">
        <w:trPr>
          <w:jc w:val="center"/>
        </w:trPr>
        <w:tc>
          <w:tcPr>
            <w:tcW w:w="146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left"/>
              <w:rPr>
                <w:rFonts w:asciiTheme="minorHAnsi" w:hAnsiTheme="minorHAnsi" w:cstheme="minorHAnsi"/>
                <w:sz w:val="20"/>
                <w:szCs w:val="20"/>
              </w:rPr>
            </w:pPr>
            <w:r w:rsidRPr="002125CC">
              <w:rPr>
                <w:rFonts w:asciiTheme="minorHAnsi" w:hAnsiTheme="minorHAnsi" w:cstheme="minorHAnsi"/>
                <w:sz w:val="20"/>
                <w:szCs w:val="20"/>
              </w:rPr>
              <w:t>Scratchies</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382</w:t>
            </w:r>
          </w:p>
        </w:tc>
        <w:tc>
          <w:tcPr>
            <w:tcW w:w="1625"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92</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(24.1)</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184</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(48.2)</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19</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(5.0)</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31</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(8.1)</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18</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(4.7)</w:t>
            </w:r>
          </w:p>
        </w:tc>
      </w:tr>
      <w:tr w:rsidR="00043311" w:rsidRPr="002125CC" w:rsidTr="0042130F">
        <w:trPr>
          <w:jc w:val="center"/>
        </w:trPr>
        <w:tc>
          <w:tcPr>
            <w:tcW w:w="146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left"/>
              <w:rPr>
                <w:rFonts w:asciiTheme="minorHAnsi" w:hAnsiTheme="minorHAnsi" w:cstheme="minorHAnsi"/>
                <w:sz w:val="20"/>
                <w:szCs w:val="20"/>
              </w:rPr>
            </w:pPr>
            <w:r w:rsidRPr="002125CC">
              <w:rPr>
                <w:rFonts w:asciiTheme="minorHAnsi" w:hAnsiTheme="minorHAnsi" w:cstheme="minorHAnsi"/>
                <w:sz w:val="20"/>
                <w:szCs w:val="20"/>
              </w:rPr>
              <w:t>Internet</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center"/>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114</w:t>
            </w:r>
          </w:p>
        </w:tc>
        <w:tc>
          <w:tcPr>
            <w:tcW w:w="1625"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79</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(69.3)</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11</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(9.6)</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4</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(3.5)</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(0.9)</w:t>
            </w:r>
          </w:p>
        </w:tc>
        <w:tc>
          <w:tcPr>
            <w:tcW w:w="1626" w:type="dxa"/>
            <w:tcBorders>
              <w:top w:val="single" w:sz="4" w:space="0" w:color="auto"/>
              <w:left w:val="single" w:sz="4" w:space="0" w:color="auto"/>
              <w:bottom w:val="single" w:sz="4" w:space="0" w:color="auto"/>
              <w:right w:val="single" w:sz="4" w:space="0" w:color="auto"/>
            </w:tcBorders>
            <w:shd w:val="clear" w:color="auto" w:fill="DBE5F1"/>
          </w:tcPr>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13</w:t>
            </w:r>
          </w:p>
          <w:p w:rsidR="00043311" w:rsidRPr="002125CC" w:rsidRDefault="00043311" w:rsidP="0042130F">
            <w:pPr>
              <w:spacing w:before="0" w:line="240" w:lineRule="auto"/>
              <w:jc w:val="center"/>
              <w:rPr>
                <w:rFonts w:asciiTheme="minorHAnsi" w:hAnsiTheme="minorHAnsi" w:cstheme="minorHAnsi"/>
                <w:sz w:val="20"/>
                <w:szCs w:val="20"/>
              </w:rPr>
            </w:pPr>
            <w:r w:rsidRPr="002125CC">
              <w:rPr>
                <w:rFonts w:asciiTheme="minorHAnsi" w:hAnsiTheme="minorHAnsi" w:cstheme="minorHAnsi"/>
                <w:sz w:val="20"/>
                <w:szCs w:val="20"/>
              </w:rPr>
              <w:t>(11.4)</w:t>
            </w:r>
          </w:p>
        </w:tc>
      </w:tr>
    </w:tbl>
    <w:p w:rsidR="00043311" w:rsidRPr="007A4C04" w:rsidDel="002D69F1" w:rsidRDefault="00043311" w:rsidP="0042130F">
      <w:pPr>
        <w:spacing w:line="360" w:lineRule="auto"/>
        <w:rPr>
          <w:rFonts w:asciiTheme="minorHAnsi" w:hAnsiTheme="minorHAnsi" w:cstheme="minorHAnsi"/>
        </w:rPr>
      </w:pPr>
      <w:r w:rsidRPr="007A4C04" w:rsidDel="002D69F1">
        <w:rPr>
          <w:rFonts w:asciiTheme="minorHAnsi" w:hAnsiTheme="minorHAnsi" w:cstheme="minorHAnsi"/>
        </w:rPr>
        <w:t xml:space="preserve">As can be observed from Table 2, the results indicate that the social contexts vary across the different forms of gambling. For example, whilst card games are more likely to be undertaken with friends, Internet gambling and </w:t>
      </w:r>
      <w:r w:rsidRPr="007A4C04" w:rsidDel="002D69F1">
        <w:rPr>
          <w:rFonts w:asciiTheme="minorHAnsi" w:hAnsiTheme="minorHAnsi" w:cstheme="minorHAnsi"/>
        </w:rPr>
        <w:lastRenderedPageBreak/>
        <w:t xml:space="preserve">playing poker/gambling machines were predominantly a solo activity. Moreover, Lotteries, scratchies and racing were commonly undertaken with parents </w:t>
      </w:r>
      <w:r w:rsidR="0096450D" w:rsidDel="002D69F1">
        <w:rPr>
          <w:rFonts w:asciiTheme="minorHAnsi" w:hAnsiTheme="minorHAnsi" w:cstheme="minorHAnsi"/>
          <w:noProof/>
        </w:rPr>
        <w:t>(</w:t>
      </w:r>
      <w:r w:rsidDel="002D69F1">
        <w:rPr>
          <w:rFonts w:asciiTheme="minorHAnsi" w:hAnsiTheme="minorHAnsi" w:cstheme="minorHAnsi"/>
          <w:noProof/>
        </w:rPr>
        <w:t>Delfabbro, et al., 2005)</w:t>
      </w:r>
      <w:r w:rsidRPr="007A4C04" w:rsidDel="002D69F1">
        <w:rPr>
          <w:rFonts w:asciiTheme="minorHAnsi" w:hAnsiTheme="minorHAnsi" w:cstheme="minorHAnsi"/>
        </w:rPr>
        <w:t xml:space="preserve">. This latter finding is in keeping with other research which has highlighted the role of parents in facilitating young people’s access to gambling activities </w:t>
      </w:r>
      <w:r w:rsidRPr="007A4C04" w:rsidDel="002D69F1">
        <w:rPr>
          <w:rFonts w:asciiTheme="minorHAnsi" w:hAnsiTheme="minorHAnsi" w:cstheme="minorHAnsi"/>
          <w:noProof/>
        </w:rPr>
        <w:t>(Griffiths &amp; Parke, 2010)</w:t>
      </w:r>
      <w:r w:rsidRPr="007A4C04" w:rsidDel="002D69F1">
        <w:rPr>
          <w:rFonts w:asciiTheme="minorHAnsi" w:hAnsiTheme="minorHAnsi" w:cstheme="minorHAnsi"/>
        </w:rPr>
        <w:t>.</w:t>
      </w:r>
    </w:p>
    <w:p w:rsidR="00043311" w:rsidRPr="006152DF" w:rsidRDefault="00043311" w:rsidP="0042130F">
      <w:pPr>
        <w:pStyle w:val="Heading3"/>
        <w:spacing w:line="360" w:lineRule="auto"/>
      </w:pPr>
      <w:bookmarkStart w:id="50" w:name="_Toc352773518"/>
      <w:bookmarkStart w:id="51" w:name="_Toc360724460"/>
      <w:bookmarkStart w:id="52" w:name="_Toc367284403"/>
      <w:r w:rsidRPr="006152DF">
        <w:t>Impacts of problematic gambling for youth</w:t>
      </w:r>
      <w:bookmarkEnd w:id="50"/>
      <w:bookmarkEnd w:id="51"/>
      <w:bookmarkEnd w:id="52"/>
    </w:p>
    <w:p w:rsidR="00043311" w:rsidRPr="006152DF" w:rsidRDefault="00043311" w:rsidP="0042130F">
      <w:pPr>
        <w:spacing w:line="360" w:lineRule="auto"/>
        <w:rPr>
          <w:rFonts w:asciiTheme="minorHAnsi" w:hAnsiTheme="minorHAnsi" w:cstheme="minorHAnsi"/>
        </w:rPr>
      </w:pPr>
      <w:r w:rsidRPr="006152DF">
        <w:rPr>
          <w:rFonts w:asciiTheme="minorHAnsi" w:hAnsiTheme="minorHAnsi" w:cstheme="minorHAnsi"/>
        </w:rPr>
        <w:t>The social and other costs of problem gambling experienced by young people have been widely reported in the literature. Indeed, research from Sweden found that whilst young people were less likely to gamble (and spent less money</w:t>
      </w:r>
      <w:r>
        <w:rPr>
          <w:rFonts w:asciiTheme="minorHAnsi" w:hAnsiTheme="minorHAnsi" w:cstheme="minorHAnsi"/>
        </w:rPr>
        <w:t>)</w:t>
      </w:r>
      <w:r w:rsidRPr="006152DF">
        <w:rPr>
          <w:rFonts w:asciiTheme="minorHAnsi" w:hAnsiTheme="minorHAnsi" w:cstheme="minorHAnsi"/>
        </w:rPr>
        <w:t xml:space="preserve"> than adults</w:t>
      </w:r>
      <w:r>
        <w:rPr>
          <w:rFonts w:asciiTheme="minorHAnsi" w:hAnsiTheme="minorHAnsi" w:cstheme="minorHAnsi"/>
        </w:rPr>
        <w:t>,</w:t>
      </w:r>
      <w:r w:rsidRPr="006152DF">
        <w:rPr>
          <w:rFonts w:asciiTheme="minorHAnsi" w:hAnsiTheme="minorHAnsi" w:cstheme="minorHAnsi"/>
        </w:rPr>
        <w:t xml:space="preserve"> they were more likely to experience gambling related problems </w:t>
      </w:r>
      <w:r>
        <w:rPr>
          <w:rFonts w:asciiTheme="minorHAnsi" w:hAnsiTheme="minorHAnsi" w:cstheme="minorHAnsi"/>
          <w:noProof/>
        </w:rPr>
        <w:t>(Volberg, et al., 2001)</w:t>
      </w:r>
      <w:r w:rsidRPr="006152DF">
        <w:rPr>
          <w:rFonts w:asciiTheme="minorHAnsi" w:hAnsiTheme="minorHAnsi" w:cstheme="minorHAnsi"/>
        </w:rPr>
        <w:t xml:space="preserve">. A summary of the key harms related to youth gambling identified within this review is provided below. </w:t>
      </w:r>
    </w:p>
    <w:p w:rsidR="00043311" w:rsidRPr="006152DF" w:rsidRDefault="00043311" w:rsidP="0042130F">
      <w:pPr>
        <w:spacing w:line="360" w:lineRule="auto"/>
        <w:rPr>
          <w:rFonts w:asciiTheme="minorHAnsi" w:hAnsiTheme="minorHAnsi" w:cstheme="minorHAnsi"/>
        </w:rPr>
      </w:pPr>
      <w:r w:rsidRPr="006152DF">
        <w:rPr>
          <w:rFonts w:asciiTheme="minorHAnsi" w:hAnsiTheme="minorHAnsi" w:cstheme="minorHAnsi"/>
          <w:i/>
        </w:rPr>
        <w:t>Young gamblers often engage in other addictive behaviours</w:t>
      </w:r>
      <w:r w:rsidRPr="006152DF">
        <w:rPr>
          <w:rFonts w:asciiTheme="minorHAnsi" w:hAnsiTheme="minorHAnsi" w:cstheme="minorHAnsi"/>
        </w:rPr>
        <w:t xml:space="preserve">, such as alcohol and other substance use, smoking etc. </w:t>
      </w:r>
      <w:r>
        <w:rPr>
          <w:rFonts w:asciiTheme="minorHAnsi" w:hAnsiTheme="minorHAnsi" w:cstheme="minorHAnsi"/>
          <w:noProof/>
        </w:rPr>
        <w:t>(Blinn-Pike, et al., 2010; Dickson, et al., 2003; Fisher, 1999; Hardoon &amp; Derevensky, 2002; Ólason, et al., 2006; Rossen, et al., 2011; Splevins, et al., 2010)</w:t>
      </w:r>
      <w:r w:rsidRPr="006152DF">
        <w:rPr>
          <w:rFonts w:asciiTheme="minorHAnsi" w:hAnsiTheme="minorHAnsi" w:cstheme="minorHAnsi"/>
        </w:rPr>
        <w:t xml:space="preserve">. Research from Canada found that youth with serious gambling problems also had more substance abuse problems, with the risk for these increasing with gambling severity </w:t>
      </w:r>
      <w:r>
        <w:rPr>
          <w:rFonts w:asciiTheme="minorHAnsi" w:hAnsiTheme="minorHAnsi" w:cstheme="minorHAnsi"/>
          <w:noProof/>
        </w:rPr>
        <w:t>(Dickson, et al., 2003)</w:t>
      </w:r>
      <w:r w:rsidRPr="006152DF">
        <w:rPr>
          <w:rFonts w:asciiTheme="minorHAnsi" w:hAnsiTheme="minorHAnsi" w:cstheme="minorHAnsi"/>
        </w:rPr>
        <w:t xml:space="preserve">. Involvement in Internet-based gambling by young people may carry additional health risks given that online gamblers are more likely to smoke cigarettes compared with non-Internet gamblers </w:t>
      </w:r>
      <w:r w:rsidRPr="006152DF">
        <w:rPr>
          <w:rFonts w:asciiTheme="minorHAnsi" w:hAnsiTheme="minorHAnsi" w:cstheme="minorHAnsi"/>
          <w:noProof/>
        </w:rPr>
        <w:t>(Griffiths &amp; Wood, 2007)</w:t>
      </w:r>
      <w:r w:rsidRPr="006152DF">
        <w:rPr>
          <w:rFonts w:asciiTheme="minorHAnsi" w:hAnsiTheme="minorHAnsi" w:cstheme="minorHAnsi"/>
        </w:rPr>
        <w:t xml:space="preserve">. Results from a British study indicated that online gamblers were also more likely than non-Internet gamblers to drink alcohol heavily in the preceding week </w:t>
      </w:r>
      <w:r w:rsidRPr="006152DF">
        <w:rPr>
          <w:rFonts w:asciiTheme="minorHAnsi" w:hAnsiTheme="minorHAnsi" w:cstheme="minorHAnsi"/>
          <w:noProof/>
        </w:rPr>
        <w:t>(Griffiths &amp; Wood, 2007)</w:t>
      </w:r>
      <w:r w:rsidRPr="006152DF">
        <w:rPr>
          <w:rFonts w:asciiTheme="minorHAnsi" w:hAnsiTheme="minorHAnsi" w:cstheme="minorHAnsi"/>
        </w:rPr>
        <w:t xml:space="preserve">. Beyond this, there is a lack of research on the relationship between adolescent problem gambling and physical health </w:t>
      </w:r>
      <w:r w:rsidRPr="006152DF">
        <w:rPr>
          <w:rFonts w:asciiTheme="minorHAnsi" w:hAnsiTheme="minorHAnsi" w:cstheme="minorHAnsi"/>
          <w:noProof/>
        </w:rPr>
        <w:t>(Valentine, 2008)</w:t>
      </w:r>
      <w:r w:rsidRPr="006152DF">
        <w:rPr>
          <w:rFonts w:asciiTheme="minorHAnsi" w:hAnsiTheme="minorHAnsi" w:cstheme="minorHAnsi"/>
        </w:rPr>
        <w:t>.</w:t>
      </w:r>
    </w:p>
    <w:p w:rsidR="00043311" w:rsidRPr="006152DF" w:rsidRDefault="00043311" w:rsidP="0042130F">
      <w:pPr>
        <w:spacing w:line="360" w:lineRule="auto"/>
        <w:rPr>
          <w:rFonts w:asciiTheme="minorHAnsi" w:hAnsiTheme="minorHAnsi" w:cstheme="minorHAnsi"/>
        </w:rPr>
      </w:pPr>
      <w:r w:rsidRPr="006152DF">
        <w:rPr>
          <w:rFonts w:asciiTheme="minorHAnsi" w:hAnsiTheme="minorHAnsi" w:cstheme="minorHAnsi"/>
        </w:rPr>
        <w:t xml:space="preserve">Problem gambling may negatively impact young people’s </w:t>
      </w:r>
      <w:r w:rsidRPr="006152DF">
        <w:rPr>
          <w:rFonts w:asciiTheme="minorHAnsi" w:hAnsiTheme="minorHAnsi" w:cstheme="minorHAnsi"/>
          <w:i/>
        </w:rPr>
        <w:t>mental health</w:t>
      </w:r>
      <w:r w:rsidRPr="006152DF">
        <w:rPr>
          <w:rFonts w:asciiTheme="minorHAnsi" w:hAnsiTheme="minorHAnsi" w:cstheme="minorHAnsi"/>
        </w:rPr>
        <w:t xml:space="preserve"> </w:t>
      </w:r>
      <w:r w:rsidRPr="006152DF">
        <w:rPr>
          <w:rFonts w:asciiTheme="minorHAnsi" w:hAnsiTheme="minorHAnsi" w:cstheme="minorHAnsi"/>
          <w:noProof/>
        </w:rPr>
        <w:t>(Gupta &amp; Derevensky, 2000; Gupta &amp; Derevensky, 1998b; Valentine, 2008)</w:t>
      </w:r>
      <w:r w:rsidRPr="006152DF">
        <w:rPr>
          <w:rFonts w:asciiTheme="minorHAnsi" w:hAnsiTheme="minorHAnsi" w:cstheme="minorHAnsi"/>
        </w:rPr>
        <w:t xml:space="preserve">. An exploration of the profile of adolescent gamblers seeking treatment identified that approximately 30% of clients met the criteria for clinical depression upon intake </w:t>
      </w:r>
      <w:r w:rsidRPr="006152DF">
        <w:rPr>
          <w:rFonts w:asciiTheme="minorHAnsi" w:hAnsiTheme="minorHAnsi" w:cstheme="minorHAnsi"/>
          <w:noProof/>
        </w:rPr>
        <w:t>(Gupta &amp; Derevensky, 2000)</w:t>
      </w:r>
      <w:r w:rsidRPr="006152DF">
        <w:rPr>
          <w:rFonts w:asciiTheme="minorHAnsi" w:hAnsiTheme="minorHAnsi" w:cstheme="minorHAnsi"/>
        </w:rPr>
        <w:t xml:space="preserve">. The direction of the relationship between gambling and depression has, however, been highlighted as an important issue to consider, given that it is not always known whether gambling has led people to a depressive state or acted as a driver for the initial development of the gambling behaviour </w:t>
      </w:r>
      <w:r w:rsidRPr="006152DF">
        <w:rPr>
          <w:rFonts w:asciiTheme="minorHAnsi" w:hAnsiTheme="minorHAnsi" w:cstheme="minorHAnsi"/>
          <w:noProof/>
        </w:rPr>
        <w:t>(Gupta &amp; Derevensky, 1998b)</w:t>
      </w:r>
      <w:r w:rsidRPr="006152DF">
        <w:rPr>
          <w:rFonts w:asciiTheme="minorHAnsi" w:hAnsiTheme="minorHAnsi" w:cstheme="minorHAnsi"/>
        </w:rPr>
        <w:t>.</w:t>
      </w:r>
    </w:p>
    <w:p w:rsidR="00043311" w:rsidRPr="006152DF" w:rsidRDefault="00043311" w:rsidP="0042130F">
      <w:pPr>
        <w:spacing w:line="360" w:lineRule="auto"/>
        <w:rPr>
          <w:rFonts w:asciiTheme="minorHAnsi" w:hAnsiTheme="minorHAnsi" w:cstheme="minorHAnsi"/>
        </w:rPr>
      </w:pPr>
      <w:r w:rsidRPr="006152DF">
        <w:rPr>
          <w:rFonts w:asciiTheme="minorHAnsi" w:hAnsiTheme="minorHAnsi" w:cstheme="minorHAnsi"/>
          <w:i/>
        </w:rPr>
        <w:t>Delinquency and crime</w:t>
      </w:r>
      <w:r w:rsidRPr="006152DF">
        <w:rPr>
          <w:rFonts w:asciiTheme="minorHAnsi" w:hAnsiTheme="minorHAnsi" w:cstheme="minorHAnsi"/>
        </w:rPr>
        <w:t xml:space="preserve"> has been identified as a potential negative impact of problem gambling </w:t>
      </w:r>
      <w:r>
        <w:rPr>
          <w:rFonts w:asciiTheme="minorHAnsi" w:hAnsiTheme="minorHAnsi" w:cstheme="minorHAnsi"/>
          <w:noProof/>
        </w:rPr>
        <w:t>(Blinn-Pike, et al., 2010; Clark &amp; Walker, 2009; Fisher, 1999; Rina Gupta &amp; Derevensky, 2000; R. Gupta &amp; Derevensky, 1998a; Hardoon &amp; Derevensky, 2002)</w:t>
      </w:r>
      <w:r w:rsidRPr="006152DF">
        <w:rPr>
          <w:rFonts w:asciiTheme="minorHAnsi" w:hAnsiTheme="minorHAnsi" w:cstheme="minorHAnsi"/>
        </w:rPr>
        <w:t xml:space="preserve">, although it has been asserted that the evidence for this relationship is less clear than other negative behaviours </w:t>
      </w:r>
      <w:r w:rsidRPr="006152DF">
        <w:rPr>
          <w:rFonts w:asciiTheme="minorHAnsi" w:hAnsiTheme="minorHAnsi" w:cstheme="minorHAnsi"/>
          <w:noProof/>
        </w:rPr>
        <w:t>(Valentine, 2008)</w:t>
      </w:r>
      <w:r w:rsidRPr="006152DF">
        <w:rPr>
          <w:rFonts w:asciiTheme="minorHAnsi" w:hAnsiTheme="minorHAnsi" w:cstheme="minorHAnsi"/>
        </w:rPr>
        <w:t>. A study involving 6145 young adults</w:t>
      </w:r>
      <w:r w:rsidRPr="006152DF">
        <w:rPr>
          <w:rStyle w:val="FootnoteReference"/>
          <w:rFonts w:asciiTheme="minorHAnsi" w:hAnsiTheme="minorHAnsi" w:cstheme="minorHAnsi"/>
        </w:rPr>
        <w:footnoteReference w:id="9"/>
      </w:r>
      <w:r w:rsidRPr="006152DF">
        <w:rPr>
          <w:rFonts w:asciiTheme="minorHAnsi" w:hAnsiTheme="minorHAnsi" w:cstheme="minorHAnsi"/>
        </w:rPr>
        <w:t xml:space="preserve"> in the US identified links </w:t>
      </w:r>
      <w:r w:rsidRPr="006152DF">
        <w:rPr>
          <w:rFonts w:asciiTheme="minorHAnsi" w:hAnsiTheme="minorHAnsi" w:cstheme="minorHAnsi"/>
        </w:rPr>
        <w:lastRenderedPageBreak/>
        <w:t xml:space="preserve">between gambling and criminal activity, particularly specific types of gambling such as cards, sports betting and horse racing; the research did not identify a relationship between lotto or casino game players and increased likelihood of committing a crime </w:t>
      </w:r>
      <w:r w:rsidRPr="006152DF">
        <w:rPr>
          <w:rFonts w:asciiTheme="minorHAnsi" w:hAnsiTheme="minorHAnsi" w:cstheme="minorHAnsi"/>
          <w:noProof/>
        </w:rPr>
        <w:t>(Clark &amp; Walker, 2009)</w:t>
      </w:r>
      <w:r w:rsidRPr="006152DF">
        <w:rPr>
          <w:rFonts w:asciiTheme="minorHAnsi" w:hAnsiTheme="minorHAnsi" w:cstheme="minorHAnsi"/>
        </w:rPr>
        <w:t xml:space="preserve">. Research which explored young people and fruit machine use found that some had stolen in order to pay for their gambling </w:t>
      </w:r>
      <w:r w:rsidRPr="006152DF">
        <w:rPr>
          <w:rFonts w:asciiTheme="minorHAnsi" w:hAnsiTheme="minorHAnsi" w:cstheme="minorHAnsi"/>
          <w:noProof/>
        </w:rPr>
        <w:t>(Huxley &amp; Carroll, 1992)</w:t>
      </w:r>
      <w:r w:rsidRPr="006152DF">
        <w:rPr>
          <w:rFonts w:asciiTheme="minorHAnsi" w:hAnsiTheme="minorHAnsi" w:cstheme="minorHAnsi"/>
        </w:rPr>
        <w:t>, and a</w:t>
      </w:r>
      <w:r>
        <w:rPr>
          <w:rFonts w:asciiTheme="minorHAnsi" w:hAnsiTheme="minorHAnsi" w:cstheme="minorHAnsi"/>
        </w:rPr>
        <w:t>n earlier</w:t>
      </w:r>
      <w:r w:rsidRPr="006152DF">
        <w:rPr>
          <w:rFonts w:asciiTheme="minorHAnsi" w:hAnsiTheme="minorHAnsi" w:cstheme="minorHAnsi"/>
        </w:rPr>
        <w:t xml:space="preserve"> study involving 12-15 year olds found that nearly half had stolen from their family as a means of funding their gambling behaviour </w:t>
      </w:r>
      <w:r w:rsidRPr="006152DF">
        <w:rPr>
          <w:rFonts w:asciiTheme="minorHAnsi" w:hAnsiTheme="minorHAnsi" w:cstheme="minorHAnsi"/>
          <w:noProof/>
        </w:rPr>
        <w:t>(Fisher, 1999)</w:t>
      </w:r>
      <w:r w:rsidRPr="006152DF">
        <w:rPr>
          <w:rFonts w:asciiTheme="minorHAnsi" w:hAnsiTheme="minorHAnsi" w:cstheme="minorHAnsi"/>
        </w:rPr>
        <w:t>.</w:t>
      </w:r>
    </w:p>
    <w:p w:rsidR="00043311" w:rsidRPr="006152DF" w:rsidRDefault="00043311" w:rsidP="0042130F">
      <w:pPr>
        <w:spacing w:line="360" w:lineRule="auto"/>
        <w:rPr>
          <w:rFonts w:asciiTheme="minorHAnsi" w:hAnsiTheme="minorHAnsi" w:cstheme="minorHAnsi"/>
        </w:rPr>
      </w:pPr>
      <w:r w:rsidRPr="006152DF">
        <w:rPr>
          <w:rFonts w:asciiTheme="minorHAnsi" w:hAnsiTheme="minorHAnsi" w:cstheme="minorHAnsi"/>
          <w:i/>
        </w:rPr>
        <w:t>Disruption to family and other relationships</w:t>
      </w:r>
      <w:r w:rsidRPr="006152DF">
        <w:rPr>
          <w:rFonts w:asciiTheme="minorHAnsi" w:hAnsiTheme="minorHAnsi" w:cstheme="minorHAnsi"/>
        </w:rPr>
        <w:t xml:space="preserve"> as a result of gambling has been reported in the literature </w:t>
      </w:r>
      <w:r>
        <w:rPr>
          <w:rFonts w:asciiTheme="minorHAnsi" w:hAnsiTheme="minorHAnsi" w:cstheme="minorHAnsi"/>
          <w:noProof/>
        </w:rPr>
        <w:t>(Blinn-Pike, et al., 2010; Fisher, 1999; Hardoon, et al., 2002; Hardoon &amp; Derevensky, 2002; Splevins, et al., 2010)</w:t>
      </w:r>
      <w:r w:rsidRPr="006152DF">
        <w:rPr>
          <w:rFonts w:asciiTheme="minorHAnsi" w:hAnsiTheme="minorHAnsi" w:cstheme="minorHAnsi"/>
        </w:rPr>
        <w:t xml:space="preserve">. Friendships and other relationships with non-gambling peers may be replaced by gambling-related associates </w:t>
      </w:r>
      <w:r>
        <w:rPr>
          <w:rFonts w:asciiTheme="minorHAnsi" w:hAnsiTheme="minorHAnsi" w:cstheme="minorHAnsi"/>
          <w:noProof/>
        </w:rPr>
        <w:t>(Blinn-Pike, et al., 2010; Fortune, et al., 2013; Gupta &amp; Derevensky, 2000)</w:t>
      </w:r>
      <w:r w:rsidRPr="006152DF">
        <w:rPr>
          <w:rFonts w:asciiTheme="minorHAnsi" w:hAnsiTheme="minorHAnsi" w:cstheme="minorHAnsi"/>
        </w:rPr>
        <w:t xml:space="preserve">. As with other addictive behaviours, when a young person’s gambling behaviour intensifies or becomes problematic, they may become increasingly socially isolated </w:t>
      </w:r>
      <w:r>
        <w:rPr>
          <w:rFonts w:asciiTheme="minorHAnsi" w:hAnsiTheme="minorHAnsi" w:cstheme="minorHAnsi"/>
          <w:noProof/>
        </w:rPr>
        <w:t>(Hardoon, et al., 2002)</w:t>
      </w:r>
      <w:r w:rsidRPr="006152DF">
        <w:rPr>
          <w:rFonts w:asciiTheme="minorHAnsi" w:hAnsiTheme="minorHAnsi" w:cstheme="minorHAnsi"/>
        </w:rPr>
        <w:t>.</w:t>
      </w:r>
    </w:p>
    <w:p w:rsidR="00043311" w:rsidRPr="006152DF" w:rsidRDefault="00043311" w:rsidP="0042130F">
      <w:pPr>
        <w:spacing w:line="360" w:lineRule="auto"/>
        <w:rPr>
          <w:rFonts w:asciiTheme="minorHAnsi" w:hAnsiTheme="minorHAnsi" w:cstheme="minorHAnsi"/>
        </w:rPr>
      </w:pPr>
      <w:r w:rsidRPr="006152DF">
        <w:rPr>
          <w:rFonts w:asciiTheme="minorHAnsi" w:hAnsiTheme="minorHAnsi" w:cstheme="minorHAnsi"/>
        </w:rPr>
        <w:t xml:space="preserve">A correlation between </w:t>
      </w:r>
      <w:r w:rsidRPr="006152DF">
        <w:rPr>
          <w:rFonts w:asciiTheme="minorHAnsi" w:hAnsiTheme="minorHAnsi" w:cstheme="minorHAnsi"/>
          <w:i/>
        </w:rPr>
        <w:t>school difficulties</w:t>
      </w:r>
      <w:r w:rsidRPr="006152DF">
        <w:rPr>
          <w:rFonts w:asciiTheme="minorHAnsi" w:hAnsiTheme="minorHAnsi" w:cstheme="minorHAnsi"/>
        </w:rPr>
        <w:t xml:space="preserve"> (e.g. truancy, reduced academic performance etc.) and problem gambling has been identified </w:t>
      </w:r>
      <w:r>
        <w:rPr>
          <w:rFonts w:asciiTheme="minorHAnsi" w:hAnsiTheme="minorHAnsi" w:cstheme="minorHAnsi"/>
          <w:noProof/>
        </w:rPr>
        <w:t>(Blinn-Pike, et al., 2010; Dickson, et al., 2008; Gupta &amp; Derevensky, 2000; Gupta &amp; Derevensky, 1998a; Hardoon &amp; Derevensky, 2002; Huxley &amp; Carroll, 1992; Lesieur, et al., 1991; Rossen, 2008; Splevins, et al., 2010)</w:t>
      </w:r>
      <w:r w:rsidRPr="006152DF">
        <w:rPr>
          <w:rFonts w:asciiTheme="minorHAnsi" w:hAnsiTheme="minorHAnsi" w:cstheme="minorHAnsi"/>
        </w:rPr>
        <w:t xml:space="preserve">, with adolescent gamblers missing school in order to participate in selected activities </w:t>
      </w:r>
      <w:r w:rsidRPr="006152DF">
        <w:rPr>
          <w:rFonts w:asciiTheme="minorHAnsi" w:hAnsiTheme="minorHAnsi" w:cstheme="minorHAnsi"/>
          <w:noProof/>
        </w:rPr>
        <w:t>(Huxley &amp; Carroll, 1992)</w:t>
      </w:r>
      <w:r w:rsidRPr="006152DF">
        <w:rPr>
          <w:rFonts w:asciiTheme="minorHAnsi" w:hAnsiTheme="minorHAnsi" w:cstheme="minorHAnsi"/>
        </w:rPr>
        <w:t xml:space="preserve"> or lacking in concentration due to their preoccupation with the behaviour </w:t>
      </w:r>
      <w:r w:rsidRPr="006152DF">
        <w:rPr>
          <w:rFonts w:asciiTheme="minorHAnsi" w:hAnsiTheme="minorHAnsi" w:cstheme="minorHAnsi"/>
          <w:noProof/>
        </w:rPr>
        <w:t>(Gupta &amp; Derevensky, 2000; Gupta &amp; Derevensky, 1998a)</w:t>
      </w:r>
      <w:r w:rsidRPr="006152DF">
        <w:rPr>
          <w:rFonts w:asciiTheme="minorHAnsi" w:hAnsiTheme="minorHAnsi" w:cstheme="minorHAnsi"/>
        </w:rPr>
        <w:t>.</w:t>
      </w:r>
    </w:p>
    <w:p w:rsidR="00043311" w:rsidRPr="006152DF" w:rsidRDefault="00043311" w:rsidP="0042130F">
      <w:pPr>
        <w:spacing w:line="360" w:lineRule="auto"/>
        <w:rPr>
          <w:rFonts w:asciiTheme="minorHAnsi" w:hAnsiTheme="minorHAnsi" w:cstheme="minorHAnsi"/>
          <w:b/>
        </w:rPr>
      </w:pPr>
      <w:r w:rsidRPr="006152DF">
        <w:rPr>
          <w:rFonts w:asciiTheme="minorHAnsi" w:hAnsiTheme="minorHAnsi" w:cstheme="minorHAnsi"/>
        </w:rPr>
        <w:t xml:space="preserve">Young people may be negatively impacted </w:t>
      </w:r>
      <w:r w:rsidRPr="006152DF">
        <w:rPr>
          <w:rFonts w:asciiTheme="minorHAnsi" w:hAnsiTheme="minorHAnsi" w:cstheme="minorHAnsi"/>
          <w:i/>
        </w:rPr>
        <w:t xml:space="preserve">financially </w:t>
      </w:r>
      <w:r w:rsidRPr="006152DF">
        <w:rPr>
          <w:rFonts w:asciiTheme="minorHAnsi" w:hAnsiTheme="minorHAnsi" w:cstheme="minorHAnsi"/>
        </w:rPr>
        <w:t xml:space="preserve">as a result of their gambling behaviour </w:t>
      </w:r>
      <w:r w:rsidRPr="006152DF">
        <w:rPr>
          <w:rFonts w:asciiTheme="minorHAnsi" w:hAnsiTheme="minorHAnsi" w:cstheme="minorHAnsi"/>
          <w:noProof/>
        </w:rPr>
        <w:t>(Fisher, 1999; Focal Research Consultants, 2008; Gupta &amp; Derevensky, 2000; Huxley &amp; Carroll, 1992)</w:t>
      </w:r>
      <w:r w:rsidRPr="006152DF">
        <w:rPr>
          <w:rFonts w:asciiTheme="minorHAnsi" w:hAnsiTheme="minorHAnsi" w:cstheme="minorHAnsi"/>
        </w:rPr>
        <w:t xml:space="preserve">. A survey of 12-15 year olds identified that around one third of problem gamblers had sold possessions to gamble or pay gambling debts and borrowed to gamble (more than once or twice) </w:t>
      </w:r>
      <w:r w:rsidRPr="006152DF">
        <w:rPr>
          <w:rFonts w:asciiTheme="minorHAnsi" w:hAnsiTheme="minorHAnsi" w:cstheme="minorHAnsi"/>
          <w:noProof/>
        </w:rPr>
        <w:t>(Fisher, 1999)</w:t>
      </w:r>
      <w:r w:rsidRPr="006152DF">
        <w:rPr>
          <w:rFonts w:asciiTheme="minorHAnsi" w:hAnsiTheme="minorHAnsi" w:cstheme="minorHAnsi"/>
        </w:rPr>
        <w:t xml:space="preserve">, and research amongst adolescents seeking treatment for their gambling found that most clients are facing serious financial difficulties, including large debts </w:t>
      </w:r>
      <w:r w:rsidRPr="006152DF">
        <w:rPr>
          <w:rFonts w:asciiTheme="minorHAnsi" w:hAnsiTheme="minorHAnsi" w:cstheme="minorHAnsi"/>
          <w:noProof/>
        </w:rPr>
        <w:t>(Gupta &amp; Derevensky, 2000)</w:t>
      </w:r>
      <w:r w:rsidRPr="006152DF">
        <w:rPr>
          <w:rFonts w:asciiTheme="minorHAnsi" w:hAnsiTheme="minorHAnsi" w:cstheme="minorHAnsi"/>
        </w:rPr>
        <w:t xml:space="preserve">. </w:t>
      </w:r>
    </w:p>
    <w:p w:rsidR="00043311" w:rsidRPr="00B40962" w:rsidRDefault="00043311" w:rsidP="0042130F">
      <w:pPr>
        <w:pStyle w:val="Heading3"/>
        <w:spacing w:line="360" w:lineRule="auto"/>
      </w:pPr>
      <w:bookmarkStart w:id="53" w:name="_Toc367284404"/>
      <w:bookmarkStart w:id="54" w:name="_Toc352773519"/>
      <w:bookmarkStart w:id="55" w:name="_Toc360724461"/>
      <w:r>
        <w:t xml:space="preserve">Social influences on youth </w:t>
      </w:r>
      <w:r w:rsidRPr="00B40962">
        <w:t>gambling</w:t>
      </w:r>
      <w:bookmarkEnd w:id="53"/>
    </w:p>
    <w:bookmarkEnd w:id="54"/>
    <w:bookmarkEnd w:id="55"/>
    <w:p w:rsidR="00043311" w:rsidRPr="00B40962" w:rsidRDefault="00043311" w:rsidP="0042130F">
      <w:pPr>
        <w:spacing w:line="360" w:lineRule="auto"/>
        <w:rPr>
          <w:rFonts w:asciiTheme="minorHAnsi" w:hAnsiTheme="minorHAnsi" w:cstheme="minorHAnsi"/>
        </w:rPr>
      </w:pPr>
      <w:r w:rsidRPr="00B40962">
        <w:rPr>
          <w:rFonts w:asciiTheme="minorHAnsi" w:hAnsiTheme="minorHAnsi" w:cstheme="minorHAnsi"/>
        </w:rPr>
        <w:t xml:space="preserve">The links between familial gambling – particularly that involving parents – and the development of adolescent problem gambling have been discussed in the literature </w:t>
      </w:r>
      <w:r>
        <w:rPr>
          <w:rFonts w:asciiTheme="minorHAnsi" w:hAnsiTheme="minorHAnsi" w:cstheme="minorHAnsi"/>
          <w:noProof/>
        </w:rPr>
        <w:t>(Delfabbro, et al., 2005; Dowling, et al., 2010; Williams, et al., 2008)</w:t>
      </w:r>
      <w:r w:rsidRPr="00B40962">
        <w:rPr>
          <w:rFonts w:asciiTheme="minorHAnsi" w:hAnsiTheme="minorHAnsi" w:cstheme="minorHAnsi"/>
        </w:rPr>
        <w:t xml:space="preserve">. Of note, young problematic gamblers widely report that one or more of their parents gamble </w:t>
      </w:r>
      <w:r>
        <w:rPr>
          <w:rFonts w:asciiTheme="minorHAnsi" w:hAnsiTheme="minorHAnsi" w:cstheme="minorHAnsi"/>
          <w:noProof/>
        </w:rPr>
        <w:t>(Darbyshire, et al., 2001b; Delfabbro, et al., 2005; Moodie &amp; Finnigan, 2006; Rossen, 2008; Shead, et al., 2010; Vachon, et al., 2004)</w:t>
      </w:r>
      <w:r w:rsidRPr="00B40962">
        <w:rPr>
          <w:rFonts w:asciiTheme="minorHAnsi" w:hAnsiTheme="minorHAnsi" w:cstheme="minorHAnsi"/>
        </w:rPr>
        <w:t xml:space="preserve">. A study from the UK identified that adolescent problem gamblers were three times more likely than their non-problem gambling peers to report that they thought their parents gambled ‘too much’. They </w:t>
      </w:r>
      <w:r w:rsidRPr="00B40962">
        <w:rPr>
          <w:rFonts w:asciiTheme="minorHAnsi" w:hAnsiTheme="minorHAnsi" w:cstheme="minorHAnsi"/>
        </w:rPr>
        <w:lastRenderedPageBreak/>
        <w:t xml:space="preserve">were also more likely to report that their parents approved or did not mind someone their age participating in gambling activities such as the National Lottery Draw, scratch-cards or fruit machines </w:t>
      </w:r>
      <w:r w:rsidRPr="00B40962">
        <w:rPr>
          <w:rFonts w:asciiTheme="minorHAnsi" w:hAnsiTheme="minorHAnsi" w:cstheme="minorHAnsi"/>
          <w:noProof/>
        </w:rPr>
        <w:t>(Fisher, 1999)</w:t>
      </w:r>
      <w:r w:rsidRPr="00B40962">
        <w:rPr>
          <w:rFonts w:asciiTheme="minorHAnsi" w:hAnsiTheme="minorHAnsi" w:cstheme="minorHAnsi"/>
        </w:rPr>
        <w:t xml:space="preserve">. An Australian study found that problem gamblers were significantly more likely than non-problem gamblers to report that they had someone close to them with a gambling problem, with 90% of problem gamblers in the sample claiming that their parents gambled </w:t>
      </w:r>
      <w:r>
        <w:rPr>
          <w:rFonts w:asciiTheme="minorHAnsi" w:hAnsiTheme="minorHAnsi" w:cstheme="minorHAnsi"/>
          <w:noProof/>
        </w:rPr>
        <w:t>(Delfabbro, et al., 2005)</w:t>
      </w:r>
      <w:r w:rsidRPr="00B40962">
        <w:rPr>
          <w:rFonts w:asciiTheme="minorHAnsi" w:hAnsiTheme="minorHAnsi" w:cstheme="minorHAnsi"/>
        </w:rPr>
        <w:t>.</w:t>
      </w:r>
    </w:p>
    <w:p w:rsidR="00043311" w:rsidRPr="00B40962" w:rsidRDefault="00043311" w:rsidP="0042130F">
      <w:pPr>
        <w:spacing w:line="360" w:lineRule="auto"/>
        <w:rPr>
          <w:rFonts w:asciiTheme="minorHAnsi" w:hAnsiTheme="minorHAnsi" w:cstheme="minorHAnsi"/>
        </w:rPr>
      </w:pPr>
      <w:r w:rsidRPr="00B40962">
        <w:rPr>
          <w:rFonts w:asciiTheme="minorHAnsi" w:hAnsiTheme="minorHAnsi" w:cstheme="minorHAnsi"/>
        </w:rPr>
        <w:t xml:space="preserve">In a survey of school pupils in Scotland, parents were cited as the first person(s) that they had ever gambled with by a quarter of the sample, and in terms of on-going gambling behaviour around one third reported that they gambled with their parents </w:t>
      </w:r>
      <w:r w:rsidRPr="00B40962">
        <w:rPr>
          <w:rFonts w:asciiTheme="minorHAnsi" w:hAnsiTheme="minorHAnsi" w:cstheme="minorHAnsi"/>
          <w:noProof/>
        </w:rPr>
        <w:t>(Moodie &amp; Finnigan, 2006)</w:t>
      </w:r>
      <w:r w:rsidRPr="00B40962">
        <w:rPr>
          <w:rFonts w:asciiTheme="minorHAnsi" w:hAnsiTheme="minorHAnsi" w:cstheme="minorHAnsi"/>
        </w:rPr>
        <w:t xml:space="preserve">. Interestingly, however, the researchers note that parents are just one group that gamblers may learn from, and highlight that friends may have the greater impact – given that they are the people most often gambled with, and who are considered a bigger influence </w:t>
      </w:r>
      <w:r w:rsidRPr="00B40962">
        <w:rPr>
          <w:rFonts w:asciiTheme="minorHAnsi" w:hAnsiTheme="minorHAnsi" w:cstheme="minorHAnsi"/>
          <w:noProof/>
        </w:rPr>
        <w:t>(Moodie &amp; Finnigan, 2006)</w:t>
      </w:r>
      <w:r w:rsidRPr="00B40962">
        <w:rPr>
          <w:rFonts w:asciiTheme="minorHAnsi" w:hAnsiTheme="minorHAnsi" w:cstheme="minorHAnsi"/>
        </w:rPr>
        <w:t xml:space="preserve">. The literature also suggests that parental approval or tolerance of young people’s gambling behaviour facilitates access to gambling activities </w:t>
      </w:r>
      <w:r>
        <w:rPr>
          <w:rFonts w:asciiTheme="minorHAnsi" w:hAnsiTheme="minorHAnsi" w:cstheme="minorHAnsi"/>
          <w:noProof/>
        </w:rPr>
        <w:t>(Fisher, 1999; Ipsos MORI, 2009; Kundu, et al., 2013; Ladouceur, et al., 1999; Rigbye, 2010)</w:t>
      </w:r>
      <w:r w:rsidRPr="00B40962">
        <w:rPr>
          <w:rFonts w:asciiTheme="minorHAnsi" w:hAnsiTheme="minorHAnsi" w:cstheme="minorHAnsi"/>
        </w:rPr>
        <w:t xml:space="preserve">. For example, research undertaken in Canada with young people aged 10-18 years found that parental knowledge of their child’s lottery playing was commonplace – 84% of adolescents who reported purchasing any form of lottery ticket claimed that their parents were aware of the fact, and 94% stated that they were not afraid of getting caught </w:t>
      </w:r>
      <w:r>
        <w:rPr>
          <w:rFonts w:asciiTheme="minorHAnsi" w:hAnsiTheme="minorHAnsi" w:cstheme="minorHAnsi"/>
          <w:noProof/>
        </w:rPr>
        <w:t>(Felsher, et al., 2003)</w:t>
      </w:r>
      <w:r w:rsidRPr="00B40962">
        <w:rPr>
          <w:rFonts w:asciiTheme="minorHAnsi" w:hAnsiTheme="minorHAnsi" w:cstheme="minorHAnsi"/>
        </w:rPr>
        <w:t>. Moreover, three out of four lottery players reported that their parents had purchased scratch tickets for them. The researchers identified that an important factor in the initiation and on</w:t>
      </w:r>
      <w:r>
        <w:rPr>
          <w:rFonts w:asciiTheme="minorHAnsi" w:hAnsiTheme="minorHAnsi" w:cstheme="minorHAnsi"/>
        </w:rPr>
        <w:t>-</w:t>
      </w:r>
      <w:r w:rsidRPr="00B40962">
        <w:rPr>
          <w:rFonts w:asciiTheme="minorHAnsi" w:hAnsiTheme="minorHAnsi" w:cstheme="minorHAnsi"/>
        </w:rPr>
        <w:t xml:space="preserve">going involvement in the lottery for female adolescents was parental participation in the activity </w:t>
      </w:r>
      <w:r>
        <w:rPr>
          <w:rFonts w:asciiTheme="minorHAnsi" w:hAnsiTheme="minorHAnsi" w:cstheme="minorHAnsi"/>
          <w:noProof/>
        </w:rPr>
        <w:t>(Felsher, et al., 2003)</w:t>
      </w:r>
      <w:r w:rsidRPr="00B40962">
        <w:rPr>
          <w:rFonts w:asciiTheme="minorHAnsi" w:hAnsiTheme="minorHAnsi" w:cstheme="minorHAnsi"/>
        </w:rPr>
        <w:t>.</w:t>
      </w:r>
      <w:r>
        <w:rPr>
          <w:rFonts w:asciiTheme="minorHAnsi" w:hAnsiTheme="minorHAnsi" w:cstheme="minorHAnsi"/>
        </w:rPr>
        <w:t xml:space="preserve"> Moreover, in their study with 2,002 Connecticut high school students, Kundu et al</w:t>
      </w:r>
      <w:r w:rsidRPr="00B40962">
        <w:rPr>
          <w:rFonts w:asciiTheme="minorHAnsi" w:hAnsiTheme="minorHAnsi" w:cstheme="minorHAnsi"/>
        </w:rPr>
        <w:t xml:space="preserve"> </w:t>
      </w:r>
      <w:r>
        <w:rPr>
          <w:rFonts w:asciiTheme="minorHAnsi" w:hAnsiTheme="minorHAnsi" w:cstheme="minorHAnsi"/>
          <w:noProof/>
        </w:rPr>
        <w:t>(2013)</w:t>
      </w:r>
      <w:r>
        <w:rPr>
          <w:rFonts w:asciiTheme="minorHAnsi" w:hAnsiTheme="minorHAnsi" w:cstheme="minorHAnsi"/>
        </w:rPr>
        <w:t xml:space="preserve"> found that the receipt of scratch-lottery tickets as gifts in childhood or adolescence was associated with an increased risk of problematic gambling. </w:t>
      </w:r>
    </w:p>
    <w:p w:rsidR="00043311" w:rsidRDefault="00043311" w:rsidP="0042130F">
      <w:pPr>
        <w:spacing w:line="360" w:lineRule="auto"/>
        <w:rPr>
          <w:rFonts w:asciiTheme="minorHAnsi" w:hAnsiTheme="minorHAnsi" w:cstheme="minorHAnsi"/>
        </w:rPr>
      </w:pPr>
      <w:r w:rsidRPr="00B40962">
        <w:rPr>
          <w:rFonts w:asciiTheme="minorHAnsi" w:hAnsiTheme="minorHAnsi" w:cstheme="minorHAnsi"/>
        </w:rPr>
        <w:t xml:space="preserve">It is interesting to note that the results of a British survey indicate that parents may be less likely to discuss gambling with their children, compared with other potentially risky behaviours such as smoking and drinking </w:t>
      </w:r>
      <w:r w:rsidRPr="00B40962">
        <w:rPr>
          <w:rFonts w:asciiTheme="minorHAnsi" w:hAnsiTheme="minorHAnsi" w:cstheme="minorHAnsi"/>
          <w:noProof/>
        </w:rPr>
        <w:t>(Ipsos MORI, 2009)</w:t>
      </w:r>
      <w:r w:rsidRPr="00B40962">
        <w:rPr>
          <w:rFonts w:asciiTheme="minorHAnsi" w:hAnsiTheme="minorHAnsi" w:cstheme="minorHAnsi"/>
        </w:rPr>
        <w:t xml:space="preserve">. Whilst this finding is based on children’s perceptions of their parents’ likely behaviour, it is supported by other research </w:t>
      </w:r>
      <w:r>
        <w:rPr>
          <w:rFonts w:asciiTheme="minorHAnsi" w:hAnsiTheme="minorHAnsi" w:cstheme="minorHAnsi"/>
        </w:rPr>
        <w:t xml:space="preserve">indicating that parents are less concerned about gambling than other ‘risky’ behaviours </w:t>
      </w:r>
      <w:r>
        <w:rPr>
          <w:rFonts w:asciiTheme="minorHAnsi" w:hAnsiTheme="minorHAnsi" w:cstheme="minorHAnsi"/>
          <w:noProof/>
        </w:rPr>
        <w:t>(Campbell, Derevensky, Meerkamper, &amp; Cutajar, 2011)</w:t>
      </w:r>
      <w:r>
        <w:rPr>
          <w:rFonts w:asciiTheme="minorHAnsi" w:hAnsiTheme="minorHAnsi" w:cstheme="minorHAnsi"/>
        </w:rPr>
        <w:t xml:space="preserve"> and  that few (5%)</w:t>
      </w:r>
      <w:r w:rsidRPr="00B40962">
        <w:rPr>
          <w:rFonts w:asciiTheme="minorHAnsi" w:hAnsiTheme="minorHAnsi" w:cstheme="minorHAnsi"/>
        </w:rPr>
        <w:t xml:space="preserve"> would attempt to prevent their child gambling </w:t>
      </w:r>
      <w:r w:rsidRPr="00B40962">
        <w:rPr>
          <w:rFonts w:asciiTheme="minorHAnsi" w:hAnsiTheme="minorHAnsi" w:cstheme="minorHAnsi"/>
          <w:noProof/>
        </w:rPr>
        <w:t>(Ladouceur, Jacques, Ferland, &amp; Giroux, 1998)</w:t>
      </w:r>
      <w:r w:rsidRPr="00B40962">
        <w:rPr>
          <w:rFonts w:asciiTheme="minorHAnsi" w:hAnsiTheme="minorHAnsi" w:cstheme="minorHAnsi"/>
        </w:rPr>
        <w:t>.</w:t>
      </w:r>
    </w:p>
    <w:p w:rsidR="0096450D" w:rsidRDefault="00043311" w:rsidP="00F06B39">
      <w:pPr>
        <w:spacing w:line="360" w:lineRule="auto"/>
        <w:rPr>
          <w:rFonts w:asciiTheme="minorHAnsi" w:hAnsiTheme="minorHAnsi" w:cstheme="minorHAnsi"/>
          <w:bCs/>
          <w:i/>
          <w:color w:val="1F497D"/>
          <w:szCs w:val="28"/>
        </w:rPr>
      </w:pPr>
      <w:r>
        <w:rPr>
          <w:rFonts w:asciiTheme="minorHAnsi" w:hAnsiTheme="minorHAnsi" w:cstheme="minorHAnsi"/>
        </w:rPr>
        <w:t xml:space="preserve">The findings outlined above correspond with research suggesting that while parents may be the dominant influence in the </w:t>
      </w:r>
      <w:r w:rsidRPr="00221502">
        <w:rPr>
          <w:rFonts w:asciiTheme="minorHAnsi" w:hAnsiTheme="minorHAnsi" w:cstheme="minorHAnsi"/>
          <w:i/>
        </w:rPr>
        <w:t>development</w:t>
      </w:r>
      <w:r>
        <w:rPr>
          <w:rFonts w:asciiTheme="minorHAnsi" w:hAnsiTheme="minorHAnsi" w:cstheme="minorHAnsi"/>
        </w:rPr>
        <w:t xml:space="preserve"> of gambling behaviours, friends are more dominant in the </w:t>
      </w:r>
      <w:r w:rsidRPr="00221502">
        <w:rPr>
          <w:rFonts w:asciiTheme="minorHAnsi" w:hAnsiTheme="minorHAnsi" w:cstheme="minorHAnsi"/>
          <w:i/>
        </w:rPr>
        <w:t>maintenance</w:t>
      </w:r>
      <w:r>
        <w:rPr>
          <w:rFonts w:asciiTheme="minorHAnsi" w:hAnsiTheme="minorHAnsi" w:cstheme="minorHAnsi"/>
        </w:rPr>
        <w:t xml:space="preserve"> of gambling behaviour throughout adolescence and adulthood </w:t>
      </w:r>
      <w:r>
        <w:rPr>
          <w:rFonts w:asciiTheme="minorHAnsi" w:hAnsiTheme="minorHAnsi" w:cstheme="minorHAnsi"/>
          <w:noProof/>
        </w:rPr>
        <w:t>(Fortune, et al., 2013; Gupta &amp; Derevensky, 1997)</w:t>
      </w:r>
      <w:r>
        <w:rPr>
          <w:rFonts w:asciiTheme="minorHAnsi" w:hAnsiTheme="minorHAnsi" w:cstheme="minorHAnsi"/>
        </w:rPr>
        <w:t xml:space="preserve">. Fortune et al </w:t>
      </w:r>
      <w:r>
        <w:rPr>
          <w:rFonts w:asciiTheme="minorHAnsi" w:hAnsiTheme="minorHAnsi" w:cstheme="minorHAnsi"/>
          <w:noProof/>
        </w:rPr>
        <w:t>(2013)</w:t>
      </w:r>
      <w:r>
        <w:rPr>
          <w:rFonts w:asciiTheme="minorHAnsi" w:hAnsiTheme="minorHAnsi" w:cstheme="minorHAnsi"/>
        </w:rPr>
        <w:t xml:space="preserve"> comment on the importance of non-biological social relationships with regard to youth gambling, </w:t>
      </w:r>
      <w:r>
        <w:rPr>
          <w:rFonts w:asciiTheme="minorHAnsi" w:hAnsiTheme="minorHAnsi" w:cstheme="minorHAnsi"/>
        </w:rPr>
        <w:lastRenderedPageBreak/>
        <w:t>drinking, and smoking behaviours. They suggest that the presence of other frequent and heavy gamblers may be associated with increased gambling behaviour due to the provision of partners and opportunities to gamble and/or because pathological gamblers may seek out individuals with similar interests.</w:t>
      </w:r>
    </w:p>
    <w:p w:rsidR="00043311" w:rsidRDefault="00043311" w:rsidP="0042130F">
      <w:pPr>
        <w:pStyle w:val="Heading4"/>
        <w:spacing w:line="360" w:lineRule="auto"/>
        <w:rPr>
          <w:rFonts w:asciiTheme="minorHAnsi" w:hAnsiTheme="minorHAnsi" w:cstheme="minorHAnsi"/>
          <w:b w:val="0"/>
          <w:i/>
        </w:rPr>
      </w:pPr>
      <w:r w:rsidRPr="00F515BC">
        <w:rPr>
          <w:rFonts w:asciiTheme="minorHAnsi" w:hAnsiTheme="minorHAnsi" w:cstheme="minorHAnsi"/>
          <w:b w:val="0"/>
          <w:i/>
        </w:rPr>
        <w:t>Impacts of parental gambling on children and young people</w:t>
      </w:r>
    </w:p>
    <w:p w:rsidR="00043311" w:rsidRDefault="00043311" w:rsidP="0042130F">
      <w:pPr>
        <w:spacing w:line="360" w:lineRule="auto"/>
        <w:rPr>
          <w:rFonts w:asciiTheme="minorHAnsi" w:hAnsiTheme="minorHAnsi" w:cstheme="minorHAnsi"/>
        </w:rPr>
      </w:pPr>
      <w:r w:rsidRPr="00F515BC">
        <w:rPr>
          <w:rFonts w:asciiTheme="minorHAnsi" w:hAnsiTheme="minorHAnsi" w:cstheme="minorHAnsi"/>
        </w:rPr>
        <w:t xml:space="preserve">Compared with research into the impacts of other addictive behaviours such as problematic alcohol use, there are limited data on how the children of problem gamblers are affected by their parents’ behaviour </w:t>
      </w:r>
      <w:r>
        <w:rPr>
          <w:rFonts w:asciiTheme="minorHAnsi" w:hAnsiTheme="minorHAnsi" w:cstheme="minorHAnsi"/>
          <w:noProof/>
        </w:rPr>
        <w:t>(Darbyshire, Oster, &amp; Carrig, 2001a; Darbyshire, et al., 2001b; Dowling, et al., 2010; Jacobs, et al., 1989; Vitaro, et al., 2008)</w:t>
      </w:r>
      <w:r w:rsidRPr="00F515BC">
        <w:rPr>
          <w:rFonts w:asciiTheme="minorHAnsi" w:hAnsiTheme="minorHAnsi" w:cstheme="minorHAnsi"/>
        </w:rPr>
        <w:t xml:space="preserve">. This is despite a not insignificant number of children who grow up in a problem gambling family. For example, it has been estimated that around 174,000 children living in Australia may be </w:t>
      </w:r>
      <w:r>
        <w:rPr>
          <w:rFonts w:asciiTheme="minorHAnsi" w:hAnsiTheme="minorHAnsi" w:cstheme="minorHAnsi"/>
        </w:rPr>
        <w:t xml:space="preserve">directly </w:t>
      </w:r>
      <w:r w:rsidRPr="00F515BC">
        <w:rPr>
          <w:rFonts w:asciiTheme="minorHAnsi" w:hAnsiTheme="minorHAnsi" w:cstheme="minorHAnsi"/>
        </w:rPr>
        <w:t>affected</w:t>
      </w:r>
      <w:r>
        <w:rPr>
          <w:rFonts w:asciiTheme="minorHAnsi" w:hAnsiTheme="minorHAnsi" w:cstheme="minorHAnsi"/>
        </w:rPr>
        <w:t xml:space="preserve"> by parental gambling</w:t>
      </w:r>
      <w:r w:rsidRPr="00F515BC">
        <w:rPr>
          <w:rFonts w:asciiTheme="minorHAnsi" w:hAnsiTheme="minorHAnsi" w:cstheme="minorHAnsi"/>
        </w:rPr>
        <w:t xml:space="preserve"> </w:t>
      </w:r>
      <w:r>
        <w:rPr>
          <w:rFonts w:asciiTheme="minorHAnsi" w:hAnsiTheme="minorHAnsi" w:cstheme="minorHAnsi"/>
          <w:noProof/>
        </w:rPr>
        <w:t>(Darbyshire, et al., 2001b)</w:t>
      </w:r>
      <w:r w:rsidRPr="00F515BC">
        <w:rPr>
          <w:rFonts w:asciiTheme="minorHAnsi" w:hAnsiTheme="minorHAnsi" w:cstheme="minorHAnsi"/>
        </w:rPr>
        <w:t xml:space="preserve">. Others have estimated that between five and seven people are negatively affected by each problem gambler </w:t>
      </w:r>
      <w:r>
        <w:rPr>
          <w:rFonts w:asciiTheme="minorHAnsi" w:hAnsiTheme="minorHAnsi" w:cstheme="minorHAnsi"/>
          <w:noProof/>
        </w:rPr>
        <w:t>(Adams, et al., 2004)</w:t>
      </w:r>
      <w:r w:rsidRPr="00F515BC">
        <w:rPr>
          <w:rFonts w:asciiTheme="minorHAnsi" w:hAnsiTheme="minorHAnsi" w:cstheme="minorHAnsi"/>
        </w:rPr>
        <w:t xml:space="preserve">, with some extending this figure up to 17 </w:t>
      </w:r>
      <w:r w:rsidRPr="00F515BC">
        <w:rPr>
          <w:rFonts w:asciiTheme="minorHAnsi" w:hAnsiTheme="minorHAnsi" w:cstheme="minorHAnsi"/>
          <w:noProof/>
        </w:rPr>
        <w:t>(Lesieur, 1984)</w:t>
      </w:r>
      <w:r w:rsidRPr="00F515BC">
        <w:rPr>
          <w:rFonts w:asciiTheme="minorHAnsi" w:hAnsiTheme="minorHAnsi" w:cstheme="minorHAnsi"/>
        </w:rPr>
        <w:t>.</w:t>
      </w:r>
    </w:p>
    <w:p w:rsidR="00043311" w:rsidRPr="00F515BC" w:rsidRDefault="00043311" w:rsidP="0042130F">
      <w:pPr>
        <w:spacing w:line="360" w:lineRule="auto"/>
        <w:rPr>
          <w:rFonts w:asciiTheme="minorHAnsi" w:hAnsiTheme="minorHAnsi" w:cstheme="minorHAnsi"/>
        </w:rPr>
      </w:pPr>
      <w:r w:rsidRPr="00F515BC">
        <w:rPr>
          <w:rFonts w:asciiTheme="minorHAnsi" w:hAnsiTheme="minorHAnsi" w:cstheme="minorHAnsi"/>
        </w:rPr>
        <w:t xml:space="preserve">Whilst there may be a somewhat small body of literature in this area, the research is clear in that the health and wellbeing of the children of problem gamblers is likely to be harmed due to their parents’ behaviour </w:t>
      </w:r>
      <w:r>
        <w:rPr>
          <w:rFonts w:asciiTheme="minorHAnsi" w:hAnsiTheme="minorHAnsi" w:cstheme="minorHAnsi"/>
          <w:noProof/>
        </w:rPr>
        <w:t>(Abbott, Cramer, &amp; Sherrets, 1995; Darbyshire, et al., 2001a, 2001b; Jacobs, et al., 1989; Vitaro, et al., 2008)</w:t>
      </w:r>
      <w:r w:rsidRPr="00F515BC">
        <w:rPr>
          <w:rFonts w:asciiTheme="minorHAnsi" w:hAnsiTheme="minorHAnsi" w:cstheme="minorHAnsi"/>
        </w:rPr>
        <w:t>. A review of the literature on children who grow up in problem gambling families identified that they may be ‘severely and negatively’</w:t>
      </w:r>
      <w:r w:rsidRPr="00F515BC">
        <w:rPr>
          <w:rFonts w:asciiTheme="minorHAnsi" w:hAnsiTheme="minorHAnsi" w:cstheme="minorHAnsi"/>
          <w:i/>
        </w:rPr>
        <w:t xml:space="preserve"> </w:t>
      </w:r>
      <w:r w:rsidRPr="00F515BC">
        <w:rPr>
          <w:rFonts w:asciiTheme="minorHAnsi" w:hAnsiTheme="minorHAnsi" w:cstheme="minorHAnsi"/>
        </w:rPr>
        <w:t xml:space="preserve">affected, and that the impacts of gambling on children mirror those that have been identified in relation to parental drug or alcohol use </w:t>
      </w:r>
      <w:r>
        <w:rPr>
          <w:rFonts w:asciiTheme="minorHAnsi" w:hAnsiTheme="minorHAnsi" w:cstheme="minorHAnsi"/>
          <w:noProof/>
        </w:rPr>
        <w:t>(Darbyshire, et al., 2001a)</w:t>
      </w:r>
      <w:r w:rsidRPr="00F515BC">
        <w:rPr>
          <w:rFonts w:asciiTheme="minorHAnsi" w:hAnsiTheme="minorHAnsi" w:cstheme="minorHAnsi"/>
        </w:rPr>
        <w:t>.</w:t>
      </w:r>
      <w:r>
        <w:rPr>
          <w:rFonts w:asciiTheme="minorHAnsi" w:hAnsiTheme="minorHAnsi" w:cstheme="minorHAnsi"/>
        </w:rPr>
        <w:t xml:space="preserve"> </w:t>
      </w:r>
    </w:p>
    <w:p w:rsidR="00043311" w:rsidRPr="00F515BC" w:rsidRDefault="00043311" w:rsidP="0042130F">
      <w:pPr>
        <w:spacing w:line="360" w:lineRule="auto"/>
        <w:rPr>
          <w:rFonts w:asciiTheme="minorHAnsi" w:hAnsiTheme="minorHAnsi" w:cstheme="minorHAnsi"/>
        </w:rPr>
      </w:pPr>
      <w:r w:rsidRPr="00F515BC">
        <w:rPr>
          <w:rFonts w:asciiTheme="minorHAnsi" w:hAnsiTheme="minorHAnsi" w:cstheme="minorHAnsi"/>
        </w:rPr>
        <w:t xml:space="preserve">A wide range of social and health problems have been </w:t>
      </w:r>
      <w:r>
        <w:rPr>
          <w:rFonts w:asciiTheme="minorHAnsi" w:hAnsiTheme="minorHAnsi" w:cstheme="minorHAnsi"/>
        </w:rPr>
        <w:t>associated with parental problem gambling</w:t>
      </w:r>
      <w:r w:rsidRPr="00F515BC">
        <w:rPr>
          <w:rFonts w:asciiTheme="minorHAnsi" w:hAnsiTheme="minorHAnsi" w:cstheme="minorHAnsi"/>
        </w:rPr>
        <w:t xml:space="preserve"> </w:t>
      </w:r>
      <w:r>
        <w:rPr>
          <w:rFonts w:asciiTheme="minorHAnsi" w:hAnsiTheme="minorHAnsi" w:cstheme="minorHAnsi"/>
          <w:noProof/>
        </w:rPr>
        <w:t>(Abbott, et al., 1995; Darbyshire, et al., 2001a)</w:t>
      </w:r>
      <w:r w:rsidRPr="00F515BC">
        <w:rPr>
          <w:rFonts w:asciiTheme="minorHAnsi" w:hAnsiTheme="minorHAnsi" w:cstheme="minorHAnsi"/>
        </w:rPr>
        <w:t xml:space="preserve">, including financial impacts </w:t>
      </w:r>
      <w:r>
        <w:rPr>
          <w:rFonts w:asciiTheme="minorHAnsi" w:hAnsiTheme="minorHAnsi" w:cstheme="minorHAnsi"/>
          <w:noProof/>
        </w:rPr>
        <w:t>(Abbott, et al., 1995; Darbyshire, et al., 2001b)</w:t>
      </w:r>
      <w:r w:rsidRPr="00F515BC">
        <w:rPr>
          <w:rFonts w:asciiTheme="minorHAnsi" w:hAnsiTheme="minorHAnsi" w:cstheme="minorHAnsi"/>
        </w:rPr>
        <w:t xml:space="preserve"> and exposure to ineffective or inconsistent parenting </w:t>
      </w:r>
      <w:r>
        <w:rPr>
          <w:rFonts w:asciiTheme="minorHAnsi" w:hAnsiTheme="minorHAnsi" w:cstheme="minorHAnsi"/>
          <w:noProof/>
        </w:rPr>
        <w:t>(Abbott, et al., 1995; Darbyshire, et al., 2001b; Vitaro, et al., 2008)</w:t>
      </w:r>
      <w:r w:rsidRPr="00F515BC">
        <w:rPr>
          <w:rFonts w:asciiTheme="minorHAnsi" w:hAnsiTheme="minorHAnsi" w:cstheme="minorHAnsi"/>
        </w:rPr>
        <w:t xml:space="preserve">. The physical health of children may also be negatively affected </w:t>
      </w:r>
      <w:r>
        <w:rPr>
          <w:rFonts w:asciiTheme="minorHAnsi" w:hAnsiTheme="minorHAnsi" w:cstheme="minorHAnsi"/>
          <w:noProof/>
        </w:rPr>
        <w:t>(Abbott, et al., 1995; Dowling, et al., 2010)</w:t>
      </w:r>
      <w:r w:rsidRPr="00F515BC">
        <w:rPr>
          <w:rFonts w:asciiTheme="minorHAnsi" w:hAnsiTheme="minorHAnsi" w:cstheme="minorHAnsi"/>
        </w:rPr>
        <w:t xml:space="preserve"> and includes involvement with ‘health-threatening behaviour’ (e.g. drug use) </w:t>
      </w:r>
      <w:r>
        <w:rPr>
          <w:rFonts w:asciiTheme="minorHAnsi" w:hAnsiTheme="minorHAnsi" w:cstheme="minorHAnsi"/>
          <w:noProof/>
        </w:rPr>
        <w:t>(Abbott, et al., 1995; Jacobs, et al., 1989)</w:t>
      </w:r>
      <w:r w:rsidRPr="00F515BC">
        <w:rPr>
          <w:rFonts w:asciiTheme="minorHAnsi" w:hAnsiTheme="minorHAnsi" w:cstheme="minorHAnsi"/>
        </w:rPr>
        <w:t xml:space="preserve">. A review of the literature on this topic identified that physical health complaints of the children of problem gamblers included asthma, allergies, chronic headaches, and chronic gastrointestinal problems </w:t>
      </w:r>
      <w:r>
        <w:rPr>
          <w:rFonts w:asciiTheme="minorHAnsi" w:hAnsiTheme="minorHAnsi" w:cstheme="minorHAnsi"/>
          <w:noProof/>
        </w:rPr>
        <w:t>(Dowling, et al., 2010)</w:t>
      </w:r>
      <w:r w:rsidRPr="00F515BC">
        <w:rPr>
          <w:rFonts w:asciiTheme="minorHAnsi" w:hAnsiTheme="minorHAnsi" w:cstheme="minorHAnsi"/>
        </w:rPr>
        <w:t xml:space="preserve">. As discussed in a previous section, the children of gamblers are more likely to develop gambling problems themselves </w:t>
      </w:r>
      <w:r>
        <w:rPr>
          <w:rFonts w:asciiTheme="minorHAnsi" w:hAnsiTheme="minorHAnsi" w:cstheme="minorHAnsi"/>
          <w:noProof/>
        </w:rPr>
        <w:t>(Abbott, et al., 19</w:t>
      </w:r>
      <w:r w:rsidR="00092E87">
        <w:rPr>
          <w:rFonts w:asciiTheme="minorHAnsi" w:hAnsiTheme="minorHAnsi" w:cstheme="minorHAnsi"/>
          <w:noProof/>
        </w:rPr>
        <w:t xml:space="preserve">95; Darbyshire, et al., 2001b; </w:t>
      </w:r>
      <w:r>
        <w:rPr>
          <w:rFonts w:asciiTheme="minorHAnsi" w:hAnsiTheme="minorHAnsi" w:cstheme="minorHAnsi"/>
          <w:noProof/>
        </w:rPr>
        <w:t>Dowling, et al., 2010; Moodie &amp; Finnigan, 2006; Vachon, et al., 2004)</w:t>
      </w:r>
      <w:r w:rsidRPr="00F515BC">
        <w:rPr>
          <w:rFonts w:asciiTheme="minorHAnsi" w:hAnsiTheme="minorHAnsi" w:cstheme="minorHAnsi"/>
        </w:rPr>
        <w:t xml:space="preserve">, with robust evidence that they are 2-4 times more likely than the children of non-problem gamblers to do so </w:t>
      </w:r>
      <w:r>
        <w:rPr>
          <w:rFonts w:asciiTheme="minorHAnsi" w:hAnsiTheme="minorHAnsi" w:cstheme="minorHAnsi"/>
          <w:noProof/>
        </w:rPr>
        <w:t>(Dowling, et al., 2010)</w:t>
      </w:r>
      <w:r w:rsidRPr="00F515BC">
        <w:rPr>
          <w:rFonts w:asciiTheme="minorHAnsi" w:hAnsiTheme="minorHAnsi" w:cstheme="minorHAnsi"/>
        </w:rPr>
        <w:t xml:space="preserve">. Conflict and  a breakdown in relations may also be an outcome of parental gambling </w:t>
      </w:r>
      <w:r>
        <w:rPr>
          <w:rFonts w:asciiTheme="minorHAnsi" w:hAnsiTheme="minorHAnsi" w:cstheme="minorHAnsi"/>
          <w:noProof/>
        </w:rPr>
        <w:t>(Darbyshire, et al., 2001b; Jacobs, et al., 1989; Rossen, et al., 2009)</w:t>
      </w:r>
      <w:r w:rsidRPr="00F515BC">
        <w:rPr>
          <w:rFonts w:asciiTheme="minorHAnsi" w:hAnsiTheme="minorHAnsi" w:cstheme="minorHAnsi"/>
        </w:rPr>
        <w:t xml:space="preserve">, with the children of gamblers reporting twice the incidence of ‘broken homes’ (e.g. via </w:t>
      </w:r>
      <w:r>
        <w:rPr>
          <w:rFonts w:asciiTheme="minorHAnsi" w:hAnsiTheme="minorHAnsi" w:cstheme="minorHAnsi"/>
        </w:rPr>
        <w:t xml:space="preserve">parental </w:t>
      </w:r>
      <w:r w:rsidRPr="00F515BC">
        <w:rPr>
          <w:rFonts w:asciiTheme="minorHAnsi" w:hAnsiTheme="minorHAnsi" w:cstheme="minorHAnsi"/>
        </w:rPr>
        <w:t xml:space="preserve">divorce, separation, or the death of a parent) </w:t>
      </w:r>
      <w:r>
        <w:rPr>
          <w:rFonts w:asciiTheme="minorHAnsi" w:hAnsiTheme="minorHAnsi" w:cstheme="minorHAnsi"/>
          <w:noProof/>
        </w:rPr>
        <w:t>(Jacobs, et al., 1989)</w:t>
      </w:r>
      <w:r w:rsidRPr="00F515BC">
        <w:rPr>
          <w:rFonts w:asciiTheme="minorHAnsi" w:hAnsiTheme="minorHAnsi" w:cstheme="minorHAnsi"/>
        </w:rPr>
        <w:t>.</w:t>
      </w:r>
    </w:p>
    <w:p w:rsidR="00043311" w:rsidRPr="00F515BC" w:rsidRDefault="00043311" w:rsidP="0042130F">
      <w:pPr>
        <w:spacing w:line="360" w:lineRule="auto"/>
        <w:rPr>
          <w:rFonts w:asciiTheme="minorHAnsi" w:hAnsiTheme="minorHAnsi" w:cstheme="minorHAnsi"/>
        </w:rPr>
      </w:pPr>
      <w:r w:rsidRPr="00F515BC">
        <w:rPr>
          <w:rFonts w:asciiTheme="minorHAnsi" w:hAnsiTheme="minorHAnsi" w:cstheme="minorHAnsi"/>
        </w:rPr>
        <w:lastRenderedPageBreak/>
        <w:t xml:space="preserve">Links between parental gambling and youth mental health issues have been identified </w:t>
      </w:r>
      <w:r>
        <w:rPr>
          <w:rFonts w:asciiTheme="minorHAnsi" w:hAnsiTheme="minorHAnsi" w:cstheme="minorHAnsi"/>
          <w:noProof/>
        </w:rPr>
        <w:t>(Darbyshire, et al., 2001a, 2001b; Jacobs, et al., 1989; Vitaro, et al., 2008)</w:t>
      </w:r>
      <w:r w:rsidRPr="00F515BC">
        <w:rPr>
          <w:rFonts w:asciiTheme="minorHAnsi" w:hAnsiTheme="minorHAnsi" w:cstheme="minorHAnsi"/>
        </w:rPr>
        <w:t xml:space="preserve">, including an increased risk of suicide </w:t>
      </w:r>
      <w:r>
        <w:rPr>
          <w:rFonts w:asciiTheme="minorHAnsi" w:hAnsiTheme="minorHAnsi" w:cstheme="minorHAnsi"/>
          <w:noProof/>
        </w:rPr>
        <w:t>(Jacobs, et al., 1989)</w:t>
      </w:r>
      <w:r w:rsidRPr="00F515BC">
        <w:rPr>
          <w:rFonts w:asciiTheme="minorHAnsi" w:hAnsiTheme="minorHAnsi" w:cstheme="minorHAnsi"/>
        </w:rPr>
        <w:t xml:space="preserve"> and depressive feelings and moods </w:t>
      </w:r>
      <w:r>
        <w:rPr>
          <w:rFonts w:asciiTheme="minorHAnsi" w:hAnsiTheme="minorHAnsi" w:cstheme="minorHAnsi"/>
          <w:noProof/>
        </w:rPr>
        <w:t>(Jacobs, et al., 1989; Vitaro, et al., 2008)</w:t>
      </w:r>
      <w:r w:rsidRPr="00F515BC">
        <w:rPr>
          <w:rFonts w:asciiTheme="minorHAnsi" w:hAnsiTheme="minorHAnsi" w:cstheme="minorHAnsi"/>
        </w:rPr>
        <w:t xml:space="preserve">. In a study which investigated the experiences of adolescents with a problem gambling parent, it was found that these young people were at greater risk than their classmates of psychosocial risk indicators (e.g. nearly half of the children of problem gamblers rated their overall quality of life as poorer than most, compared with 27% of their peers who reported no parental problem gambling) and anxiety, depressive mood and suicide risk </w:t>
      </w:r>
      <w:r>
        <w:rPr>
          <w:rFonts w:asciiTheme="minorHAnsi" w:hAnsiTheme="minorHAnsi" w:cstheme="minorHAnsi"/>
          <w:noProof/>
        </w:rPr>
        <w:t>(Jacobs, et al., 1989)</w:t>
      </w:r>
      <w:r w:rsidRPr="00F515BC">
        <w:rPr>
          <w:rFonts w:asciiTheme="minorHAnsi" w:hAnsiTheme="minorHAnsi" w:cstheme="minorHAnsi"/>
        </w:rPr>
        <w:t xml:space="preserve">. Of note, young people in the study </w:t>
      </w:r>
      <w:r>
        <w:rPr>
          <w:rFonts w:asciiTheme="minorHAnsi" w:hAnsiTheme="minorHAnsi" w:cstheme="minorHAnsi"/>
        </w:rPr>
        <w:t xml:space="preserve">with </w:t>
      </w:r>
      <w:r w:rsidRPr="00F515BC">
        <w:rPr>
          <w:rFonts w:asciiTheme="minorHAnsi" w:hAnsiTheme="minorHAnsi" w:cstheme="minorHAnsi"/>
        </w:rPr>
        <w:t xml:space="preserve">one or more parents who gambled problematically reported nearly twice the incidence of suicide attempts. In considering these findings, it is worth highlighting that parents with gambling problems were also reported as having a number of ‘companion’ issues, including alcohol and other drug addiction, and over-eating behaviour. Thus, it is not possible to separate out the impact of the gambling activity from the effects of other problematic behaviour (e.g. that which was caused by alcoholism or drug use) </w:t>
      </w:r>
      <w:r>
        <w:rPr>
          <w:rFonts w:asciiTheme="minorHAnsi" w:hAnsiTheme="minorHAnsi" w:cstheme="minorHAnsi"/>
          <w:noProof/>
        </w:rPr>
        <w:t>(Jacobs, et al., 1989)</w:t>
      </w:r>
      <w:r w:rsidRPr="00F515BC">
        <w:rPr>
          <w:rFonts w:asciiTheme="minorHAnsi" w:hAnsiTheme="minorHAnsi" w:cstheme="minorHAnsi"/>
        </w:rPr>
        <w:t xml:space="preserve">, an issue that has been highlighted a requiring further investigation </w:t>
      </w:r>
      <w:r w:rsidR="00092E87">
        <w:rPr>
          <w:rFonts w:asciiTheme="minorHAnsi" w:hAnsiTheme="minorHAnsi" w:cstheme="minorHAnsi"/>
          <w:noProof/>
        </w:rPr>
        <w:t>(</w:t>
      </w:r>
      <w:r>
        <w:rPr>
          <w:rFonts w:asciiTheme="minorHAnsi" w:hAnsiTheme="minorHAnsi" w:cstheme="minorHAnsi"/>
          <w:noProof/>
        </w:rPr>
        <w:t>Dowling, et al., 2010)</w:t>
      </w:r>
      <w:r w:rsidRPr="00F515BC">
        <w:rPr>
          <w:rFonts w:asciiTheme="minorHAnsi" w:hAnsiTheme="minorHAnsi" w:cstheme="minorHAnsi"/>
        </w:rPr>
        <w:t xml:space="preserve">. This limitation was also acknowledged by Vitaro and colleagues (2008) who sought to compare the depressive symptoms and conduct/anti-sociality problems in offspring of problem gamblers with children of parents without gambling problems – whilst also controlling for socio-demographic factors and other addictions or mental health problems in parents. The research found that children of problem gamblers were more likely to develop depressive symptoms and conduct problems than children with non-addicted parents, and that these continued (and sometimes increased) into young adulthood. Moreover, it was identified that ineffective parenting was responsible for the association between parental problem gambling and subsequent conduct/anti-sociality problems experienced by their children </w:t>
      </w:r>
      <w:r>
        <w:rPr>
          <w:rFonts w:asciiTheme="minorHAnsi" w:hAnsiTheme="minorHAnsi" w:cstheme="minorHAnsi"/>
          <w:noProof/>
        </w:rPr>
        <w:t>(Vitaro, et al., 2008)</w:t>
      </w:r>
      <w:r w:rsidRPr="00F515BC">
        <w:rPr>
          <w:rFonts w:asciiTheme="minorHAnsi" w:hAnsiTheme="minorHAnsi" w:cstheme="minorHAnsi"/>
        </w:rPr>
        <w:t>.</w:t>
      </w:r>
    </w:p>
    <w:p w:rsidR="00043311" w:rsidRPr="00F515BC" w:rsidRDefault="00043311" w:rsidP="0042130F">
      <w:pPr>
        <w:spacing w:line="360" w:lineRule="auto"/>
        <w:rPr>
          <w:rFonts w:asciiTheme="minorHAnsi" w:hAnsiTheme="minorHAnsi" w:cstheme="minorHAnsi"/>
        </w:rPr>
      </w:pPr>
      <w:r w:rsidRPr="00F515BC">
        <w:rPr>
          <w:rFonts w:asciiTheme="minorHAnsi" w:hAnsiTheme="minorHAnsi" w:cstheme="minorHAnsi"/>
        </w:rPr>
        <w:t xml:space="preserve">A qualitative study undertaken in Australia sought to gain a deeper understanding of the experiences of young people living in a family where a parent or caregiver had a serious gambling problem </w:t>
      </w:r>
      <w:r>
        <w:rPr>
          <w:rFonts w:asciiTheme="minorHAnsi" w:hAnsiTheme="minorHAnsi" w:cstheme="minorHAnsi"/>
          <w:noProof/>
        </w:rPr>
        <w:t>(Darbyshire, et al., 2001b)</w:t>
      </w:r>
      <w:r w:rsidRPr="00A97F42">
        <w:rPr>
          <w:rFonts w:asciiTheme="minorHAnsi" w:hAnsiTheme="minorHAnsi" w:cstheme="minorHAnsi"/>
        </w:rPr>
        <w:t xml:space="preserve">. Findings revealed a strong sense of loss experienced by the children – including both physical loss (e.g. a parent being unavailable due to leaving the home to go gambling) and existential loss (e.g. changing from a previously caring parent to someone with little time for their children). In addition, the research identified that children had lost trust in their parent due to their unreliable and deceptive behaviour, and experienced more material losses (e.g. financial, loss of the family home). In terms of future behaviour, the young people in the study either claimed they would never gamble or, if </w:t>
      </w:r>
      <w:r w:rsidRPr="00F515BC">
        <w:rPr>
          <w:rFonts w:asciiTheme="minorHAnsi" w:hAnsiTheme="minorHAnsi" w:cstheme="minorHAnsi"/>
        </w:rPr>
        <w:t xml:space="preserve">they did, they would know when to stop </w:t>
      </w:r>
      <w:r>
        <w:rPr>
          <w:rFonts w:asciiTheme="minorHAnsi" w:hAnsiTheme="minorHAnsi" w:cstheme="minorHAnsi"/>
          <w:noProof/>
        </w:rPr>
        <w:t>(Darbyshire, et al., 2001b)</w:t>
      </w:r>
      <w:r w:rsidRPr="00F515BC">
        <w:rPr>
          <w:rFonts w:asciiTheme="minorHAnsi" w:hAnsiTheme="minorHAnsi" w:cstheme="minorHAnsi"/>
        </w:rPr>
        <w:t xml:space="preserve">. As the researchers note, this is interesting given the evidence which would suggest otherwise; notably, that the children of problem gamblers are at risk of developing their own gambling-related problems </w:t>
      </w:r>
      <w:r>
        <w:rPr>
          <w:rFonts w:asciiTheme="minorHAnsi" w:hAnsiTheme="minorHAnsi" w:cstheme="minorHAnsi"/>
          <w:noProof/>
        </w:rPr>
        <w:t xml:space="preserve">(Abbott, et al., 1995; </w:t>
      </w:r>
      <w:r w:rsidR="00092E87">
        <w:rPr>
          <w:rFonts w:asciiTheme="minorHAnsi" w:hAnsiTheme="minorHAnsi" w:cstheme="minorHAnsi"/>
          <w:noProof/>
        </w:rPr>
        <w:t xml:space="preserve">Dickson, et al., 2002; </w:t>
      </w:r>
      <w:r>
        <w:rPr>
          <w:rFonts w:asciiTheme="minorHAnsi" w:hAnsiTheme="minorHAnsi" w:cstheme="minorHAnsi"/>
          <w:noProof/>
        </w:rPr>
        <w:t>Dowling, et al., 2010; Gupta &amp; Derevensky, 1997; Lesieur &amp; Klein, 1987; Vitaro, et al., 2008)</w:t>
      </w:r>
      <w:r w:rsidRPr="00F515BC">
        <w:rPr>
          <w:rFonts w:asciiTheme="minorHAnsi" w:hAnsiTheme="minorHAnsi" w:cstheme="minorHAnsi"/>
        </w:rPr>
        <w:t>.</w:t>
      </w:r>
    </w:p>
    <w:p w:rsidR="00043311" w:rsidRDefault="00043311" w:rsidP="0042130F">
      <w:pPr>
        <w:spacing w:line="360" w:lineRule="auto"/>
        <w:rPr>
          <w:rFonts w:asciiTheme="minorHAnsi" w:hAnsiTheme="minorHAnsi" w:cstheme="minorHAnsi"/>
        </w:rPr>
      </w:pPr>
      <w:r w:rsidRPr="00A97F42">
        <w:rPr>
          <w:rFonts w:asciiTheme="minorHAnsi" w:hAnsiTheme="minorHAnsi" w:cstheme="minorHAnsi"/>
        </w:rPr>
        <w:lastRenderedPageBreak/>
        <w:t xml:space="preserve">There were limited data identified within this review which explored the impact of maternal versus paternal gambling. One study highlighted concern around the increasing number of women developing gambling problems, given that they continue to be the primary caregiver within the family </w:t>
      </w:r>
      <w:r>
        <w:rPr>
          <w:rFonts w:asciiTheme="minorHAnsi" w:hAnsiTheme="minorHAnsi" w:cstheme="minorHAnsi"/>
          <w:noProof/>
        </w:rPr>
        <w:t>(Darbyshire, et al., 2001b)</w:t>
      </w:r>
      <w:r w:rsidRPr="00F515BC">
        <w:rPr>
          <w:rFonts w:asciiTheme="minorHAnsi" w:hAnsiTheme="minorHAnsi" w:cstheme="minorHAnsi"/>
        </w:rPr>
        <w:t xml:space="preserve">. The authors also noted some differences in the nature and extent of loss experienced by children, depending on whether it was their mother or their father with the gambling problem </w:t>
      </w:r>
      <w:r>
        <w:rPr>
          <w:rFonts w:asciiTheme="minorHAnsi" w:hAnsiTheme="minorHAnsi" w:cstheme="minorHAnsi"/>
          <w:noProof/>
        </w:rPr>
        <w:t>(Darbyshire, et al., 2001b)</w:t>
      </w:r>
      <w:r w:rsidRPr="00F515BC">
        <w:rPr>
          <w:rFonts w:asciiTheme="minorHAnsi" w:hAnsiTheme="minorHAnsi" w:cstheme="minorHAnsi"/>
        </w:rPr>
        <w:t xml:space="preserve">. As highlighted previously, the severity and frequency of the father’s gambling problem was more closely linked to the young person’s subsequent gambling </w:t>
      </w:r>
      <w:r>
        <w:rPr>
          <w:rFonts w:asciiTheme="minorHAnsi" w:hAnsiTheme="minorHAnsi" w:cstheme="minorHAnsi"/>
          <w:noProof/>
        </w:rPr>
        <w:t>(Vachon, et al., 2004)</w:t>
      </w:r>
      <w:r w:rsidRPr="00F515BC">
        <w:rPr>
          <w:rFonts w:asciiTheme="minorHAnsi" w:hAnsiTheme="minorHAnsi" w:cstheme="minorHAnsi"/>
        </w:rPr>
        <w:t xml:space="preserve">. Indeed, a literature review undertaken in Australia found that paternal gambling increases the risk of the child going on to develop problematic gambling behaviour more than maternal problem gambling </w:t>
      </w:r>
      <w:r>
        <w:rPr>
          <w:rFonts w:asciiTheme="minorHAnsi" w:hAnsiTheme="minorHAnsi" w:cstheme="minorHAnsi"/>
          <w:noProof/>
        </w:rPr>
        <w:t>(Dowling, et al., 2010)</w:t>
      </w:r>
      <w:r w:rsidRPr="00F515BC">
        <w:rPr>
          <w:rFonts w:asciiTheme="minorHAnsi" w:hAnsiTheme="minorHAnsi" w:cstheme="minorHAnsi"/>
        </w:rPr>
        <w:t>.</w:t>
      </w:r>
    </w:p>
    <w:p w:rsidR="00043311" w:rsidRPr="00306832" w:rsidRDefault="00043311" w:rsidP="0042130F">
      <w:pPr>
        <w:pStyle w:val="Heading3"/>
        <w:spacing w:line="360" w:lineRule="auto"/>
      </w:pPr>
      <w:bookmarkStart w:id="56" w:name="_Toc352773516"/>
      <w:bookmarkStart w:id="57" w:name="_Toc360724458"/>
      <w:bookmarkStart w:id="58" w:name="_Toc367284405"/>
      <w:r w:rsidRPr="00306832">
        <w:t>Risk factors</w:t>
      </w:r>
      <w:bookmarkEnd w:id="56"/>
      <w:bookmarkEnd w:id="57"/>
      <w:bookmarkEnd w:id="58"/>
    </w:p>
    <w:p w:rsidR="00043311" w:rsidRPr="00306832" w:rsidRDefault="00043311" w:rsidP="0042130F">
      <w:pPr>
        <w:spacing w:line="360" w:lineRule="auto"/>
        <w:rPr>
          <w:rFonts w:asciiTheme="minorHAnsi" w:hAnsiTheme="minorHAnsi" w:cstheme="minorHAnsi"/>
          <w:lang w:val="en-US"/>
        </w:rPr>
      </w:pPr>
      <w:r w:rsidRPr="00306832">
        <w:rPr>
          <w:rFonts w:asciiTheme="minorHAnsi" w:hAnsiTheme="minorHAnsi" w:cstheme="minorHAnsi"/>
        </w:rPr>
        <w:t xml:space="preserve">Risk factors may be described as criteria or characteristics </w:t>
      </w:r>
      <w:r w:rsidRPr="00306832">
        <w:rPr>
          <w:rFonts w:asciiTheme="minorHAnsi" w:hAnsiTheme="minorHAnsi" w:cstheme="minorHAnsi"/>
          <w:lang w:val="en-US"/>
        </w:rPr>
        <w:t xml:space="preserve">associated with an individual that make it more likely that they will develop a problematic behaviour </w:t>
      </w:r>
      <w:r w:rsidRPr="00306832">
        <w:rPr>
          <w:rFonts w:asciiTheme="minorHAnsi" w:hAnsiTheme="minorHAnsi" w:cstheme="minorHAnsi"/>
          <w:noProof/>
          <w:lang w:val="en-US"/>
        </w:rPr>
        <w:t>(Mrazek &amp; Haggerty, 1994)</w:t>
      </w:r>
      <w:r w:rsidRPr="00306832">
        <w:rPr>
          <w:rFonts w:asciiTheme="minorHAnsi" w:hAnsiTheme="minorHAnsi" w:cstheme="minorHAnsi"/>
          <w:lang w:val="en-US"/>
        </w:rPr>
        <w:t xml:space="preserve">. </w:t>
      </w:r>
      <w:r w:rsidRPr="00306832">
        <w:rPr>
          <w:rFonts w:asciiTheme="minorHAnsi" w:hAnsiTheme="minorHAnsi" w:cstheme="minorHAnsi"/>
        </w:rPr>
        <w:t xml:space="preserve">A review of research in the socio-cultural domain of gaming and gambling identified that correlation research in relation to adolescent gambling is at an early stage of development </w:t>
      </w:r>
      <w:r>
        <w:rPr>
          <w:rFonts w:asciiTheme="minorHAnsi" w:hAnsiTheme="minorHAnsi" w:cstheme="minorHAnsi"/>
          <w:noProof/>
        </w:rPr>
        <w:t>(McGowan, et al., 2000)</w:t>
      </w:r>
      <w:r w:rsidRPr="00306832">
        <w:rPr>
          <w:rFonts w:asciiTheme="minorHAnsi" w:hAnsiTheme="minorHAnsi" w:cstheme="minorHAnsi"/>
        </w:rPr>
        <w:t xml:space="preserve">. Others have highlighted the need for on-going work in this area to help prevent problem gambling amongst youth, and to ensure that prevalence research does not dominate the field </w:t>
      </w:r>
      <w:r>
        <w:rPr>
          <w:rFonts w:asciiTheme="minorHAnsi" w:hAnsiTheme="minorHAnsi" w:cstheme="minorHAnsi"/>
          <w:noProof/>
        </w:rPr>
        <w:t>(Derevensky, et al., 2003)</w:t>
      </w:r>
      <w:r w:rsidRPr="00306832">
        <w:rPr>
          <w:rFonts w:asciiTheme="minorHAnsi" w:hAnsiTheme="minorHAnsi" w:cstheme="minorHAnsi"/>
        </w:rPr>
        <w:t>.</w:t>
      </w:r>
      <w:r w:rsidRPr="00306832">
        <w:rPr>
          <w:rFonts w:asciiTheme="minorHAnsi" w:hAnsiTheme="minorHAnsi" w:cstheme="minorHAnsi"/>
          <w:lang w:val="en-US"/>
        </w:rPr>
        <w:t xml:space="preserve"> </w:t>
      </w:r>
    </w:p>
    <w:p w:rsidR="00043311" w:rsidRPr="00306832" w:rsidRDefault="00043311" w:rsidP="0042130F">
      <w:pPr>
        <w:spacing w:line="360" w:lineRule="auto"/>
        <w:rPr>
          <w:rFonts w:asciiTheme="minorHAnsi" w:hAnsiTheme="minorHAnsi" w:cstheme="minorHAnsi"/>
          <w:i/>
        </w:rPr>
      </w:pPr>
      <w:r>
        <w:rPr>
          <w:rFonts w:asciiTheme="minorHAnsi" w:hAnsiTheme="minorHAnsi" w:cstheme="minorHAnsi"/>
        </w:rPr>
        <w:t>T</w:t>
      </w:r>
      <w:r w:rsidRPr="00306832">
        <w:rPr>
          <w:rFonts w:asciiTheme="minorHAnsi" w:hAnsiTheme="minorHAnsi" w:cstheme="minorHAnsi"/>
        </w:rPr>
        <w:t xml:space="preserve">he literature consistently suggests that </w:t>
      </w:r>
      <w:r>
        <w:rPr>
          <w:rFonts w:asciiTheme="minorHAnsi" w:hAnsiTheme="minorHAnsi" w:cstheme="minorHAnsi"/>
        </w:rPr>
        <w:t xml:space="preserve">problem gambling in </w:t>
      </w:r>
      <w:r w:rsidRPr="00306832">
        <w:rPr>
          <w:rFonts w:asciiTheme="minorHAnsi" w:hAnsiTheme="minorHAnsi" w:cstheme="minorHAnsi"/>
        </w:rPr>
        <w:t>adolescen</w:t>
      </w:r>
      <w:r>
        <w:rPr>
          <w:rFonts w:asciiTheme="minorHAnsi" w:hAnsiTheme="minorHAnsi" w:cstheme="minorHAnsi"/>
        </w:rPr>
        <w:t>ce</w:t>
      </w:r>
      <w:r w:rsidRPr="00306832">
        <w:rPr>
          <w:rFonts w:asciiTheme="minorHAnsi" w:hAnsiTheme="minorHAnsi" w:cstheme="minorHAnsi"/>
        </w:rPr>
        <w:t xml:space="preserve"> </w:t>
      </w:r>
      <w:r>
        <w:rPr>
          <w:rFonts w:asciiTheme="minorHAnsi" w:hAnsiTheme="minorHAnsi" w:cstheme="minorHAnsi"/>
        </w:rPr>
        <w:t xml:space="preserve">is associated with </w:t>
      </w:r>
      <w:r w:rsidRPr="00306832">
        <w:rPr>
          <w:rFonts w:asciiTheme="minorHAnsi" w:hAnsiTheme="minorHAnsi" w:cstheme="minorHAnsi"/>
        </w:rPr>
        <w:t xml:space="preserve">an array of pre-existing problems </w:t>
      </w:r>
      <w:r>
        <w:rPr>
          <w:rFonts w:asciiTheme="minorHAnsi" w:hAnsiTheme="minorHAnsi" w:cstheme="minorHAnsi"/>
          <w:noProof/>
        </w:rPr>
        <w:t>(Gupta &amp; Derevensky, 2000; Hardoon, et al., 2002)</w:t>
      </w:r>
      <w:r w:rsidRPr="00306832">
        <w:rPr>
          <w:rFonts w:asciiTheme="minorHAnsi" w:hAnsiTheme="minorHAnsi" w:cstheme="minorHAnsi"/>
        </w:rPr>
        <w:t xml:space="preserve">, with gambling often undertaken as an attempt to manage or resolve these underlying issues </w:t>
      </w:r>
      <w:r>
        <w:rPr>
          <w:rFonts w:asciiTheme="minorHAnsi" w:hAnsiTheme="minorHAnsi" w:cstheme="minorHAnsi"/>
          <w:noProof/>
        </w:rPr>
        <w:t>(Gupta &amp; Derevensky, 2000; Ste-Marie, et al., 2002)</w:t>
      </w:r>
      <w:r w:rsidRPr="00306832">
        <w:rPr>
          <w:rFonts w:asciiTheme="minorHAnsi" w:hAnsiTheme="minorHAnsi" w:cstheme="minorHAnsi"/>
        </w:rPr>
        <w:t xml:space="preserve">. Many of the risk factors associated with gambling may be observed in other potentially harmful youth behaviours, such as substance misuse </w:t>
      </w:r>
      <w:r>
        <w:rPr>
          <w:rFonts w:asciiTheme="minorHAnsi" w:hAnsiTheme="minorHAnsi" w:cstheme="minorHAnsi"/>
          <w:noProof/>
        </w:rPr>
        <w:t>(Derevensky, et al., 2003; Shead, Derevensky, &amp; Gupta, 2010)</w:t>
      </w:r>
      <w:r w:rsidRPr="00306832">
        <w:rPr>
          <w:rFonts w:asciiTheme="minorHAnsi" w:hAnsiTheme="minorHAnsi" w:cstheme="minorHAnsi"/>
        </w:rPr>
        <w:t xml:space="preserve">. It has also been highlighted that the risk factors for problem gambling differ between males and females </w:t>
      </w:r>
      <w:r>
        <w:rPr>
          <w:rFonts w:asciiTheme="minorHAnsi" w:hAnsiTheme="minorHAnsi" w:cstheme="minorHAnsi"/>
          <w:noProof/>
        </w:rPr>
        <w:t>(Gupta &amp; Derevensky, 1998b; Jackson, et al., 2008; Moore &amp; Ohtsuka, 1997; Stinchfield, 2000)</w:t>
      </w:r>
      <w:r w:rsidRPr="00306832">
        <w:rPr>
          <w:rFonts w:asciiTheme="minorHAnsi" w:hAnsiTheme="minorHAnsi" w:cstheme="minorHAnsi"/>
        </w:rPr>
        <w:t xml:space="preserve">. Research involving school students in Australia, for example, found that the key predictors for greater gambling involvement for males were other antisocial and risk-taking behaviours; for females, they were dissatisfaction with peers and school connectedness </w:t>
      </w:r>
      <w:r>
        <w:rPr>
          <w:rFonts w:asciiTheme="minorHAnsi" w:hAnsiTheme="minorHAnsi" w:cstheme="minorHAnsi"/>
          <w:noProof/>
        </w:rPr>
        <w:t>(Jackson, et al., 2008)</w:t>
      </w:r>
      <w:r w:rsidRPr="00306832">
        <w:rPr>
          <w:rFonts w:asciiTheme="minorHAnsi" w:hAnsiTheme="minorHAnsi" w:cstheme="minorHAnsi"/>
        </w:rPr>
        <w:t>.</w:t>
      </w:r>
    </w:p>
    <w:p w:rsidR="00043311" w:rsidRDefault="00043311" w:rsidP="0042130F">
      <w:pPr>
        <w:spacing w:line="360" w:lineRule="auto"/>
        <w:rPr>
          <w:rFonts w:asciiTheme="minorHAnsi" w:hAnsiTheme="minorHAnsi" w:cstheme="minorHAnsi"/>
        </w:rPr>
      </w:pPr>
      <w:r w:rsidRPr="00306832">
        <w:rPr>
          <w:rFonts w:asciiTheme="minorHAnsi" w:hAnsiTheme="minorHAnsi" w:cstheme="minorHAnsi"/>
        </w:rPr>
        <w:t xml:space="preserve">Based upon research which was conducted in England and Wales, involving a sample of nearly 10,000 young people aged 12-15 years, the following table lists a range of risk factors which were described as being useful predictors of adolescent problem gambling </w:t>
      </w:r>
      <w:r w:rsidRPr="00306832">
        <w:rPr>
          <w:rFonts w:asciiTheme="minorHAnsi" w:hAnsiTheme="minorHAnsi" w:cstheme="minorHAnsi"/>
          <w:noProof/>
        </w:rPr>
        <w:t>(Fisher, 1999)</w:t>
      </w:r>
      <w:r w:rsidRPr="00306832">
        <w:rPr>
          <w:rFonts w:asciiTheme="minorHAnsi" w:hAnsiTheme="minorHAnsi" w:cstheme="minorHAnsi"/>
        </w:rPr>
        <w:t xml:space="preserve">. </w:t>
      </w:r>
    </w:p>
    <w:p w:rsidR="00FA027D" w:rsidRPr="008B5AC1" w:rsidRDefault="008B5AC1" w:rsidP="00BD1B09">
      <w:pPr>
        <w:pStyle w:val="Caption"/>
        <w:keepNext/>
        <w:spacing w:line="240" w:lineRule="auto"/>
        <w:rPr>
          <w:rFonts w:asciiTheme="minorHAnsi" w:hAnsiTheme="minorHAnsi" w:cstheme="minorHAnsi"/>
          <w:b w:val="0"/>
          <w:bCs w:val="0"/>
        </w:rPr>
      </w:pPr>
      <w:bookmarkStart w:id="59" w:name="_Toc352773234"/>
      <w:bookmarkStart w:id="60" w:name="_Toc367285386"/>
      <w:r w:rsidRPr="008B5AC1">
        <w:rPr>
          <w:rFonts w:asciiTheme="minorHAnsi" w:hAnsiTheme="minorHAnsi"/>
        </w:rPr>
        <w:lastRenderedPageBreak/>
        <w:t xml:space="preserve">Table </w:t>
      </w:r>
      <w:r w:rsidR="007B447B" w:rsidRPr="008B5AC1">
        <w:rPr>
          <w:rFonts w:asciiTheme="minorHAnsi" w:hAnsiTheme="minorHAnsi"/>
        </w:rPr>
        <w:fldChar w:fldCharType="begin"/>
      </w:r>
      <w:r w:rsidRPr="008B5AC1">
        <w:rPr>
          <w:rFonts w:asciiTheme="minorHAnsi" w:hAnsiTheme="minorHAnsi"/>
        </w:rPr>
        <w:instrText xml:space="preserve"> SEQ Table \* ARABIC </w:instrText>
      </w:r>
      <w:r w:rsidR="007B447B" w:rsidRPr="008B5AC1">
        <w:rPr>
          <w:rFonts w:asciiTheme="minorHAnsi" w:hAnsiTheme="minorHAnsi"/>
        </w:rPr>
        <w:fldChar w:fldCharType="separate"/>
      </w:r>
      <w:r w:rsidR="009E3D1C">
        <w:rPr>
          <w:rFonts w:asciiTheme="minorHAnsi" w:hAnsiTheme="minorHAnsi"/>
          <w:noProof/>
        </w:rPr>
        <w:t>3</w:t>
      </w:r>
      <w:r w:rsidR="007B447B" w:rsidRPr="008B5AC1">
        <w:rPr>
          <w:rFonts w:asciiTheme="minorHAnsi" w:hAnsiTheme="minorHAnsi"/>
        </w:rPr>
        <w:fldChar w:fldCharType="end"/>
      </w:r>
      <w:r w:rsidRPr="008B5AC1">
        <w:rPr>
          <w:rFonts w:asciiTheme="minorHAnsi" w:hAnsiTheme="minorHAnsi"/>
        </w:rPr>
        <w:t xml:space="preserve">: </w:t>
      </w:r>
      <w:r w:rsidRPr="008B5AC1">
        <w:rPr>
          <w:rFonts w:asciiTheme="minorHAnsi" w:hAnsiTheme="minorHAnsi" w:cstheme="minorHAnsi"/>
        </w:rPr>
        <w:t>Predictors of youth problem gambling</w:t>
      </w:r>
      <w:bookmarkEnd w:id="59"/>
      <w:bookmarkEnd w:id="60"/>
    </w:p>
    <w:tbl>
      <w:tblPr>
        <w:tblW w:w="765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A0" w:firstRow="1" w:lastRow="0" w:firstColumn="1" w:lastColumn="0" w:noHBand="0" w:noVBand="0"/>
      </w:tblPr>
      <w:tblGrid>
        <w:gridCol w:w="7654"/>
      </w:tblGrid>
      <w:tr w:rsidR="00043311" w:rsidRPr="00306832" w:rsidTr="008B5AC1">
        <w:trPr>
          <w:trHeight w:val="2683"/>
          <w:jc w:val="center"/>
        </w:trPr>
        <w:tc>
          <w:tcPr>
            <w:tcW w:w="7654" w:type="dxa"/>
            <w:shd w:val="clear" w:color="auto" w:fill="DBE5F1"/>
          </w:tcPr>
          <w:p w:rsidR="00043311" w:rsidRPr="00306832" w:rsidRDefault="00043311" w:rsidP="0042130F">
            <w:pPr>
              <w:pStyle w:val="ListParagraph"/>
              <w:spacing w:line="240" w:lineRule="auto"/>
              <w:ind w:left="360"/>
              <w:rPr>
                <w:rFonts w:asciiTheme="minorHAnsi" w:hAnsiTheme="minorHAnsi" w:cstheme="minorHAnsi"/>
                <w:sz w:val="10"/>
                <w:szCs w:val="20"/>
              </w:rPr>
            </w:pPr>
          </w:p>
          <w:p w:rsidR="00043311" w:rsidRPr="00306832" w:rsidRDefault="00043311" w:rsidP="008B5AC1">
            <w:pPr>
              <w:pStyle w:val="ListParagraph"/>
              <w:numPr>
                <w:ilvl w:val="0"/>
                <w:numId w:val="18"/>
              </w:numPr>
              <w:spacing w:line="240" w:lineRule="auto"/>
              <w:ind w:left="453" w:hanging="357"/>
              <w:rPr>
                <w:rFonts w:asciiTheme="minorHAnsi" w:hAnsiTheme="minorHAnsi" w:cstheme="minorHAnsi"/>
                <w:sz w:val="20"/>
                <w:szCs w:val="20"/>
              </w:rPr>
            </w:pPr>
            <w:r w:rsidRPr="00306832">
              <w:rPr>
                <w:rFonts w:asciiTheme="minorHAnsi" w:hAnsiTheme="minorHAnsi" w:cstheme="minorHAnsi"/>
                <w:sz w:val="20"/>
                <w:szCs w:val="20"/>
              </w:rPr>
              <w:t>Living at the seaside</w:t>
            </w:r>
          </w:p>
          <w:p w:rsidR="00043311" w:rsidRPr="00306832" w:rsidRDefault="00043311" w:rsidP="0042130F">
            <w:pPr>
              <w:pStyle w:val="ListParagraph"/>
              <w:numPr>
                <w:ilvl w:val="0"/>
                <w:numId w:val="18"/>
              </w:numPr>
              <w:spacing w:line="240" w:lineRule="auto"/>
              <w:ind w:left="459"/>
              <w:rPr>
                <w:rFonts w:asciiTheme="minorHAnsi" w:hAnsiTheme="minorHAnsi" w:cstheme="minorHAnsi"/>
                <w:sz w:val="20"/>
                <w:szCs w:val="20"/>
              </w:rPr>
            </w:pPr>
            <w:r w:rsidRPr="00306832">
              <w:rPr>
                <w:rFonts w:asciiTheme="minorHAnsi" w:hAnsiTheme="minorHAnsi" w:cstheme="minorHAnsi"/>
                <w:sz w:val="20"/>
                <w:szCs w:val="20"/>
              </w:rPr>
              <w:t>Being male</w:t>
            </w:r>
          </w:p>
          <w:p w:rsidR="00043311" w:rsidRPr="00306832" w:rsidRDefault="00043311" w:rsidP="0042130F">
            <w:pPr>
              <w:pStyle w:val="ListParagraph"/>
              <w:numPr>
                <w:ilvl w:val="0"/>
                <w:numId w:val="18"/>
              </w:numPr>
              <w:spacing w:line="240" w:lineRule="auto"/>
              <w:ind w:left="459"/>
              <w:rPr>
                <w:rFonts w:asciiTheme="minorHAnsi" w:hAnsiTheme="minorHAnsi" w:cstheme="minorHAnsi"/>
                <w:sz w:val="20"/>
                <w:szCs w:val="20"/>
              </w:rPr>
            </w:pPr>
            <w:r w:rsidRPr="00306832">
              <w:rPr>
                <w:rFonts w:asciiTheme="minorHAnsi" w:hAnsiTheme="minorHAnsi" w:cstheme="minorHAnsi"/>
                <w:sz w:val="20"/>
                <w:szCs w:val="20"/>
              </w:rPr>
              <w:t>Feels bad about amount of alcohol drunk</w:t>
            </w:r>
          </w:p>
          <w:p w:rsidR="00043311" w:rsidRPr="00306832" w:rsidRDefault="00043311" w:rsidP="0042130F">
            <w:pPr>
              <w:pStyle w:val="ListParagraph"/>
              <w:numPr>
                <w:ilvl w:val="0"/>
                <w:numId w:val="18"/>
              </w:numPr>
              <w:spacing w:line="240" w:lineRule="auto"/>
              <w:ind w:left="459"/>
              <w:rPr>
                <w:rFonts w:asciiTheme="minorHAnsi" w:hAnsiTheme="minorHAnsi" w:cstheme="minorHAnsi"/>
                <w:sz w:val="20"/>
                <w:szCs w:val="20"/>
              </w:rPr>
            </w:pPr>
            <w:r w:rsidRPr="00306832">
              <w:rPr>
                <w:rFonts w:asciiTheme="minorHAnsi" w:hAnsiTheme="minorHAnsi" w:cstheme="minorHAnsi"/>
                <w:sz w:val="20"/>
                <w:szCs w:val="20"/>
              </w:rPr>
              <w:t>Has a parent who gambles “too much”</w:t>
            </w:r>
          </w:p>
          <w:p w:rsidR="00043311" w:rsidRPr="00306832" w:rsidRDefault="00043311" w:rsidP="0042130F">
            <w:pPr>
              <w:pStyle w:val="ListParagraph"/>
              <w:numPr>
                <w:ilvl w:val="0"/>
                <w:numId w:val="18"/>
              </w:numPr>
              <w:spacing w:line="240" w:lineRule="auto"/>
              <w:ind w:left="459"/>
              <w:rPr>
                <w:rFonts w:asciiTheme="minorHAnsi" w:hAnsiTheme="minorHAnsi" w:cstheme="minorHAnsi"/>
                <w:sz w:val="20"/>
                <w:szCs w:val="20"/>
              </w:rPr>
            </w:pPr>
            <w:r w:rsidRPr="00306832">
              <w:rPr>
                <w:rFonts w:asciiTheme="minorHAnsi" w:hAnsiTheme="minorHAnsi" w:cstheme="minorHAnsi"/>
                <w:sz w:val="20"/>
                <w:szCs w:val="20"/>
              </w:rPr>
              <w:t>Has a parent who gambled on fruit machines last week</w:t>
            </w:r>
          </w:p>
          <w:p w:rsidR="00043311" w:rsidRPr="00306832" w:rsidRDefault="00043311" w:rsidP="0042130F">
            <w:pPr>
              <w:pStyle w:val="ListParagraph"/>
              <w:numPr>
                <w:ilvl w:val="0"/>
                <w:numId w:val="18"/>
              </w:numPr>
              <w:spacing w:line="240" w:lineRule="auto"/>
              <w:ind w:left="459"/>
              <w:rPr>
                <w:rFonts w:asciiTheme="minorHAnsi" w:hAnsiTheme="minorHAnsi" w:cstheme="minorHAnsi"/>
                <w:sz w:val="20"/>
                <w:szCs w:val="20"/>
              </w:rPr>
            </w:pPr>
            <w:r w:rsidRPr="00306832">
              <w:rPr>
                <w:rFonts w:asciiTheme="minorHAnsi" w:hAnsiTheme="minorHAnsi" w:cstheme="minorHAnsi"/>
                <w:sz w:val="20"/>
                <w:szCs w:val="20"/>
              </w:rPr>
              <w:t>Has a parent who gambled on National Lottery scratch-cards last week</w:t>
            </w:r>
          </w:p>
          <w:p w:rsidR="00043311" w:rsidRPr="00306832" w:rsidRDefault="00043311" w:rsidP="0042130F">
            <w:pPr>
              <w:pStyle w:val="ListParagraph"/>
              <w:numPr>
                <w:ilvl w:val="0"/>
                <w:numId w:val="18"/>
              </w:numPr>
              <w:spacing w:line="240" w:lineRule="auto"/>
              <w:ind w:left="459"/>
              <w:rPr>
                <w:rFonts w:asciiTheme="minorHAnsi" w:hAnsiTheme="minorHAnsi" w:cstheme="minorHAnsi"/>
                <w:sz w:val="20"/>
                <w:szCs w:val="20"/>
              </w:rPr>
            </w:pPr>
            <w:r w:rsidRPr="00306832">
              <w:rPr>
                <w:rFonts w:asciiTheme="minorHAnsi" w:hAnsiTheme="minorHAnsi" w:cstheme="minorHAnsi"/>
                <w:sz w:val="20"/>
                <w:szCs w:val="20"/>
              </w:rPr>
              <w:t>Has parents who approve or don’t mind if their child gambles</w:t>
            </w:r>
          </w:p>
          <w:p w:rsidR="00043311" w:rsidRPr="00306832" w:rsidRDefault="00043311" w:rsidP="0042130F">
            <w:pPr>
              <w:pStyle w:val="ListParagraph"/>
              <w:numPr>
                <w:ilvl w:val="0"/>
                <w:numId w:val="18"/>
              </w:numPr>
              <w:spacing w:line="240" w:lineRule="auto"/>
              <w:ind w:left="459"/>
              <w:rPr>
                <w:rFonts w:asciiTheme="minorHAnsi" w:hAnsiTheme="minorHAnsi" w:cstheme="minorHAnsi"/>
                <w:sz w:val="20"/>
                <w:szCs w:val="20"/>
              </w:rPr>
            </w:pPr>
            <w:r w:rsidRPr="00306832">
              <w:rPr>
                <w:rFonts w:asciiTheme="minorHAnsi" w:hAnsiTheme="minorHAnsi" w:cstheme="minorHAnsi"/>
                <w:sz w:val="20"/>
                <w:szCs w:val="20"/>
              </w:rPr>
              <w:t>Has misused dinner money (past year)</w:t>
            </w:r>
          </w:p>
          <w:p w:rsidR="00043311" w:rsidRPr="00306832" w:rsidRDefault="00043311" w:rsidP="0042130F">
            <w:pPr>
              <w:pStyle w:val="ListParagraph"/>
              <w:numPr>
                <w:ilvl w:val="0"/>
                <w:numId w:val="18"/>
              </w:numPr>
              <w:spacing w:line="240" w:lineRule="auto"/>
              <w:ind w:left="459"/>
              <w:rPr>
                <w:rFonts w:asciiTheme="minorHAnsi" w:hAnsiTheme="minorHAnsi" w:cstheme="minorHAnsi"/>
                <w:sz w:val="20"/>
                <w:szCs w:val="20"/>
              </w:rPr>
            </w:pPr>
            <w:r w:rsidRPr="00306832">
              <w:rPr>
                <w:rFonts w:asciiTheme="minorHAnsi" w:hAnsiTheme="minorHAnsi" w:cstheme="minorHAnsi"/>
                <w:sz w:val="20"/>
                <w:szCs w:val="20"/>
              </w:rPr>
              <w:t>Has stolen from family (past year)</w:t>
            </w:r>
          </w:p>
          <w:p w:rsidR="00043311" w:rsidRPr="00AA601E" w:rsidRDefault="00043311" w:rsidP="0042130F">
            <w:pPr>
              <w:pStyle w:val="ListParagraph"/>
              <w:numPr>
                <w:ilvl w:val="0"/>
                <w:numId w:val="18"/>
              </w:numPr>
              <w:spacing w:line="240" w:lineRule="auto"/>
              <w:ind w:left="459"/>
              <w:rPr>
                <w:rFonts w:asciiTheme="minorHAnsi" w:hAnsiTheme="minorHAnsi" w:cstheme="minorHAnsi"/>
                <w:sz w:val="20"/>
                <w:szCs w:val="20"/>
              </w:rPr>
            </w:pPr>
            <w:r w:rsidRPr="00306832">
              <w:rPr>
                <w:rFonts w:asciiTheme="minorHAnsi" w:hAnsiTheme="minorHAnsi" w:cstheme="minorHAnsi"/>
                <w:sz w:val="20"/>
                <w:szCs w:val="20"/>
              </w:rPr>
              <w:t>Has stolen from outside the family (past year)</w:t>
            </w:r>
          </w:p>
        </w:tc>
      </w:tr>
    </w:tbl>
    <w:p w:rsidR="00043311" w:rsidRPr="00306832" w:rsidRDefault="00043311" w:rsidP="0042130F">
      <w:pPr>
        <w:spacing w:line="360" w:lineRule="auto"/>
        <w:rPr>
          <w:rFonts w:asciiTheme="minorHAnsi" w:hAnsiTheme="minorHAnsi" w:cstheme="minorHAnsi"/>
        </w:rPr>
      </w:pPr>
      <w:r w:rsidRPr="00306832">
        <w:rPr>
          <w:rFonts w:asciiTheme="minorHAnsi" w:hAnsiTheme="minorHAnsi" w:cstheme="minorHAnsi"/>
        </w:rPr>
        <w:t xml:space="preserve">As can be observed in Table 3 above, several of the risk factors are concerned with parental gambling behaviour and attitudes. Other research has identified anxiety and risk propensity, being male, academic difficulties, and knowing a significant other (including a sibling or friend) with a substance use problem, as being key predictors of both at-risk and probable pathological gambling </w:t>
      </w:r>
      <w:r w:rsidRPr="00306832">
        <w:rPr>
          <w:rFonts w:asciiTheme="minorHAnsi" w:hAnsiTheme="minorHAnsi" w:cstheme="minorHAnsi"/>
          <w:noProof/>
        </w:rPr>
        <w:t>(Dickson, Derevensky, &amp; Gupta, 2008)</w:t>
      </w:r>
      <w:r w:rsidRPr="00306832">
        <w:rPr>
          <w:rFonts w:asciiTheme="minorHAnsi" w:hAnsiTheme="minorHAnsi" w:cstheme="minorHAnsi"/>
        </w:rPr>
        <w:t>. Hardoon and colleagues (2002) identified a set of predictor variables which they claimed led to problem gambling; these included having family problems, conduct problems, being addicted to drugs or alcohol, and being male. A summary of the key risk factors for problem gambling amongst youth, as identified as part of this review, is presented below.</w:t>
      </w:r>
    </w:p>
    <w:p w:rsidR="009E435B" w:rsidRPr="00507ED0" w:rsidRDefault="009E435B" w:rsidP="00043311">
      <w:pPr>
        <w:pStyle w:val="ListParagraph"/>
        <w:numPr>
          <w:ilvl w:val="0"/>
          <w:numId w:val="23"/>
        </w:numPr>
        <w:spacing w:line="360" w:lineRule="auto"/>
        <w:rPr>
          <w:rFonts w:asciiTheme="minorHAnsi" w:hAnsiTheme="minorHAnsi" w:cstheme="minorHAnsi"/>
          <w:i/>
        </w:rPr>
      </w:pPr>
      <w:r w:rsidRPr="00507ED0">
        <w:rPr>
          <w:rFonts w:asciiTheme="minorHAnsi" w:hAnsiTheme="minorHAnsi" w:cstheme="minorHAnsi"/>
          <w:i/>
        </w:rPr>
        <w:t>Demographic characteristics:</w:t>
      </w:r>
    </w:p>
    <w:p w:rsidR="00043311" w:rsidRPr="009E435B" w:rsidRDefault="00043311" w:rsidP="009E435B">
      <w:pPr>
        <w:pStyle w:val="ListParagraph"/>
        <w:numPr>
          <w:ilvl w:val="1"/>
          <w:numId w:val="23"/>
        </w:numPr>
        <w:spacing w:line="360" w:lineRule="auto"/>
        <w:rPr>
          <w:rFonts w:asciiTheme="minorHAnsi" w:hAnsiTheme="minorHAnsi" w:cstheme="minorHAnsi"/>
          <w:b/>
        </w:rPr>
      </w:pPr>
      <w:r w:rsidRPr="002E677D">
        <w:rPr>
          <w:rFonts w:asciiTheme="minorHAnsi" w:hAnsiTheme="minorHAnsi" w:cstheme="minorHAnsi"/>
          <w:i/>
        </w:rPr>
        <w:t xml:space="preserve">Gender: </w:t>
      </w:r>
      <w:r w:rsidR="00BB3055">
        <w:rPr>
          <w:rFonts w:asciiTheme="minorHAnsi" w:hAnsiTheme="minorHAnsi" w:cstheme="minorHAnsi"/>
        </w:rPr>
        <w:t>E</w:t>
      </w:r>
      <w:r w:rsidRPr="002E677D">
        <w:rPr>
          <w:rFonts w:asciiTheme="minorHAnsi" w:hAnsiTheme="minorHAnsi" w:cstheme="minorHAnsi"/>
        </w:rPr>
        <w:t xml:space="preserve">vidence suggests that male youth are more likely than females both to gamble – and to develop problematic gambling behaviours </w:t>
      </w:r>
      <w:r>
        <w:rPr>
          <w:rFonts w:asciiTheme="minorHAnsi" w:hAnsiTheme="minorHAnsi" w:cstheme="minorHAnsi"/>
          <w:noProof/>
        </w:rPr>
        <w:t>(Blinn-Pike, et al., 2010; Delfabbro, et al., 2005; Hardoon, et al., 2002; Huang &amp; Boyer, 2007; Jackson, et al., 2008; Jacobs, 2000; Molde, et al., 2009; Moodie &amp; Finnigan, 2006; Purdie, et al., 2011; Raisamo, et al., 2013; Rossen, 2008; Rossen, et al., 2011; Ste-Marie, et al., 2002; Stinchfield, 2000; Turchi &amp; Derevensky, 2006)</w:t>
      </w:r>
      <w:r w:rsidRPr="002E677D">
        <w:rPr>
          <w:rFonts w:asciiTheme="minorHAnsi" w:hAnsiTheme="minorHAnsi" w:cstheme="minorHAnsi"/>
        </w:rPr>
        <w:t xml:space="preserve">. A study from Canada found that, amongst last year adolescent gamblers, young men were three times as likely as their female counterparts to be either problem or moderate-risk gamblers </w:t>
      </w:r>
      <w:r w:rsidRPr="002E677D">
        <w:rPr>
          <w:rFonts w:asciiTheme="minorHAnsi" w:hAnsiTheme="minorHAnsi" w:cstheme="minorHAnsi"/>
          <w:noProof/>
        </w:rPr>
        <w:t>(Huang &amp; Boyer, 2007)</w:t>
      </w:r>
      <w:r w:rsidRPr="002E677D">
        <w:rPr>
          <w:rFonts w:asciiTheme="minorHAnsi" w:hAnsiTheme="minorHAnsi" w:cstheme="minorHAnsi"/>
        </w:rPr>
        <w:t xml:space="preserve">. Other research has reported males being five times more likely to be classified as problem/pathological gamblers </w:t>
      </w:r>
      <w:r>
        <w:rPr>
          <w:rFonts w:asciiTheme="minorHAnsi" w:hAnsiTheme="minorHAnsi" w:cstheme="minorHAnsi"/>
          <w:noProof/>
        </w:rPr>
        <w:t>(Hardoon, et al., 2002)</w:t>
      </w:r>
      <w:r w:rsidRPr="002E677D">
        <w:rPr>
          <w:rFonts w:asciiTheme="minorHAnsi" w:hAnsiTheme="minorHAnsi" w:cstheme="minorHAnsi"/>
        </w:rPr>
        <w:t xml:space="preserve">. </w:t>
      </w:r>
    </w:p>
    <w:p w:rsidR="009E435B" w:rsidRPr="00254884" w:rsidRDefault="009E435B" w:rsidP="00146641">
      <w:pPr>
        <w:pStyle w:val="ListParagraph"/>
        <w:numPr>
          <w:ilvl w:val="1"/>
          <w:numId w:val="23"/>
        </w:numPr>
        <w:spacing w:line="360" w:lineRule="auto"/>
        <w:rPr>
          <w:rFonts w:asciiTheme="minorHAnsi" w:hAnsiTheme="minorHAnsi" w:cstheme="minorHAnsi"/>
        </w:rPr>
      </w:pPr>
      <w:r w:rsidRPr="00254884">
        <w:rPr>
          <w:rFonts w:asciiTheme="minorHAnsi" w:hAnsiTheme="minorHAnsi" w:cstheme="minorHAnsi"/>
          <w:i/>
        </w:rPr>
        <w:t>Ethnicity and socioeconomic status:</w:t>
      </w:r>
      <w:r w:rsidRPr="00254884">
        <w:rPr>
          <w:rFonts w:asciiTheme="minorHAnsi" w:hAnsiTheme="minorHAnsi" w:cstheme="minorHAnsi"/>
        </w:rPr>
        <w:t xml:space="preserve"> While a number of studies have found no relationship between ethnicity and youth problem gambling</w:t>
      </w:r>
      <w:r w:rsidR="00254884" w:rsidRPr="00254884">
        <w:rPr>
          <w:rFonts w:asciiTheme="minorHAnsi" w:hAnsiTheme="minorHAnsi" w:cstheme="minorHAnsi"/>
        </w:rPr>
        <w:t xml:space="preserve"> (Carlson &amp; Moore, 1998; Fisher, 1999)</w:t>
      </w:r>
      <w:r w:rsidRPr="00254884">
        <w:rPr>
          <w:rFonts w:asciiTheme="minorHAnsi" w:hAnsiTheme="minorHAnsi" w:cstheme="minorHAnsi"/>
        </w:rPr>
        <w:t xml:space="preserve">, a substantial number have found that, as with adults, adolescents from </w:t>
      </w:r>
      <w:r w:rsidR="00F06B39">
        <w:rPr>
          <w:rFonts w:asciiTheme="minorHAnsi" w:hAnsiTheme="minorHAnsi" w:cstheme="minorHAnsi"/>
        </w:rPr>
        <w:t>indigenous and other</w:t>
      </w:r>
      <w:r w:rsidRPr="00254884">
        <w:rPr>
          <w:rFonts w:asciiTheme="minorHAnsi" w:hAnsiTheme="minorHAnsi" w:cstheme="minorHAnsi"/>
        </w:rPr>
        <w:t xml:space="preserve"> ethnic groups</w:t>
      </w:r>
      <w:r w:rsidR="000079ED" w:rsidRPr="00254884">
        <w:rPr>
          <w:rFonts w:asciiTheme="minorHAnsi" w:hAnsiTheme="minorHAnsi" w:cstheme="minorHAnsi"/>
        </w:rPr>
        <w:t xml:space="preserve"> and </w:t>
      </w:r>
      <w:r w:rsidR="00F06B39">
        <w:rPr>
          <w:rFonts w:asciiTheme="minorHAnsi" w:hAnsiTheme="minorHAnsi" w:cstheme="minorHAnsi"/>
        </w:rPr>
        <w:t xml:space="preserve">those living in </w:t>
      </w:r>
      <w:r w:rsidR="000079ED" w:rsidRPr="00254884">
        <w:rPr>
          <w:rFonts w:asciiTheme="minorHAnsi" w:hAnsiTheme="minorHAnsi" w:cstheme="minorHAnsi"/>
        </w:rPr>
        <w:t xml:space="preserve"> neighbourhood</w:t>
      </w:r>
      <w:r w:rsidR="00507ED0">
        <w:rPr>
          <w:rFonts w:asciiTheme="minorHAnsi" w:hAnsiTheme="minorHAnsi" w:cstheme="minorHAnsi"/>
        </w:rPr>
        <w:t>s</w:t>
      </w:r>
      <w:r w:rsidRPr="00254884">
        <w:rPr>
          <w:rFonts w:asciiTheme="minorHAnsi" w:hAnsiTheme="minorHAnsi" w:cstheme="minorHAnsi"/>
        </w:rPr>
        <w:t xml:space="preserve"> </w:t>
      </w:r>
      <w:r w:rsidR="00F06B39">
        <w:rPr>
          <w:rFonts w:asciiTheme="minorHAnsi" w:hAnsiTheme="minorHAnsi" w:cstheme="minorHAnsi"/>
        </w:rPr>
        <w:t xml:space="preserve">with higher levels of </w:t>
      </w:r>
      <w:r w:rsidR="00F06B39" w:rsidRPr="00254884">
        <w:rPr>
          <w:rFonts w:asciiTheme="minorHAnsi" w:hAnsiTheme="minorHAnsi" w:cstheme="minorHAnsi"/>
        </w:rPr>
        <w:t xml:space="preserve">socioeconomic </w:t>
      </w:r>
      <w:r w:rsidR="00F06B39">
        <w:rPr>
          <w:rFonts w:asciiTheme="minorHAnsi" w:hAnsiTheme="minorHAnsi" w:cstheme="minorHAnsi"/>
        </w:rPr>
        <w:t xml:space="preserve">deprivation </w:t>
      </w:r>
      <w:r w:rsidRPr="00254884">
        <w:rPr>
          <w:rFonts w:asciiTheme="minorHAnsi" w:hAnsiTheme="minorHAnsi" w:cstheme="minorHAnsi"/>
        </w:rPr>
        <w:t>are significantly more likely to gamble and to exhibit problem gambling behaviour</w:t>
      </w:r>
      <w:r w:rsidR="000079ED" w:rsidRPr="00254884">
        <w:rPr>
          <w:rFonts w:asciiTheme="minorHAnsi" w:hAnsiTheme="minorHAnsi" w:cstheme="minorHAnsi"/>
        </w:rPr>
        <w:t xml:space="preserve"> (</w:t>
      </w:r>
      <w:r w:rsidR="00507ED0">
        <w:rPr>
          <w:rFonts w:asciiTheme="minorHAnsi" w:hAnsiTheme="minorHAnsi" w:cstheme="minorHAnsi"/>
          <w:noProof/>
        </w:rPr>
        <w:t xml:space="preserve">Delfabbro, et al., 2005; </w:t>
      </w:r>
      <w:r w:rsidR="000079ED" w:rsidRPr="00254884">
        <w:rPr>
          <w:rFonts w:asciiTheme="minorHAnsi" w:hAnsiTheme="minorHAnsi" w:cstheme="minorHAnsi"/>
        </w:rPr>
        <w:t>L</w:t>
      </w:r>
      <w:r w:rsidR="000079ED" w:rsidRPr="00507ED0">
        <w:rPr>
          <w:rFonts w:asciiTheme="minorHAnsi" w:hAnsiTheme="minorHAnsi" w:cstheme="minorHAnsi"/>
        </w:rPr>
        <w:t xml:space="preserve">esieur et al., 1991; </w:t>
      </w:r>
      <w:r w:rsidR="00507ED0">
        <w:rPr>
          <w:rFonts w:asciiTheme="minorHAnsi" w:hAnsiTheme="minorHAnsi" w:cstheme="minorHAnsi"/>
          <w:noProof/>
        </w:rPr>
        <w:t xml:space="preserve">Rossen, 2008; Rossen, et al., 2011; </w:t>
      </w:r>
      <w:r w:rsidR="000079ED" w:rsidRPr="00507ED0">
        <w:rPr>
          <w:rFonts w:asciiTheme="minorHAnsi" w:hAnsiTheme="minorHAnsi" w:cstheme="minorHAnsi"/>
        </w:rPr>
        <w:t xml:space="preserve">Shead et al., 2010; </w:t>
      </w:r>
      <w:r w:rsidR="00507ED0">
        <w:rPr>
          <w:rFonts w:asciiTheme="minorHAnsi" w:hAnsiTheme="minorHAnsi" w:cstheme="minorHAnsi"/>
          <w:noProof/>
        </w:rPr>
        <w:t xml:space="preserve">Taufa, 2006; </w:t>
      </w:r>
      <w:r w:rsidR="000079ED" w:rsidRPr="00507ED0">
        <w:rPr>
          <w:rFonts w:asciiTheme="minorHAnsi" w:hAnsiTheme="minorHAnsi" w:cstheme="minorHAnsi"/>
        </w:rPr>
        <w:t xml:space="preserve">Volberg et al., 2010; Wallisch, 1996; </w:t>
      </w:r>
      <w:r w:rsidR="00E375C0">
        <w:rPr>
          <w:rFonts w:asciiTheme="minorHAnsi" w:hAnsiTheme="minorHAnsi" w:cstheme="minorHAnsi"/>
          <w:noProof/>
        </w:rPr>
        <w:t xml:space="preserve">Welte, et al., 2008; </w:t>
      </w:r>
      <w:r w:rsidR="000079ED" w:rsidRPr="00507ED0">
        <w:rPr>
          <w:rFonts w:asciiTheme="minorHAnsi" w:hAnsiTheme="minorHAnsi" w:cstheme="minorHAnsi"/>
        </w:rPr>
        <w:t xml:space="preserve">Zitzow, 1996). </w:t>
      </w:r>
    </w:p>
    <w:p w:rsidR="00BC495A" w:rsidRPr="00306832" w:rsidRDefault="00BC495A" w:rsidP="00BC495A">
      <w:pPr>
        <w:pStyle w:val="ListParagraph"/>
        <w:numPr>
          <w:ilvl w:val="1"/>
          <w:numId w:val="23"/>
        </w:numPr>
        <w:spacing w:line="360" w:lineRule="auto"/>
        <w:rPr>
          <w:rFonts w:asciiTheme="minorHAnsi" w:hAnsiTheme="minorHAnsi" w:cstheme="minorHAnsi"/>
          <w:b/>
        </w:rPr>
      </w:pPr>
      <w:r>
        <w:rPr>
          <w:rFonts w:asciiTheme="minorHAnsi" w:hAnsiTheme="minorHAnsi" w:cstheme="minorHAnsi"/>
          <w:i/>
        </w:rPr>
        <w:lastRenderedPageBreak/>
        <w:t>A</w:t>
      </w:r>
      <w:r w:rsidRPr="00306832">
        <w:rPr>
          <w:rFonts w:asciiTheme="minorHAnsi" w:hAnsiTheme="minorHAnsi" w:cstheme="minorHAnsi"/>
          <w:i/>
        </w:rPr>
        <w:t>ge of the gambler</w:t>
      </w:r>
      <w:r>
        <w:rPr>
          <w:rFonts w:asciiTheme="minorHAnsi" w:hAnsiTheme="minorHAnsi" w:cstheme="minorHAnsi"/>
          <w:i/>
        </w:rPr>
        <w:t xml:space="preserve">: </w:t>
      </w:r>
      <w:r w:rsidRPr="00306832">
        <w:rPr>
          <w:rFonts w:asciiTheme="minorHAnsi" w:hAnsiTheme="minorHAnsi" w:cstheme="minorHAnsi"/>
        </w:rPr>
        <w:t xml:space="preserve"> Amongst adolescent male gamblers, for example, it has been shown that the severity of problem gambling-relate</w:t>
      </w:r>
      <w:r>
        <w:rPr>
          <w:rFonts w:asciiTheme="minorHAnsi" w:hAnsiTheme="minorHAnsi" w:cstheme="minorHAnsi"/>
        </w:rPr>
        <w:t>d behaviours increases with age</w:t>
      </w:r>
      <w:r w:rsidRPr="00306832">
        <w:rPr>
          <w:rFonts w:asciiTheme="minorHAnsi" w:hAnsiTheme="minorHAnsi" w:cstheme="minorHAnsi"/>
        </w:rPr>
        <w:t xml:space="preserve"> </w:t>
      </w:r>
      <w:r>
        <w:rPr>
          <w:rFonts w:asciiTheme="minorHAnsi" w:hAnsiTheme="minorHAnsi" w:cstheme="minorHAnsi"/>
          <w:noProof/>
        </w:rPr>
        <w:t>(Dickson, et al., 2003; Ste-Marie, et al., 2002; Stinchfield, 2000)</w:t>
      </w:r>
      <w:r w:rsidRPr="00306832">
        <w:rPr>
          <w:rFonts w:asciiTheme="minorHAnsi" w:hAnsiTheme="minorHAnsi" w:cstheme="minorHAnsi"/>
        </w:rPr>
        <w:t>.</w:t>
      </w:r>
    </w:p>
    <w:p w:rsidR="00043311" w:rsidRPr="00306832" w:rsidRDefault="00043311" w:rsidP="00043311">
      <w:pPr>
        <w:pStyle w:val="ListParagraph"/>
        <w:numPr>
          <w:ilvl w:val="0"/>
          <w:numId w:val="23"/>
        </w:numPr>
        <w:spacing w:line="360" w:lineRule="auto"/>
        <w:rPr>
          <w:rFonts w:asciiTheme="minorHAnsi" w:hAnsiTheme="minorHAnsi" w:cstheme="minorHAnsi"/>
          <w:b/>
        </w:rPr>
      </w:pPr>
      <w:r w:rsidRPr="00306832">
        <w:rPr>
          <w:rFonts w:asciiTheme="minorHAnsi" w:hAnsiTheme="minorHAnsi" w:cstheme="minorHAnsi"/>
          <w:i/>
        </w:rPr>
        <w:t>Parental involvement in gambling behaviour</w:t>
      </w:r>
      <w:r w:rsidRPr="00306832">
        <w:rPr>
          <w:rFonts w:asciiTheme="minorHAnsi" w:hAnsiTheme="minorHAnsi" w:cstheme="minorHAnsi"/>
        </w:rPr>
        <w:t xml:space="preserve"> </w:t>
      </w:r>
      <w:r>
        <w:rPr>
          <w:rFonts w:asciiTheme="minorHAnsi" w:hAnsiTheme="minorHAnsi" w:cstheme="minorHAnsi"/>
          <w:noProof/>
        </w:rPr>
        <w:t>(Buchta, 1995; Darbyshire, Oster, &amp; Carrig, 2001b; P. Delfabbro, et al., 2005; Fisher, 1999; K. K. Hardoon &amp; Derevensky, 2002; Moodie &amp; Finnigan, 2006; Rossen, 2008; Shead, et al., 2010; Turchi &amp; Derevensky, 2006; Vachon, Vitaro, Wanner, &amp; Tremblay, 2004; Volberg, et al., 2010; Williams, et al., 2008)</w:t>
      </w:r>
      <w:r w:rsidRPr="00306832">
        <w:rPr>
          <w:rFonts w:asciiTheme="minorHAnsi" w:hAnsiTheme="minorHAnsi" w:cstheme="minorHAnsi"/>
        </w:rPr>
        <w:t xml:space="preserve">. Research from the UK identified a range of factors relating to parental behaviour that increased the odds of a child becoming a problematic gambler. These included having a parent who: gambles too much; approves or does not mind if their child gambles; has gambled on fruit machines during the past week; and, has gambled on National Lottery scratch-cards during the past week </w:t>
      </w:r>
      <w:r w:rsidRPr="00306832">
        <w:rPr>
          <w:rFonts w:asciiTheme="minorHAnsi" w:hAnsiTheme="minorHAnsi" w:cstheme="minorHAnsi"/>
          <w:noProof/>
        </w:rPr>
        <w:t>(Fisher, 1999)</w:t>
      </w:r>
      <w:r w:rsidRPr="00306832">
        <w:rPr>
          <w:rFonts w:asciiTheme="minorHAnsi" w:hAnsiTheme="minorHAnsi" w:cstheme="minorHAnsi"/>
        </w:rPr>
        <w:t xml:space="preserve">. Other research has identified that the frequency of gambling amongst young people is linked to parental gambling frequency – and that the severity of gambling problems are related to the father’s severity of gambling </w:t>
      </w:r>
      <w:r>
        <w:rPr>
          <w:rFonts w:asciiTheme="minorHAnsi" w:hAnsiTheme="minorHAnsi" w:cstheme="minorHAnsi"/>
          <w:noProof/>
        </w:rPr>
        <w:t>(Vachon, et al., 2004)</w:t>
      </w:r>
      <w:r w:rsidRPr="00306832">
        <w:rPr>
          <w:rFonts w:asciiTheme="minorHAnsi" w:hAnsiTheme="minorHAnsi" w:cstheme="minorHAnsi"/>
        </w:rPr>
        <w:t xml:space="preserve">. Overall, the research indicates that the children of problematic gamblers are 2-4 times more likely than the children of non-gamblers, to develop gambling-related problems themselves </w:t>
      </w:r>
      <w:r w:rsidRPr="00306832">
        <w:rPr>
          <w:rFonts w:asciiTheme="minorHAnsi" w:hAnsiTheme="minorHAnsi" w:cstheme="minorHAnsi"/>
          <w:noProof/>
        </w:rPr>
        <w:t>(Dowling, Jackson, Thomas, &amp; Frydenberg, 2010)</w:t>
      </w:r>
      <w:r w:rsidRPr="00306832">
        <w:rPr>
          <w:rFonts w:asciiTheme="minorHAnsi" w:hAnsiTheme="minorHAnsi" w:cstheme="minorHAnsi"/>
        </w:rPr>
        <w:t>.</w:t>
      </w:r>
    </w:p>
    <w:p w:rsidR="00043311" w:rsidRPr="00306832" w:rsidRDefault="00043311" w:rsidP="00043311">
      <w:pPr>
        <w:pStyle w:val="ListParagraph"/>
        <w:numPr>
          <w:ilvl w:val="0"/>
          <w:numId w:val="23"/>
        </w:numPr>
        <w:spacing w:line="360" w:lineRule="auto"/>
        <w:rPr>
          <w:rFonts w:asciiTheme="minorHAnsi" w:hAnsiTheme="minorHAnsi" w:cstheme="minorHAnsi"/>
          <w:b/>
        </w:rPr>
      </w:pPr>
      <w:r w:rsidRPr="00306832">
        <w:rPr>
          <w:rFonts w:asciiTheme="minorHAnsi" w:hAnsiTheme="minorHAnsi" w:cstheme="minorHAnsi"/>
          <w:i/>
        </w:rPr>
        <w:t xml:space="preserve">Early onset of gambling </w:t>
      </w:r>
      <w:r>
        <w:rPr>
          <w:rFonts w:asciiTheme="minorHAnsi" w:hAnsiTheme="minorHAnsi" w:cstheme="minorHAnsi"/>
          <w:noProof/>
        </w:rPr>
        <w:t>(Huxley &amp; Carroll, 1992; McGowan, et al., 2000; Rossen, 2008; Volberg, Abbott, Ronnberg, &amp; Munck, 2001; Wallisch, 1996)</w:t>
      </w:r>
      <w:r w:rsidRPr="00306832">
        <w:rPr>
          <w:rFonts w:asciiTheme="minorHAnsi" w:hAnsiTheme="minorHAnsi" w:cstheme="minorHAnsi"/>
        </w:rPr>
        <w:t>.</w:t>
      </w:r>
      <w:r w:rsidRPr="00306832">
        <w:rPr>
          <w:rFonts w:asciiTheme="minorHAnsi" w:hAnsiTheme="minorHAnsi" w:cstheme="minorHAnsi"/>
          <w:i/>
        </w:rPr>
        <w:t xml:space="preserve"> </w:t>
      </w:r>
      <w:r w:rsidRPr="00306832">
        <w:rPr>
          <w:rFonts w:asciiTheme="minorHAnsi" w:hAnsiTheme="minorHAnsi" w:cstheme="minorHAnsi"/>
        </w:rPr>
        <w:t xml:space="preserve">People who start gambling at an earlier stage in their life are more likely to develop (more severe) gambling problems. For example, research from Sweden identified that whilst the mean age of gambling initiation for non-problem gamblers was 20 years, for problem gamblers this was significantly younger, at 15.6 years </w:t>
      </w:r>
      <w:r>
        <w:rPr>
          <w:rFonts w:asciiTheme="minorHAnsi" w:hAnsiTheme="minorHAnsi" w:cstheme="minorHAnsi"/>
          <w:noProof/>
        </w:rPr>
        <w:t>(Volberg, et al., 2001)</w:t>
      </w:r>
      <w:r w:rsidRPr="00306832">
        <w:rPr>
          <w:rFonts w:asciiTheme="minorHAnsi" w:hAnsiTheme="minorHAnsi" w:cstheme="minorHAnsi"/>
        </w:rPr>
        <w:t xml:space="preserve">. </w:t>
      </w:r>
    </w:p>
    <w:p w:rsidR="00043311" w:rsidRPr="00306832" w:rsidRDefault="00043311" w:rsidP="00043311">
      <w:pPr>
        <w:pStyle w:val="ListParagraph"/>
        <w:numPr>
          <w:ilvl w:val="0"/>
          <w:numId w:val="23"/>
        </w:numPr>
        <w:spacing w:line="360" w:lineRule="auto"/>
        <w:rPr>
          <w:rFonts w:asciiTheme="minorHAnsi" w:hAnsiTheme="minorHAnsi" w:cstheme="minorHAnsi"/>
          <w:b/>
        </w:rPr>
      </w:pPr>
      <w:r w:rsidRPr="00306832">
        <w:rPr>
          <w:rFonts w:asciiTheme="minorHAnsi" w:hAnsiTheme="minorHAnsi" w:cstheme="minorHAnsi"/>
          <w:i/>
        </w:rPr>
        <w:t xml:space="preserve">Personality factors </w:t>
      </w:r>
      <w:r w:rsidRPr="00306832">
        <w:rPr>
          <w:rFonts w:asciiTheme="minorHAnsi" w:hAnsiTheme="minorHAnsi" w:cstheme="minorHAnsi"/>
        </w:rPr>
        <w:t xml:space="preserve">(e.g. anxiety, risk propensity) </w:t>
      </w:r>
      <w:r>
        <w:rPr>
          <w:rFonts w:asciiTheme="minorHAnsi" w:hAnsiTheme="minorHAnsi" w:cstheme="minorHAnsi"/>
          <w:noProof/>
        </w:rPr>
        <w:t>(Dickson, et al., 2003; Dickson, et al., 2008; Gupta &amp; Derevensky, 1997; Moodie &amp; Finnigan, 2006; Nower, 2001; Ste-Marie, et al., 2002)</w:t>
      </w:r>
      <w:r w:rsidRPr="00306832">
        <w:rPr>
          <w:rFonts w:asciiTheme="minorHAnsi" w:hAnsiTheme="minorHAnsi" w:cstheme="minorHAnsi"/>
        </w:rPr>
        <w:t xml:space="preserve">. A survey of high school students identified that PPGs indicated the highest levels of anxiety and social stress, and the researchers concluded that there was preliminary support for the premise that young people engage in gambling behaviours as a means of self-medication in order to alleviate anxiety resulting from negative life events </w:t>
      </w:r>
      <w:r>
        <w:rPr>
          <w:rFonts w:asciiTheme="minorHAnsi" w:hAnsiTheme="minorHAnsi" w:cstheme="minorHAnsi"/>
          <w:noProof/>
        </w:rPr>
        <w:t>(Ste-Marie, et al., 2002)</w:t>
      </w:r>
      <w:r w:rsidRPr="00306832">
        <w:rPr>
          <w:rFonts w:asciiTheme="minorHAnsi" w:hAnsiTheme="minorHAnsi" w:cstheme="minorHAnsi"/>
        </w:rPr>
        <w:t xml:space="preserve">. Other research has reported a link between gambling and impulsivity </w:t>
      </w:r>
      <w:r w:rsidRPr="00306832">
        <w:rPr>
          <w:rFonts w:asciiTheme="minorHAnsi" w:hAnsiTheme="minorHAnsi" w:cstheme="minorHAnsi"/>
          <w:noProof/>
        </w:rPr>
        <w:t>(Moodie &amp; Finnigan, 2006)</w:t>
      </w:r>
      <w:r w:rsidRPr="00306832">
        <w:rPr>
          <w:rFonts w:asciiTheme="minorHAnsi" w:hAnsiTheme="minorHAnsi" w:cstheme="minorHAnsi"/>
        </w:rPr>
        <w:t xml:space="preserve">, and participating in gambling as a means of escaping anxiety </w:t>
      </w:r>
      <w:r w:rsidRPr="00306832">
        <w:rPr>
          <w:rFonts w:asciiTheme="minorHAnsi" w:hAnsiTheme="minorHAnsi" w:cstheme="minorHAnsi"/>
          <w:noProof/>
        </w:rPr>
        <w:t>(Moodie &amp; Finnigan, 2006)</w:t>
      </w:r>
      <w:r w:rsidRPr="00306832">
        <w:rPr>
          <w:rFonts w:asciiTheme="minorHAnsi" w:hAnsiTheme="minorHAnsi" w:cstheme="minorHAnsi"/>
        </w:rPr>
        <w:t>.</w:t>
      </w:r>
    </w:p>
    <w:p w:rsidR="00043311" w:rsidRPr="00306832" w:rsidRDefault="00043311" w:rsidP="00043311">
      <w:pPr>
        <w:pStyle w:val="ListParagraph"/>
        <w:numPr>
          <w:ilvl w:val="0"/>
          <w:numId w:val="23"/>
        </w:numPr>
        <w:spacing w:line="360" w:lineRule="auto"/>
        <w:rPr>
          <w:rFonts w:asciiTheme="minorHAnsi" w:hAnsiTheme="minorHAnsi" w:cstheme="minorHAnsi"/>
          <w:b/>
        </w:rPr>
      </w:pPr>
      <w:r w:rsidRPr="00306832">
        <w:rPr>
          <w:rFonts w:asciiTheme="minorHAnsi" w:hAnsiTheme="minorHAnsi" w:cstheme="minorHAnsi"/>
          <w:i/>
        </w:rPr>
        <w:t>Emotional/mental state:</w:t>
      </w:r>
      <w:r w:rsidRPr="00306832">
        <w:rPr>
          <w:rFonts w:asciiTheme="minorHAnsi" w:hAnsiTheme="minorHAnsi" w:cstheme="minorHAnsi"/>
        </w:rPr>
        <w:t xml:space="preserve"> depression and suicide attempts have been found to co-exist with adolescent gambling </w:t>
      </w:r>
      <w:r>
        <w:rPr>
          <w:rFonts w:asciiTheme="minorHAnsi" w:hAnsiTheme="minorHAnsi" w:cstheme="minorHAnsi"/>
          <w:noProof/>
        </w:rPr>
        <w:t>(Gupta &amp; Derevensky, 1998b; Ladouceur, Dube, &amp; Bujold, 1994; Lesieur, et al., 1991; Molde, et al., 2009; Rossen, et al., 2011; Wallisch, 1993)</w:t>
      </w:r>
      <w:r w:rsidRPr="00306832">
        <w:rPr>
          <w:rFonts w:asciiTheme="minorHAnsi" w:hAnsiTheme="minorHAnsi" w:cstheme="minorHAnsi"/>
        </w:rPr>
        <w:t xml:space="preserve">, and youth gamblers have been found to have lower self-esteem </w:t>
      </w:r>
      <w:r>
        <w:rPr>
          <w:rFonts w:asciiTheme="minorHAnsi" w:hAnsiTheme="minorHAnsi" w:cstheme="minorHAnsi"/>
          <w:noProof/>
        </w:rPr>
        <w:t>(Gupta &amp; Derevensky, 1998b; Purdie, et al., 2011)</w:t>
      </w:r>
      <w:r w:rsidRPr="00306832">
        <w:rPr>
          <w:rFonts w:asciiTheme="minorHAnsi" w:hAnsiTheme="minorHAnsi" w:cstheme="minorHAnsi"/>
        </w:rPr>
        <w:t xml:space="preserve"> and higher rates of depression </w:t>
      </w:r>
      <w:r w:rsidRPr="00306832">
        <w:rPr>
          <w:rFonts w:asciiTheme="minorHAnsi" w:hAnsiTheme="minorHAnsi" w:cstheme="minorHAnsi"/>
          <w:noProof/>
        </w:rPr>
        <w:t xml:space="preserve">(Gupta &amp; Derevensky, </w:t>
      </w:r>
      <w:r w:rsidRPr="00306832">
        <w:rPr>
          <w:rFonts w:asciiTheme="minorHAnsi" w:hAnsiTheme="minorHAnsi" w:cstheme="minorHAnsi"/>
          <w:noProof/>
        </w:rPr>
        <w:lastRenderedPageBreak/>
        <w:t>1998a)</w:t>
      </w:r>
      <w:r w:rsidRPr="00306832">
        <w:rPr>
          <w:rFonts w:asciiTheme="minorHAnsi" w:hAnsiTheme="minorHAnsi" w:cstheme="minorHAnsi"/>
        </w:rPr>
        <w:t xml:space="preserve">. A study from Canada found that a significantly greater proportion of PPGs were assessed as having social, emotional and behaviour problems at clinical levels </w:t>
      </w:r>
      <w:r>
        <w:rPr>
          <w:rFonts w:asciiTheme="minorHAnsi" w:hAnsiTheme="minorHAnsi" w:cstheme="minorHAnsi"/>
          <w:noProof/>
        </w:rPr>
        <w:t>(Hardoon, et al., 2002)</w:t>
      </w:r>
      <w:r w:rsidRPr="00306832">
        <w:rPr>
          <w:rFonts w:asciiTheme="minorHAnsi" w:hAnsiTheme="minorHAnsi" w:cstheme="minorHAnsi"/>
        </w:rPr>
        <w:t>.</w:t>
      </w:r>
    </w:p>
    <w:p w:rsidR="00043311" w:rsidRPr="00306832" w:rsidRDefault="00043311" w:rsidP="00043311">
      <w:pPr>
        <w:pStyle w:val="ListParagraph"/>
        <w:numPr>
          <w:ilvl w:val="0"/>
          <w:numId w:val="23"/>
        </w:numPr>
        <w:spacing w:line="360" w:lineRule="auto"/>
        <w:rPr>
          <w:rFonts w:asciiTheme="minorHAnsi" w:hAnsiTheme="minorHAnsi" w:cstheme="minorHAnsi"/>
        </w:rPr>
      </w:pPr>
      <w:r w:rsidRPr="00306832">
        <w:rPr>
          <w:rFonts w:asciiTheme="minorHAnsi" w:hAnsiTheme="minorHAnsi" w:cstheme="minorHAnsi"/>
          <w:i/>
        </w:rPr>
        <w:t xml:space="preserve">School-related problems: </w:t>
      </w:r>
      <w:r w:rsidRPr="00306832">
        <w:rPr>
          <w:rFonts w:asciiTheme="minorHAnsi" w:hAnsiTheme="minorHAnsi" w:cstheme="minorHAnsi"/>
        </w:rPr>
        <w:t xml:space="preserve">a relationship between poor academic performance and other school problems, and youth problem gambling has been widely identified in the literature </w:t>
      </w:r>
      <w:r>
        <w:rPr>
          <w:rFonts w:asciiTheme="minorHAnsi" w:hAnsiTheme="minorHAnsi" w:cstheme="minorHAnsi"/>
          <w:noProof/>
        </w:rPr>
        <w:t>(Dickson, et al., 2003; Dickson, et al., 2008; Hardoon, 2004; Robert Ladouceur, Boudreault, Jacques, &amp; Vitaro, 1999; Lesieur &amp; Klein, 1987; Rossen, 2008)</w:t>
      </w:r>
      <w:r w:rsidRPr="00306832">
        <w:rPr>
          <w:rFonts w:asciiTheme="minorHAnsi" w:hAnsiTheme="minorHAnsi" w:cstheme="minorHAnsi"/>
        </w:rPr>
        <w:t xml:space="preserve">. Research undertaken in Canada found that both PPGs and at-risk gamblers were significantly less likely than non-gamblers and social gamblers to report being highly connected to their school </w:t>
      </w:r>
      <w:r>
        <w:rPr>
          <w:rFonts w:asciiTheme="minorHAnsi" w:hAnsiTheme="minorHAnsi" w:cstheme="minorHAnsi"/>
          <w:noProof/>
        </w:rPr>
        <w:t>(Dickson, et al., 2008)</w:t>
      </w:r>
      <w:r w:rsidRPr="00306832">
        <w:rPr>
          <w:rFonts w:asciiTheme="minorHAnsi" w:hAnsiTheme="minorHAnsi" w:cstheme="minorHAnsi"/>
        </w:rPr>
        <w:t>.</w:t>
      </w:r>
    </w:p>
    <w:p w:rsidR="00043311" w:rsidRPr="00306832" w:rsidRDefault="00043311" w:rsidP="00043311">
      <w:pPr>
        <w:pStyle w:val="ListParagraph"/>
        <w:numPr>
          <w:ilvl w:val="0"/>
          <w:numId w:val="23"/>
        </w:numPr>
        <w:spacing w:line="360" w:lineRule="auto"/>
        <w:rPr>
          <w:rFonts w:asciiTheme="minorHAnsi" w:hAnsiTheme="minorHAnsi" w:cstheme="minorHAnsi"/>
        </w:rPr>
      </w:pPr>
      <w:r w:rsidRPr="00306832">
        <w:rPr>
          <w:rFonts w:asciiTheme="minorHAnsi" w:hAnsiTheme="minorHAnsi" w:cstheme="minorHAnsi"/>
          <w:i/>
        </w:rPr>
        <w:t xml:space="preserve">Substance use </w:t>
      </w:r>
      <w:r>
        <w:rPr>
          <w:rFonts w:asciiTheme="minorHAnsi" w:hAnsiTheme="minorHAnsi" w:cstheme="minorHAnsi"/>
          <w:noProof/>
        </w:rPr>
        <w:t>(Dickson, et al., 2003; Dickson, et al., 2008; Fisher, 1999; Goldstein, et al., 2013; Griffiths &amp; Wood, 2000; Hardoon, 2004; Molde, et al., 2009; Moodie &amp; Finnigan, 2006; Rossen, 2008; Rossen, et al., 2011; Stinchfield, 2000)</w:t>
      </w:r>
      <w:r w:rsidRPr="00306832">
        <w:rPr>
          <w:rFonts w:asciiTheme="minorHAnsi" w:hAnsiTheme="minorHAnsi" w:cstheme="minorHAnsi"/>
        </w:rPr>
        <w:t xml:space="preserve">. One of the strongest correlates for gambling amongst public school students in America (including both males and females) was alcohol use </w:t>
      </w:r>
      <w:r w:rsidRPr="00306832">
        <w:rPr>
          <w:rFonts w:asciiTheme="minorHAnsi" w:hAnsiTheme="minorHAnsi" w:cstheme="minorHAnsi"/>
          <w:noProof/>
        </w:rPr>
        <w:t>(Stinchfield, 2000)</w:t>
      </w:r>
      <w:r w:rsidRPr="00306832">
        <w:rPr>
          <w:rFonts w:asciiTheme="minorHAnsi" w:hAnsiTheme="minorHAnsi" w:cstheme="minorHAnsi"/>
        </w:rPr>
        <w:t xml:space="preserve">. Having friends with substance use problems is also correlated with youth problem gambling </w:t>
      </w:r>
      <w:r>
        <w:rPr>
          <w:rFonts w:asciiTheme="minorHAnsi" w:hAnsiTheme="minorHAnsi" w:cstheme="minorHAnsi"/>
          <w:noProof/>
        </w:rPr>
        <w:t>(Dickson, et al., 2008; Hardoon, et al., 2002)</w:t>
      </w:r>
      <w:r w:rsidRPr="00306832">
        <w:rPr>
          <w:rFonts w:asciiTheme="minorHAnsi" w:hAnsiTheme="minorHAnsi" w:cstheme="minorHAnsi"/>
        </w:rPr>
        <w:t xml:space="preserve">, as is having a family member with a drug and/or alcohol problem </w:t>
      </w:r>
      <w:r>
        <w:rPr>
          <w:rFonts w:asciiTheme="minorHAnsi" w:hAnsiTheme="minorHAnsi" w:cstheme="minorHAnsi"/>
          <w:noProof/>
        </w:rPr>
        <w:t>(Hardoon, et al., 2002)</w:t>
      </w:r>
      <w:r w:rsidRPr="00306832">
        <w:rPr>
          <w:rFonts w:asciiTheme="minorHAnsi" w:hAnsiTheme="minorHAnsi" w:cstheme="minorHAnsi"/>
        </w:rPr>
        <w:t>.</w:t>
      </w:r>
    </w:p>
    <w:p w:rsidR="00043311" w:rsidRPr="00306832" w:rsidRDefault="00043311" w:rsidP="00043311">
      <w:pPr>
        <w:pStyle w:val="ListParagraph"/>
        <w:numPr>
          <w:ilvl w:val="0"/>
          <w:numId w:val="23"/>
        </w:numPr>
        <w:spacing w:line="360" w:lineRule="auto"/>
        <w:rPr>
          <w:rFonts w:asciiTheme="minorHAnsi" w:hAnsiTheme="minorHAnsi" w:cstheme="minorHAnsi"/>
          <w:b/>
        </w:rPr>
      </w:pPr>
      <w:r w:rsidRPr="00306832">
        <w:rPr>
          <w:rFonts w:asciiTheme="minorHAnsi" w:hAnsiTheme="minorHAnsi" w:cstheme="minorHAnsi"/>
          <w:i/>
        </w:rPr>
        <w:t xml:space="preserve">Anti-social and criminal behaviour </w:t>
      </w:r>
      <w:r w:rsidRPr="00306832">
        <w:rPr>
          <w:rFonts w:asciiTheme="minorHAnsi" w:hAnsiTheme="minorHAnsi" w:cstheme="minorHAnsi"/>
        </w:rPr>
        <w:t>have been identified as a risk factor for youth</w:t>
      </w:r>
      <w:r w:rsidRPr="00306832">
        <w:rPr>
          <w:rFonts w:asciiTheme="minorHAnsi" w:hAnsiTheme="minorHAnsi" w:cstheme="minorHAnsi"/>
          <w:i/>
        </w:rPr>
        <w:t xml:space="preserve"> </w:t>
      </w:r>
      <w:r>
        <w:rPr>
          <w:rFonts w:asciiTheme="minorHAnsi" w:hAnsiTheme="minorHAnsi" w:cstheme="minorHAnsi"/>
          <w:noProof/>
        </w:rPr>
        <w:t>(Griffiths &amp; Wood, 2000;. Gupta &amp; Derevensky, 1998a; Shead, et</w:t>
      </w:r>
      <w:r w:rsidR="00092E87">
        <w:rPr>
          <w:rFonts w:asciiTheme="minorHAnsi" w:hAnsiTheme="minorHAnsi" w:cstheme="minorHAnsi"/>
          <w:noProof/>
        </w:rPr>
        <w:t xml:space="preserve"> al., 2010; Stinchfield, 2000; </w:t>
      </w:r>
      <w:r>
        <w:rPr>
          <w:rFonts w:asciiTheme="minorHAnsi" w:hAnsiTheme="minorHAnsi" w:cstheme="minorHAnsi"/>
          <w:noProof/>
        </w:rPr>
        <w:t>Winters, Stinchfield, &amp; Fulkerson, 1993)</w:t>
      </w:r>
      <w:r w:rsidRPr="00306832">
        <w:rPr>
          <w:rFonts w:asciiTheme="minorHAnsi" w:hAnsiTheme="minorHAnsi" w:cstheme="minorHAnsi"/>
        </w:rPr>
        <w:t xml:space="preserve"> and include, for example, a history of ‘delinquency’ </w:t>
      </w:r>
      <w:r>
        <w:rPr>
          <w:rFonts w:asciiTheme="minorHAnsi" w:hAnsiTheme="minorHAnsi" w:cstheme="minorHAnsi"/>
          <w:noProof/>
        </w:rPr>
        <w:t>(Goldstein, et al., 2013; Griffiths &amp; Wood, 2000; Purdie, et al., 2011;. Winters, et al., 1993)</w:t>
      </w:r>
      <w:r w:rsidRPr="00306832">
        <w:rPr>
          <w:rFonts w:asciiTheme="minorHAnsi" w:hAnsiTheme="minorHAnsi" w:cstheme="minorHAnsi"/>
        </w:rPr>
        <w:t>.</w:t>
      </w:r>
      <w:r>
        <w:rPr>
          <w:rFonts w:asciiTheme="minorHAnsi" w:hAnsiTheme="minorHAnsi" w:cstheme="minorHAnsi"/>
        </w:rPr>
        <w:t xml:space="preserve"> Exposure to violence, including peer and dating violence and violence at a community level has also been associated with an increased risk of problem gambling </w:t>
      </w:r>
      <w:r>
        <w:rPr>
          <w:rFonts w:asciiTheme="minorHAnsi" w:hAnsiTheme="minorHAnsi" w:cstheme="minorHAnsi"/>
          <w:noProof/>
        </w:rPr>
        <w:t>(Goldstein, et al., 2013)</w:t>
      </w:r>
      <w:r>
        <w:rPr>
          <w:rFonts w:asciiTheme="minorHAnsi" w:hAnsiTheme="minorHAnsi" w:cstheme="minorHAnsi"/>
        </w:rPr>
        <w:t xml:space="preserve">. </w:t>
      </w:r>
    </w:p>
    <w:p w:rsidR="00043311" w:rsidRPr="00306832" w:rsidRDefault="00043311" w:rsidP="00043311">
      <w:pPr>
        <w:pStyle w:val="ListParagraph"/>
        <w:numPr>
          <w:ilvl w:val="0"/>
          <w:numId w:val="23"/>
        </w:numPr>
        <w:spacing w:line="360" w:lineRule="auto"/>
        <w:rPr>
          <w:rFonts w:asciiTheme="minorHAnsi" w:hAnsiTheme="minorHAnsi" w:cstheme="minorHAnsi"/>
          <w:b/>
        </w:rPr>
      </w:pPr>
      <w:r w:rsidRPr="00306832">
        <w:rPr>
          <w:rFonts w:asciiTheme="minorHAnsi" w:hAnsiTheme="minorHAnsi" w:cstheme="minorHAnsi"/>
          <w:i/>
        </w:rPr>
        <w:t>Accessibility to gambling:</w:t>
      </w:r>
      <w:r w:rsidRPr="00306832">
        <w:rPr>
          <w:rFonts w:asciiTheme="minorHAnsi" w:hAnsiTheme="minorHAnsi" w:cstheme="minorHAnsi"/>
        </w:rPr>
        <w:t xml:space="preserve"> at a community level, accessibility of gambling opportunities is a clear risk factor </w:t>
      </w:r>
      <w:r>
        <w:rPr>
          <w:rFonts w:asciiTheme="minorHAnsi" w:hAnsiTheme="minorHAnsi" w:cstheme="minorHAnsi"/>
          <w:noProof/>
        </w:rPr>
        <w:t>(Brezing, Derevensky, &amp; Potenza, 2010; Felsher, et al., 2004b; Hardoon &amp; Derevensky, 2002; Jacobs, 2000; Shead, et al., 2010)</w:t>
      </w:r>
      <w:r w:rsidRPr="00306832">
        <w:rPr>
          <w:rFonts w:asciiTheme="minorHAnsi" w:hAnsiTheme="minorHAnsi" w:cstheme="minorHAnsi"/>
        </w:rPr>
        <w:t xml:space="preserve"> although the research is inconclusive in relation to how this impacts on rates of gambling </w:t>
      </w:r>
      <w:r>
        <w:rPr>
          <w:rFonts w:asciiTheme="minorHAnsi" w:hAnsiTheme="minorHAnsi" w:cstheme="minorHAnsi"/>
          <w:noProof/>
        </w:rPr>
        <w:t>(Shead, et al., 2010)</w:t>
      </w:r>
      <w:r w:rsidRPr="00306832">
        <w:rPr>
          <w:rFonts w:asciiTheme="minorHAnsi" w:hAnsiTheme="minorHAnsi" w:cstheme="minorHAnsi"/>
        </w:rPr>
        <w:t>.</w:t>
      </w:r>
      <w:r>
        <w:rPr>
          <w:rFonts w:asciiTheme="minorHAnsi" w:hAnsiTheme="minorHAnsi" w:cstheme="minorHAnsi"/>
        </w:rPr>
        <w:t xml:space="preserve"> </w:t>
      </w:r>
    </w:p>
    <w:p w:rsidR="00043311" w:rsidRPr="00306832" w:rsidRDefault="00043311" w:rsidP="00043311">
      <w:pPr>
        <w:pStyle w:val="ListParagraph"/>
        <w:numPr>
          <w:ilvl w:val="0"/>
          <w:numId w:val="23"/>
        </w:numPr>
        <w:spacing w:line="360" w:lineRule="auto"/>
        <w:rPr>
          <w:rFonts w:asciiTheme="minorHAnsi" w:hAnsiTheme="minorHAnsi" w:cstheme="minorHAnsi"/>
          <w:b/>
        </w:rPr>
      </w:pPr>
      <w:r w:rsidRPr="00306832">
        <w:rPr>
          <w:rFonts w:asciiTheme="minorHAnsi" w:hAnsiTheme="minorHAnsi" w:cstheme="minorHAnsi"/>
          <w:i/>
        </w:rPr>
        <w:t xml:space="preserve">Attitudes towards gambling: </w:t>
      </w:r>
      <w:r w:rsidRPr="00306832">
        <w:rPr>
          <w:rFonts w:asciiTheme="minorHAnsi" w:hAnsiTheme="minorHAnsi" w:cstheme="minorHAnsi"/>
        </w:rPr>
        <w:t xml:space="preserve">research has identified that particular attitudes towards gambling may increase a young person’s likelihood of developing problematic gambling behaviour </w:t>
      </w:r>
      <w:r>
        <w:rPr>
          <w:rFonts w:asciiTheme="minorHAnsi" w:hAnsiTheme="minorHAnsi" w:cstheme="minorHAnsi"/>
          <w:noProof/>
        </w:rPr>
        <w:t>(Delfabbro, Lahn, &amp; Grabosky, 2006; Derevensky &amp; Gupta, 2004; Moore &amp; Ohtsuka, 1999; Purdie, et al., 2011; Rossen, 2008; Shead, et al., 2010; Wallisch, 1996)</w:t>
      </w:r>
      <w:r w:rsidRPr="00306832">
        <w:rPr>
          <w:rFonts w:asciiTheme="minorHAnsi" w:hAnsiTheme="minorHAnsi" w:cstheme="minorHAnsi"/>
        </w:rPr>
        <w:t xml:space="preserve">. This may include a lack of understanding of the risks associated with the behaviour, and a belief of some level of control over the outcomes </w:t>
      </w:r>
      <w:r>
        <w:rPr>
          <w:rFonts w:asciiTheme="minorHAnsi" w:hAnsiTheme="minorHAnsi" w:cstheme="minorHAnsi"/>
          <w:noProof/>
        </w:rPr>
        <w:t>(Delfabbro, et al., 2006; Wallisch, 1996)</w:t>
      </w:r>
      <w:r w:rsidRPr="00306832">
        <w:rPr>
          <w:rFonts w:asciiTheme="minorHAnsi" w:hAnsiTheme="minorHAnsi" w:cstheme="minorHAnsi"/>
        </w:rPr>
        <w:t xml:space="preserve">. In her study of secondary school students in New Zealand, for example, Rossen (2008) found that those with a more liberal attitude towards gambling were more likely to participate in gambling activities – and those participants who thought that performance on EGMs could be improved with practice, or rated themselves as better at gambling than others, were at greater risk of gambling problematically. </w:t>
      </w:r>
    </w:p>
    <w:p w:rsidR="00043311" w:rsidRPr="00306832" w:rsidRDefault="00043311" w:rsidP="0042130F">
      <w:pPr>
        <w:spacing w:line="360" w:lineRule="auto"/>
        <w:rPr>
          <w:rFonts w:asciiTheme="minorHAnsi" w:hAnsiTheme="minorHAnsi" w:cstheme="minorHAnsi"/>
        </w:rPr>
      </w:pPr>
      <w:r w:rsidRPr="00306832">
        <w:rPr>
          <w:rFonts w:asciiTheme="minorHAnsi" w:hAnsiTheme="minorHAnsi" w:cstheme="minorHAnsi"/>
        </w:rPr>
        <w:lastRenderedPageBreak/>
        <w:t>As can be observed above, the majority of research to date has focused on demographic and behavioural correlates of youth gambling, with limited analysis of the attitudinal characteristics of problem gamblers</w:t>
      </w:r>
      <w:r w:rsidRPr="00306832">
        <w:rPr>
          <w:rFonts w:asciiTheme="minorHAnsi" w:hAnsiTheme="minorHAnsi" w:cstheme="minorHAnsi"/>
          <w:i/>
        </w:rPr>
        <w:t xml:space="preserve"> </w:t>
      </w:r>
      <w:r>
        <w:rPr>
          <w:rFonts w:asciiTheme="minorHAnsi" w:hAnsiTheme="minorHAnsi" w:cstheme="minorHAnsi"/>
          <w:noProof/>
        </w:rPr>
        <w:t>(Shead, et al., 2010)</w:t>
      </w:r>
      <w:r w:rsidRPr="00306832">
        <w:rPr>
          <w:rFonts w:asciiTheme="minorHAnsi" w:hAnsiTheme="minorHAnsi" w:cstheme="minorHAnsi"/>
        </w:rPr>
        <w:t xml:space="preserve">. Given links between problem gambling and positive attitudes towards gambling </w:t>
      </w:r>
      <w:r w:rsidRPr="00306832">
        <w:rPr>
          <w:rFonts w:asciiTheme="minorHAnsi" w:hAnsiTheme="minorHAnsi" w:cstheme="minorHAnsi"/>
          <w:noProof/>
        </w:rPr>
        <w:t>(Wallisch, 1996)</w:t>
      </w:r>
      <w:r w:rsidRPr="00306832">
        <w:rPr>
          <w:rFonts w:asciiTheme="minorHAnsi" w:hAnsiTheme="minorHAnsi" w:cstheme="minorHAnsi"/>
        </w:rPr>
        <w:t xml:space="preserve"> the importance of investigating how gambling-related thoughts develop has been highlighted </w:t>
      </w:r>
      <w:r>
        <w:rPr>
          <w:rFonts w:asciiTheme="minorHAnsi" w:hAnsiTheme="minorHAnsi" w:cstheme="minorHAnsi"/>
          <w:noProof/>
        </w:rPr>
        <w:t>(Shead, et al., 2010)</w:t>
      </w:r>
      <w:r w:rsidRPr="00306832">
        <w:rPr>
          <w:rFonts w:asciiTheme="minorHAnsi" w:hAnsiTheme="minorHAnsi" w:cstheme="minorHAnsi"/>
        </w:rPr>
        <w:t xml:space="preserve">. In particular, this is seen to have the potential to improve prevention efforts which seek to challenge these attitudes before they become fully embedded </w:t>
      </w:r>
      <w:r>
        <w:rPr>
          <w:rFonts w:asciiTheme="minorHAnsi" w:hAnsiTheme="minorHAnsi" w:cstheme="minorHAnsi"/>
          <w:noProof/>
        </w:rPr>
        <w:t>(Shead, et al., 2010)</w:t>
      </w:r>
      <w:r w:rsidRPr="00306832">
        <w:rPr>
          <w:rFonts w:asciiTheme="minorHAnsi" w:hAnsiTheme="minorHAnsi" w:cstheme="minorHAnsi"/>
        </w:rPr>
        <w:t>.</w:t>
      </w:r>
    </w:p>
    <w:p w:rsidR="00043311" w:rsidRPr="0061045C" w:rsidRDefault="00043311" w:rsidP="0042130F">
      <w:pPr>
        <w:pStyle w:val="Heading3"/>
        <w:spacing w:line="360" w:lineRule="auto"/>
      </w:pPr>
      <w:bookmarkStart w:id="61" w:name="_Toc352773517"/>
      <w:bookmarkStart w:id="62" w:name="_Toc360724459"/>
      <w:bookmarkStart w:id="63" w:name="_Toc367284406"/>
      <w:r w:rsidRPr="0061045C">
        <w:t>Protective factors</w:t>
      </w:r>
      <w:bookmarkEnd w:id="61"/>
      <w:bookmarkEnd w:id="62"/>
      <w:bookmarkEnd w:id="63"/>
    </w:p>
    <w:p w:rsidR="00043311" w:rsidRPr="0061045C" w:rsidRDefault="00043311" w:rsidP="0042130F">
      <w:pPr>
        <w:spacing w:line="360" w:lineRule="auto"/>
        <w:rPr>
          <w:rFonts w:asciiTheme="minorHAnsi" w:hAnsiTheme="minorHAnsi" w:cstheme="minorHAnsi"/>
        </w:rPr>
      </w:pPr>
      <w:r w:rsidRPr="0061045C">
        <w:rPr>
          <w:rFonts w:asciiTheme="minorHAnsi" w:hAnsiTheme="minorHAnsi" w:cstheme="minorHAnsi"/>
        </w:rPr>
        <w:t xml:space="preserve">Despite the presence of known risk factors, it is interesting to note that not all young people experience gambling-related or other problems in their lives </w:t>
      </w:r>
      <w:r w:rsidRPr="0061045C">
        <w:rPr>
          <w:rFonts w:asciiTheme="minorHAnsi" w:hAnsiTheme="minorHAnsi" w:cstheme="minorHAnsi"/>
          <w:noProof/>
        </w:rPr>
        <w:t>(Lussier, Derevensky, Gupta, Bergevin, &amp; Ellenbogen, 2007; Vitaro, Wanner, Brendgen, &amp; Tremblay, 2008)</w:t>
      </w:r>
      <w:r w:rsidRPr="0061045C">
        <w:rPr>
          <w:rFonts w:asciiTheme="minorHAnsi" w:hAnsiTheme="minorHAnsi" w:cstheme="minorHAnsi"/>
        </w:rPr>
        <w:t xml:space="preserve">. Vitaro and colleagues (2008) for example reported that whilst some children of problem gamblers experienced severe adjustment problems, others did not (although the study did not explore potential moderators in this regard). Others have highlighted that in spite of a number of risk factors being present, some youth do not develop problematic gambling behaviour </w:t>
      </w:r>
      <w:r>
        <w:rPr>
          <w:rFonts w:asciiTheme="minorHAnsi" w:hAnsiTheme="minorHAnsi" w:cstheme="minorHAnsi"/>
          <w:noProof/>
        </w:rPr>
        <w:t>(Lussier, et al., 2007)</w:t>
      </w:r>
      <w:r w:rsidRPr="0061045C">
        <w:rPr>
          <w:rFonts w:asciiTheme="minorHAnsi" w:hAnsiTheme="minorHAnsi" w:cstheme="minorHAnsi"/>
        </w:rPr>
        <w:t xml:space="preserve">; this, therefore, raises issues around what factors may protect young people against this happening. Protective factors for youth problem gambling have been described as those which are associated with less dysfunction, work to minimise the effects of the behaviour, or prevent the occurrence of the risk factor </w:t>
      </w:r>
      <w:r>
        <w:rPr>
          <w:rFonts w:asciiTheme="minorHAnsi" w:hAnsiTheme="minorHAnsi" w:cstheme="minorHAnsi"/>
          <w:noProof/>
        </w:rPr>
        <w:t>(Dickson, et al., 2003)</w:t>
      </w:r>
      <w:r w:rsidRPr="0061045C">
        <w:rPr>
          <w:rFonts w:asciiTheme="minorHAnsi" w:hAnsiTheme="minorHAnsi" w:cstheme="minorHAnsi"/>
        </w:rPr>
        <w:t xml:space="preserve">. More simply, they may also be described as features which decrease an individual’s likelihood of developing problematic gambling behaviour </w:t>
      </w:r>
      <w:r>
        <w:rPr>
          <w:rFonts w:asciiTheme="minorHAnsi" w:hAnsiTheme="minorHAnsi" w:cstheme="minorHAnsi"/>
          <w:noProof/>
        </w:rPr>
        <w:t>(Dickson, et al., 2003)</w:t>
      </w:r>
      <w:r w:rsidRPr="0061045C">
        <w:rPr>
          <w:rFonts w:asciiTheme="minorHAnsi" w:hAnsiTheme="minorHAnsi" w:cstheme="minorHAnsi"/>
        </w:rPr>
        <w:t>.</w:t>
      </w:r>
    </w:p>
    <w:p w:rsidR="00043311" w:rsidRPr="0061045C" w:rsidRDefault="00043311" w:rsidP="0042130F">
      <w:pPr>
        <w:spacing w:line="360" w:lineRule="auto"/>
        <w:rPr>
          <w:rFonts w:asciiTheme="minorHAnsi" w:hAnsiTheme="minorHAnsi" w:cstheme="minorHAnsi"/>
        </w:rPr>
      </w:pPr>
      <w:r w:rsidRPr="0061045C">
        <w:rPr>
          <w:rFonts w:asciiTheme="minorHAnsi" w:hAnsiTheme="minorHAnsi" w:cstheme="minorHAnsi"/>
        </w:rPr>
        <w:t xml:space="preserve">Despite evidence of some recent research being undertaken on this topic </w:t>
      </w:r>
      <w:r>
        <w:rPr>
          <w:rFonts w:asciiTheme="minorHAnsi" w:hAnsiTheme="minorHAnsi" w:cstheme="minorHAnsi"/>
          <w:noProof/>
        </w:rPr>
        <w:t>(Dickson, et al., 2003; Dickson, et al., 2008; Dickson, 2006; Goldstein, et al., 2013; Lussier, et al., 2007; Rossen, 2008)</w:t>
      </w:r>
      <w:r w:rsidRPr="0061045C">
        <w:rPr>
          <w:rFonts w:asciiTheme="minorHAnsi" w:hAnsiTheme="minorHAnsi" w:cstheme="minorHAnsi"/>
        </w:rPr>
        <w:t xml:space="preserve">, there have been few studies which have investigated protective factors for youth with regard to problem gambling </w:t>
      </w:r>
      <w:r>
        <w:rPr>
          <w:rFonts w:asciiTheme="minorHAnsi" w:hAnsiTheme="minorHAnsi" w:cstheme="minorHAnsi"/>
          <w:noProof/>
        </w:rPr>
        <w:t>(Brezing, et al., 2010; L. Dickson, et al., 2003; Lussier, et al., 2007; Rossen, 2008; Shead, et al., 2010)</w:t>
      </w:r>
      <w:r w:rsidRPr="0061045C">
        <w:rPr>
          <w:rFonts w:asciiTheme="minorHAnsi" w:hAnsiTheme="minorHAnsi" w:cstheme="minorHAnsi"/>
        </w:rPr>
        <w:t xml:space="preserve">. In the absence of gambling-specific data, it has been hypothesised that protective factors which have been identified in other youth problem behaviours (e.g. substance misuse) are also likely to have application to the youth gambling arena </w:t>
      </w:r>
      <w:r>
        <w:rPr>
          <w:rFonts w:asciiTheme="minorHAnsi" w:hAnsiTheme="minorHAnsi" w:cstheme="minorHAnsi"/>
          <w:noProof/>
        </w:rPr>
        <w:t>(Brezing, et al., 2010; Dickson, Derevensky, &amp; Gupta, 2002)</w:t>
      </w:r>
      <w:r w:rsidRPr="0061045C">
        <w:rPr>
          <w:rFonts w:asciiTheme="minorHAnsi" w:hAnsiTheme="minorHAnsi" w:cstheme="minorHAnsi"/>
        </w:rPr>
        <w:t>.</w:t>
      </w:r>
    </w:p>
    <w:p w:rsidR="00043311" w:rsidRPr="00632935" w:rsidRDefault="00043311" w:rsidP="0042130F">
      <w:pPr>
        <w:spacing w:line="360" w:lineRule="auto"/>
        <w:rPr>
          <w:rFonts w:asciiTheme="minorHAnsi" w:hAnsiTheme="minorHAnsi" w:cstheme="minorHAnsi"/>
        </w:rPr>
      </w:pPr>
      <w:r>
        <w:rPr>
          <w:rFonts w:asciiTheme="minorHAnsi" w:hAnsiTheme="minorHAnsi" w:cstheme="minorHAnsi"/>
        </w:rPr>
        <w:t>F</w:t>
      </w:r>
      <w:r w:rsidRPr="00CC4E2E">
        <w:rPr>
          <w:rFonts w:asciiTheme="minorHAnsi" w:hAnsiTheme="minorHAnsi" w:cstheme="minorHAnsi"/>
        </w:rPr>
        <w:t xml:space="preserve">amily cohesion and school connectedness </w:t>
      </w:r>
      <w:r>
        <w:rPr>
          <w:rFonts w:asciiTheme="minorHAnsi" w:hAnsiTheme="minorHAnsi" w:cstheme="minorHAnsi"/>
        </w:rPr>
        <w:t xml:space="preserve">have been shown to </w:t>
      </w:r>
      <w:r w:rsidRPr="00CC4E2E">
        <w:rPr>
          <w:rFonts w:asciiTheme="minorHAnsi" w:hAnsiTheme="minorHAnsi" w:cstheme="minorHAnsi"/>
        </w:rPr>
        <w:t xml:space="preserve">play an important </w:t>
      </w:r>
      <w:r w:rsidRPr="00632935">
        <w:rPr>
          <w:rFonts w:asciiTheme="minorHAnsi" w:hAnsiTheme="minorHAnsi" w:cstheme="minorHAnsi"/>
        </w:rPr>
        <w:t xml:space="preserve">protective role in relation to youth problem gambling </w:t>
      </w:r>
      <w:r>
        <w:rPr>
          <w:rFonts w:asciiTheme="minorHAnsi" w:hAnsiTheme="minorHAnsi" w:cstheme="minorHAnsi"/>
          <w:noProof/>
        </w:rPr>
        <w:t>(Dickson, et al., 2003; Lussier, et al., 2007)</w:t>
      </w:r>
      <w:r w:rsidRPr="00632935">
        <w:rPr>
          <w:rFonts w:asciiTheme="minorHAnsi" w:hAnsiTheme="minorHAnsi" w:cstheme="minorHAnsi"/>
        </w:rPr>
        <w:t xml:space="preserve">. For example, at-risk and PPGs were substantially less likely than social and non-gamblers to report being highly connected to their school. Moreover, PPGs reported significantly greater disengagement from their families and were more likely to be classified as disengaged compared to other adolescents: 11.1% of PPGs reported being connected to families, compared with 21.8% of at-risk gamblers, 28.7% of social gamblers, and 34.2% of non-gamblers </w:t>
      </w:r>
      <w:r>
        <w:rPr>
          <w:rFonts w:asciiTheme="minorHAnsi" w:hAnsiTheme="minorHAnsi" w:cstheme="minorHAnsi"/>
          <w:noProof/>
        </w:rPr>
        <w:t>(Dickson, et al., 2003)</w:t>
      </w:r>
      <w:r w:rsidRPr="00632935">
        <w:rPr>
          <w:rFonts w:asciiTheme="minorHAnsi" w:hAnsiTheme="minorHAnsi" w:cstheme="minorHAnsi"/>
        </w:rPr>
        <w:t xml:space="preserve">. </w:t>
      </w:r>
    </w:p>
    <w:p w:rsidR="00043311" w:rsidRPr="00632935" w:rsidRDefault="00043311" w:rsidP="0042130F">
      <w:pPr>
        <w:spacing w:line="360" w:lineRule="auto"/>
        <w:rPr>
          <w:rFonts w:asciiTheme="minorHAnsi" w:hAnsiTheme="minorHAnsi" w:cstheme="minorHAnsi"/>
        </w:rPr>
      </w:pPr>
      <w:r w:rsidRPr="00632935">
        <w:rPr>
          <w:rFonts w:asciiTheme="minorHAnsi" w:hAnsiTheme="minorHAnsi" w:cstheme="minorHAnsi"/>
        </w:rPr>
        <w:lastRenderedPageBreak/>
        <w:t xml:space="preserve">Similarly, Rossen’s (2008) research identified that high levels of attachment, trust and communication with parents were protective factors in relation to whether or not young people gambled. Findings in relation to problem gambling specifically found that students who had higher levels of attachment and trust in parents and peers, and had a higher level of communication with their mother, were less likely to experience problems. Of note, the research revealed that social connectedness to maternal and teacher figures acted in a protective manner, even when other substantial risk factors were present </w:t>
      </w:r>
      <w:r>
        <w:rPr>
          <w:rFonts w:asciiTheme="minorHAnsi" w:hAnsiTheme="minorHAnsi" w:cstheme="minorHAnsi"/>
          <w:noProof/>
        </w:rPr>
        <w:t>(Rossen, 2008)</w:t>
      </w:r>
      <w:r w:rsidRPr="00632935">
        <w:rPr>
          <w:rFonts w:asciiTheme="minorHAnsi" w:hAnsiTheme="minorHAnsi" w:cstheme="minorHAnsi"/>
        </w:rPr>
        <w:t xml:space="preserve">. Lussier et al (2007) found that poor ‘social bonding’ was the strongest predictor of problem gambling (out of seven risk and protection domains) and, like previous research, identified family bonding and school bonding as being key protective factors. Others have identified the importance of </w:t>
      </w:r>
      <w:r>
        <w:rPr>
          <w:rFonts w:asciiTheme="minorHAnsi" w:hAnsiTheme="minorHAnsi" w:cstheme="minorHAnsi"/>
        </w:rPr>
        <w:t xml:space="preserve">parental monitoring </w:t>
      </w:r>
      <w:r>
        <w:rPr>
          <w:rFonts w:asciiTheme="minorHAnsi" w:hAnsiTheme="minorHAnsi" w:cstheme="minorHAnsi"/>
          <w:noProof/>
        </w:rPr>
        <w:t>(Goldstein, et al., 2013)</w:t>
      </w:r>
      <w:r>
        <w:rPr>
          <w:rFonts w:asciiTheme="minorHAnsi" w:hAnsiTheme="minorHAnsi" w:cstheme="minorHAnsi"/>
        </w:rPr>
        <w:t xml:space="preserve">, and </w:t>
      </w:r>
      <w:r w:rsidRPr="00632935">
        <w:rPr>
          <w:rFonts w:asciiTheme="minorHAnsi" w:hAnsiTheme="minorHAnsi" w:cstheme="minorHAnsi"/>
        </w:rPr>
        <w:t xml:space="preserve">healthy and meaningful relationships in protecting young people from problem gambling </w:t>
      </w:r>
      <w:r>
        <w:rPr>
          <w:rFonts w:asciiTheme="minorHAnsi" w:hAnsiTheme="minorHAnsi" w:cstheme="minorHAnsi"/>
          <w:noProof/>
        </w:rPr>
        <w:t>(Dickson, et al., 2008)</w:t>
      </w:r>
      <w:r>
        <w:rPr>
          <w:rFonts w:asciiTheme="minorHAnsi" w:hAnsiTheme="minorHAnsi" w:cstheme="minorHAnsi"/>
        </w:rPr>
        <w:t>.</w:t>
      </w:r>
      <w:r w:rsidRPr="00632935">
        <w:rPr>
          <w:rFonts w:asciiTheme="minorHAnsi" w:hAnsiTheme="minorHAnsi" w:cstheme="minorHAnsi"/>
        </w:rPr>
        <w:t xml:space="preserve"> </w:t>
      </w:r>
      <w:r>
        <w:rPr>
          <w:rFonts w:asciiTheme="minorHAnsi" w:hAnsiTheme="minorHAnsi" w:cstheme="minorHAnsi"/>
        </w:rPr>
        <w:t>R</w:t>
      </w:r>
      <w:r w:rsidRPr="00632935">
        <w:rPr>
          <w:rFonts w:asciiTheme="minorHAnsi" w:hAnsiTheme="minorHAnsi" w:cstheme="minorHAnsi"/>
        </w:rPr>
        <w:t xml:space="preserve">esearch from Canada found that strong academic achievement may potentially act as a protective factor </w:t>
      </w:r>
      <w:r>
        <w:rPr>
          <w:rFonts w:asciiTheme="minorHAnsi" w:hAnsiTheme="minorHAnsi" w:cstheme="minorHAnsi"/>
          <w:noProof/>
        </w:rPr>
        <w:t>(Hardoon, et al., 2002)</w:t>
      </w:r>
      <w:r w:rsidRPr="00632935">
        <w:rPr>
          <w:rFonts w:asciiTheme="minorHAnsi" w:hAnsiTheme="minorHAnsi" w:cstheme="minorHAnsi"/>
        </w:rPr>
        <w:t xml:space="preserve">. </w:t>
      </w:r>
    </w:p>
    <w:p w:rsidR="00043311" w:rsidRPr="00967DC5" w:rsidRDefault="00043311" w:rsidP="0042130F">
      <w:pPr>
        <w:spacing w:line="360" w:lineRule="auto"/>
        <w:rPr>
          <w:rFonts w:asciiTheme="minorHAnsi" w:hAnsiTheme="minorHAnsi" w:cstheme="minorHAnsi"/>
        </w:rPr>
      </w:pPr>
      <w:r w:rsidRPr="00967DC5">
        <w:rPr>
          <w:rFonts w:asciiTheme="minorHAnsi" w:hAnsiTheme="minorHAnsi" w:cstheme="minorHAnsi"/>
        </w:rPr>
        <w:t xml:space="preserve">Researchers from Australia explored the protective factors which mitigate the transmission of parental gambling problems to children, and identified that there is a limited research in this field </w:t>
      </w:r>
      <w:r>
        <w:rPr>
          <w:rFonts w:asciiTheme="minorHAnsi" w:hAnsiTheme="minorHAnsi" w:cstheme="minorHAnsi"/>
          <w:noProof/>
        </w:rPr>
        <w:t>(NA Dowling, et al., 2010)</w:t>
      </w:r>
      <w:r w:rsidRPr="00967DC5">
        <w:rPr>
          <w:rFonts w:asciiTheme="minorHAnsi" w:hAnsiTheme="minorHAnsi" w:cstheme="minorHAnsi"/>
        </w:rPr>
        <w:t xml:space="preserve">. In keeping with broader protective factors, they did highlight that family cohesion and school connectedness (along with female gender) played a role in protecting young people </w:t>
      </w:r>
      <w:r>
        <w:rPr>
          <w:rFonts w:asciiTheme="minorHAnsi" w:hAnsiTheme="minorHAnsi" w:cstheme="minorHAnsi"/>
          <w:noProof/>
        </w:rPr>
        <w:t>(Dowling, et al., 2010)</w:t>
      </w:r>
      <w:r w:rsidRPr="00967DC5">
        <w:rPr>
          <w:rFonts w:asciiTheme="minorHAnsi" w:hAnsiTheme="minorHAnsi" w:cstheme="minorHAnsi"/>
        </w:rPr>
        <w:t xml:space="preserve">.  </w:t>
      </w:r>
    </w:p>
    <w:p w:rsidR="00043311" w:rsidRPr="00967DC5" w:rsidRDefault="00043311" w:rsidP="0042130F">
      <w:pPr>
        <w:spacing w:line="360" w:lineRule="auto"/>
        <w:rPr>
          <w:rFonts w:asciiTheme="minorHAnsi" w:hAnsiTheme="minorHAnsi" w:cstheme="minorHAnsi"/>
        </w:rPr>
      </w:pPr>
      <w:r w:rsidRPr="00967DC5">
        <w:rPr>
          <w:rFonts w:asciiTheme="minorHAnsi" w:hAnsiTheme="minorHAnsi" w:cstheme="minorHAnsi"/>
        </w:rPr>
        <w:t xml:space="preserve">In considering future research in this area, it has been highlighted that the study of protective factors need to be conducted in the presence of risk </w:t>
      </w:r>
      <w:r>
        <w:rPr>
          <w:rFonts w:asciiTheme="minorHAnsi" w:hAnsiTheme="minorHAnsi" w:cstheme="minorHAnsi"/>
          <w:noProof/>
        </w:rPr>
        <w:t>(Dickson, et al., 2003)</w:t>
      </w:r>
      <w:r w:rsidRPr="00967DC5">
        <w:rPr>
          <w:rFonts w:asciiTheme="minorHAnsi" w:hAnsiTheme="minorHAnsi" w:cstheme="minorHAnsi"/>
        </w:rPr>
        <w:t xml:space="preserve">, particularly given the sometimes unclear relationship between protective and risk factors (e.g. whether it is the absence of risk or the presence of protective factors which has the greatest influence in terms of the subsequent development of problematic gambling) </w:t>
      </w:r>
      <w:r>
        <w:rPr>
          <w:rFonts w:asciiTheme="minorHAnsi" w:hAnsiTheme="minorHAnsi" w:cstheme="minorHAnsi"/>
          <w:noProof/>
        </w:rPr>
        <w:t>(Dickson, et al., 2008)</w:t>
      </w:r>
      <w:r w:rsidRPr="00967DC5">
        <w:rPr>
          <w:rFonts w:asciiTheme="minorHAnsi" w:hAnsiTheme="minorHAnsi" w:cstheme="minorHAnsi"/>
        </w:rPr>
        <w:t xml:space="preserve">. </w:t>
      </w:r>
    </w:p>
    <w:p w:rsidR="00043311" w:rsidRPr="00A97F42" w:rsidRDefault="00043311" w:rsidP="0042130F">
      <w:pPr>
        <w:pStyle w:val="Heading2"/>
        <w:spacing w:line="360" w:lineRule="auto"/>
      </w:pPr>
      <w:bookmarkStart w:id="64" w:name="_Toc352773522"/>
      <w:bookmarkStart w:id="65" w:name="_Toc360724464"/>
      <w:bookmarkStart w:id="66" w:name="_Toc367284407"/>
      <w:r w:rsidRPr="00A97F42">
        <w:t>Summary of the youth (problem) gambling literature</w:t>
      </w:r>
      <w:bookmarkEnd w:id="64"/>
      <w:bookmarkEnd w:id="65"/>
      <w:bookmarkEnd w:id="66"/>
    </w:p>
    <w:p w:rsidR="00043311" w:rsidRDefault="00043311" w:rsidP="0042130F">
      <w:pPr>
        <w:spacing w:line="360" w:lineRule="auto"/>
        <w:rPr>
          <w:rFonts w:asciiTheme="minorHAnsi" w:hAnsiTheme="minorHAnsi" w:cstheme="minorHAnsi"/>
        </w:rPr>
      </w:pPr>
      <w:r w:rsidRPr="002160B3">
        <w:rPr>
          <w:rFonts w:asciiTheme="minorHAnsi" w:hAnsiTheme="minorHAnsi" w:cstheme="minorHAnsi"/>
        </w:rPr>
        <w:t xml:space="preserve">Gambling has become a widely available activity in today’s society </w:t>
      </w:r>
      <w:r w:rsidRPr="002160B3">
        <w:rPr>
          <w:rFonts w:asciiTheme="minorHAnsi" w:hAnsiTheme="minorHAnsi" w:cstheme="minorHAnsi"/>
          <w:noProof/>
        </w:rPr>
        <w:t>(Hardoon &amp; Derevensky, 2002; Turchi &amp; Derevensky, 2006)</w:t>
      </w:r>
      <w:r>
        <w:rPr>
          <w:rFonts w:asciiTheme="minorHAnsi" w:hAnsiTheme="minorHAnsi" w:cstheme="minorHAnsi"/>
        </w:rPr>
        <w:t xml:space="preserve">, with </w:t>
      </w:r>
      <w:r w:rsidRPr="002160B3">
        <w:rPr>
          <w:rFonts w:asciiTheme="minorHAnsi" w:hAnsiTheme="minorHAnsi" w:cstheme="minorHAnsi"/>
        </w:rPr>
        <w:t xml:space="preserve">many researchers </w:t>
      </w:r>
      <w:r>
        <w:rPr>
          <w:rFonts w:asciiTheme="minorHAnsi" w:hAnsiTheme="minorHAnsi" w:cstheme="minorHAnsi"/>
        </w:rPr>
        <w:t xml:space="preserve">noting that </w:t>
      </w:r>
      <w:r w:rsidRPr="002160B3">
        <w:rPr>
          <w:rFonts w:asciiTheme="minorHAnsi" w:hAnsiTheme="minorHAnsi" w:cstheme="minorHAnsi"/>
        </w:rPr>
        <w:t xml:space="preserve">“an entire generation has now grown up in an era when lottery and casino gambling is widely available and heavily advertised” </w:t>
      </w:r>
      <w:r>
        <w:rPr>
          <w:rFonts w:asciiTheme="minorHAnsi" w:hAnsiTheme="minorHAnsi" w:cstheme="minorHAnsi"/>
          <w:noProof/>
        </w:rPr>
        <w:t>(Volberg, et al., 2010, p. 3)</w:t>
      </w:r>
      <w:r w:rsidRPr="002160B3">
        <w:rPr>
          <w:rFonts w:asciiTheme="minorHAnsi" w:hAnsiTheme="minorHAnsi" w:cstheme="minorHAnsi"/>
        </w:rPr>
        <w:t xml:space="preserve">.  </w:t>
      </w:r>
      <w:r>
        <w:rPr>
          <w:rFonts w:asciiTheme="minorHAnsi" w:hAnsiTheme="minorHAnsi" w:cstheme="minorHAnsi"/>
        </w:rPr>
        <w:t>R</w:t>
      </w:r>
      <w:r w:rsidRPr="002160B3">
        <w:rPr>
          <w:rFonts w:asciiTheme="minorHAnsi" w:hAnsiTheme="minorHAnsi" w:cstheme="minorHAnsi"/>
        </w:rPr>
        <w:t xml:space="preserve">esearch indicates that gambling is one of the first risky activities that adolescents become involved with (i.e. they begin gambling prior to experimentation with alcohol, drugs, sexual behaviour) </w:t>
      </w:r>
      <w:r>
        <w:rPr>
          <w:rFonts w:asciiTheme="minorHAnsi" w:hAnsiTheme="minorHAnsi" w:cstheme="minorHAnsi"/>
          <w:noProof/>
        </w:rPr>
        <w:t>(Volberg, et al., 2010)</w:t>
      </w:r>
      <w:r w:rsidRPr="002160B3">
        <w:rPr>
          <w:rFonts w:asciiTheme="minorHAnsi" w:hAnsiTheme="minorHAnsi" w:cstheme="minorHAnsi"/>
        </w:rPr>
        <w:t xml:space="preserve">. </w:t>
      </w:r>
      <w:r w:rsidRPr="000F394C">
        <w:rPr>
          <w:rFonts w:asciiTheme="minorHAnsi" w:hAnsiTheme="minorHAnsi" w:cstheme="minorHAnsi"/>
        </w:rPr>
        <w:t xml:space="preserve">Whilst for many youth involvement in gambling does not result in problematic behaviour, others go on to experience serious problems </w:t>
      </w:r>
      <w:r w:rsidRPr="000F394C">
        <w:rPr>
          <w:rFonts w:asciiTheme="minorHAnsi" w:hAnsiTheme="minorHAnsi" w:cstheme="minorHAnsi"/>
          <w:noProof/>
        </w:rPr>
        <w:t>(Dickson, et al., 2003)</w:t>
      </w:r>
      <w:r w:rsidRPr="000F394C">
        <w:rPr>
          <w:rFonts w:asciiTheme="minorHAnsi" w:hAnsiTheme="minorHAnsi" w:cstheme="minorHAnsi"/>
        </w:rPr>
        <w:t>.</w:t>
      </w:r>
      <w:r w:rsidRPr="002160B3">
        <w:rPr>
          <w:rFonts w:asciiTheme="minorHAnsi" w:hAnsiTheme="minorHAnsi" w:cstheme="minorHAnsi"/>
        </w:rPr>
        <w:t xml:space="preserve"> </w:t>
      </w:r>
    </w:p>
    <w:p w:rsidR="00043311" w:rsidRPr="002160B3" w:rsidRDefault="00043311" w:rsidP="0042130F">
      <w:pPr>
        <w:spacing w:line="360" w:lineRule="auto"/>
        <w:rPr>
          <w:rFonts w:asciiTheme="minorHAnsi" w:hAnsiTheme="minorHAnsi" w:cstheme="minorHAnsi"/>
        </w:rPr>
      </w:pPr>
      <w:r w:rsidRPr="000D5CA7">
        <w:rPr>
          <w:rFonts w:asciiTheme="minorHAnsi" w:hAnsiTheme="minorHAnsi" w:cstheme="minorHAnsi"/>
        </w:rPr>
        <w:t>A</w:t>
      </w:r>
      <w:r>
        <w:rPr>
          <w:rFonts w:asciiTheme="minorHAnsi" w:hAnsiTheme="minorHAnsi" w:cstheme="minorHAnsi"/>
        </w:rPr>
        <w:t xml:space="preserve"> recent</w:t>
      </w:r>
      <w:r w:rsidRPr="000D5CA7">
        <w:rPr>
          <w:rFonts w:asciiTheme="minorHAnsi" w:hAnsiTheme="minorHAnsi" w:cstheme="minorHAnsi"/>
        </w:rPr>
        <w:t xml:space="preserve"> review of studies of young people’s gambling</w:t>
      </w:r>
      <w:r>
        <w:rPr>
          <w:rFonts w:asciiTheme="minorHAnsi" w:hAnsiTheme="minorHAnsi" w:cstheme="minorHAnsi"/>
        </w:rPr>
        <w:t xml:space="preserve"> in the UK, </w:t>
      </w:r>
      <w:r w:rsidRPr="000D5CA7">
        <w:rPr>
          <w:rFonts w:asciiTheme="minorHAnsi" w:hAnsiTheme="minorHAnsi" w:cstheme="minorHAnsi"/>
        </w:rPr>
        <w:t>North America</w:t>
      </w:r>
      <w:r>
        <w:rPr>
          <w:rFonts w:asciiTheme="minorHAnsi" w:hAnsiTheme="minorHAnsi" w:cstheme="minorHAnsi"/>
        </w:rPr>
        <w:t xml:space="preserve">, Europe and Oceania </w:t>
      </w:r>
      <w:r w:rsidRPr="000D5CA7">
        <w:rPr>
          <w:rFonts w:asciiTheme="minorHAnsi" w:hAnsiTheme="minorHAnsi" w:cstheme="minorHAnsi"/>
        </w:rPr>
        <w:t>found that levels of</w:t>
      </w:r>
      <w:r>
        <w:rPr>
          <w:rFonts w:asciiTheme="minorHAnsi" w:hAnsiTheme="minorHAnsi" w:cstheme="minorHAnsi"/>
        </w:rPr>
        <w:t xml:space="preserve"> past year </w:t>
      </w:r>
      <w:r w:rsidRPr="000D5CA7">
        <w:rPr>
          <w:rFonts w:asciiTheme="minorHAnsi" w:hAnsiTheme="minorHAnsi" w:cstheme="minorHAnsi"/>
        </w:rPr>
        <w:t xml:space="preserve">gambling </w:t>
      </w:r>
      <w:r>
        <w:rPr>
          <w:rFonts w:asciiTheme="minorHAnsi" w:hAnsiTheme="minorHAnsi" w:cstheme="minorHAnsi"/>
        </w:rPr>
        <w:t xml:space="preserve">amongst young people </w:t>
      </w:r>
      <w:r w:rsidRPr="000D5CA7">
        <w:rPr>
          <w:rFonts w:asciiTheme="minorHAnsi" w:hAnsiTheme="minorHAnsi" w:cstheme="minorHAnsi"/>
        </w:rPr>
        <w:t>ranged from</w:t>
      </w:r>
      <w:r>
        <w:rPr>
          <w:rFonts w:asciiTheme="minorHAnsi" w:hAnsiTheme="minorHAnsi" w:cstheme="minorHAnsi"/>
        </w:rPr>
        <w:t xml:space="preserve"> 20-90 percent </w:t>
      </w:r>
      <w:r>
        <w:rPr>
          <w:rFonts w:asciiTheme="minorHAnsi" w:hAnsiTheme="minorHAnsi" w:cstheme="minorHAnsi"/>
          <w:noProof/>
        </w:rPr>
        <w:t>(Volberg, et al., 2010)</w:t>
      </w:r>
      <w:r>
        <w:rPr>
          <w:rFonts w:asciiTheme="minorHAnsi" w:hAnsiTheme="minorHAnsi" w:cstheme="minorHAnsi"/>
        </w:rPr>
        <w:t>. It</w:t>
      </w:r>
      <w:r w:rsidRPr="000D5CA7">
        <w:rPr>
          <w:rFonts w:asciiTheme="minorHAnsi" w:hAnsiTheme="minorHAnsi" w:cstheme="minorHAnsi"/>
        </w:rPr>
        <w:t xml:space="preserve"> has</w:t>
      </w:r>
      <w:r>
        <w:rPr>
          <w:rFonts w:asciiTheme="minorHAnsi" w:hAnsiTheme="minorHAnsi" w:cstheme="minorHAnsi"/>
        </w:rPr>
        <w:t xml:space="preserve"> also</w:t>
      </w:r>
      <w:r w:rsidRPr="000D5CA7">
        <w:rPr>
          <w:rFonts w:asciiTheme="minorHAnsi" w:hAnsiTheme="minorHAnsi" w:cstheme="minorHAnsi"/>
        </w:rPr>
        <w:t xml:space="preserve"> been estimated that between 4-8% of young people gamble at problem/pathological gambling levels </w:t>
      </w:r>
      <w:r>
        <w:rPr>
          <w:rFonts w:asciiTheme="minorHAnsi" w:hAnsiTheme="minorHAnsi" w:cstheme="minorHAnsi"/>
          <w:noProof/>
        </w:rPr>
        <w:t xml:space="preserve">(Hardoon &amp; </w:t>
      </w:r>
      <w:r>
        <w:rPr>
          <w:rFonts w:asciiTheme="minorHAnsi" w:hAnsiTheme="minorHAnsi" w:cstheme="minorHAnsi"/>
          <w:noProof/>
        </w:rPr>
        <w:lastRenderedPageBreak/>
        <w:t>Derevensky, 2002; Jackson, et al., 2008)</w:t>
      </w:r>
      <w:r w:rsidRPr="000D5CA7">
        <w:rPr>
          <w:rFonts w:asciiTheme="minorHAnsi" w:hAnsiTheme="minorHAnsi" w:cstheme="minorHAnsi"/>
        </w:rPr>
        <w:t xml:space="preserve"> and a further 10-15% are at risk of developing a gambling problem </w:t>
      </w:r>
      <w:r w:rsidRPr="000D5CA7">
        <w:rPr>
          <w:rFonts w:asciiTheme="minorHAnsi" w:hAnsiTheme="minorHAnsi" w:cstheme="minorHAnsi"/>
          <w:noProof/>
        </w:rPr>
        <w:t>(Shaffer &amp; Hall, 1996; Turchi &amp; Derevensky, 2006)</w:t>
      </w:r>
      <w:r w:rsidRPr="000D5CA7">
        <w:rPr>
          <w:rFonts w:asciiTheme="minorHAnsi" w:hAnsiTheme="minorHAnsi" w:cstheme="minorHAnsi"/>
        </w:rPr>
        <w:t>.</w:t>
      </w:r>
      <w:r>
        <w:rPr>
          <w:rFonts w:asciiTheme="minorHAnsi" w:hAnsiTheme="minorHAnsi" w:cstheme="minorHAnsi"/>
        </w:rPr>
        <w:t xml:space="preserve"> </w:t>
      </w:r>
      <w:r w:rsidRPr="00E61EB8">
        <w:rPr>
          <w:rFonts w:asciiTheme="minorHAnsi" w:hAnsiTheme="minorHAnsi" w:cstheme="minorHAnsi"/>
        </w:rPr>
        <w:t xml:space="preserve">Rates of youth problem gambling have often been found to be higher than the rates identified for adults </w:t>
      </w:r>
      <w:r>
        <w:rPr>
          <w:rFonts w:asciiTheme="minorHAnsi" w:hAnsiTheme="minorHAnsi" w:cstheme="minorHAnsi"/>
          <w:noProof/>
        </w:rPr>
        <w:t>(Huang &amp; Boyer, 2007; Shaffer &amp; Hall, 1996; Welte, et al., 2008; Williams, et al., 2008)</w:t>
      </w:r>
      <w:r w:rsidRPr="00E61EB8">
        <w:rPr>
          <w:rFonts w:asciiTheme="minorHAnsi" w:hAnsiTheme="minorHAnsi" w:cstheme="minorHAnsi"/>
        </w:rPr>
        <w:t xml:space="preserve">, with some estimating them to be more than double those of adults </w:t>
      </w:r>
      <w:r>
        <w:rPr>
          <w:rFonts w:asciiTheme="minorHAnsi" w:hAnsiTheme="minorHAnsi" w:cstheme="minorHAnsi"/>
          <w:noProof/>
        </w:rPr>
        <w:t>(Gupta &amp; Derevensky, 1998a; Jackson, et al., 2008; Lesieur, et al., 1991)</w:t>
      </w:r>
      <w:r w:rsidRPr="00E61EB8">
        <w:rPr>
          <w:rFonts w:asciiTheme="minorHAnsi" w:hAnsiTheme="minorHAnsi" w:cstheme="minorHAnsi"/>
        </w:rPr>
        <w:t xml:space="preserve">, or up to three times as high </w:t>
      </w:r>
      <w:r w:rsidRPr="00E61EB8">
        <w:rPr>
          <w:rFonts w:asciiTheme="minorHAnsi" w:hAnsiTheme="minorHAnsi" w:cstheme="minorHAnsi"/>
          <w:noProof/>
        </w:rPr>
        <w:t>(Rigbye, 2010)</w:t>
      </w:r>
      <w:r w:rsidRPr="00E61EB8">
        <w:rPr>
          <w:rFonts w:asciiTheme="minorHAnsi" w:hAnsiTheme="minorHAnsi" w:cstheme="minorHAnsi"/>
        </w:rPr>
        <w:t>.</w:t>
      </w:r>
    </w:p>
    <w:p w:rsidR="00043311" w:rsidRDefault="00043311" w:rsidP="0042130F">
      <w:pPr>
        <w:spacing w:line="360" w:lineRule="auto"/>
        <w:rPr>
          <w:rFonts w:asciiTheme="minorHAnsi" w:hAnsiTheme="minorHAnsi" w:cstheme="minorHAnsi"/>
        </w:rPr>
      </w:pPr>
      <w:r w:rsidRPr="006152DF">
        <w:rPr>
          <w:rFonts w:asciiTheme="minorHAnsi" w:hAnsiTheme="minorHAnsi" w:cstheme="minorHAnsi"/>
        </w:rPr>
        <w:t xml:space="preserve">The social and other costs of problem gambling experienced by young people have been widely reported in the literature. </w:t>
      </w:r>
      <w:r>
        <w:rPr>
          <w:rFonts w:asciiTheme="minorHAnsi" w:hAnsiTheme="minorHAnsi" w:cstheme="minorHAnsi"/>
        </w:rPr>
        <w:t>Frequently documented impacts of problematic gambling for youth include:</w:t>
      </w:r>
    </w:p>
    <w:p w:rsidR="00043311" w:rsidRPr="00EC7075" w:rsidRDefault="00043311" w:rsidP="00043311">
      <w:pPr>
        <w:pStyle w:val="ListParagraph"/>
        <w:numPr>
          <w:ilvl w:val="0"/>
          <w:numId w:val="26"/>
        </w:numPr>
        <w:spacing w:line="360" w:lineRule="auto"/>
        <w:rPr>
          <w:rFonts w:asciiTheme="minorHAnsi" w:hAnsiTheme="minorHAnsi" w:cstheme="minorHAnsi"/>
        </w:rPr>
      </w:pPr>
      <w:r w:rsidRPr="00EC7075">
        <w:rPr>
          <w:rFonts w:asciiTheme="minorHAnsi" w:hAnsiTheme="minorHAnsi" w:cstheme="minorHAnsi"/>
        </w:rPr>
        <w:t>Engagement in other addictive behaviours;</w:t>
      </w:r>
    </w:p>
    <w:p w:rsidR="00043311" w:rsidRPr="00EC7075" w:rsidRDefault="00043311" w:rsidP="00043311">
      <w:pPr>
        <w:pStyle w:val="ListParagraph"/>
        <w:numPr>
          <w:ilvl w:val="0"/>
          <w:numId w:val="26"/>
        </w:numPr>
        <w:spacing w:line="360" w:lineRule="auto"/>
        <w:rPr>
          <w:rFonts w:asciiTheme="minorHAnsi" w:hAnsiTheme="minorHAnsi" w:cstheme="minorHAnsi"/>
        </w:rPr>
      </w:pPr>
      <w:r w:rsidRPr="00EC7075">
        <w:rPr>
          <w:rFonts w:asciiTheme="minorHAnsi" w:hAnsiTheme="minorHAnsi" w:cstheme="minorHAnsi"/>
        </w:rPr>
        <w:t>Negative impacts on mental health (e.g. depression);</w:t>
      </w:r>
    </w:p>
    <w:p w:rsidR="00043311" w:rsidRPr="00EC7075" w:rsidRDefault="00043311" w:rsidP="00043311">
      <w:pPr>
        <w:pStyle w:val="ListParagraph"/>
        <w:numPr>
          <w:ilvl w:val="0"/>
          <w:numId w:val="26"/>
        </w:numPr>
        <w:spacing w:line="360" w:lineRule="auto"/>
        <w:rPr>
          <w:rFonts w:asciiTheme="minorHAnsi" w:hAnsiTheme="minorHAnsi" w:cstheme="minorHAnsi"/>
        </w:rPr>
      </w:pPr>
      <w:r w:rsidRPr="00EC7075">
        <w:rPr>
          <w:rFonts w:asciiTheme="minorHAnsi" w:hAnsiTheme="minorHAnsi" w:cstheme="minorHAnsi"/>
        </w:rPr>
        <w:t>Delinquency and crime;</w:t>
      </w:r>
    </w:p>
    <w:p w:rsidR="00043311" w:rsidRPr="00EC7075" w:rsidRDefault="00043311" w:rsidP="00043311">
      <w:pPr>
        <w:pStyle w:val="ListParagraph"/>
        <w:numPr>
          <w:ilvl w:val="0"/>
          <w:numId w:val="26"/>
        </w:numPr>
        <w:spacing w:line="360" w:lineRule="auto"/>
        <w:rPr>
          <w:rFonts w:asciiTheme="minorHAnsi" w:hAnsiTheme="minorHAnsi" w:cstheme="minorHAnsi"/>
        </w:rPr>
      </w:pPr>
      <w:r w:rsidRPr="00EC7075">
        <w:rPr>
          <w:rFonts w:asciiTheme="minorHAnsi" w:hAnsiTheme="minorHAnsi" w:cstheme="minorHAnsi"/>
        </w:rPr>
        <w:t>Disruption to family and other relationships</w:t>
      </w:r>
      <w:r w:rsidR="00092E87">
        <w:rPr>
          <w:rFonts w:asciiTheme="minorHAnsi" w:hAnsiTheme="minorHAnsi" w:cstheme="minorHAnsi"/>
        </w:rPr>
        <w:t>;</w:t>
      </w:r>
    </w:p>
    <w:p w:rsidR="00043311" w:rsidRPr="00EC7075" w:rsidRDefault="00043311" w:rsidP="00043311">
      <w:pPr>
        <w:pStyle w:val="ListParagraph"/>
        <w:numPr>
          <w:ilvl w:val="0"/>
          <w:numId w:val="26"/>
        </w:numPr>
        <w:spacing w:line="360" w:lineRule="auto"/>
        <w:rPr>
          <w:rFonts w:asciiTheme="minorHAnsi" w:hAnsiTheme="minorHAnsi" w:cstheme="minorHAnsi"/>
        </w:rPr>
      </w:pPr>
      <w:r w:rsidRPr="00EC7075">
        <w:rPr>
          <w:rFonts w:asciiTheme="minorHAnsi" w:hAnsiTheme="minorHAnsi" w:cstheme="minorHAnsi"/>
        </w:rPr>
        <w:t>School difficulties</w:t>
      </w:r>
      <w:r w:rsidR="00092E87">
        <w:rPr>
          <w:rFonts w:asciiTheme="minorHAnsi" w:hAnsiTheme="minorHAnsi" w:cstheme="minorHAnsi"/>
        </w:rPr>
        <w:t>; and,</w:t>
      </w:r>
    </w:p>
    <w:p w:rsidR="00043311" w:rsidRPr="00EC7075" w:rsidRDefault="00043311" w:rsidP="00043311">
      <w:pPr>
        <w:pStyle w:val="ListParagraph"/>
        <w:numPr>
          <w:ilvl w:val="0"/>
          <w:numId w:val="26"/>
        </w:numPr>
        <w:spacing w:line="360" w:lineRule="auto"/>
        <w:rPr>
          <w:rFonts w:asciiTheme="minorHAnsi" w:hAnsiTheme="minorHAnsi" w:cstheme="minorHAnsi"/>
        </w:rPr>
      </w:pPr>
      <w:r w:rsidRPr="00EC7075">
        <w:rPr>
          <w:rFonts w:asciiTheme="minorHAnsi" w:hAnsiTheme="minorHAnsi" w:cstheme="minorHAnsi"/>
        </w:rPr>
        <w:t>Financial difficulties</w:t>
      </w:r>
      <w:r w:rsidR="00092E87">
        <w:rPr>
          <w:rFonts w:asciiTheme="minorHAnsi" w:hAnsiTheme="minorHAnsi" w:cstheme="minorHAnsi"/>
        </w:rPr>
        <w:t>.</w:t>
      </w:r>
    </w:p>
    <w:p w:rsidR="00043311" w:rsidRPr="00EC7075" w:rsidRDefault="00043311" w:rsidP="0042130F">
      <w:pPr>
        <w:spacing w:line="360" w:lineRule="auto"/>
        <w:rPr>
          <w:rFonts w:asciiTheme="minorHAnsi" w:hAnsiTheme="minorHAnsi" w:cstheme="minorHAnsi"/>
        </w:rPr>
      </w:pPr>
      <w:r>
        <w:rPr>
          <w:rFonts w:asciiTheme="minorHAnsi" w:hAnsiTheme="minorHAnsi" w:cstheme="minorHAnsi"/>
        </w:rPr>
        <w:t>Research indicates that p</w:t>
      </w:r>
      <w:r w:rsidRPr="00EC7075">
        <w:rPr>
          <w:rFonts w:asciiTheme="minorHAnsi" w:hAnsiTheme="minorHAnsi" w:cstheme="minorHAnsi"/>
        </w:rPr>
        <w:t>arents</w:t>
      </w:r>
      <w:r>
        <w:rPr>
          <w:rFonts w:asciiTheme="minorHAnsi" w:hAnsiTheme="minorHAnsi" w:cstheme="minorHAnsi"/>
        </w:rPr>
        <w:t xml:space="preserve"> and </w:t>
      </w:r>
      <w:r w:rsidRPr="00EC7075">
        <w:rPr>
          <w:rFonts w:asciiTheme="minorHAnsi" w:hAnsiTheme="minorHAnsi" w:cstheme="minorHAnsi"/>
        </w:rPr>
        <w:t xml:space="preserve">friends </w:t>
      </w:r>
      <w:r>
        <w:rPr>
          <w:rFonts w:asciiTheme="minorHAnsi" w:hAnsiTheme="minorHAnsi" w:cstheme="minorHAnsi"/>
        </w:rPr>
        <w:t>play an</w:t>
      </w:r>
      <w:r w:rsidRPr="00EC7075">
        <w:rPr>
          <w:rFonts w:asciiTheme="minorHAnsi" w:hAnsiTheme="minorHAnsi" w:cstheme="minorHAnsi"/>
        </w:rPr>
        <w:t xml:space="preserve"> important</w:t>
      </w:r>
      <w:r>
        <w:rPr>
          <w:rFonts w:asciiTheme="minorHAnsi" w:hAnsiTheme="minorHAnsi" w:cstheme="minorHAnsi"/>
        </w:rPr>
        <w:t xml:space="preserve"> role </w:t>
      </w:r>
      <w:r w:rsidRPr="00EC7075">
        <w:rPr>
          <w:rFonts w:asciiTheme="minorHAnsi" w:hAnsiTheme="minorHAnsi" w:cstheme="minorHAnsi"/>
        </w:rPr>
        <w:t>in the development and maintenance of gambling behaviour.</w:t>
      </w:r>
      <w:r w:rsidR="00410534">
        <w:rPr>
          <w:rFonts w:asciiTheme="minorHAnsi" w:hAnsiTheme="minorHAnsi" w:cstheme="minorHAnsi"/>
        </w:rPr>
        <w:t xml:space="preserve"> Issues such as parents/</w:t>
      </w:r>
      <w:r>
        <w:rPr>
          <w:rFonts w:asciiTheme="minorHAnsi" w:hAnsiTheme="minorHAnsi" w:cstheme="minorHAnsi"/>
        </w:rPr>
        <w:t xml:space="preserve">friends </w:t>
      </w:r>
      <w:r w:rsidRPr="00B40962">
        <w:rPr>
          <w:rFonts w:asciiTheme="minorHAnsi" w:hAnsiTheme="minorHAnsi" w:cstheme="minorHAnsi"/>
        </w:rPr>
        <w:t xml:space="preserve">participation in </w:t>
      </w:r>
      <w:r>
        <w:rPr>
          <w:rFonts w:asciiTheme="minorHAnsi" w:hAnsiTheme="minorHAnsi" w:cstheme="minorHAnsi"/>
        </w:rPr>
        <w:t>gambling</w:t>
      </w:r>
      <w:r w:rsidRPr="00B40962">
        <w:rPr>
          <w:rFonts w:asciiTheme="minorHAnsi" w:hAnsiTheme="minorHAnsi" w:cstheme="minorHAnsi"/>
        </w:rPr>
        <w:t xml:space="preserve"> activit</w:t>
      </w:r>
      <w:r>
        <w:rPr>
          <w:rFonts w:asciiTheme="minorHAnsi" w:hAnsiTheme="minorHAnsi" w:cstheme="minorHAnsi"/>
        </w:rPr>
        <w:t xml:space="preserve">ies, attitudes/beliefs about gambling, and gifting of gambling products (e.g. scratch-lottery products) are influential with regard to youth gambling. </w:t>
      </w:r>
    </w:p>
    <w:p w:rsidR="00043311" w:rsidRPr="00F515BC" w:rsidRDefault="00043311" w:rsidP="0042130F">
      <w:pPr>
        <w:spacing w:line="360" w:lineRule="auto"/>
        <w:rPr>
          <w:rFonts w:asciiTheme="minorHAnsi" w:hAnsiTheme="minorHAnsi" w:cstheme="minorHAnsi"/>
        </w:rPr>
      </w:pPr>
      <w:r>
        <w:rPr>
          <w:rFonts w:asciiTheme="minorHAnsi" w:hAnsiTheme="minorHAnsi" w:cstheme="minorHAnsi"/>
        </w:rPr>
        <w:t xml:space="preserve">There is </w:t>
      </w:r>
      <w:r w:rsidRPr="00F515BC">
        <w:rPr>
          <w:rFonts w:asciiTheme="minorHAnsi" w:hAnsiTheme="minorHAnsi" w:cstheme="minorHAnsi"/>
        </w:rPr>
        <w:t>clear</w:t>
      </w:r>
      <w:r>
        <w:rPr>
          <w:rFonts w:asciiTheme="minorHAnsi" w:hAnsiTheme="minorHAnsi" w:cstheme="minorHAnsi"/>
        </w:rPr>
        <w:t xml:space="preserve"> evidence </w:t>
      </w:r>
      <w:r w:rsidRPr="00F515BC">
        <w:rPr>
          <w:rFonts w:asciiTheme="minorHAnsi" w:hAnsiTheme="minorHAnsi" w:cstheme="minorHAnsi"/>
        </w:rPr>
        <w:t xml:space="preserve">that the health and wellbeing of the children of problem gamblers is likely to be harmed due to their parents’ behaviour </w:t>
      </w:r>
      <w:r>
        <w:rPr>
          <w:rFonts w:asciiTheme="minorHAnsi" w:hAnsiTheme="minorHAnsi" w:cstheme="minorHAnsi"/>
          <w:noProof/>
        </w:rPr>
        <w:t>(Abbott, Cramer, &amp; Sherrets, 1995; Darbyshire, et al., 2001a, 2001b; Jacobs, et al., 1989; Vitaro, et al., 2008)</w:t>
      </w:r>
      <w:r w:rsidRPr="00F515BC">
        <w:rPr>
          <w:rFonts w:asciiTheme="minorHAnsi" w:hAnsiTheme="minorHAnsi" w:cstheme="minorHAnsi"/>
        </w:rPr>
        <w:t>. A review of the literature on children who grow up in problem gambling families identified that they may be ‘severely and negatively’</w:t>
      </w:r>
      <w:r w:rsidRPr="00F515BC">
        <w:rPr>
          <w:rFonts w:asciiTheme="minorHAnsi" w:hAnsiTheme="minorHAnsi" w:cstheme="minorHAnsi"/>
          <w:i/>
        </w:rPr>
        <w:t xml:space="preserve"> </w:t>
      </w:r>
      <w:r w:rsidRPr="00F515BC">
        <w:rPr>
          <w:rFonts w:asciiTheme="minorHAnsi" w:hAnsiTheme="minorHAnsi" w:cstheme="minorHAnsi"/>
        </w:rPr>
        <w:t xml:space="preserve">affected, and that the impacts of gambling on children mirror those that have been identified in relation to parental drug or alcohol use </w:t>
      </w:r>
      <w:r>
        <w:rPr>
          <w:rFonts w:asciiTheme="minorHAnsi" w:hAnsiTheme="minorHAnsi" w:cstheme="minorHAnsi"/>
          <w:noProof/>
        </w:rPr>
        <w:t>(Darbyshire, et al., 2001a)</w:t>
      </w:r>
      <w:r w:rsidRPr="00F515BC">
        <w:rPr>
          <w:rFonts w:asciiTheme="minorHAnsi" w:hAnsiTheme="minorHAnsi" w:cstheme="minorHAnsi"/>
        </w:rPr>
        <w:t>.</w:t>
      </w:r>
      <w:r>
        <w:rPr>
          <w:rFonts w:asciiTheme="minorHAnsi" w:hAnsiTheme="minorHAnsi" w:cstheme="minorHAnsi"/>
        </w:rPr>
        <w:t xml:space="preserve"> </w:t>
      </w:r>
    </w:p>
    <w:p w:rsidR="00043311" w:rsidRDefault="00043311" w:rsidP="0042130F">
      <w:pPr>
        <w:spacing w:line="360" w:lineRule="auto"/>
        <w:rPr>
          <w:rFonts w:asciiTheme="minorHAnsi" w:hAnsiTheme="minorHAnsi" w:cstheme="minorHAnsi"/>
        </w:rPr>
      </w:pPr>
      <w:r>
        <w:rPr>
          <w:rFonts w:asciiTheme="minorHAnsi" w:hAnsiTheme="minorHAnsi" w:cstheme="minorHAnsi"/>
        </w:rPr>
        <w:t xml:space="preserve">Research into youth gambling has begun to explore the role of risk and protective factors. </w:t>
      </w:r>
      <w:r w:rsidRPr="00306832">
        <w:rPr>
          <w:rFonts w:asciiTheme="minorHAnsi" w:hAnsiTheme="minorHAnsi" w:cstheme="minorHAnsi"/>
        </w:rPr>
        <w:t xml:space="preserve">Risk factors may be described as criteria or characteristics </w:t>
      </w:r>
      <w:r w:rsidRPr="00306832">
        <w:rPr>
          <w:rFonts w:asciiTheme="minorHAnsi" w:hAnsiTheme="minorHAnsi" w:cstheme="minorHAnsi"/>
          <w:lang w:val="en-US"/>
        </w:rPr>
        <w:t xml:space="preserve">associated with an individual that make it more likely that they will develop a problematic behaviour </w:t>
      </w:r>
      <w:r w:rsidRPr="00306832">
        <w:rPr>
          <w:rFonts w:asciiTheme="minorHAnsi" w:hAnsiTheme="minorHAnsi" w:cstheme="minorHAnsi"/>
          <w:noProof/>
          <w:lang w:val="en-US"/>
        </w:rPr>
        <w:t>(Mrazek &amp; Haggerty, 1994)</w:t>
      </w:r>
      <w:r w:rsidRPr="00306832">
        <w:rPr>
          <w:rFonts w:asciiTheme="minorHAnsi" w:hAnsiTheme="minorHAnsi" w:cstheme="minorHAnsi"/>
          <w:lang w:val="en-US"/>
        </w:rPr>
        <w:t xml:space="preserve">. </w:t>
      </w:r>
      <w:r>
        <w:rPr>
          <w:rFonts w:asciiTheme="minorHAnsi" w:hAnsiTheme="minorHAnsi" w:cstheme="minorHAnsi"/>
          <w:lang w:val="en-US"/>
        </w:rPr>
        <w:t xml:space="preserve"> </w:t>
      </w:r>
      <w:r w:rsidRPr="00306832">
        <w:rPr>
          <w:rFonts w:asciiTheme="minorHAnsi" w:hAnsiTheme="minorHAnsi" w:cstheme="minorHAnsi"/>
        </w:rPr>
        <w:t xml:space="preserve">A summary of the key risk factors for problem gambling amongst youth, as identified as part of this review, </w:t>
      </w:r>
      <w:r>
        <w:rPr>
          <w:rFonts w:asciiTheme="minorHAnsi" w:hAnsiTheme="minorHAnsi" w:cstheme="minorHAnsi"/>
        </w:rPr>
        <w:t xml:space="preserve">include: </w:t>
      </w:r>
    </w:p>
    <w:p w:rsidR="00043311" w:rsidRPr="002A24DC" w:rsidRDefault="00BD1B09" w:rsidP="00043311">
      <w:pPr>
        <w:pStyle w:val="ListParagraph"/>
        <w:numPr>
          <w:ilvl w:val="0"/>
          <w:numId w:val="26"/>
        </w:numPr>
        <w:spacing w:line="360" w:lineRule="auto"/>
        <w:rPr>
          <w:rFonts w:asciiTheme="minorHAnsi" w:hAnsiTheme="minorHAnsi" w:cstheme="minorHAnsi"/>
        </w:rPr>
      </w:pPr>
      <w:r>
        <w:rPr>
          <w:rFonts w:asciiTheme="minorHAnsi" w:hAnsiTheme="minorHAnsi" w:cstheme="minorHAnsi"/>
        </w:rPr>
        <w:t xml:space="preserve">Demographic </w:t>
      </w:r>
      <w:r w:rsidR="00410534">
        <w:rPr>
          <w:rFonts w:asciiTheme="minorHAnsi" w:hAnsiTheme="minorHAnsi" w:cstheme="minorHAnsi"/>
        </w:rPr>
        <w:t>characteristics</w:t>
      </w:r>
      <w:r>
        <w:rPr>
          <w:rFonts w:asciiTheme="minorHAnsi" w:hAnsiTheme="minorHAnsi" w:cstheme="minorHAnsi"/>
        </w:rPr>
        <w:t xml:space="preserve"> (ethnicity, socioeconomic status, sex)</w:t>
      </w:r>
      <w:r w:rsidR="00043311">
        <w:rPr>
          <w:rFonts w:asciiTheme="minorHAnsi" w:hAnsiTheme="minorHAnsi" w:cstheme="minorHAnsi"/>
        </w:rPr>
        <w:t>;</w:t>
      </w:r>
    </w:p>
    <w:p w:rsidR="00043311" w:rsidRPr="002A24DC" w:rsidRDefault="00043311" w:rsidP="00043311">
      <w:pPr>
        <w:pStyle w:val="ListParagraph"/>
        <w:numPr>
          <w:ilvl w:val="0"/>
          <w:numId w:val="26"/>
        </w:numPr>
        <w:spacing w:line="360" w:lineRule="auto"/>
        <w:rPr>
          <w:rFonts w:asciiTheme="minorHAnsi" w:hAnsiTheme="minorHAnsi" w:cstheme="minorHAnsi"/>
        </w:rPr>
      </w:pPr>
      <w:r w:rsidRPr="002A24DC">
        <w:rPr>
          <w:rFonts w:asciiTheme="minorHAnsi" w:hAnsiTheme="minorHAnsi" w:cstheme="minorHAnsi"/>
        </w:rPr>
        <w:t>Parental involvement in gambling behaviour;</w:t>
      </w:r>
    </w:p>
    <w:p w:rsidR="00043311" w:rsidRPr="002A24DC" w:rsidRDefault="00043311" w:rsidP="00043311">
      <w:pPr>
        <w:pStyle w:val="ListParagraph"/>
        <w:numPr>
          <w:ilvl w:val="0"/>
          <w:numId w:val="26"/>
        </w:numPr>
        <w:spacing w:line="360" w:lineRule="auto"/>
        <w:rPr>
          <w:rFonts w:asciiTheme="minorHAnsi" w:hAnsiTheme="minorHAnsi" w:cstheme="minorHAnsi"/>
        </w:rPr>
      </w:pPr>
      <w:r w:rsidRPr="002A24DC">
        <w:rPr>
          <w:rFonts w:asciiTheme="minorHAnsi" w:hAnsiTheme="minorHAnsi" w:cstheme="minorHAnsi"/>
        </w:rPr>
        <w:t>Early onset of gambling</w:t>
      </w:r>
      <w:r>
        <w:rPr>
          <w:rFonts w:asciiTheme="minorHAnsi" w:hAnsiTheme="minorHAnsi" w:cstheme="minorHAnsi"/>
        </w:rPr>
        <w:t>;</w:t>
      </w:r>
    </w:p>
    <w:p w:rsidR="00043311" w:rsidRPr="002A24DC" w:rsidRDefault="00043311" w:rsidP="00043311">
      <w:pPr>
        <w:pStyle w:val="ListParagraph"/>
        <w:numPr>
          <w:ilvl w:val="0"/>
          <w:numId w:val="26"/>
        </w:numPr>
        <w:spacing w:line="360" w:lineRule="auto"/>
        <w:rPr>
          <w:rFonts w:asciiTheme="minorHAnsi" w:hAnsiTheme="minorHAnsi" w:cstheme="minorHAnsi"/>
        </w:rPr>
      </w:pPr>
      <w:r w:rsidRPr="002A24DC">
        <w:rPr>
          <w:rFonts w:asciiTheme="minorHAnsi" w:hAnsiTheme="minorHAnsi" w:cstheme="minorHAnsi"/>
        </w:rPr>
        <w:t>Age (the severity of problem gambling-related behaviours increases with age)</w:t>
      </w:r>
      <w:r>
        <w:rPr>
          <w:rFonts w:asciiTheme="minorHAnsi" w:hAnsiTheme="minorHAnsi" w:cstheme="minorHAnsi"/>
        </w:rPr>
        <w:t>;</w:t>
      </w:r>
    </w:p>
    <w:p w:rsidR="00043311" w:rsidRPr="002A24DC" w:rsidRDefault="00043311" w:rsidP="00043311">
      <w:pPr>
        <w:pStyle w:val="ListParagraph"/>
        <w:numPr>
          <w:ilvl w:val="0"/>
          <w:numId w:val="26"/>
        </w:numPr>
        <w:spacing w:line="360" w:lineRule="auto"/>
        <w:rPr>
          <w:rFonts w:asciiTheme="minorHAnsi" w:hAnsiTheme="minorHAnsi" w:cstheme="minorHAnsi"/>
        </w:rPr>
      </w:pPr>
      <w:r w:rsidRPr="002A24DC">
        <w:rPr>
          <w:rFonts w:asciiTheme="minorHAnsi" w:hAnsiTheme="minorHAnsi" w:cstheme="minorHAnsi"/>
        </w:rPr>
        <w:t>Personality factors (e.g. anxiety, risk propensity)</w:t>
      </w:r>
      <w:r>
        <w:rPr>
          <w:rFonts w:asciiTheme="minorHAnsi" w:hAnsiTheme="minorHAnsi" w:cstheme="minorHAnsi"/>
        </w:rPr>
        <w:t>;</w:t>
      </w:r>
    </w:p>
    <w:p w:rsidR="00043311" w:rsidRPr="002A24DC" w:rsidRDefault="00043311" w:rsidP="00043311">
      <w:pPr>
        <w:pStyle w:val="ListParagraph"/>
        <w:numPr>
          <w:ilvl w:val="0"/>
          <w:numId w:val="26"/>
        </w:numPr>
        <w:spacing w:line="360" w:lineRule="auto"/>
        <w:rPr>
          <w:rFonts w:asciiTheme="minorHAnsi" w:hAnsiTheme="minorHAnsi" w:cstheme="minorHAnsi"/>
        </w:rPr>
      </w:pPr>
      <w:r w:rsidRPr="002A24DC">
        <w:rPr>
          <w:rFonts w:asciiTheme="minorHAnsi" w:hAnsiTheme="minorHAnsi" w:cstheme="minorHAnsi"/>
        </w:rPr>
        <w:lastRenderedPageBreak/>
        <w:t>Emotional/mental state (e.g. depression and suicide attempts)</w:t>
      </w:r>
      <w:r>
        <w:rPr>
          <w:rFonts w:asciiTheme="minorHAnsi" w:hAnsiTheme="minorHAnsi" w:cstheme="minorHAnsi"/>
        </w:rPr>
        <w:t>;</w:t>
      </w:r>
    </w:p>
    <w:p w:rsidR="00043311" w:rsidRPr="002A24DC" w:rsidRDefault="00043311" w:rsidP="00043311">
      <w:pPr>
        <w:pStyle w:val="ListParagraph"/>
        <w:numPr>
          <w:ilvl w:val="0"/>
          <w:numId w:val="26"/>
        </w:numPr>
        <w:spacing w:line="360" w:lineRule="auto"/>
        <w:rPr>
          <w:rFonts w:asciiTheme="minorHAnsi" w:hAnsiTheme="minorHAnsi" w:cstheme="minorHAnsi"/>
        </w:rPr>
      </w:pPr>
      <w:r w:rsidRPr="002A24DC">
        <w:rPr>
          <w:rFonts w:asciiTheme="minorHAnsi" w:hAnsiTheme="minorHAnsi" w:cstheme="minorHAnsi"/>
        </w:rPr>
        <w:t>School-related problems (e.g. poor academic performance and other school problems)</w:t>
      </w:r>
      <w:r>
        <w:rPr>
          <w:rFonts w:asciiTheme="minorHAnsi" w:hAnsiTheme="minorHAnsi" w:cstheme="minorHAnsi"/>
        </w:rPr>
        <w:t>;</w:t>
      </w:r>
    </w:p>
    <w:p w:rsidR="00043311" w:rsidRPr="002A24DC" w:rsidRDefault="00043311" w:rsidP="00043311">
      <w:pPr>
        <w:pStyle w:val="ListParagraph"/>
        <w:numPr>
          <w:ilvl w:val="0"/>
          <w:numId w:val="26"/>
        </w:numPr>
        <w:spacing w:line="360" w:lineRule="auto"/>
        <w:rPr>
          <w:rFonts w:asciiTheme="minorHAnsi" w:hAnsiTheme="minorHAnsi" w:cstheme="minorHAnsi"/>
        </w:rPr>
      </w:pPr>
      <w:r w:rsidRPr="002A24DC">
        <w:rPr>
          <w:rFonts w:asciiTheme="minorHAnsi" w:hAnsiTheme="minorHAnsi" w:cstheme="minorHAnsi"/>
        </w:rPr>
        <w:t>Substance use</w:t>
      </w:r>
      <w:r>
        <w:rPr>
          <w:rFonts w:asciiTheme="minorHAnsi" w:hAnsiTheme="minorHAnsi" w:cstheme="minorHAnsi"/>
        </w:rPr>
        <w:t>;</w:t>
      </w:r>
    </w:p>
    <w:p w:rsidR="00043311" w:rsidRPr="002A24DC" w:rsidRDefault="00043311" w:rsidP="00043311">
      <w:pPr>
        <w:pStyle w:val="ListParagraph"/>
        <w:numPr>
          <w:ilvl w:val="0"/>
          <w:numId w:val="26"/>
        </w:numPr>
        <w:spacing w:line="360" w:lineRule="auto"/>
        <w:rPr>
          <w:rFonts w:asciiTheme="minorHAnsi" w:hAnsiTheme="minorHAnsi" w:cstheme="minorHAnsi"/>
        </w:rPr>
      </w:pPr>
      <w:r w:rsidRPr="002A24DC">
        <w:rPr>
          <w:rFonts w:asciiTheme="minorHAnsi" w:hAnsiTheme="minorHAnsi" w:cstheme="minorHAnsi"/>
        </w:rPr>
        <w:t>Anti-social and criminal behaviour</w:t>
      </w:r>
      <w:r>
        <w:rPr>
          <w:rFonts w:asciiTheme="minorHAnsi" w:hAnsiTheme="minorHAnsi" w:cstheme="minorHAnsi"/>
        </w:rPr>
        <w:t>;</w:t>
      </w:r>
    </w:p>
    <w:p w:rsidR="00043311" w:rsidRPr="002A24DC" w:rsidRDefault="00043311" w:rsidP="00043311">
      <w:pPr>
        <w:pStyle w:val="ListParagraph"/>
        <w:numPr>
          <w:ilvl w:val="0"/>
          <w:numId w:val="26"/>
        </w:numPr>
        <w:spacing w:line="360" w:lineRule="auto"/>
        <w:rPr>
          <w:rFonts w:asciiTheme="minorHAnsi" w:hAnsiTheme="minorHAnsi" w:cstheme="minorHAnsi"/>
        </w:rPr>
      </w:pPr>
      <w:r w:rsidRPr="002A24DC">
        <w:rPr>
          <w:rFonts w:asciiTheme="minorHAnsi" w:hAnsiTheme="minorHAnsi" w:cstheme="minorHAnsi"/>
        </w:rPr>
        <w:t>Accessibility to gambling</w:t>
      </w:r>
      <w:r>
        <w:rPr>
          <w:rFonts w:asciiTheme="minorHAnsi" w:hAnsiTheme="minorHAnsi" w:cstheme="minorHAnsi"/>
        </w:rPr>
        <w:t>; and,</w:t>
      </w:r>
    </w:p>
    <w:p w:rsidR="00043311" w:rsidRPr="002A24DC" w:rsidRDefault="00043311" w:rsidP="00043311">
      <w:pPr>
        <w:pStyle w:val="ListParagraph"/>
        <w:numPr>
          <w:ilvl w:val="0"/>
          <w:numId w:val="26"/>
        </w:numPr>
        <w:spacing w:line="360" w:lineRule="auto"/>
        <w:rPr>
          <w:rFonts w:asciiTheme="minorHAnsi" w:hAnsiTheme="minorHAnsi" w:cstheme="minorHAnsi"/>
        </w:rPr>
      </w:pPr>
      <w:r w:rsidRPr="002A24DC">
        <w:rPr>
          <w:rFonts w:asciiTheme="minorHAnsi" w:hAnsiTheme="minorHAnsi" w:cstheme="minorHAnsi"/>
        </w:rPr>
        <w:t>Attitudes towards gambling</w:t>
      </w:r>
      <w:r>
        <w:rPr>
          <w:rFonts w:asciiTheme="minorHAnsi" w:hAnsiTheme="minorHAnsi" w:cstheme="minorHAnsi"/>
        </w:rPr>
        <w:t>.</w:t>
      </w:r>
    </w:p>
    <w:p w:rsidR="00043311" w:rsidRDefault="00043311" w:rsidP="0042130F">
      <w:pPr>
        <w:spacing w:line="360" w:lineRule="auto"/>
        <w:rPr>
          <w:rFonts w:asciiTheme="minorHAnsi" w:hAnsiTheme="minorHAnsi" w:cstheme="minorHAnsi"/>
        </w:rPr>
      </w:pPr>
      <w:r w:rsidRPr="0061045C">
        <w:rPr>
          <w:rFonts w:asciiTheme="minorHAnsi" w:hAnsiTheme="minorHAnsi" w:cstheme="minorHAnsi"/>
        </w:rPr>
        <w:t xml:space="preserve">Despite the presence of known risk factors, not all young people experience gambling-related or other problems in their lives </w:t>
      </w:r>
      <w:r w:rsidRPr="0061045C">
        <w:rPr>
          <w:rFonts w:asciiTheme="minorHAnsi" w:hAnsiTheme="minorHAnsi" w:cstheme="minorHAnsi"/>
          <w:noProof/>
        </w:rPr>
        <w:t>(Lussier, Derevensky, Gupta, Bergevin, &amp; Ellenbogen, 2007; Vitaro, Wanner, Brendgen, &amp; Tremblay, 2008)</w:t>
      </w:r>
      <w:r w:rsidRPr="0061045C">
        <w:rPr>
          <w:rFonts w:asciiTheme="minorHAnsi" w:hAnsiTheme="minorHAnsi" w:cstheme="minorHAnsi"/>
        </w:rPr>
        <w:t>.</w:t>
      </w:r>
      <w:r>
        <w:rPr>
          <w:rFonts w:asciiTheme="minorHAnsi" w:hAnsiTheme="minorHAnsi" w:cstheme="minorHAnsi"/>
        </w:rPr>
        <w:t xml:space="preserve"> </w:t>
      </w:r>
      <w:r w:rsidRPr="0061045C">
        <w:rPr>
          <w:rFonts w:asciiTheme="minorHAnsi" w:hAnsiTheme="minorHAnsi" w:cstheme="minorHAnsi"/>
        </w:rPr>
        <w:t xml:space="preserve">Protective factors for youth problem gambling </w:t>
      </w:r>
      <w:r>
        <w:rPr>
          <w:rFonts w:asciiTheme="minorHAnsi" w:hAnsiTheme="minorHAnsi" w:cstheme="minorHAnsi"/>
        </w:rPr>
        <w:t>have</w:t>
      </w:r>
      <w:r w:rsidRPr="0061045C">
        <w:rPr>
          <w:rFonts w:asciiTheme="minorHAnsi" w:hAnsiTheme="minorHAnsi" w:cstheme="minorHAnsi"/>
        </w:rPr>
        <w:t xml:space="preserve"> </w:t>
      </w:r>
      <w:r>
        <w:rPr>
          <w:rFonts w:asciiTheme="minorHAnsi" w:hAnsiTheme="minorHAnsi" w:cstheme="minorHAnsi"/>
        </w:rPr>
        <w:t xml:space="preserve">been </w:t>
      </w:r>
      <w:r w:rsidRPr="0061045C">
        <w:rPr>
          <w:rFonts w:asciiTheme="minorHAnsi" w:hAnsiTheme="minorHAnsi" w:cstheme="minorHAnsi"/>
        </w:rPr>
        <w:t xml:space="preserve">described as features which decrease an individual’s likelihood of developing problematic gambling behaviour </w:t>
      </w:r>
      <w:r>
        <w:rPr>
          <w:rFonts w:asciiTheme="minorHAnsi" w:hAnsiTheme="minorHAnsi" w:cstheme="minorHAnsi"/>
          <w:noProof/>
        </w:rPr>
        <w:t>(Dickson, et al., 2003)</w:t>
      </w:r>
      <w:r w:rsidRPr="0061045C">
        <w:rPr>
          <w:rFonts w:asciiTheme="minorHAnsi" w:hAnsiTheme="minorHAnsi" w:cstheme="minorHAnsi"/>
        </w:rPr>
        <w:t>.</w:t>
      </w:r>
      <w:r w:rsidRPr="000F394C">
        <w:rPr>
          <w:rFonts w:asciiTheme="minorHAnsi" w:hAnsiTheme="minorHAnsi" w:cstheme="minorHAnsi"/>
        </w:rPr>
        <w:t xml:space="preserve"> </w:t>
      </w:r>
      <w:r w:rsidRPr="00306832">
        <w:rPr>
          <w:rFonts w:asciiTheme="minorHAnsi" w:hAnsiTheme="minorHAnsi" w:cstheme="minorHAnsi"/>
        </w:rPr>
        <w:t xml:space="preserve">A summary of </w:t>
      </w:r>
      <w:r>
        <w:rPr>
          <w:rFonts w:asciiTheme="minorHAnsi" w:hAnsiTheme="minorHAnsi" w:cstheme="minorHAnsi"/>
        </w:rPr>
        <w:t>protective</w:t>
      </w:r>
      <w:r w:rsidRPr="00306832">
        <w:rPr>
          <w:rFonts w:asciiTheme="minorHAnsi" w:hAnsiTheme="minorHAnsi" w:cstheme="minorHAnsi"/>
        </w:rPr>
        <w:t xml:space="preserve"> factors for pr</w:t>
      </w:r>
      <w:r>
        <w:rPr>
          <w:rFonts w:asciiTheme="minorHAnsi" w:hAnsiTheme="minorHAnsi" w:cstheme="minorHAnsi"/>
        </w:rPr>
        <w:t>oblem gambling amongst youth</w:t>
      </w:r>
      <w:r w:rsidRPr="00306832">
        <w:rPr>
          <w:rFonts w:asciiTheme="minorHAnsi" w:hAnsiTheme="minorHAnsi" w:cstheme="minorHAnsi"/>
        </w:rPr>
        <w:t xml:space="preserve">, </w:t>
      </w:r>
      <w:r>
        <w:rPr>
          <w:rFonts w:asciiTheme="minorHAnsi" w:hAnsiTheme="minorHAnsi" w:cstheme="minorHAnsi"/>
        </w:rPr>
        <w:t xml:space="preserve">include: </w:t>
      </w:r>
    </w:p>
    <w:p w:rsidR="00043311" w:rsidRPr="005A3129" w:rsidRDefault="00043311" w:rsidP="00043311">
      <w:pPr>
        <w:pStyle w:val="ListParagraph"/>
        <w:numPr>
          <w:ilvl w:val="0"/>
          <w:numId w:val="26"/>
        </w:numPr>
        <w:spacing w:line="360" w:lineRule="auto"/>
        <w:rPr>
          <w:rFonts w:asciiTheme="minorHAnsi" w:hAnsiTheme="minorHAnsi" w:cstheme="minorHAnsi"/>
        </w:rPr>
      </w:pPr>
      <w:r>
        <w:rPr>
          <w:rFonts w:asciiTheme="minorHAnsi" w:hAnsiTheme="minorHAnsi" w:cstheme="minorHAnsi"/>
        </w:rPr>
        <w:t>Female gender;</w:t>
      </w:r>
    </w:p>
    <w:p w:rsidR="00043311" w:rsidRDefault="00043311" w:rsidP="00043311">
      <w:pPr>
        <w:pStyle w:val="ListParagraph"/>
        <w:numPr>
          <w:ilvl w:val="0"/>
          <w:numId w:val="26"/>
        </w:numPr>
        <w:spacing w:line="360" w:lineRule="auto"/>
        <w:rPr>
          <w:rFonts w:asciiTheme="minorHAnsi" w:hAnsiTheme="minorHAnsi" w:cstheme="minorHAnsi"/>
        </w:rPr>
      </w:pPr>
      <w:r w:rsidRPr="005A3129">
        <w:rPr>
          <w:rFonts w:asciiTheme="minorHAnsi" w:hAnsiTheme="minorHAnsi" w:cstheme="minorHAnsi"/>
        </w:rPr>
        <w:t xml:space="preserve">Family cohesion </w:t>
      </w:r>
      <w:r>
        <w:rPr>
          <w:rFonts w:asciiTheme="minorHAnsi" w:hAnsiTheme="minorHAnsi" w:cstheme="minorHAnsi"/>
        </w:rPr>
        <w:t>/ connectedness;</w:t>
      </w:r>
    </w:p>
    <w:p w:rsidR="00043311" w:rsidRDefault="00043311" w:rsidP="00043311">
      <w:pPr>
        <w:pStyle w:val="ListParagraph"/>
        <w:numPr>
          <w:ilvl w:val="0"/>
          <w:numId w:val="26"/>
        </w:numPr>
        <w:spacing w:line="360" w:lineRule="auto"/>
        <w:rPr>
          <w:rFonts w:asciiTheme="minorHAnsi" w:hAnsiTheme="minorHAnsi" w:cstheme="minorHAnsi"/>
        </w:rPr>
      </w:pPr>
      <w:r>
        <w:rPr>
          <w:rFonts w:asciiTheme="minorHAnsi" w:hAnsiTheme="minorHAnsi" w:cstheme="minorHAnsi"/>
        </w:rPr>
        <w:t>Parental monitoring;</w:t>
      </w:r>
    </w:p>
    <w:p w:rsidR="00043311" w:rsidRDefault="00043311" w:rsidP="00043311">
      <w:pPr>
        <w:pStyle w:val="ListParagraph"/>
        <w:numPr>
          <w:ilvl w:val="0"/>
          <w:numId w:val="26"/>
        </w:numPr>
        <w:spacing w:line="360" w:lineRule="auto"/>
        <w:rPr>
          <w:rFonts w:asciiTheme="minorHAnsi" w:hAnsiTheme="minorHAnsi" w:cstheme="minorHAnsi"/>
        </w:rPr>
      </w:pPr>
      <w:r>
        <w:rPr>
          <w:rFonts w:asciiTheme="minorHAnsi" w:hAnsiTheme="minorHAnsi" w:cstheme="minorHAnsi"/>
        </w:rPr>
        <w:t>H</w:t>
      </w:r>
      <w:r w:rsidRPr="00632935">
        <w:rPr>
          <w:rFonts w:asciiTheme="minorHAnsi" w:hAnsiTheme="minorHAnsi" w:cstheme="minorHAnsi"/>
        </w:rPr>
        <w:t>ealthy and meaningful relationships</w:t>
      </w:r>
      <w:r>
        <w:rPr>
          <w:rFonts w:asciiTheme="minorHAnsi" w:hAnsiTheme="minorHAnsi" w:cstheme="minorHAnsi"/>
        </w:rPr>
        <w:t>;</w:t>
      </w:r>
    </w:p>
    <w:p w:rsidR="00043311" w:rsidRDefault="00043311" w:rsidP="00043311">
      <w:pPr>
        <w:pStyle w:val="ListParagraph"/>
        <w:numPr>
          <w:ilvl w:val="0"/>
          <w:numId w:val="26"/>
        </w:numPr>
        <w:spacing w:line="360" w:lineRule="auto"/>
        <w:rPr>
          <w:rFonts w:asciiTheme="minorHAnsi" w:hAnsiTheme="minorHAnsi" w:cstheme="minorHAnsi"/>
        </w:rPr>
      </w:pPr>
      <w:r>
        <w:rPr>
          <w:rFonts w:asciiTheme="minorHAnsi" w:hAnsiTheme="minorHAnsi" w:cstheme="minorHAnsi"/>
        </w:rPr>
        <w:t>S</w:t>
      </w:r>
      <w:r w:rsidRPr="005A3129">
        <w:rPr>
          <w:rFonts w:asciiTheme="minorHAnsi" w:hAnsiTheme="minorHAnsi" w:cstheme="minorHAnsi"/>
        </w:rPr>
        <w:t>chool connectedness</w:t>
      </w:r>
      <w:r>
        <w:rPr>
          <w:rFonts w:asciiTheme="minorHAnsi" w:hAnsiTheme="minorHAnsi" w:cstheme="minorHAnsi"/>
        </w:rPr>
        <w:t xml:space="preserve">; and, </w:t>
      </w:r>
    </w:p>
    <w:p w:rsidR="00043311" w:rsidRDefault="00043311" w:rsidP="00043311">
      <w:pPr>
        <w:pStyle w:val="ListParagraph"/>
        <w:numPr>
          <w:ilvl w:val="0"/>
          <w:numId w:val="26"/>
        </w:numPr>
        <w:spacing w:line="360" w:lineRule="auto"/>
        <w:rPr>
          <w:rFonts w:asciiTheme="minorHAnsi" w:hAnsiTheme="minorHAnsi" w:cstheme="minorHAnsi"/>
        </w:rPr>
      </w:pPr>
      <w:r>
        <w:rPr>
          <w:rFonts w:asciiTheme="minorHAnsi" w:hAnsiTheme="minorHAnsi" w:cstheme="minorHAnsi"/>
        </w:rPr>
        <w:t>St</w:t>
      </w:r>
      <w:r w:rsidRPr="00632935">
        <w:rPr>
          <w:rFonts w:asciiTheme="minorHAnsi" w:hAnsiTheme="minorHAnsi" w:cstheme="minorHAnsi"/>
        </w:rPr>
        <w:t>rong academic achievement</w:t>
      </w:r>
      <w:r>
        <w:rPr>
          <w:rFonts w:asciiTheme="minorHAnsi" w:hAnsiTheme="minorHAnsi" w:cstheme="minorHAnsi"/>
        </w:rPr>
        <w:t xml:space="preserve">. </w:t>
      </w:r>
    </w:p>
    <w:p w:rsidR="00043311" w:rsidRDefault="00043311" w:rsidP="0042130F">
      <w:pPr>
        <w:pStyle w:val="BodyText"/>
      </w:pPr>
      <w:r w:rsidRPr="00666BE6">
        <w:t xml:space="preserve">Researchers have argued the need for further research on Internet gambling </w:t>
      </w:r>
      <w:r w:rsidRPr="00666BE6">
        <w:rPr>
          <w:noProof/>
        </w:rPr>
        <w:t>(Floros, et al., 2013; Griffiths, 2003; Shead, et al., 2010; Williams &amp; Wood, 2007)</w:t>
      </w:r>
      <w:r w:rsidRPr="00666BE6">
        <w:t xml:space="preserve"> and risk and protective factors for youth </w:t>
      </w:r>
      <w:r w:rsidRPr="00666BE6">
        <w:rPr>
          <w:noProof/>
        </w:rPr>
        <w:t>(Derevensky, et al., 2003; Lussier, et al., 2007; Shead, et al., 2010)</w:t>
      </w:r>
      <w:r w:rsidRPr="00666BE6">
        <w:t xml:space="preserve">, including an examination of beliefs and attitudes that contribute to the development of problem gambling amongst youth </w:t>
      </w:r>
      <w:r w:rsidRPr="00666BE6">
        <w:rPr>
          <w:noProof/>
        </w:rPr>
        <w:t>(Shead, et al., 2010)</w:t>
      </w:r>
      <w:r>
        <w:t>.</w:t>
      </w:r>
    </w:p>
    <w:p w:rsidR="00043311" w:rsidRPr="00E3310E" w:rsidRDefault="00043311" w:rsidP="0042130F">
      <w:pPr>
        <w:pStyle w:val="Heading1"/>
        <w:rPr>
          <w:rFonts w:asciiTheme="minorHAnsi" w:hAnsiTheme="minorHAnsi" w:cstheme="minorHAnsi"/>
        </w:rPr>
      </w:pPr>
      <w:bookmarkStart w:id="67" w:name="_Toc367284408"/>
      <w:bookmarkStart w:id="68" w:name="_Ref289690299"/>
      <w:r>
        <w:rPr>
          <w:rFonts w:asciiTheme="minorHAnsi" w:hAnsiTheme="minorHAnsi" w:cstheme="minorHAnsi"/>
          <w:caps w:val="0"/>
        </w:rPr>
        <w:lastRenderedPageBreak/>
        <w:t xml:space="preserve">YOUTH’12 BACKGROUND AND </w:t>
      </w:r>
      <w:r w:rsidRPr="00E3310E">
        <w:rPr>
          <w:rFonts w:asciiTheme="minorHAnsi" w:hAnsiTheme="minorHAnsi" w:cstheme="minorHAnsi"/>
          <w:caps w:val="0"/>
        </w:rPr>
        <w:t>METHODOLOGY</w:t>
      </w:r>
      <w:bookmarkEnd w:id="67"/>
    </w:p>
    <w:p w:rsidR="00043311" w:rsidRDefault="00043311" w:rsidP="0042130F">
      <w:pPr>
        <w:pStyle w:val="Default"/>
        <w:spacing w:line="360" w:lineRule="auto"/>
        <w:jc w:val="both"/>
        <w:rPr>
          <w:rFonts w:asciiTheme="minorHAnsi" w:hAnsiTheme="minorHAnsi" w:cstheme="minorHAnsi"/>
          <w:sz w:val="22"/>
          <w:szCs w:val="22"/>
        </w:rPr>
      </w:pPr>
      <w:r>
        <w:rPr>
          <w:rFonts w:asciiTheme="minorHAnsi" w:hAnsiTheme="minorHAnsi" w:cstheme="minorHAnsi"/>
          <w:sz w:val="22"/>
          <w:szCs w:val="22"/>
        </w:rPr>
        <w:t>To date, t</w:t>
      </w:r>
      <w:r w:rsidRPr="00E3310E">
        <w:rPr>
          <w:rFonts w:asciiTheme="minorHAnsi" w:hAnsiTheme="minorHAnsi" w:cstheme="minorHAnsi"/>
          <w:sz w:val="22"/>
          <w:szCs w:val="22"/>
        </w:rPr>
        <w:t xml:space="preserve">he University of Auckland’s (UoA) Adolescent Health Research Group (AHRG) </w:t>
      </w:r>
      <w:r>
        <w:rPr>
          <w:rFonts w:asciiTheme="minorHAnsi" w:hAnsiTheme="minorHAnsi" w:cstheme="minorHAnsi"/>
          <w:sz w:val="22"/>
          <w:szCs w:val="22"/>
        </w:rPr>
        <w:t xml:space="preserve">have completed three National </w:t>
      </w:r>
      <w:r w:rsidRPr="00E3310E">
        <w:rPr>
          <w:rFonts w:asciiTheme="minorHAnsi" w:hAnsiTheme="minorHAnsi" w:cstheme="minorHAnsi"/>
          <w:sz w:val="22"/>
          <w:szCs w:val="22"/>
        </w:rPr>
        <w:t>yo</w:t>
      </w:r>
      <w:r>
        <w:rPr>
          <w:rFonts w:asciiTheme="minorHAnsi" w:hAnsiTheme="minorHAnsi" w:cstheme="minorHAnsi"/>
          <w:sz w:val="22"/>
          <w:szCs w:val="22"/>
        </w:rPr>
        <w:t>uth health and wellbeing surveys. Youth’12, a survey of 8,500 secondary school students throughout New Zealand, is the most recent survey to be undertaken by the AHRG:</w:t>
      </w:r>
    </w:p>
    <w:p w:rsidR="00043311" w:rsidRPr="00E3310E" w:rsidRDefault="00082F17" w:rsidP="0042130F">
      <w:pPr>
        <w:numPr>
          <w:ilvl w:val="0"/>
          <w:numId w:val="12"/>
        </w:numPr>
        <w:shd w:val="clear" w:color="auto" w:fill="FFFFFF"/>
        <w:spacing w:before="85" w:after="85" w:line="312" w:lineRule="auto"/>
        <w:jc w:val="left"/>
        <w:rPr>
          <w:rFonts w:asciiTheme="minorHAnsi" w:hAnsiTheme="minorHAnsi" w:cstheme="minorHAnsi"/>
          <w:szCs w:val="22"/>
        </w:rPr>
      </w:pPr>
      <w:hyperlink r:id="rId16" w:history="1">
        <w:r w:rsidR="00043311" w:rsidRPr="00E3310E">
          <w:rPr>
            <w:rStyle w:val="Hyperlink"/>
            <w:rFonts w:asciiTheme="minorHAnsi" w:hAnsiTheme="minorHAnsi" w:cstheme="minorHAnsi"/>
            <w:szCs w:val="22"/>
          </w:rPr>
          <w:t>Youth’12 - Survey conducted in 2012</w:t>
        </w:r>
      </w:hyperlink>
      <w:r w:rsidR="00043311" w:rsidRPr="00E3310E">
        <w:rPr>
          <w:rFonts w:asciiTheme="minorHAnsi" w:hAnsiTheme="minorHAnsi" w:cstheme="minorHAnsi"/>
          <w:szCs w:val="22"/>
        </w:rPr>
        <w:t xml:space="preserve"> </w:t>
      </w:r>
    </w:p>
    <w:p w:rsidR="00043311" w:rsidRPr="00E3310E" w:rsidRDefault="00082F17" w:rsidP="0042130F">
      <w:pPr>
        <w:numPr>
          <w:ilvl w:val="0"/>
          <w:numId w:val="12"/>
        </w:numPr>
        <w:shd w:val="clear" w:color="auto" w:fill="FFFFFF"/>
        <w:spacing w:before="85" w:after="85" w:line="312" w:lineRule="auto"/>
        <w:jc w:val="left"/>
        <w:rPr>
          <w:rFonts w:asciiTheme="minorHAnsi" w:hAnsiTheme="minorHAnsi" w:cstheme="minorHAnsi"/>
          <w:szCs w:val="22"/>
        </w:rPr>
      </w:pPr>
      <w:hyperlink r:id="rId17" w:history="1">
        <w:r w:rsidR="00043311" w:rsidRPr="00E3310E">
          <w:rPr>
            <w:rStyle w:val="Hyperlink"/>
            <w:rFonts w:asciiTheme="minorHAnsi" w:hAnsiTheme="minorHAnsi" w:cstheme="minorHAnsi"/>
            <w:szCs w:val="22"/>
          </w:rPr>
          <w:t>Youth’07 - Survey conducted in 2007</w:t>
        </w:r>
      </w:hyperlink>
      <w:r w:rsidR="00043311" w:rsidRPr="00E3310E">
        <w:rPr>
          <w:rFonts w:asciiTheme="minorHAnsi" w:hAnsiTheme="minorHAnsi" w:cstheme="minorHAnsi"/>
          <w:szCs w:val="22"/>
        </w:rPr>
        <w:t xml:space="preserve"> </w:t>
      </w:r>
    </w:p>
    <w:p w:rsidR="00043311" w:rsidRPr="00E3310E" w:rsidRDefault="00082F17" w:rsidP="0042130F">
      <w:pPr>
        <w:numPr>
          <w:ilvl w:val="0"/>
          <w:numId w:val="12"/>
        </w:numPr>
        <w:shd w:val="clear" w:color="auto" w:fill="FFFFFF"/>
        <w:spacing w:before="85" w:after="85" w:line="312" w:lineRule="auto"/>
        <w:jc w:val="left"/>
        <w:rPr>
          <w:rFonts w:asciiTheme="minorHAnsi" w:hAnsiTheme="minorHAnsi" w:cstheme="minorHAnsi"/>
          <w:szCs w:val="22"/>
        </w:rPr>
      </w:pPr>
      <w:hyperlink r:id="rId18" w:history="1">
        <w:r w:rsidR="00043311" w:rsidRPr="00E3310E">
          <w:rPr>
            <w:rStyle w:val="Hyperlink"/>
            <w:rFonts w:asciiTheme="minorHAnsi" w:hAnsiTheme="minorHAnsi" w:cstheme="minorHAnsi"/>
            <w:szCs w:val="22"/>
          </w:rPr>
          <w:t>Youth</w:t>
        </w:r>
        <w:r w:rsidR="00043311">
          <w:rPr>
            <w:rStyle w:val="Hyperlink"/>
            <w:rFonts w:asciiTheme="minorHAnsi" w:hAnsiTheme="minorHAnsi" w:cstheme="minorHAnsi"/>
            <w:szCs w:val="22"/>
          </w:rPr>
          <w:t>’01</w:t>
        </w:r>
        <w:r w:rsidR="00043311" w:rsidRPr="00E3310E">
          <w:rPr>
            <w:rStyle w:val="Hyperlink"/>
            <w:rFonts w:asciiTheme="minorHAnsi" w:hAnsiTheme="minorHAnsi" w:cstheme="minorHAnsi"/>
            <w:szCs w:val="22"/>
          </w:rPr>
          <w:t xml:space="preserve"> - Survey conducted in 2001</w:t>
        </w:r>
      </w:hyperlink>
      <w:r w:rsidR="00043311" w:rsidRPr="00E3310E">
        <w:rPr>
          <w:rFonts w:asciiTheme="minorHAnsi" w:hAnsiTheme="minorHAnsi" w:cstheme="minorHAnsi"/>
          <w:szCs w:val="22"/>
        </w:rPr>
        <w:t xml:space="preserve"> </w:t>
      </w:r>
    </w:p>
    <w:p w:rsidR="00043311" w:rsidRPr="00F25B23" w:rsidRDefault="00043311" w:rsidP="0042130F">
      <w:pPr>
        <w:pStyle w:val="BodyText"/>
      </w:pPr>
      <w:r w:rsidRPr="00F25B23">
        <w:t xml:space="preserve">Collectively these three surveys are referred to as the Youth2000 </w:t>
      </w:r>
      <w:r>
        <w:t>S</w:t>
      </w:r>
      <w:r w:rsidRPr="00F25B23">
        <w:t xml:space="preserve">urvey </w:t>
      </w:r>
      <w:r>
        <w:t>Series.  The Youth2000 Survey S</w:t>
      </w:r>
      <w:r w:rsidRPr="00F25B23">
        <w:t xml:space="preserve">eries aim to provide </w:t>
      </w:r>
      <w:r>
        <w:t xml:space="preserve">nationally </w:t>
      </w:r>
      <w:r w:rsidRPr="00F25B23">
        <w:t xml:space="preserve">representative information on the health and wellbeing of young people attending New Zealand secondary schools. The </w:t>
      </w:r>
      <w:r>
        <w:t>Survey Se</w:t>
      </w:r>
      <w:r w:rsidRPr="00F25B23">
        <w:t>ries includes a wide range of questions about issues that contribute to the health and wellbeing of young people including: ethnicity and culture; physical health; food and activities; substance use; gambling; sexual health; injuries and violence; home and family; school achievement and participation; neighbourhood environment; spirituality; and access to healthcare. The comprehensive Youth</w:t>
      </w:r>
      <w:r>
        <w:t>’01</w:t>
      </w:r>
      <w:r w:rsidRPr="00F25B23">
        <w:t>, Youth’07 an</w:t>
      </w:r>
      <w:r>
        <w:t>d Youth’12 questionnaires allow</w:t>
      </w:r>
      <w:r w:rsidRPr="00F25B23">
        <w:t xml:space="preserve"> the AHRG to take an ecological approach to identifying the </w:t>
      </w:r>
      <w:r>
        <w:t xml:space="preserve">overall </w:t>
      </w:r>
      <w:r w:rsidRPr="00F25B23">
        <w:t>risk and protective factors in young people’s lives.</w:t>
      </w:r>
    </w:p>
    <w:p w:rsidR="00043311" w:rsidRPr="00F25B23" w:rsidRDefault="00043311" w:rsidP="0042130F">
      <w:pPr>
        <w:pStyle w:val="BodyText"/>
      </w:pPr>
      <w:r w:rsidRPr="00F25B23">
        <w:t xml:space="preserve">Items on gambling behaviour have been included in the two most recent surveys: Youth’07 and Youth’12. Gambling data from the Youth’07 survey was comprehensively analysed in a report commissioned by the Ministry of Health in 2011: ‘An </w:t>
      </w:r>
      <w:r>
        <w:t>E</w:t>
      </w:r>
      <w:r w:rsidRPr="00F25B23">
        <w:t>xploration of Youth Participation in Gambling &amp; the Impact of Problem Gambling on Young People in New Zealand’</w:t>
      </w:r>
      <w:r>
        <w:rPr>
          <w:rStyle w:val="FootnoteReference"/>
        </w:rPr>
        <w:footnoteReference w:id="10"/>
      </w:r>
      <w:r>
        <w:t>.  Amongst other things, the 2011 report</w:t>
      </w:r>
      <w:r w:rsidRPr="00F25B23">
        <w:t xml:space="preserve"> explored youth participation in gambling and the impact of problem gambling on young people in New Zealand, including identifiable risk and resiliency factors.</w:t>
      </w:r>
    </w:p>
    <w:p w:rsidR="00043311" w:rsidRPr="00D01636" w:rsidRDefault="00043311" w:rsidP="00043311">
      <w:pPr>
        <w:pStyle w:val="Heading2"/>
        <w:numPr>
          <w:ilvl w:val="1"/>
          <w:numId w:val="28"/>
        </w:numPr>
      </w:pPr>
      <w:bookmarkStart w:id="69" w:name="_Toc294258170"/>
      <w:bookmarkStart w:id="70" w:name="_Toc367284409"/>
      <w:bookmarkStart w:id="71" w:name="_Toc260342884"/>
      <w:bookmarkStart w:id="72" w:name="_Toc260342883"/>
      <w:bookmarkStart w:id="73" w:name="_Toc260342882"/>
      <w:r w:rsidRPr="00D01636">
        <w:t>Youth’12 methodology</w:t>
      </w:r>
      <w:bookmarkEnd w:id="69"/>
      <w:r>
        <w:t xml:space="preserve"> - an overview</w:t>
      </w:r>
      <w:bookmarkEnd w:id="70"/>
    </w:p>
    <w:p w:rsidR="00043311" w:rsidRDefault="00043311" w:rsidP="0042130F">
      <w:pPr>
        <w:pStyle w:val="BodyText"/>
      </w:pPr>
      <w:r w:rsidRPr="00D01636">
        <w:t xml:space="preserve">A full </w:t>
      </w:r>
      <w:r>
        <w:t>description</w:t>
      </w:r>
      <w:r w:rsidRPr="00D01636">
        <w:t xml:space="preserve"> of the Youth’12 methodology can be found in the report titled </w:t>
      </w:r>
      <w:r>
        <w:t>‘Youth’12 Prevalence Tables: The H</w:t>
      </w:r>
      <w:r>
        <w:rPr>
          <w:rFonts w:eastAsia="MS PGothic" w:cs="Arial"/>
          <w:color w:val="000000" w:themeColor="text1"/>
          <w:szCs w:val="22"/>
        </w:rPr>
        <w:t>ealth and W</w:t>
      </w:r>
      <w:r w:rsidRPr="005F7D68">
        <w:rPr>
          <w:rFonts w:eastAsia="MS PGothic" w:cs="Arial"/>
          <w:color w:val="000000" w:themeColor="text1"/>
          <w:szCs w:val="22"/>
        </w:rPr>
        <w:t>ellbeing of New Zealand</w:t>
      </w:r>
      <w:r>
        <w:rPr>
          <w:rFonts w:eastAsia="MS PGothic" w:cs="Arial"/>
          <w:color w:val="000000" w:themeColor="text1"/>
          <w:szCs w:val="22"/>
        </w:rPr>
        <w:t xml:space="preserve"> S</w:t>
      </w:r>
      <w:r w:rsidRPr="005F7D68">
        <w:rPr>
          <w:rFonts w:eastAsia="MS PGothic" w:cs="Arial"/>
          <w:color w:val="000000" w:themeColor="text1"/>
          <w:szCs w:val="22"/>
        </w:rPr>
        <w:t xml:space="preserve">econdary </w:t>
      </w:r>
      <w:r>
        <w:rPr>
          <w:rFonts w:eastAsia="MS PGothic" w:cs="Arial"/>
          <w:color w:val="000000" w:themeColor="text1"/>
          <w:szCs w:val="22"/>
        </w:rPr>
        <w:t>School Students in 2012’</w:t>
      </w:r>
      <w:r w:rsidRPr="005F7D68">
        <w:rPr>
          <w:rFonts w:eastAsia="MS PGothic" w:cs="Arial"/>
          <w:color w:val="000000" w:themeColor="text1"/>
          <w:szCs w:val="22"/>
        </w:rPr>
        <w:t>.</w:t>
      </w:r>
      <w:r w:rsidRPr="005F7D68">
        <w:rPr>
          <w:rFonts w:cs="Arial"/>
          <w:color w:val="000000" w:themeColor="text1"/>
          <w:szCs w:val="22"/>
          <w:lang w:val="en-NZ"/>
        </w:rPr>
        <w:t xml:space="preserve"> Methods and results from the Youth’12 national youth health and wellbeing survey</w:t>
      </w:r>
      <w:r>
        <w:rPr>
          <w:rFonts w:cs="Arial"/>
          <w:color w:val="000000" w:themeColor="text1"/>
          <w:szCs w:val="22"/>
          <w:lang w:val="en-NZ"/>
        </w:rPr>
        <w:t xml:space="preserve">’ </w:t>
      </w:r>
      <w:r w:rsidR="00436C1D">
        <w:rPr>
          <w:rFonts w:cs="Arial"/>
          <w:noProof/>
          <w:color w:val="000000" w:themeColor="text1"/>
          <w:szCs w:val="22"/>
          <w:lang w:val="en-NZ"/>
        </w:rPr>
        <w:t>(</w:t>
      </w:r>
      <w:r>
        <w:rPr>
          <w:rFonts w:cs="Arial"/>
          <w:noProof/>
          <w:color w:val="000000" w:themeColor="text1"/>
          <w:szCs w:val="22"/>
          <w:lang w:val="en-NZ"/>
        </w:rPr>
        <w:t>Clark, et al., 2013)</w:t>
      </w:r>
      <w:r w:rsidRPr="005F7D68">
        <w:rPr>
          <w:rFonts w:cs="Arial"/>
          <w:color w:val="000000" w:themeColor="text1"/>
          <w:szCs w:val="22"/>
          <w:lang w:val="en-NZ"/>
        </w:rPr>
        <w:t xml:space="preserve">.  </w:t>
      </w:r>
      <w:r w:rsidRPr="00D01636">
        <w:t xml:space="preserve">A copy of this report and the questions that were </w:t>
      </w:r>
      <w:r>
        <w:t>used</w:t>
      </w:r>
      <w:r w:rsidRPr="00D01636">
        <w:t xml:space="preserve"> in the Youth’12 survey can be downloaded from </w:t>
      </w:r>
      <w:hyperlink r:id="rId19" w:history="1">
        <w:r w:rsidRPr="00D01636">
          <w:rPr>
            <w:rStyle w:val="Hyperlink"/>
            <w:lang w:val="en-NZ"/>
          </w:rPr>
          <w:t>www.youthresearch.auckland.ac.nz</w:t>
        </w:r>
      </w:hyperlink>
      <w:r w:rsidRPr="00D01636">
        <w:t>.</w:t>
      </w:r>
    </w:p>
    <w:p w:rsidR="00043311" w:rsidRDefault="00043311" w:rsidP="0042130F">
      <w:pPr>
        <w:pStyle w:val="Heading3"/>
      </w:pPr>
      <w:bookmarkStart w:id="74" w:name="_Toc367284410"/>
      <w:bookmarkStart w:id="75" w:name="_Toc343513791"/>
      <w:bookmarkStart w:id="76" w:name="_Toc343513790"/>
      <w:r>
        <w:lastRenderedPageBreak/>
        <w:t>The Youth’12 student health and wellbeing questionnaire</w:t>
      </w:r>
      <w:bookmarkEnd w:id="74"/>
    </w:p>
    <w:p w:rsidR="00043311" w:rsidRPr="00F25B23" w:rsidRDefault="00043311" w:rsidP="0042130F">
      <w:pPr>
        <w:pStyle w:val="BodyText"/>
      </w:pPr>
      <w:r w:rsidRPr="00F25B23">
        <w:t xml:space="preserve">The Youth’12 Student Health and Wellbeing Questionnaire was </w:t>
      </w:r>
      <w:r>
        <w:t>based on</w:t>
      </w:r>
      <w:r w:rsidRPr="00F25B23">
        <w:t xml:space="preserve"> the 2001 and 2007 survey</w:t>
      </w:r>
      <w:r>
        <w:t>. Additional</w:t>
      </w:r>
      <w:r w:rsidRPr="00F25B23">
        <w:t xml:space="preserve"> items for inclusion were</w:t>
      </w:r>
      <w:r>
        <w:t xml:space="preserve"> </w:t>
      </w:r>
      <w:r w:rsidRPr="00F25B23">
        <w:t xml:space="preserve">developed in consultation with stakeholders, advisory groups and academic researchers. </w:t>
      </w:r>
      <w:r>
        <w:t>The Youth’12 survey was piloted and f</w:t>
      </w:r>
      <w:r w:rsidRPr="00F25B23">
        <w:t>ocus groups were undertaken with young people to ensure comprehension and face validity of</w:t>
      </w:r>
      <w:r>
        <w:t xml:space="preserve"> the</w:t>
      </w:r>
      <w:r w:rsidRPr="00F25B23">
        <w:t xml:space="preserve"> questionnaire items. </w:t>
      </w:r>
    </w:p>
    <w:p w:rsidR="00043311" w:rsidRDefault="00043311" w:rsidP="0042130F">
      <w:pPr>
        <w:pStyle w:val="BodyText"/>
        <w:rPr>
          <w:lang w:val="en-NZ"/>
        </w:rPr>
      </w:pPr>
      <w:r w:rsidRPr="00F25B23">
        <w:t xml:space="preserve">The </w:t>
      </w:r>
      <w:r>
        <w:t>s</w:t>
      </w:r>
      <w:r w:rsidRPr="00F25B23">
        <w:t>urvey covered important health and wellbeing outcomes as well as risk and protective factors that increase or decrease the likelihood of positive and negative outcomes for young people in New Zealand. Nine main areas were covered: Ethnicity</w:t>
      </w:r>
      <w:r>
        <w:t xml:space="preserve">; Home; </w:t>
      </w:r>
      <w:r w:rsidRPr="00F25B23">
        <w:t>School</w:t>
      </w:r>
      <w:r>
        <w:t>;</w:t>
      </w:r>
      <w:r w:rsidRPr="00F25B23">
        <w:t xml:space="preserve"> Health and Emotional Health</w:t>
      </w:r>
      <w:r>
        <w:t>;</w:t>
      </w:r>
      <w:r w:rsidRPr="00F25B23">
        <w:t xml:space="preserve"> Nutrition</w:t>
      </w:r>
      <w:r>
        <w:t>,</w:t>
      </w:r>
      <w:r w:rsidRPr="00F25B23">
        <w:t xml:space="preserve"> Exercise and Activities</w:t>
      </w:r>
      <w:r>
        <w:t>;</w:t>
      </w:r>
      <w:r w:rsidRPr="00F25B23">
        <w:t xml:space="preserve"> Sexual Health</w:t>
      </w:r>
      <w:r>
        <w:t>;</w:t>
      </w:r>
      <w:r w:rsidRPr="00F25B23">
        <w:t xml:space="preserve"> Substance Use and Gambling</w:t>
      </w:r>
      <w:r>
        <w:t>;</w:t>
      </w:r>
      <w:r w:rsidRPr="00F25B23">
        <w:t xml:space="preserve"> Injuries and Violence</w:t>
      </w:r>
      <w:r>
        <w:t>;</w:t>
      </w:r>
      <w:r w:rsidRPr="00F25B23">
        <w:t xml:space="preserve"> </w:t>
      </w:r>
      <w:r>
        <w:t xml:space="preserve">and, </w:t>
      </w:r>
      <w:r w:rsidRPr="00F25B23">
        <w:t xml:space="preserve">Neighbourhood and Spirituality. </w:t>
      </w:r>
      <w:r>
        <w:t>The final questionnaire consisted of 608 questions. The branching design of the survey meant that initial screening items directed students to further in-depth questions only on topics/behaviours that they had experience with and limited exposure to questions on items that they had no direct experience with. The average time taken to complete the survey was</w:t>
      </w:r>
      <w:r w:rsidRPr="00F25B23">
        <w:t xml:space="preserve"> 67 </w:t>
      </w:r>
      <w:r>
        <w:t xml:space="preserve">minutes. The survey was conducted within school premises and utilised touch-screen Internet </w:t>
      </w:r>
      <w:r>
        <w:rPr>
          <w:lang w:val="en-NZ"/>
        </w:rPr>
        <w:t xml:space="preserve">tablets. </w:t>
      </w:r>
      <w:r>
        <w:t>This</w:t>
      </w:r>
      <w:r>
        <w:rPr>
          <w:lang w:val="en-NZ"/>
        </w:rPr>
        <w:t xml:space="preserve"> allowed the questionnaire to be p</w:t>
      </w:r>
      <w:r>
        <w:t>resented in audio-visual form. Survey</w:t>
      </w:r>
      <w:r>
        <w:rPr>
          <w:lang w:val="en-NZ"/>
        </w:rPr>
        <w:t xml:space="preserve"> questions</w:t>
      </w:r>
      <w:r>
        <w:t xml:space="preserve"> were</w:t>
      </w:r>
      <w:r>
        <w:rPr>
          <w:lang w:val="en-NZ"/>
        </w:rPr>
        <w:t xml:space="preserve"> displayed on the Internet tablet’s screen and were concurrently read out as audio clips via headphones. Response options were also read out when the corresponding text on the screen was selected. This 'voiceover' was available in both English and Māori with students being able to toggle between these two languages. </w:t>
      </w:r>
    </w:p>
    <w:p w:rsidR="00043311" w:rsidRDefault="00043311" w:rsidP="0042130F">
      <w:pPr>
        <w:pStyle w:val="BodyText"/>
      </w:pPr>
      <w:r>
        <w:t>D</w:t>
      </w:r>
      <w:r w:rsidRPr="001D6EC2">
        <w:t>eprivation was measure</w:t>
      </w:r>
      <w:r>
        <w:t>d</w:t>
      </w:r>
      <w:r w:rsidRPr="001D6EC2">
        <w:t xml:space="preserve"> with the NZ Deprivation Index</w:t>
      </w:r>
      <w:r>
        <w:t xml:space="preserve"> </w:t>
      </w:r>
      <w:r>
        <w:rPr>
          <w:noProof/>
          <w:color w:val="000000" w:themeColor="text1"/>
        </w:rPr>
        <w:t>(Salmond, Crampton, &amp; Atkinson, 2007; Salmond, Crampton, Sutton, &amp; Atkinson, 2006)</w:t>
      </w:r>
      <w:r w:rsidRPr="0035618F">
        <w:t>.</w:t>
      </w:r>
      <w:r w:rsidRPr="001D6EC2">
        <w:t xml:space="preserve"> </w:t>
      </w:r>
      <w:r w:rsidRPr="0035618F">
        <w:t>Each student was asked to allow their address to be entered into a geo-coding program for the purposes of ascertaining the census meshblock number for their usual place of residence. For students who lived in more than one home we asked them to provide the address of the home where they spend most of their time.</w:t>
      </w:r>
      <w:r>
        <w:t xml:space="preserve"> </w:t>
      </w:r>
      <w:r w:rsidRPr="0035618F">
        <w:t>When the student’s address was entered, their census meshblock (neighbourhood area) was obtained. The meshblock number was recorded on a paper data collection form, and the address was deleted from the program. As only the meshblock number was recorded,</w:t>
      </w:r>
      <w:r>
        <w:t xml:space="preserve"> </w:t>
      </w:r>
      <w:r w:rsidRPr="0035618F">
        <w:t>anonymity and confidentiality was assured. The process was carefully explained to students so that they understood that their anonymity was maintained. The meshblock numbers were matched with the meshblock numbers in a concordance file from the Otago University Wellington School of Medicine social indicators research programme. This allowed for each student’s data file to include a NZ Deprivation Index Decile and score, an Urban/Rural code and area information such as District Health Board area.</w:t>
      </w:r>
    </w:p>
    <w:p w:rsidR="00043311" w:rsidRPr="0069272B" w:rsidRDefault="00043311" w:rsidP="0042130F">
      <w:pPr>
        <w:pStyle w:val="BodyText"/>
      </w:pPr>
      <w:r>
        <w:t xml:space="preserve">Students were asked about their culture and ethnicity. </w:t>
      </w:r>
      <w:r w:rsidRPr="0069272B">
        <w:t>Students were asked a</w:t>
      </w:r>
      <w:r>
        <w:t>n initial</w:t>
      </w:r>
      <w:r w:rsidRPr="0069272B">
        <w:t xml:space="preserve"> question based on the New Zealand Census standard 2001/2006 ethnicity question: ‘Which ethnic group do you belong to?’ They were able </w:t>
      </w:r>
      <w:r w:rsidRPr="0069272B">
        <w:lastRenderedPageBreak/>
        <w:t xml:space="preserve">to choose more than one response from a list of 23 categories used in the statistical </w:t>
      </w:r>
      <w:r w:rsidRPr="00C25308">
        <w:t xml:space="preserve">standard for ethnicity </w:t>
      </w:r>
      <w:r>
        <w:rPr>
          <w:noProof/>
        </w:rPr>
        <w:t>(Statistics New Zealand, 2005)</w:t>
      </w:r>
      <w:r w:rsidRPr="00C25308">
        <w:t>. Students who had selected more than one ethnic</w:t>
      </w:r>
      <w:r w:rsidRPr="0069272B">
        <w:t xml:space="preserve"> group were also asked ‘Which is your main ethnic group (the one you identify with the most)?’ and were able to select from the same list of response options with an additional response item: ‘I can’t choose only one ethnic group’.</w:t>
      </w:r>
      <w:r>
        <w:t xml:space="preserve"> </w:t>
      </w:r>
      <w:r w:rsidRPr="0069272B">
        <w:t>Students were then asked more detailed questions about the ethnic group(s) to which they belonged. Students</w:t>
      </w:r>
      <w:r>
        <w:t xml:space="preserve"> who identified with more than </w:t>
      </w:r>
      <w:r w:rsidR="009F6C42">
        <w:t>two</w:t>
      </w:r>
      <w:r w:rsidRPr="0069272B">
        <w:t xml:space="preserve"> ethnicities (13%) were only asked questions relating to their main ethnic group and their prioritised ethnic group</w:t>
      </w:r>
      <w:r w:rsidRPr="0069272B">
        <w:rPr>
          <w:vertAlign w:val="superscript"/>
        </w:rPr>
        <w:footnoteReference w:id="11"/>
      </w:r>
      <w:r>
        <w:t>,</w:t>
      </w:r>
      <w:r w:rsidRPr="0069272B">
        <w:rPr>
          <w:vertAlign w:val="superscript"/>
        </w:rPr>
        <w:t xml:space="preserve"> </w:t>
      </w:r>
      <w:r w:rsidRPr="0069272B">
        <w:t>if this was different. No student was asked q</w:t>
      </w:r>
      <w:r>
        <w:t>uestions relating to more than two</w:t>
      </w:r>
      <w:r w:rsidRPr="0069272B">
        <w:t xml:space="preserve"> ethnic groupings, in order to keep the survey length manageable.  </w:t>
      </w:r>
    </w:p>
    <w:p w:rsidR="00043311" w:rsidRPr="00BE34C9" w:rsidRDefault="00043311" w:rsidP="0042130F">
      <w:pPr>
        <w:pStyle w:val="Heading3"/>
      </w:pPr>
      <w:bookmarkStart w:id="77" w:name="_Toc367284411"/>
      <w:r w:rsidRPr="00F84C0C">
        <w:t xml:space="preserve">School </w:t>
      </w:r>
      <w:r>
        <w:t>p</w:t>
      </w:r>
      <w:r w:rsidRPr="00F84C0C">
        <w:t>articipation</w:t>
      </w:r>
      <w:bookmarkEnd w:id="75"/>
      <w:bookmarkEnd w:id="77"/>
      <w:r>
        <w:t xml:space="preserve"> </w:t>
      </w:r>
      <w:bookmarkEnd w:id="76"/>
    </w:p>
    <w:p w:rsidR="00043311" w:rsidRPr="006E59EA" w:rsidRDefault="00043311" w:rsidP="0042130F">
      <w:pPr>
        <w:pStyle w:val="BodyText"/>
      </w:pPr>
      <w:r w:rsidRPr="006E59EA">
        <w:t xml:space="preserve">Of the 397 composite or </w:t>
      </w:r>
      <w:r>
        <w:t>s</w:t>
      </w:r>
      <w:r w:rsidRPr="006E59EA">
        <w:t>econdary schools (with students in Year 9 or above</w:t>
      </w:r>
      <w:r>
        <w:rPr>
          <w:rStyle w:val="FootnoteReference"/>
        </w:rPr>
        <w:footnoteReference w:id="12"/>
      </w:r>
      <w:r w:rsidRPr="006E59EA">
        <w:t>) in New Zealand</w:t>
      </w:r>
      <w:r w:rsidRPr="00BB1C51">
        <w:t xml:space="preserve"> </w:t>
      </w:r>
      <w:r>
        <w:t>that met the criteria for inclusion in the Youth’12 survey</w:t>
      </w:r>
      <w:r w:rsidRPr="006E59EA">
        <w:t xml:space="preserve">, 125 were randomly selected and invited to participate. Of these, </w:t>
      </w:r>
      <w:r>
        <w:t>91 schools took part (a response rate of 73</w:t>
      </w:r>
      <w:r w:rsidRPr="006E59EA">
        <w:t>%). Of the 34 invited schools that did not participate, 26 schools decl</w:t>
      </w:r>
      <w:r>
        <w:t>ined to participate, a further two</w:t>
      </w:r>
      <w:r w:rsidRPr="006E59EA">
        <w:t xml:space="preserve"> schools initially agreed to participate but </w:t>
      </w:r>
      <w:r>
        <w:t>later declined to participate</w:t>
      </w:r>
      <w:r w:rsidRPr="006E59EA">
        <w:t xml:space="preserve">, and </w:t>
      </w:r>
      <w:r>
        <w:t>six</w:t>
      </w:r>
      <w:r w:rsidRPr="006E59EA">
        <w:t xml:space="preserve"> schools did not respond to the invitation to participate. School participation was lowest for</w:t>
      </w:r>
      <w:r>
        <w:t>:</w:t>
      </w:r>
      <w:r w:rsidRPr="006E59EA">
        <w:t xml:space="preserve"> state-integrated schools (59%)</w:t>
      </w:r>
      <w:r>
        <w:t>;</w:t>
      </w:r>
      <w:r w:rsidRPr="006E59EA">
        <w:t xml:space="preserve"> boys’ schools (40%)</w:t>
      </w:r>
      <w:r>
        <w:t>;</w:t>
      </w:r>
      <w:r w:rsidRPr="006E59EA">
        <w:t xml:space="preserve"> decile 6 (50%) and decile 7 (64%) schools</w:t>
      </w:r>
      <w:r>
        <w:t>;</w:t>
      </w:r>
      <w:r w:rsidRPr="006E59EA">
        <w:t xml:space="preserve"> rural schools (60%)</w:t>
      </w:r>
      <w:r>
        <w:t>;</w:t>
      </w:r>
      <w:r w:rsidRPr="006E59EA">
        <w:t xml:space="preserve"> and</w:t>
      </w:r>
      <w:r>
        <w:t>,</w:t>
      </w:r>
      <w:r w:rsidRPr="006E59EA">
        <w:t xml:space="preserve"> schools in Wellington (50%), Nelson</w:t>
      </w:r>
      <w:r>
        <w:t>-</w:t>
      </w:r>
      <w:r w:rsidRPr="006E59EA">
        <w:t>Marlborough</w:t>
      </w:r>
      <w:r>
        <w:t xml:space="preserve"> (60%)</w:t>
      </w:r>
      <w:r w:rsidRPr="006E59EA">
        <w:t>, Tasman West Coast (60%)</w:t>
      </w:r>
      <w:r>
        <w:t xml:space="preserve"> or</w:t>
      </w:r>
      <w:r w:rsidRPr="006E59EA">
        <w:t xml:space="preserve"> Otago </w:t>
      </w:r>
      <w:r>
        <w:t>and</w:t>
      </w:r>
      <w:r w:rsidRPr="006E59EA">
        <w:t xml:space="preserve"> Southland (54%)</w:t>
      </w:r>
      <w:r>
        <w:t xml:space="preserve"> regions</w:t>
      </w:r>
      <w:r w:rsidRPr="006E59EA">
        <w:t>.</w:t>
      </w:r>
    </w:p>
    <w:p w:rsidR="00043311" w:rsidRDefault="00720A6C" w:rsidP="0042130F">
      <w:pPr>
        <w:pStyle w:val="BodyText"/>
      </w:pPr>
      <w:r>
        <w:t xml:space="preserve">Table 4 </w:t>
      </w:r>
      <w:r w:rsidR="00043311" w:rsidRPr="006D0DFB">
        <w:t>shows the characteristics of the eligible, invited, and participating schools. The characteristics of the eligible</w:t>
      </w:r>
      <w:r w:rsidR="00043311" w:rsidRPr="00BB1C51">
        <w:t xml:space="preserve"> and invited schools were similar. However due to unequally distributed school participation rates, state integrated, boys’ schools and decile 6 and 7 schools were slightly under-represented in the final survey sample.</w:t>
      </w:r>
      <w:bookmarkStart w:id="78" w:name="_Ref349733840"/>
    </w:p>
    <w:p w:rsidR="008B5AC1" w:rsidRDefault="008B5AC1">
      <w:pPr>
        <w:spacing w:before="0" w:after="200" w:line="276" w:lineRule="auto"/>
        <w:jc w:val="left"/>
        <w:rPr>
          <w:rFonts w:asciiTheme="minorHAnsi" w:hAnsiTheme="minorHAnsi" w:cstheme="minorHAnsi"/>
          <w:lang w:val="en-GB"/>
        </w:rPr>
      </w:pPr>
      <w:r>
        <w:br w:type="page"/>
      </w:r>
    </w:p>
    <w:p w:rsidR="00043311" w:rsidRPr="008B5AC1" w:rsidRDefault="008B5AC1" w:rsidP="008B5AC1">
      <w:pPr>
        <w:pStyle w:val="Caption"/>
        <w:rPr>
          <w:rFonts w:asciiTheme="minorHAnsi" w:hAnsiTheme="minorHAnsi" w:cstheme="minorHAnsi"/>
          <w:b w:val="0"/>
          <w:bCs w:val="0"/>
        </w:rPr>
      </w:pPr>
      <w:bookmarkStart w:id="79" w:name="_Toc367285387"/>
      <w:r w:rsidRPr="008B5AC1">
        <w:rPr>
          <w:rFonts w:asciiTheme="minorHAnsi" w:hAnsiTheme="minorHAnsi"/>
        </w:rPr>
        <w:lastRenderedPageBreak/>
        <w:t xml:space="preserve">Table </w:t>
      </w:r>
      <w:r w:rsidR="007B447B" w:rsidRPr="008B5AC1">
        <w:rPr>
          <w:rFonts w:asciiTheme="minorHAnsi" w:hAnsiTheme="minorHAnsi"/>
        </w:rPr>
        <w:fldChar w:fldCharType="begin"/>
      </w:r>
      <w:r w:rsidRPr="008B5AC1">
        <w:rPr>
          <w:rFonts w:asciiTheme="minorHAnsi" w:hAnsiTheme="minorHAnsi"/>
        </w:rPr>
        <w:instrText xml:space="preserve"> SEQ Table \* ARABIC </w:instrText>
      </w:r>
      <w:r w:rsidR="007B447B" w:rsidRPr="008B5AC1">
        <w:rPr>
          <w:rFonts w:asciiTheme="minorHAnsi" w:hAnsiTheme="minorHAnsi"/>
        </w:rPr>
        <w:fldChar w:fldCharType="separate"/>
      </w:r>
      <w:r w:rsidR="009E3D1C">
        <w:rPr>
          <w:rFonts w:asciiTheme="minorHAnsi" w:hAnsiTheme="minorHAnsi"/>
          <w:noProof/>
        </w:rPr>
        <w:t>4</w:t>
      </w:r>
      <w:r w:rsidR="007B447B" w:rsidRPr="008B5AC1">
        <w:rPr>
          <w:rFonts w:asciiTheme="minorHAnsi" w:hAnsiTheme="minorHAnsi"/>
        </w:rPr>
        <w:fldChar w:fldCharType="end"/>
      </w:r>
      <w:r w:rsidRPr="008B5AC1">
        <w:rPr>
          <w:rFonts w:asciiTheme="minorHAnsi" w:hAnsiTheme="minorHAnsi"/>
        </w:rPr>
        <w:t xml:space="preserve">: </w:t>
      </w:r>
      <w:r w:rsidRPr="008B5AC1">
        <w:rPr>
          <w:rFonts w:asciiTheme="minorHAnsi" w:hAnsiTheme="minorHAnsi" w:cstheme="minorHAnsi"/>
        </w:rPr>
        <w:t>Characteristics of participating schools in Youth’12</w:t>
      </w:r>
      <w:bookmarkEnd w:id="79"/>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9"/>
        <w:gridCol w:w="1047"/>
        <w:gridCol w:w="1047"/>
        <w:gridCol w:w="1047"/>
        <w:gridCol w:w="1047"/>
        <w:gridCol w:w="1047"/>
        <w:gridCol w:w="1047"/>
      </w:tblGrid>
      <w:tr w:rsidR="00043311" w:rsidRPr="00B958EB" w:rsidTr="0042130F">
        <w:trPr>
          <w:trHeight w:val="598"/>
          <w:jc w:val="center"/>
        </w:trPr>
        <w:tc>
          <w:tcPr>
            <w:tcW w:w="3089" w:type="dxa"/>
            <w:tcBorders>
              <w:top w:val="single" w:sz="12" w:space="0" w:color="auto"/>
              <w:left w:val="single" w:sz="12" w:space="0" w:color="auto"/>
              <w:right w:val="single" w:sz="12" w:space="0" w:color="auto"/>
            </w:tcBorders>
            <w:shd w:val="clear" w:color="auto" w:fill="95B3D7" w:themeFill="accent1" w:themeFillTint="99"/>
            <w:noWrap/>
            <w:vAlign w:val="center"/>
            <w:hideMark/>
          </w:tcPr>
          <w:bookmarkEnd w:id="78"/>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 xml:space="preserve">Variable </w:t>
            </w:r>
          </w:p>
        </w:tc>
        <w:tc>
          <w:tcPr>
            <w:tcW w:w="2094" w:type="dxa"/>
            <w:gridSpan w:val="2"/>
            <w:tcBorders>
              <w:top w:val="single" w:sz="12" w:space="0" w:color="auto"/>
              <w:left w:val="single" w:sz="12" w:space="0" w:color="auto"/>
              <w:right w:val="single" w:sz="12" w:space="0" w:color="auto"/>
            </w:tcBorders>
            <w:shd w:val="clear" w:color="auto" w:fill="95B3D7" w:themeFill="accent1" w:themeFillTint="99"/>
            <w:noWrap/>
            <w:vAlign w:val="center"/>
            <w:hideMark/>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Eligible</w:t>
            </w:r>
          </w:p>
        </w:tc>
        <w:tc>
          <w:tcPr>
            <w:tcW w:w="2094" w:type="dxa"/>
            <w:gridSpan w:val="2"/>
            <w:tcBorders>
              <w:top w:val="single" w:sz="12" w:space="0" w:color="auto"/>
              <w:left w:val="single" w:sz="12" w:space="0" w:color="auto"/>
              <w:right w:val="single" w:sz="12" w:space="0" w:color="auto"/>
            </w:tcBorders>
            <w:shd w:val="clear" w:color="auto" w:fill="95B3D7" w:themeFill="accent1" w:themeFillTint="99"/>
            <w:noWrap/>
            <w:vAlign w:val="center"/>
            <w:hideMark/>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Invited</w:t>
            </w:r>
          </w:p>
        </w:tc>
        <w:tc>
          <w:tcPr>
            <w:tcW w:w="2094" w:type="dxa"/>
            <w:gridSpan w:val="2"/>
            <w:tcBorders>
              <w:top w:val="single" w:sz="12" w:space="0" w:color="auto"/>
              <w:left w:val="single" w:sz="12" w:space="0" w:color="auto"/>
              <w:right w:val="single" w:sz="12" w:space="0" w:color="auto"/>
            </w:tcBorders>
            <w:shd w:val="clear" w:color="auto" w:fill="95B3D7" w:themeFill="accent1" w:themeFillTint="99"/>
            <w:noWrap/>
            <w:vAlign w:val="center"/>
            <w:hideMark/>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Participating</w:t>
            </w:r>
          </w:p>
        </w:tc>
      </w:tr>
      <w:tr w:rsidR="00043311" w:rsidRPr="00B958EB" w:rsidTr="0042130F">
        <w:trPr>
          <w:trHeight w:val="284"/>
          <w:jc w:val="center"/>
        </w:trPr>
        <w:tc>
          <w:tcPr>
            <w:tcW w:w="3089" w:type="dxa"/>
            <w:tcBorders>
              <w:left w:val="single" w:sz="12"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Total</w:t>
            </w:r>
          </w:p>
        </w:tc>
        <w:tc>
          <w:tcPr>
            <w:tcW w:w="2094" w:type="dxa"/>
            <w:gridSpan w:val="2"/>
            <w:tcBorders>
              <w:left w:val="single" w:sz="12"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397</w:t>
            </w:r>
          </w:p>
        </w:tc>
        <w:tc>
          <w:tcPr>
            <w:tcW w:w="2094" w:type="dxa"/>
            <w:gridSpan w:val="2"/>
            <w:tcBorders>
              <w:left w:val="single" w:sz="12"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125</w:t>
            </w:r>
          </w:p>
        </w:tc>
        <w:tc>
          <w:tcPr>
            <w:tcW w:w="2094" w:type="dxa"/>
            <w:gridSpan w:val="2"/>
            <w:tcBorders>
              <w:left w:val="single" w:sz="12"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91</w:t>
            </w:r>
          </w:p>
        </w:tc>
      </w:tr>
      <w:tr w:rsidR="00043311" w:rsidRPr="00B958EB" w:rsidTr="0042130F">
        <w:trPr>
          <w:trHeight w:val="284"/>
          <w:jc w:val="center"/>
        </w:trPr>
        <w:tc>
          <w:tcPr>
            <w:tcW w:w="3089" w:type="dxa"/>
            <w:tcBorders>
              <w:top w:val="single" w:sz="12" w:space="0" w:color="auto"/>
              <w:left w:val="single" w:sz="12" w:space="0" w:color="auto"/>
              <w:bottom w:val="single" w:sz="4" w:space="0" w:color="auto"/>
              <w:right w:val="single" w:sz="12" w:space="0" w:color="auto"/>
            </w:tcBorders>
            <w:shd w:val="clear" w:color="auto" w:fill="95B3D7" w:themeFill="accent1" w:themeFillTint="99"/>
            <w:noWrap/>
            <w:vAlign w:val="center"/>
            <w:hideMark/>
          </w:tcPr>
          <w:p w:rsidR="00043311" w:rsidRPr="00191916"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191916">
              <w:rPr>
                <w:rFonts w:asciiTheme="minorHAnsi" w:hAnsiTheme="minorHAnsi" w:cstheme="minorHAnsi"/>
                <w:b/>
                <w:color w:val="000000" w:themeColor="text1"/>
                <w:sz w:val="20"/>
                <w:szCs w:val="20"/>
                <w:lang w:val="en-GB" w:eastAsia="en-NZ"/>
              </w:rPr>
              <w:t>Authority</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r>
      <w:tr w:rsidR="00043311" w:rsidRPr="00B958EB" w:rsidTr="0042130F">
        <w:trPr>
          <w:trHeight w:val="284"/>
          <w:jc w:val="center"/>
        </w:trPr>
        <w:tc>
          <w:tcPr>
            <w:tcW w:w="3089" w:type="dxa"/>
            <w:tcBorders>
              <w:top w:val="single" w:sz="4" w:space="0" w:color="auto"/>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Private: fully registered</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33</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8.3</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9.6</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8.8</w:t>
            </w:r>
          </w:p>
        </w:tc>
      </w:tr>
      <w:tr w:rsidR="00043311" w:rsidRPr="00B958EB" w:rsidTr="0042130F">
        <w:trPr>
          <w:trHeight w:val="284"/>
          <w:jc w:val="center"/>
        </w:trPr>
        <w:tc>
          <w:tcPr>
            <w:tcW w:w="3089" w:type="dxa"/>
            <w:tcBorders>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State: integrated</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88</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22.2</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27</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21.6</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17.6</w:t>
            </w:r>
          </w:p>
        </w:tc>
      </w:tr>
      <w:tr w:rsidR="00043311" w:rsidRPr="00B958EB" w:rsidTr="0042130F">
        <w:trPr>
          <w:trHeight w:val="284"/>
          <w:jc w:val="center"/>
        </w:trPr>
        <w:tc>
          <w:tcPr>
            <w:tcW w:w="3089" w:type="dxa"/>
            <w:tcBorders>
              <w:left w:val="single" w:sz="12" w:space="0" w:color="auto"/>
              <w:bottom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State: not integrated</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276</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69.5</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86</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68.8</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67</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73.6</w:t>
            </w:r>
          </w:p>
        </w:tc>
      </w:tr>
      <w:tr w:rsidR="00043311" w:rsidRPr="00B958EB" w:rsidTr="0042130F">
        <w:trPr>
          <w:trHeight w:val="284"/>
          <w:jc w:val="center"/>
        </w:trPr>
        <w:tc>
          <w:tcPr>
            <w:tcW w:w="3089" w:type="dxa"/>
            <w:tcBorders>
              <w:top w:val="single" w:sz="12" w:space="0" w:color="auto"/>
              <w:left w:val="single" w:sz="12" w:space="0" w:color="auto"/>
              <w:bottom w:val="single" w:sz="4" w:space="0" w:color="auto"/>
              <w:right w:val="single" w:sz="12" w:space="0" w:color="auto"/>
            </w:tcBorders>
            <w:shd w:val="clear" w:color="auto" w:fill="95B3D7" w:themeFill="accent1" w:themeFillTint="99"/>
            <w:noWrap/>
            <w:vAlign w:val="center"/>
            <w:hideMark/>
          </w:tcPr>
          <w:p w:rsidR="00043311" w:rsidRPr="00191916"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191916">
              <w:rPr>
                <w:rFonts w:asciiTheme="minorHAnsi" w:hAnsiTheme="minorHAnsi" w:cstheme="minorHAnsi"/>
                <w:b/>
                <w:color w:val="000000" w:themeColor="text1"/>
                <w:sz w:val="20"/>
                <w:szCs w:val="20"/>
                <w:lang w:val="en-GB" w:eastAsia="en-NZ"/>
              </w:rPr>
              <w:t>Type of school</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r>
      <w:tr w:rsidR="00043311" w:rsidRPr="00B958EB" w:rsidTr="0042130F">
        <w:trPr>
          <w:trHeight w:val="284"/>
          <w:jc w:val="center"/>
        </w:trPr>
        <w:tc>
          <w:tcPr>
            <w:tcW w:w="3089" w:type="dxa"/>
            <w:tcBorders>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Co-educational</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290</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73.1</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90</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72.0</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71</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78.0</w:t>
            </w:r>
          </w:p>
        </w:tc>
      </w:tr>
      <w:tr w:rsidR="00043311" w:rsidRPr="00B958EB" w:rsidTr="0042130F">
        <w:trPr>
          <w:trHeight w:val="284"/>
          <w:jc w:val="center"/>
        </w:trPr>
        <w:tc>
          <w:tcPr>
            <w:tcW w:w="3089" w:type="dxa"/>
            <w:tcBorders>
              <w:top w:val="single" w:sz="4" w:space="0" w:color="auto"/>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Boys’ school</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46</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11.6</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15</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12.0</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6.6</w:t>
            </w:r>
          </w:p>
        </w:tc>
      </w:tr>
      <w:tr w:rsidR="00043311" w:rsidRPr="00B958EB" w:rsidTr="0042130F">
        <w:trPr>
          <w:trHeight w:val="284"/>
          <w:jc w:val="center"/>
        </w:trPr>
        <w:tc>
          <w:tcPr>
            <w:tcW w:w="3089" w:type="dxa"/>
            <w:tcBorders>
              <w:left w:val="single" w:sz="12" w:space="0" w:color="auto"/>
              <w:bottom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Girls’ school</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61</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15.4</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20</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16.0</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14</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15.4</w:t>
            </w:r>
          </w:p>
        </w:tc>
      </w:tr>
      <w:tr w:rsidR="00043311" w:rsidRPr="00B958EB" w:rsidTr="0042130F">
        <w:trPr>
          <w:trHeight w:val="284"/>
          <w:jc w:val="center"/>
        </w:trPr>
        <w:tc>
          <w:tcPr>
            <w:tcW w:w="3089" w:type="dxa"/>
            <w:tcBorders>
              <w:top w:val="single" w:sz="12" w:space="0" w:color="auto"/>
              <w:left w:val="single" w:sz="12" w:space="0" w:color="auto"/>
              <w:bottom w:val="single" w:sz="4" w:space="0" w:color="auto"/>
              <w:right w:val="single" w:sz="12" w:space="0" w:color="auto"/>
            </w:tcBorders>
            <w:shd w:val="clear" w:color="auto" w:fill="95B3D7" w:themeFill="accent1" w:themeFillTint="99"/>
            <w:noWrap/>
            <w:vAlign w:val="center"/>
            <w:hideMark/>
          </w:tcPr>
          <w:p w:rsidR="00043311" w:rsidRPr="00191916"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191916">
              <w:rPr>
                <w:rFonts w:asciiTheme="minorHAnsi" w:hAnsiTheme="minorHAnsi" w:cstheme="minorHAnsi"/>
                <w:b/>
                <w:color w:val="000000" w:themeColor="text1"/>
                <w:sz w:val="20"/>
                <w:szCs w:val="20"/>
                <w:lang w:val="en-GB" w:eastAsia="en-NZ"/>
              </w:rPr>
              <w:t>School size</w:t>
            </w:r>
            <w:r w:rsidRPr="00191916">
              <w:rPr>
                <w:rFonts w:asciiTheme="minorHAnsi" w:hAnsiTheme="minorHAnsi" w:cstheme="minorHAnsi"/>
                <w:b/>
                <w:color w:val="000000" w:themeColor="text1"/>
                <w:sz w:val="20"/>
                <w:szCs w:val="20"/>
                <w:vertAlign w:val="superscript"/>
                <w:lang w:val="en-GB" w:eastAsia="en-NZ"/>
              </w:rPr>
              <w:t>1</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r>
      <w:tr w:rsidR="00043311" w:rsidRPr="00B958EB" w:rsidTr="0042130F">
        <w:trPr>
          <w:trHeight w:val="284"/>
          <w:jc w:val="center"/>
        </w:trPr>
        <w:tc>
          <w:tcPr>
            <w:tcW w:w="3089" w:type="dxa"/>
            <w:tcBorders>
              <w:top w:val="single" w:sz="4" w:space="0" w:color="auto"/>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Large (≥350 students)</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267</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67.3</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81</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64.8</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57</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62.6</w:t>
            </w:r>
          </w:p>
        </w:tc>
      </w:tr>
      <w:tr w:rsidR="00043311" w:rsidRPr="00B958EB" w:rsidTr="0042130F">
        <w:trPr>
          <w:trHeight w:val="284"/>
          <w:jc w:val="center"/>
        </w:trPr>
        <w:tc>
          <w:tcPr>
            <w:tcW w:w="3089" w:type="dxa"/>
            <w:tcBorders>
              <w:left w:val="single" w:sz="12" w:space="0" w:color="auto"/>
              <w:bottom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Small-medium (&lt;350 students)</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130</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32.8</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44</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35.2</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34</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37.4</w:t>
            </w:r>
          </w:p>
        </w:tc>
      </w:tr>
      <w:tr w:rsidR="00043311" w:rsidRPr="00B958EB" w:rsidTr="0042130F">
        <w:trPr>
          <w:trHeight w:val="284"/>
          <w:jc w:val="center"/>
        </w:trPr>
        <w:tc>
          <w:tcPr>
            <w:tcW w:w="3089" w:type="dxa"/>
            <w:tcBorders>
              <w:top w:val="single" w:sz="12" w:space="0" w:color="auto"/>
              <w:left w:val="single" w:sz="12" w:space="0" w:color="auto"/>
              <w:bottom w:val="single" w:sz="4" w:space="0" w:color="auto"/>
              <w:right w:val="single" w:sz="12" w:space="0" w:color="auto"/>
            </w:tcBorders>
            <w:shd w:val="clear" w:color="auto" w:fill="95B3D7" w:themeFill="accent1" w:themeFillTint="99"/>
            <w:noWrap/>
            <w:vAlign w:val="center"/>
            <w:hideMark/>
          </w:tcPr>
          <w:p w:rsidR="00043311" w:rsidRPr="00191916"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191916">
              <w:rPr>
                <w:rFonts w:asciiTheme="minorHAnsi" w:hAnsiTheme="minorHAnsi" w:cstheme="minorHAnsi"/>
                <w:b/>
                <w:color w:val="000000" w:themeColor="text1"/>
                <w:sz w:val="20"/>
                <w:szCs w:val="20"/>
                <w:lang w:val="en-GB" w:eastAsia="en-NZ"/>
              </w:rPr>
              <w:t>School decile grouping</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047"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047"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r>
      <w:tr w:rsidR="00043311" w:rsidRPr="00B958EB" w:rsidTr="0042130F">
        <w:trPr>
          <w:trHeight w:val="284"/>
          <w:jc w:val="center"/>
        </w:trPr>
        <w:tc>
          <w:tcPr>
            <w:tcW w:w="3089" w:type="dxa"/>
            <w:tcBorders>
              <w:top w:val="single" w:sz="4" w:space="0" w:color="auto"/>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Low (decile 1-3)</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107</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26.9</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34</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27.2</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26</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28.6</w:t>
            </w:r>
          </w:p>
        </w:tc>
      </w:tr>
      <w:tr w:rsidR="00043311" w:rsidRPr="00B958EB" w:rsidTr="0042130F">
        <w:trPr>
          <w:trHeight w:val="284"/>
          <w:jc w:val="center"/>
        </w:trPr>
        <w:tc>
          <w:tcPr>
            <w:tcW w:w="3089" w:type="dxa"/>
            <w:tcBorders>
              <w:top w:val="single" w:sz="4" w:space="0" w:color="auto"/>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Medium (decile 4-7)</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166</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41.8</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52</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41.6</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36</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39.6</w:t>
            </w:r>
          </w:p>
        </w:tc>
      </w:tr>
      <w:tr w:rsidR="00043311" w:rsidRPr="00B958EB" w:rsidTr="0042130F">
        <w:trPr>
          <w:trHeight w:val="284"/>
          <w:jc w:val="center"/>
        </w:trPr>
        <w:tc>
          <w:tcPr>
            <w:tcW w:w="3089" w:type="dxa"/>
            <w:tcBorders>
              <w:top w:val="single" w:sz="4" w:space="0" w:color="auto"/>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High (decile 8-10)</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121</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30.4</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39</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31.2</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29</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31.9</w:t>
            </w:r>
          </w:p>
        </w:tc>
      </w:tr>
      <w:tr w:rsidR="00043311" w:rsidRPr="00B958EB" w:rsidTr="0042130F">
        <w:trPr>
          <w:trHeight w:val="284"/>
          <w:jc w:val="center"/>
        </w:trPr>
        <w:tc>
          <w:tcPr>
            <w:tcW w:w="3089" w:type="dxa"/>
            <w:tcBorders>
              <w:top w:val="single" w:sz="4" w:space="0" w:color="auto"/>
              <w:left w:val="single" w:sz="12" w:space="0" w:color="auto"/>
              <w:right w:val="single" w:sz="12" w:space="0" w:color="auto"/>
            </w:tcBorders>
            <w:shd w:val="clear" w:color="auto" w:fill="8DB3E2" w:themeFill="text2" w:themeFillTint="66"/>
            <w:noWrap/>
            <w:vAlign w:val="center"/>
          </w:tcPr>
          <w:p w:rsidR="00043311" w:rsidRPr="00191916"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191916">
              <w:rPr>
                <w:rFonts w:asciiTheme="minorHAnsi" w:hAnsiTheme="minorHAnsi" w:cstheme="minorHAnsi"/>
                <w:b/>
                <w:color w:val="000000" w:themeColor="text1"/>
                <w:sz w:val="20"/>
                <w:szCs w:val="20"/>
                <w:lang w:val="en-GB" w:eastAsia="en-NZ"/>
              </w:rPr>
              <w:t>School decile</w:t>
            </w:r>
            <w:r w:rsidRPr="00191916">
              <w:rPr>
                <w:rFonts w:asciiTheme="minorHAnsi" w:hAnsiTheme="minorHAnsi" w:cstheme="minorHAnsi"/>
                <w:b/>
                <w:color w:val="000000" w:themeColor="text1"/>
                <w:sz w:val="20"/>
                <w:szCs w:val="20"/>
                <w:lang w:val="en-GB" w:eastAsia="en-NZ"/>
              </w:rPr>
              <w:tab/>
            </w:r>
            <w:r w:rsidRPr="00191916">
              <w:rPr>
                <w:rFonts w:asciiTheme="minorHAnsi" w:hAnsiTheme="minorHAnsi" w:cstheme="minorHAnsi"/>
                <w:b/>
                <w:color w:val="000000" w:themeColor="text1"/>
                <w:sz w:val="20"/>
                <w:szCs w:val="20"/>
                <w:lang w:val="en-GB" w:eastAsia="en-NZ"/>
              </w:rPr>
              <w:tab/>
            </w:r>
          </w:p>
        </w:tc>
        <w:tc>
          <w:tcPr>
            <w:tcW w:w="1047" w:type="dxa"/>
            <w:tcBorders>
              <w:top w:val="single" w:sz="4" w:space="0" w:color="auto"/>
              <w:left w:val="single" w:sz="12" w:space="0" w:color="auto"/>
            </w:tcBorders>
            <w:shd w:val="clear" w:color="auto" w:fill="8DB3E2" w:themeFill="text2" w:themeFillTint="66"/>
            <w:vAlign w:val="center"/>
          </w:tcPr>
          <w:p w:rsidR="00043311" w:rsidRPr="00191916"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rPr>
            </w:pPr>
            <w:r w:rsidRPr="00191916">
              <w:rPr>
                <w:rFonts w:asciiTheme="minorHAnsi" w:hAnsiTheme="minorHAnsi" w:cstheme="minorHAnsi"/>
                <w:b/>
                <w:color w:val="000000" w:themeColor="text1"/>
                <w:sz w:val="20"/>
                <w:szCs w:val="20"/>
                <w:lang w:val="en-GB" w:eastAsia="en-NZ"/>
              </w:rPr>
              <w:t>Number</w:t>
            </w:r>
            <w:r w:rsidRPr="00191916">
              <w:rPr>
                <w:rFonts w:asciiTheme="minorHAnsi" w:hAnsiTheme="minorHAnsi" w:cstheme="minorHAnsi"/>
                <w:b/>
                <w:color w:val="000000" w:themeColor="text1"/>
                <w:sz w:val="20"/>
                <w:szCs w:val="20"/>
                <w:lang w:val="en-GB" w:eastAsia="en-NZ"/>
              </w:rPr>
              <w:tab/>
            </w:r>
          </w:p>
        </w:tc>
        <w:tc>
          <w:tcPr>
            <w:tcW w:w="1047" w:type="dxa"/>
            <w:tcBorders>
              <w:top w:val="single" w:sz="4" w:space="0" w:color="auto"/>
              <w:right w:val="single" w:sz="12" w:space="0" w:color="auto"/>
            </w:tcBorders>
            <w:shd w:val="clear" w:color="auto" w:fill="8DB3E2" w:themeFill="text2" w:themeFillTint="66"/>
            <w:vAlign w:val="center"/>
          </w:tcPr>
          <w:p w:rsidR="00043311" w:rsidRPr="00191916"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rPr>
            </w:pPr>
            <w:r w:rsidRPr="00191916">
              <w:rPr>
                <w:rFonts w:asciiTheme="minorHAnsi" w:hAnsiTheme="minorHAnsi" w:cstheme="minorHAnsi"/>
                <w:b/>
                <w:color w:val="000000" w:themeColor="text1"/>
                <w:sz w:val="20"/>
                <w:szCs w:val="20"/>
                <w:lang w:val="en-GB" w:eastAsia="en-NZ"/>
              </w:rPr>
              <w:t>Percent</w:t>
            </w:r>
          </w:p>
        </w:tc>
        <w:tc>
          <w:tcPr>
            <w:tcW w:w="1047" w:type="dxa"/>
            <w:tcBorders>
              <w:top w:val="single" w:sz="4" w:space="0" w:color="auto"/>
              <w:left w:val="single" w:sz="12" w:space="0" w:color="auto"/>
            </w:tcBorders>
            <w:shd w:val="clear" w:color="auto" w:fill="8DB3E2" w:themeFill="text2" w:themeFillTint="66"/>
            <w:vAlign w:val="center"/>
          </w:tcPr>
          <w:p w:rsidR="00043311" w:rsidRPr="00191916"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rPr>
            </w:pPr>
            <w:r w:rsidRPr="00191916">
              <w:rPr>
                <w:rFonts w:asciiTheme="minorHAnsi" w:hAnsiTheme="minorHAnsi" w:cstheme="minorHAnsi"/>
                <w:b/>
                <w:color w:val="000000" w:themeColor="text1"/>
                <w:sz w:val="20"/>
                <w:szCs w:val="20"/>
                <w:lang w:val="en-GB" w:eastAsia="en-NZ"/>
              </w:rPr>
              <w:t>Number</w:t>
            </w:r>
            <w:r w:rsidRPr="00191916">
              <w:rPr>
                <w:rFonts w:asciiTheme="minorHAnsi" w:hAnsiTheme="minorHAnsi" w:cstheme="minorHAnsi"/>
                <w:b/>
                <w:color w:val="000000" w:themeColor="text1"/>
                <w:sz w:val="20"/>
                <w:szCs w:val="20"/>
                <w:lang w:val="en-GB" w:eastAsia="en-NZ"/>
              </w:rPr>
              <w:tab/>
            </w:r>
          </w:p>
        </w:tc>
        <w:tc>
          <w:tcPr>
            <w:tcW w:w="1047" w:type="dxa"/>
            <w:tcBorders>
              <w:top w:val="single" w:sz="4" w:space="0" w:color="auto"/>
              <w:right w:val="single" w:sz="12" w:space="0" w:color="auto"/>
            </w:tcBorders>
            <w:shd w:val="clear" w:color="auto" w:fill="8DB3E2" w:themeFill="text2" w:themeFillTint="66"/>
            <w:vAlign w:val="center"/>
          </w:tcPr>
          <w:p w:rsidR="00043311" w:rsidRPr="00191916"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rPr>
            </w:pPr>
            <w:r w:rsidRPr="00191916">
              <w:rPr>
                <w:rFonts w:asciiTheme="minorHAnsi" w:hAnsiTheme="minorHAnsi" w:cstheme="minorHAnsi"/>
                <w:b/>
                <w:color w:val="000000" w:themeColor="text1"/>
                <w:sz w:val="20"/>
                <w:szCs w:val="20"/>
                <w:lang w:val="en-GB" w:eastAsia="en-NZ"/>
              </w:rPr>
              <w:t>Percent</w:t>
            </w:r>
            <w:r w:rsidRPr="00191916">
              <w:rPr>
                <w:rFonts w:asciiTheme="minorHAnsi" w:hAnsiTheme="minorHAnsi" w:cstheme="minorHAnsi"/>
                <w:b/>
                <w:color w:val="000000" w:themeColor="text1"/>
                <w:sz w:val="20"/>
                <w:szCs w:val="20"/>
                <w:lang w:val="en-GB" w:eastAsia="en-NZ"/>
              </w:rPr>
              <w:tab/>
            </w:r>
          </w:p>
        </w:tc>
        <w:tc>
          <w:tcPr>
            <w:tcW w:w="1047" w:type="dxa"/>
            <w:tcBorders>
              <w:top w:val="single" w:sz="4" w:space="0" w:color="auto"/>
              <w:left w:val="single" w:sz="12" w:space="0" w:color="auto"/>
            </w:tcBorders>
            <w:shd w:val="clear" w:color="auto" w:fill="8DB3E2" w:themeFill="text2" w:themeFillTint="66"/>
            <w:vAlign w:val="center"/>
          </w:tcPr>
          <w:p w:rsidR="00043311" w:rsidRPr="00191916"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rPr>
            </w:pPr>
            <w:r w:rsidRPr="00191916">
              <w:rPr>
                <w:rFonts w:asciiTheme="minorHAnsi" w:hAnsiTheme="minorHAnsi" w:cstheme="minorHAnsi"/>
                <w:b/>
                <w:color w:val="000000" w:themeColor="text1"/>
                <w:sz w:val="20"/>
                <w:szCs w:val="20"/>
                <w:lang w:val="en-GB" w:eastAsia="en-NZ"/>
              </w:rPr>
              <w:t>Number</w:t>
            </w:r>
          </w:p>
        </w:tc>
        <w:tc>
          <w:tcPr>
            <w:tcW w:w="1047" w:type="dxa"/>
            <w:tcBorders>
              <w:top w:val="single" w:sz="4" w:space="0" w:color="auto"/>
              <w:right w:val="single" w:sz="12" w:space="0" w:color="auto"/>
            </w:tcBorders>
            <w:shd w:val="clear" w:color="auto" w:fill="8DB3E2" w:themeFill="text2" w:themeFillTint="66"/>
            <w:vAlign w:val="center"/>
          </w:tcPr>
          <w:p w:rsidR="00043311" w:rsidRPr="00191916"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rPr>
            </w:pPr>
            <w:r w:rsidRPr="00191916">
              <w:rPr>
                <w:rFonts w:asciiTheme="minorHAnsi" w:hAnsiTheme="minorHAnsi" w:cstheme="minorHAnsi"/>
                <w:b/>
                <w:color w:val="000000" w:themeColor="text1"/>
                <w:sz w:val="20"/>
                <w:szCs w:val="20"/>
                <w:lang w:val="en-GB" w:eastAsia="en-NZ"/>
              </w:rPr>
              <w:t>Percent</w:t>
            </w:r>
          </w:p>
        </w:tc>
      </w:tr>
      <w:tr w:rsidR="00043311" w:rsidRPr="00B958EB" w:rsidTr="0042130F">
        <w:trPr>
          <w:trHeight w:val="284"/>
          <w:jc w:val="center"/>
        </w:trPr>
        <w:tc>
          <w:tcPr>
            <w:tcW w:w="3089" w:type="dxa"/>
            <w:tcBorders>
              <w:top w:val="single" w:sz="4" w:space="0" w:color="auto"/>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Decile 1</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22</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5.5</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7.2</w:t>
            </w:r>
          </w:p>
        </w:tc>
        <w:tc>
          <w:tcPr>
            <w:tcW w:w="1047"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w:t>
            </w:r>
          </w:p>
        </w:tc>
        <w:tc>
          <w:tcPr>
            <w:tcW w:w="1047"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7.7</w:t>
            </w:r>
          </w:p>
        </w:tc>
      </w:tr>
      <w:tr w:rsidR="00043311" w:rsidRPr="00B958EB" w:rsidTr="0042130F">
        <w:trPr>
          <w:trHeight w:val="284"/>
          <w:jc w:val="center"/>
        </w:trPr>
        <w:tc>
          <w:tcPr>
            <w:tcW w:w="3089" w:type="dxa"/>
            <w:tcBorders>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Decile 2</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49</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12.3</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8.8</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8.8</w:t>
            </w:r>
          </w:p>
        </w:tc>
      </w:tr>
      <w:tr w:rsidR="00043311" w:rsidRPr="00B958EB" w:rsidTr="0042130F">
        <w:trPr>
          <w:trHeight w:val="284"/>
          <w:jc w:val="center"/>
        </w:trPr>
        <w:tc>
          <w:tcPr>
            <w:tcW w:w="3089" w:type="dxa"/>
            <w:tcBorders>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Decile 3</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36</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9.1</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14</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11.2</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12.1</w:t>
            </w:r>
          </w:p>
        </w:tc>
      </w:tr>
      <w:tr w:rsidR="00043311" w:rsidRPr="00B958EB" w:rsidTr="0042130F">
        <w:trPr>
          <w:trHeight w:val="284"/>
          <w:jc w:val="center"/>
        </w:trPr>
        <w:tc>
          <w:tcPr>
            <w:tcW w:w="3089" w:type="dxa"/>
            <w:tcBorders>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Decile 4</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36</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9.1</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10.4</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12.1</w:t>
            </w:r>
          </w:p>
        </w:tc>
      </w:tr>
      <w:tr w:rsidR="00043311" w:rsidRPr="00B958EB" w:rsidTr="0042130F">
        <w:trPr>
          <w:trHeight w:val="284"/>
          <w:jc w:val="center"/>
        </w:trPr>
        <w:tc>
          <w:tcPr>
            <w:tcW w:w="3089" w:type="dxa"/>
            <w:tcBorders>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Decile 5</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41</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10.3</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10.4</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11.0</w:t>
            </w:r>
          </w:p>
        </w:tc>
      </w:tr>
      <w:tr w:rsidR="00043311" w:rsidRPr="00B958EB" w:rsidTr="0042130F">
        <w:trPr>
          <w:trHeight w:val="284"/>
          <w:jc w:val="center"/>
        </w:trPr>
        <w:tc>
          <w:tcPr>
            <w:tcW w:w="3089" w:type="dxa"/>
            <w:tcBorders>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Decile 6</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42</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10.6</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9.6</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6.6</w:t>
            </w:r>
          </w:p>
        </w:tc>
      </w:tr>
      <w:tr w:rsidR="00043311" w:rsidRPr="00B958EB" w:rsidTr="0042130F">
        <w:trPr>
          <w:trHeight w:val="284"/>
          <w:jc w:val="center"/>
        </w:trPr>
        <w:tc>
          <w:tcPr>
            <w:tcW w:w="3089" w:type="dxa"/>
            <w:tcBorders>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Decile 7</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47</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11.8</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14</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11.2</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9.9</w:t>
            </w:r>
          </w:p>
        </w:tc>
      </w:tr>
      <w:tr w:rsidR="00043311" w:rsidRPr="00B958EB" w:rsidTr="0042130F">
        <w:trPr>
          <w:trHeight w:val="284"/>
          <w:jc w:val="center"/>
        </w:trPr>
        <w:tc>
          <w:tcPr>
            <w:tcW w:w="3089" w:type="dxa"/>
            <w:tcBorders>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Decile 8</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39</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9.8</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17</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13.6</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13.2</w:t>
            </w:r>
          </w:p>
        </w:tc>
      </w:tr>
      <w:tr w:rsidR="00043311" w:rsidRPr="00B958EB" w:rsidTr="0042130F">
        <w:trPr>
          <w:trHeight w:val="284"/>
          <w:jc w:val="center"/>
        </w:trPr>
        <w:tc>
          <w:tcPr>
            <w:tcW w:w="3089" w:type="dxa"/>
            <w:tcBorders>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Decile 9</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43</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10.8</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7.2</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8.8</w:t>
            </w:r>
          </w:p>
        </w:tc>
      </w:tr>
      <w:tr w:rsidR="00043311" w:rsidRPr="00B958EB" w:rsidTr="0042130F">
        <w:trPr>
          <w:trHeight w:val="284"/>
          <w:jc w:val="center"/>
        </w:trPr>
        <w:tc>
          <w:tcPr>
            <w:tcW w:w="3089" w:type="dxa"/>
            <w:tcBorders>
              <w:left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Decile 10</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39</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9.8</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10.4</w:t>
            </w:r>
          </w:p>
        </w:tc>
        <w:tc>
          <w:tcPr>
            <w:tcW w:w="1047"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w:t>
            </w:r>
          </w:p>
        </w:tc>
        <w:tc>
          <w:tcPr>
            <w:tcW w:w="1047"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9.9</w:t>
            </w:r>
          </w:p>
        </w:tc>
      </w:tr>
      <w:tr w:rsidR="00043311" w:rsidRPr="00B958EB" w:rsidTr="0042130F">
        <w:trPr>
          <w:trHeight w:val="284"/>
          <w:jc w:val="center"/>
        </w:trPr>
        <w:tc>
          <w:tcPr>
            <w:tcW w:w="3089" w:type="dxa"/>
            <w:tcBorders>
              <w:left w:val="single" w:sz="12" w:space="0" w:color="auto"/>
              <w:bottom w:val="single" w:sz="12" w:space="0" w:color="auto"/>
              <w:right w:val="single" w:sz="12" w:space="0" w:color="auto"/>
            </w:tcBorders>
            <w:shd w:val="clear" w:color="auto" w:fill="auto"/>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 xml:space="preserve">No decile information </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0.8</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0</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0</w:t>
            </w:r>
          </w:p>
        </w:tc>
        <w:tc>
          <w:tcPr>
            <w:tcW w:w="1047"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0</w:t>
            </w:r>
          </w:p>
        </w:tc>
        <w:tc>
          <w:tcPr>
            <w:tcW w:w="1047"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0.0</w:t>
            </w:r>
          </w:p>
        </w:tc>
      </w:tr>
    </w:tbl>
    <w:p w:rsidR="00043311" w:rsidRDefault="00043311" w:rsidP="001055C9">
      <w:pPr>
        <w:spacing w:before="0" w:line="240" w:lineRule="auto"/>
        <w:ind w:left="567"/>
        <w:rPr>
          <w:rFonts w:asciiTheme="minorHAnsi" w:hAnsiTheme="minorHAnsi" w:cstheme="minorHAnsi"/>
          <w:sz w:val="18"/>
        </w:rPr>
      </w:pPr>
      <w:r w:rsidRPr="00BB1C51">
        <w:rPr>
          <w:rFonts w:asciiTheme="minorHAnsi" w:hAnsiTheme="minorHAnsi" w:cstheme="minorHAnsi"/>
          <w:sz w:val="18"/>
        </w:rPr>
        <w:t>Note:</w:t>
      </w:r>
    </w:p>
    <w:p w:rsidR="00043311" w:rsidRPr="00785601" w:rsidRDefault="00043311" w:rsidP="001055C9">
      <w:pPr>
        <w:pStyle w:val="ListParagraph"/>
        <w:numPr>
          <w:ilvl w:val="0"/>
          <w:numId w:val="41"/>
        </w:numPr>
        <w:spacing w:line="240" w:lineRule="auto"/>
        <w:ind w:left="567" w:firstLine="0"/>
        <w:rPr>
          <w:rFonts w:asciiTheme="minorHAnsi" w:hAnsiTheme="minorHAnsi" w:cstheme="minorHAnsi"/>
          <w:sz w:val="20"/>
        </w:rPr>
      </w:pPr>
      <w:r w:rsidRPr="00785601">
        <w:rPr>
          <w:rFonts w:asciiTheme="minorHAnsi" w:hAnsiTheme="minorHAnsi" w:cstheme="minorHAnsi"/>
          <w:sz w:val="18"/>
        </w:rPr>
        <w:t xml:space="preserve"> Students in Year 9-15</w:t>
      </w:r>
    </w:p>
    <w:p w:rsidR="00043311" w:rsidRPr="00F84C0C" w:rsidRDefault="00043311" w:rsidP="0042130F">
      <w:pPr>
        <w:rPr>
          <w:rFonts w:asciiTheme="minorHAnsi" w:hAnsiTheme="minorHAnsi" w:cstheme="minorHAnsi"/>
          <w:highlight w:val="cyan"/>
        </w:rPr>
      </w:pPr>
    </w:p>
    <w:p w:rsidR="00043311" w:rsidRDefault="00043311">
      <w:pPr>
        <w:spacing w:before="0" w:line="240" w:lineRule="auto"/>
        <w:jc w:val="left"/>
        <w:rPr>
          <w:rFonts w:asciiTheme="minorHAnsi" w:hAnsiTheme="minorHAnsi" w:cstheme="minorHAnsi"/>
          <w:b/>
          <w:iCs/>
          <w:color w:val="1F497D"/>
          <w:szCs w:val="26"/>
        </w:rPr>
      </w:pPr>
      <w:bookmarkStart w:id="80" w:name="_Toc343513792"/>
      <w:r>
        <w:br w:type="page"/>
      </w:r>
    </w:p>
    <w:p w:rsidR="00043311" w:rsidRPr="00F84C0C" w:rsidRDefault="00043311" w:rsidP="0042130F">
      <w:pPr>
        <w:pStyle w:val="Heading3"/>
      </w:pPr>
      <w:bookmarkStart w:id="81" w:name="_Toc367284412"/>
      <w:r>
        <w:lastRenderedPageBreak/>
        <w:t>Student p</w:t>
      </w:r>
      <w:r w:rsidRPr="00F84C0C">
        <w:t>articipation</w:t>
      </w:r>
      <w:bookmarkEnd w:id="81"/>
      <w:r w:rsidRPr="00F84C0C">
        <w:t xml:space="preserve"> </w:t>
      </w:r>
      <w:bookmarkEnd w:id="80"/>
    </w:p>
    <w:p w:rsidR="00043311" w:rsidRPr="00E05728" w:rsidRDefault="00043311" w:rsidP="0042130F">
      <w:pPr>
        <w:pStyle w:val="BodyText"/>
      </w:pPr>
      <w:r w:rsidRPr="00E05728">
        <w:t>In total, 12,503 students were randomly selected and invited to participate in the survey. Of these, 8,500 students took part; this represents 68% of those selected, 3.1% of Year 9-15 students attending an eligible school, and 3.0% of all Year 9-15 students</w:t>
      </w:r>
      <w:r w:rsidR="00B650E8">
        <w:rPr>
          <w:rStyle w:val="FootnoteReference"/>
        </w:rPr>
        <w:footnoteReference w:id="13"/>
      </w:r>
      <w:r w:rsidRPr="00E05728">
        <w:t xml:space="preserve"> in</w:t>
      </w:r>
      <w:r>
        <w:t xml:space="preserve"> New Zealand in</w:t>
      </w:r>
      <w:r w:rsidRPr="00E05728">
        <w:t xml:space="preserve"> 2012.  </w:t>
      </w:r>
    </w:p>
    <w:p w:rsidR="00043311" w:rsidRDefault="00043311" w:rsidP="0042130F">
      <w:pPr>
        <w:pStyle w:val="BodyText"/>
      </w:pPr>
      <w:r>
        <w:t xml:space="preserve">The proportion of students from each school varied according to the size of school roll: for schools with more than 150 students in Years 9 to 13, 20% of students were randomly selected and invited to participate. Of the 13 Schools with 150 students or less in Years 9 to 13, 30 students were randomly selected and invited to participate (this approach was adopted to reduce the risk of identification of individual students when reporting results back to smaller schools). </w:t>
      </w:r>
    </w:p>
    <w:p w:rsidR="00043311" w:rsidRPr="00986ECE" w:rsidRDefault="00043311" w:rsidP="0042130F">
      <w:pPr>
        <w:pStyle w:val="BodyText"/>
      </w:pPr>
      <w:r w:rsidRPr="00986ECE">
        <w:t xml:space="preserve">In this report (and other national reports for Youth’12), results have been adjusted for the likelihood of selection, with data from these smaller schools given less weight to allow for the higher proportion of students selected from them. </w:t>
      </w:r>
    </w:p>
    <w:p w:rsidR="00043311" w:rsidRDefault="00720A6C" w:rsidP="0042130F">
      <w:pPr>
        <w:pStyle w:val="BodyText"/>
      </w:pPr>
      <w:r>
        <w:t>Table 5</w:t>
      </w:r>
      <w:r w:rsidR="00043311">
        <w:t xml:space="preserve"> </w:t>
      </w:r>
      <w:r w:rsidR="00043311" w:rsidRPr="00FE47D1">
        <w:t>shows characteristics of students attending eligible and invited schools and of students that</w:t>
      </w:r>
      <w:r w:rsidR="00043311" w:rsidRPr="00E05728">
        <w:t xml:space="preserve"> participated in the survey. Due to unequally distributed participation rates, male students, students in Year 13, and those aged 17 years and older were under-represented in the final sur</w:t>
      </w:r>
      <w:r w:rsidR="00043311">
        <w:t>vey sample. Students attending d</w:t>
      </w:r>
      <w:r w:rsidR="00043311" w:rsidRPr="00E05728">
        <w:t>ecile 1-3 schools and Māori and Pacific students were well represented.</w:t>
      </w:r>
    </w:p>
    <w:p w:rsidR="00363BE2" w:rsidRDefault="00363BE2" w:rsidP="0042130F">
      <w:pPr>
        <w:pStyle w:val="BodyText"/>
      </w:pPr>
      <w:r>
        <w:rPr>
          <w:color w:val="000000"/>
        </w:rPr>
        <w:t>The students in the Youth’12 sample are generally representative of the New Zealand population with slightly higher proportions of Pacific Island, Asian and ‘Other’ ethnic groups than would be expected and fewer New Zealand European/Pākehā students</w:t>
      </w:r>
      <w:r w:rsidR="00F64383">
        <w:rPr>
          <w:color w:val="000000"/>
        </w:rPr>
        <w:t>.</w:t>
      </w:r>
    </w:p>
    <w:p w:rsidR="00234ABF" w:rsidRDefault="00234ABF">
      <w:pPr>
        <w:spacing w:before="0" w:after="200" w:line="276" w:lineRule="auto"/>
        <w:jc w:val="left"/>
        <w:rPr>
          <w:rFonts w:asciiTheme="minorHAnsi" w:hAnsiTheme="minorHAnsi"/>
          <w:b/>
          <w:bCs/>
          <w:sz w:val="20"/>
          <w:szCs w:val="20"/>
        </w:rPr>
      </w:pPr>
      <w:r>
        <w:rPr>
          <w:rFonts w:asciiTheme="minorHAnsi" w:hAnsiTheme="minorHAnsi"/>
        </w:rPr>
        <w:br w:type="page"/>
      </w:r>
    </w:p>
    <w:p w:rsidR="00043311" w:rsidRPr="00234ABF" w:rsidRDefault="00234ABF" w:rsidP="0042130F">
      <w:pPr>
        <w:pStyle w:val="Caption"/>
        <w:keepNext/>
        <w:spacing w:line="240" w:lineRule="auto"/>
        <w:rPr>
          <w:rFonts w:asciiTheme="minorHAnsi" w:hAnsiTheme="minorHAnsi" w:cstheme="minorHAnsi"/>
        </w:rPr>
      </w:pPr>
      <w:bookmarkStart w:id="82" w:name="_Toc367285388"/>
      <w:r w:rsidRPr="00234ABF">
        <w:rPr>
          <w:rFonts w:asciiTheme="minorHAnsi" w:hAnsiTheme="minorHAnsi"/>
        </w:rPr>
        <w:lastRenderedPageBreak/>
        <w:t xml:space="preserve">Table </w:t>
      </w:r>
      <w:r w:rsidR="007B447B" w:rsidRPr="00234ABF">
        <w:rPr>
          <w:rFonts w:asciiTheme="minorHAnsi" w:hAnsiTheme="minorHAnsi"/>
        </w:rPr>
        <w:fldChar w:fldCharType="begin"/>
      </w:r>
      <w:r w:rsidRPr="00234ABF">
        <w:rPr>
          <w:rFonts w:asciiTheme="minorHAnsi" w:hAnsiTheme="minorHAnsi"/>
        </w:rPr>
        <w:instrText xml:space="preserve"> SEQ Table \* ARABIC </w:instrText>
      </w:r>
      <w:r w:rsidR="007B447B" w:rsidRPr="00234ABF">
        <w:rPr>
          <w:rFonts w:asciiTheme="minorHAnsi" w:hAnsiTheme="minorHAnsi"/>
        </w:rPr>
        <w:fldChar w:fldCharType="separate"/>
      </w:r>
      <w:r w:rsidR="009E3D1C">
        <w:rPr>
          <w:rFonts w:asciiTheme="minorHAnsi" w:hAnsiTheme="minorHAnsi"/>
          <w:noProof/>
        </w:rPr>
        <w:t>5</w:t>
      </w:r>
      <w:r w:rsidR="007B447B" w:rsidRPr="00234ABF">
        <w:rPr>
          <w:rFonts w:asciiTheme="minorHAnsi" w:hAnsiTheme="minorHAnsi"/>
        </w:rPr>
        <w:fldChar w:fldCharType="end"/>
      </w:r>
      <w:r w:rsidRPr="00234ABF">
        <w:rPr>
          <w:rFonts w:asciiTheme="minorHAnsi" w:hAnsiTheme="minorHAnsi"/>
        </w:rPr>
        <w:t xml:space="preserve">: </w:t>
      </w:r>
      <w:r w:rsidRPr="00234ABF">
        <w:rPr>
          <w:rFonts w:asciiTheme="minorHAnsi" w:hAnsiTheme="minorHAnsi" w:cstheme="minorHAnsi"/>
        </w:rPr>
        <w:t>Characteristics of participating students in Youth’</w:t>
      </w:r>
      <w:r>
        <w:rPr>
          <w:rFonts w:asciiTheme="minorHAnsi" w:hAnsiTheme="minorHAnsi" w:cstheme="minorHAnsi"/>
        </w:rPr>
        <w:t>12</w:t>
      </w:r>
      <w:bookmarkEnd w:id="82"/>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189"/>
        <w:gridCol w:w="1190"/>
        <w:gridCol w:w="1190"/>
        <w:gridCol w:w="1189"/>
        <w:gridCol w:w="1190"/>
        <w:gridCol w:w="1190"/>
      </w:tblGrid>
      <w:tr w:rsidR="00043311" w:rsidRPr="00B958EB" w:rsidTr="0042130F">
        <w:trPr>
          <w:trHeight w:val="569"/>
        </w:trPr>
        <w:tc>
          <w:tcPr>
            <w:tcW w:w="2235" w:type="dxa"/>
            <w:tcBorders>
              <w:top w:val="single" w:sz="12" w:space="0" w:color="auto"/>
              <w:left w:val="single" w:sz="12" w:space="0" w:color="auto"/>
              <w:bottom w:val="single" w:sz="12" w:space="0" w:color="auto"/>
              <w:right w:val="single" w:sz="12" w:space="0" w:color="auto"/>
            </w:tcBorders>
            <w:shd w:val="clear" w:color="auto" w:fill="95B3D7" w:themeFill="accent1" w:themeFillTint="99"/>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 xml:space="preserve">Variable </w:t>
            </w:r>
          </w:p>
        </w:tc>
        <w:tc>
          <w:tcPr>
            <w:tcW w:w="2379" w:type="dxa"/>
            <w:gridSpan w:val="2"/>
            <w:tcBorders>
              <w:top w:val="single" w:sz="12" w:space="0" w:color="auto"/>
              <w:left w:val="single" w:sz="12" w:space="0" w:color="auto"/>
              <w:right w:val="single" w:sz="12" w:space="0" w:color="auto"/>
            </w:tcBorders>
            <w:shd w:val="clear" w:color="auto" w:fill="95B3D7" w:themeFill="accent1" w:themeFillTint="99"/>
            <w:noWrap/>
            <w:vAlign w:val="center"/>
            <w:hideMark/>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Students attending</w:t>
            </w:r>
          </w:p>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eligible schools</w:t>
            </w:r>
          </w:p>
        </w:tc>
        <w:tc>
          <w:tcPr>
            <w:tcW w:w="2379" w:type="dxa"/>
            <w:gridSpan w:val="2"/>
            <w:tcBorders>
              <w:top w:val="single" w:sz="12" w:space="0" w:color="auto"/>
              <w:left w:val="single" w:sz="12" w:space="0" w:color="auto"/>
              <w:right w:val="single" w:sz="12" w:space="0" w:color="auto"/>
            </w:tcBorders>
            <w:shd w:val="clear" w:color="auto" w:fill="95B3D7" w:themeFill="accent1" w:themeFillTint="99"/>
            <w:noWrap/>
            <w:vAlign w:val="center"/>
            <w:hideMark/>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Students attending</w:t>
            </w:r>
          </w:p>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Invited schools</w:t>
            </w:r>
          </w:p>
        </w:tc>
        <w:tc>
          <w:tcPr>
            <w:tcW w:w="2380" w:type="dxa"/>
            <w:gridSpan w:val="2"/>
            <w:tcBorders>
              <w:top w:val="single" w:sz="12" w:space="0" w:color="auto"/>
              <w:left w:val="single" w:sz="12" w:space="0" w:color="auto"/>
              <w:right w:val="single" w:sz="12" w:space="0" w:color="auto"/>
            </w:tcBorders>
            <w:shd w:val="clear" w:color="auto" w:fill="95B3D7" w:themeFill="accent1" w:themeFillTint="99"/>
            <w:noWrap/>
            <w:vAlign w:val="center"/>
            <w:hideMark/>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Surveyed</w:t>
            </w:r>
          </w:p>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Students</w:t>
            </w:r>
          </w:p>
        </w:tc>
      </w:tr>
      <w:tr w:rsidR="00043311" w:rsidRPr="00B958EB" w:rsidTr="0042130F">
        <w:trPr>
          <w:trHeight w:val="284"/>
        </w:trPr>
        <w:tc>
          <w:tcPr>
            <w:tcW w:w="2235" w:type="dxa"/>
            <w:tcBorders>
              <w:top w:val="single" w:sz="12" w:space="0" w:color="auto"/>
              <w:left w:val="single" w:sz="12" w:space="0" w:color="auto"/>
              <w:bottom w:val="single" w:sz="4" w:space="0" w:color="auto"/>
              <w:right w:val="single" w:sz="12" w:space="0" w:color="auto"/>
            </w:tcBorders>
            <w:shd w:val="clear" w:color="auto" w:fill="95B3D7" w:themeFill="accent1" w:themeFillTint="99"/>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Sex</w:t>
            </w:r>
          </w:p>
        </w:tc>
        <w:tc>
          <w:tcPr>
            <w:tcW w:w="1189"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90"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190"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89"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190"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90"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Male</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137,250</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50.6</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42,430</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49.9</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3,874</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45.6</w:t>
            </w:r>
          </w:p>
        </w:tc>
      </w:tr>
      <w:tr w:rsidR="00043311" w:rsidRPr="00B958EB" w:rsidTr="0042130F">
        <w:trPr>
          <w:trHeight w:val="284"/>
        </w:trPr>
        <w:tc>
          <w:tcPr>
            <w:tcW w:w="2235" w:type="dxa"/>
            <w:tcBorders>
              <w:top w:val="single" w:sz="4" w:space="0" w:color="auto"/>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Female</w:t>
            </w:r>
          </w:p>
        </w:tc>
        <w:tc>
          <w:tcPr>
            <w:tcW w:w="1189"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133,961</w:t>
            </w:r>
          </w:p>
        </w:tc>
        <w:tc>
          <w:tcPr>
            <w:tcW w:w="1190"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49.4</w:t>
            </w:r>
          </w:p>
        </w:tc>
        <w:tc>
          <w:tcPr>
            <w:tcW w:w="1190"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42,609</w:t>
            </w:r>
          </w:p>
        </w:tc>
        <w:tc>
          <w:tcPr>
            <w:tcW w:w="1189"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50.1</w:t>
            </w:r>
          </w:p>
        </w:tc>
        <w:tc>
          <w:tcPr>
            <w:tcW w:w="1190"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4,623</w:t>
            </w:r>
          </w:p>
        </w:tc>
        <w:tc>
          <w:tcPr>
            <w:tcW w:w="1190"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54.4</w:t>
            </w:r>
          </w:p>
        </w:tc>
      </w:tr>
      <w:tr w:rsidR="00043311" w:rsidRPr="00B958EB" w:rsidTr="0042130F">
        <w:trPr>
          <w:trHeight w:val="284"/>
        </w:trPr>
        <w:tc>
          <w:tcPr>
            <w:tcW w:w="2235" w:type="dxa"/>
            <w:tcBorders>
              <w:left w:val="single" w:sz="12"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Total</w:t>
            </w:r>
          </w:p>
        </w:tc>
        <w:tc>
          <w:tcPr>
            <w:tcW w:w="1189"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271,211</w:t>
            </w:r>
          </w:p>
        </w:tc>
        <w:tc>
          <w:tcPr>
            <w:tcW w:w="1190"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100.0</w:t>
            </w:r>
          </w:p>
        </w:tc>
        <w:tc>
          <w:tcPr>
            <w:tcW w:w="1190"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85,039</w:t>
            </w:r>
          </w:p>
        </w:tc>
        <w:tc>
          <w:tcPr>
            <w:tcW w:w="1189"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100.0</w:t>
            </w:r>
          </w:p>
        </w:tc>
        <w:tc>
          <w:tcPr>
            <w:tcW w:w="1190"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8,497</w:t>
            </w:r>
          </w:p>
        </w:tc>
        <w:tc>
          <w:tcPr>
            <w:tcW w:w="1190"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100.0</w:t>
            </w:r>
          </w:p>
        </w:tc>
      </w:tr>
      <w:tr w:rsidR="00043311" w:rsidRPr="00B958EB" w:rsidTr="0042130F">
        <w:trPr>
          <w:trHeight w:val="284"/>
        </w:trPr>
        <w:tc>
          <w:tcPr>
            <w:tcW w:w="2235" w:type="dxa"/>
            <w:tcBorders>
              <w:top w:val="single" w:sz="12" w:space="0" w:color="auto"/>
              <w:left w:val="single" w:sz="12" w:space="0" w:color="auto"/>
              <w:bottom w:val="single" w:sz="4" w:space="0" w:color="auto"/>
              <w:right w:val="single" w:sz="12" w:space="0" w:color="auto"/>
            </w:tcBorders>
            <w:shd w:val="clear" w:color="auto" w:fill="95B3D7" w:themeFill="accent1" w:themeFillTint="99"/>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Age</w:t>
            </w:r>
          </w:p>
        </w:tc>
        <w:tc>
          <w:tcPr>
            <w:tcW w:w="1189"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90"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190"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89"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190"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90"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r>
      <w:tr w:rsidR="00043311" w:rsidRPr="00B958EB" w:rsidTr="0042130F">
        <w:trPr>
          <w:trHeight w:val="284"/>
        </w:trPr>
        <w:tc>
          <w:tcPr>
            <w:tcW w:w="2235" w:type="dxa"/>
            <w:tcBorders>
              <w:top w:val="single" w:sz="4" w:space="0" w:color="auto"/>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13 year or younger</w:t>
            </w:r>
          </w:p>
        </w:tc>
        <w:tc>
          <w:tcPr>
            <w:tcW w:w="1189"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46,301</w:t>
            </w:r>
          </w:p>
        </w:tc>
        <w:tc>
          <w:tcPr>
            <w:tcW w:w="1190"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17.1</w:t>
            </w:r>
          </w:p>
        </w:tc>
        <w:tc>
          <w:tcPr>
            <w:tcW w:w="1190"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14,562</w:t>
            </w:r>
          </w:p>
        </w:tc>
        <w:tc>
          <w:tcPr>
            <w:tcW w:w="1189"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17.1</w:t>
            </w:r>
          </w:p>
        </w:tc>
        <w:tc>
          <w:tcPr>
            <w:tcW w:w="1190"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1,838</w:t>
            </w:r>
          </w:p>
        </w:tc>
        <w:tc>
          <w:tcPr>
            <w:tcW w:w="1190"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21.7</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14 years</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57,712</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21.3</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18,146</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21.3</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1,896</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22.3</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15 years</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57,210</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21.1</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18,126</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21.3</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1,755</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20.7</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16 years</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53,005</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19.5</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16,829</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19.8</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1,578</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18.6</w:t>
            </w:r>
          </w:p>
        </w:tc>
      </w:tr>
      <w:tr w:rsidR="00043311" w:rsidRPr="00B958EB" w:rsidTr="0042130F">
        <w:trPr>
          <w:trHeight w:val="284"/>
        </w:trPr>
        <w:tc>
          <w:tcPr>
            <w:tcW w:w="2235" w:type="dxa"/>
            <w:tcBorders>
              <w:left w:val="single" w:sz="12"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17 years or older</w:t>
            </w:r>
          </w:p>
        </w:tc>
        <w:tc>
          <w:tcPr>
            <w:tcW w:w="1189"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56,983</w:t>
            </w:r>
          </w:p>
        </w:tc>
        <w:tc>
          <w:tcPr>
            <w:tcW w:w="1190"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21.0</w:t>
            </w:r>
          </w:p>
        </w:tc>
        <w:tc>
          <w:tcPr>
            <w:tcW w:w="1190"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17,376</w:t>
            </w:r>
          </w:p>
        </w:tc>
        <w:tc>
          <w:tcPr>
            <w:tcW w:w="1189"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20.4</w:t>
            </w:r>
          </w:p>
        </w:tc>
        <w:tc>
          <w:tcPr>
            <w:tcW w:w="1190"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1,422</w:t>
            </w:r>
          </w:p>
        </w:tc>
        <w:tc>
          <w:tcPr>
            <w:tcW w:w="1190"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16.8</w:t>
            </w:r>
          </w:p>
        </w:tc>
      </w:tr>
      <w:tr w:rsidR="00043311" w:rsidRPr="00B958EB" w:rsidTr="0042130F">
        <w:trPr>
          <w:trHeight w:val="284"/>
        </w:trPr>
        <w:tc>
          <w:tcPr>
            <w:tcW w:w="2235" w:type="dxa"/>
            <w:tcBorders>
              <w:top w:val="single" w:sz="12" w:space="0" w:color="auto"/>
              <w:left w:val="single" w:sz="12" w:space="0" w:color="auto"/>
              <w:bottom w:val="single" w:sz="4" w:space="0" w:color="auto"/>
              <w:right w:val="single" w:sz="12" w:space="0" w:color="auto"/>
            </w:tcBorders>
            <w:shd w:val="clear" w:color="auto" w:fill="95B3D7" w:themeFill="accent1" w:themeFillTint="99"/>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Year</w:t>
            </w:r>
          </w:p>
        </w:tc>
        <w:tc>
          <w:tcPr>
            <w:tcW w:w="1189"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90"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190"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89"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190"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90"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r>
      <w:tr w:rsidR="00043311" w:rsidRPr="00B958EB" w:rsidTr="0042130F">
        <w:trPr>
          <w:trHeight w:val="284"/>
        </w:trPr>
        <w:tc>
          <w:tcPr>
            <w:tcW w:w="2235" w:type="dxa"/>
            <w:tcBorders>
              <w:top w:val="single" w:sz="4" w:space="0" w:color="auto"/>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Year 9</w:t>
            </w:r>
          </w:p>
        </w:tc>
        <w:tc>
          <w:tcPr>
            <w:tcW w:w="1189"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56,514</w:t>
            </w:r>
          </w:p>
        </w:tc>
        <w:tc>
          <w:tcPr>
            <w:tcW w:w="1190"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20.8</w:t>
            </w:r>
          </w:p>
        </w:tc>
        <w:tc>
          <w:tcPr>
            <w:tcW w:w="1190"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17,793</w:t>
            </w:r>
          </w:p>
        </w:tc>
        <w:tc>
          <w:tcPr>
            <w:tcW w:w="1189"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20.9</w:t>
            </w:r>
          </w:p>
        </w:tc>
        <w:tc>
          <w:tcPr>
            <w:tcW w:w="1190" w:type="dxa"/>
            <w:tcBorders>
              <w:top w:val="single" w:sz="4" w:space="0" w:color="auto"/>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2,061</w:t>
            </w:r>
          </w:p>
        </w:tc>
        <w:tc>
          <w:tcPr>
            <w:tcW w:w="1190" w:type="dxa"/>
            <w:tcBorders>
              <w:top w:val="single" w:sz="4"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24.3</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Year 10</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58,150</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21.4</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18,102</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21.3</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1,936</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22.8</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Year 11</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57,117</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21.1</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18,236</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21.4</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1,727</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20.4</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Year 12</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53,173</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19.6</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16,814</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19.8</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1,534</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18.1</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Year 13</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44,767</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16.5</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13,673</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16.1</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1,227</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14.5</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Year 14</w:t>
            </w:r>
            <w:r w:rsidRPr="00B958EB">
              <w:rPr>
                <w:rFonts w:asciiTheme="minorHAnsi" w:hAnsiTheme="minorHAnsi" w:cstheme="minorHAnsi"/>
                <w:color w:val="000000" w:themeColor="text1"/>
                <w:sz w:val="20"/>
                <w:szCs w:val="20"/>
                <w:vertAlign w:val="superscript"/>
                <w:lang w:val="en-GB" w:eastAsia="en-NZ"/>
              </w:rPr>
              <w:t>1</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921</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0.3</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162</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0.2</w:t>
            </w:r>
          </w:p>
        </w:tc>
        <w:tc>
          <w:tcPr>
            <w:tcW w:w="1190" w:type="dxa"/>
            <w:tcBorders>
              <w:left w:val="single" w:sz="12" w:space="0" w:color="auto"/>
            </w:tcBorders>
            <w:shd w:val="clear" w:color="auto" w:fill="C6D9F1" w:themeFill="text2" w:themeFillTint="33"/>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p>
        </w:tc>
        <w:tc>
          <w:tcPr>
            <w:tcW w:w="1190" w:type="dxa"/>
            <w:tcBorders>
              <w:right w:val="single" w:sz="12" w:space="0" w:color="auto"/>
            </w:tcBorders>
            <w:shd w:val="clear" w:color="auto" w:fill="C6D9F1" w:themeFill="text2" w:themeFillTint="33"/>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p>
        </w:tc>
      </w:tr>
      <w:tr w:rsidR="00043311" w:rsidRPr="00B958EB" w:rsidTr="0042130F">
        <w:trPr>
          <w:trHeight w:val="284"/>
        </w:trPr>
        <w:tc>
          <w:tcPr>
            <w:tcW w:w="2235" w:type="dxa"/>
            <w:tcBorders>
              <w:left w:val="single" w:sz="12"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Year 15</w:t>
            </w:r>
            <w:r w:rsidRPr="00B958EB">
              <w:rPr>
                <w:rFonts w:asciiTheme="minorHAnsi" w:hAnsiTheme="minorHAnsi" w:cstheme="minorHAnsi"/>
                <w:color w:val="000000" w:themeColor="text1"/>
                <w:sz w:val="20"/>
                <w:szCs w:val="20"/>
                <w:vertAlign w:val="superscript"/>
                <w:lang w:val="en-GB" w:eastAsia="en-NZ"/>
              </w:rPr>
              <w:t>1</w:t>
            </w:r>
          </w:p>
        </w:tc>
        <w:tc>
          <w:tcPr>
            <w:tcW w:w="1189"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569</w:t>
            </w:r>
          </w:p>
        </w:tc>
        <w:tc>
          <w:tcPr>
            <w:tcW w:w="1190"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0.2</w:t>
            </w:r>
          </w:p>
        </w:tc>
        <w:tc>
          <w:tcPr>
            <w:tcW w:w="1190"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259</w:t>
            </w:r>
          </w:p>
        </w:tc>
        <w:tc>
          <w:tcPr>
            <w:tcW w:w="1189"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0.3</w:t>
            </w:r>
          </w:p>
        </w:tc>
        <w:tc>
          <w:tcPr>
            <w:tcW w:w="1190" w:type="dxa"/>
            <w:tcBorders>
              <w:left w:val="single" w:sz="12" w:space="0" w:color="auto"/>
              <w:bottom w:val="single" w:sz="12" w:space="0" w:color="auto"/>
            </w:tcBorders>
            <w:shd w:val="clear" w:color="auto" w:fill="C6D9F1" w:themeFill="text2" w:themeFillTint="33"/>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p>
        </w:tc>
        <w:tc>
          <w:tcPr>
            <w:tcW w:w="1190" w:type="dxa"/>
            <w:tcBorders>
              <w:bottom w:val="single" w:sz="12" w:space="0" w:color="auto"/>
              <w:right w:val="single" w:sz="12" w:space="0" w:color="auto"/>
            </w:tcBorders>
            <w:shd w:val="clear" w:color="auto" w:fill="C6D9F1" w:themeFill="text2" w:themeFillTint="33"/>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p>
        </w:tc>
      </w:tr>
      <w:tr w:rsidR="00043311" w:rsidRPr="00B958EB" w:rsidTr="0042130F">
        <w:trPr>
          <w:trHeight w:val="284"/>
        </w:trPr>
        <w:tc>
          <w:tcPr>
            <w:tcW w:w="2235" w:type="dxa"/>
            <w:tcBorders>
              <w:top w:val="single" w:sz="12" w:space="0" w:color="auto"/>
              <w:left w:val="single" w:sz="12" w:space="0" w:color="auto"/>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School decile</w:t>
            </w:r>
          </w:p>
        </w:tc>
        <w:tc>
          <w:tcPr>
            <w:tcW w:w="1189"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90"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190"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89"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190"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90"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r>
      <w:tr w:rsidR="00043311" w:rsidRPr="00B958EB" w:rsidTr="0042130F">
        <w:trPr>
          <w:trHeight w:val="284"/>
        </w:trPr>
        <w:tc>
          <w:tcPr>
            <w:tcW w:w="22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w:t>
            </w:r>
          </w:p>
        </w:tc>
        <w:tc>
          <w:tcPr>
            <w:tcW w:w="1189"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10,749</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4.0</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4,746</w:t>
            </w:r>
          </w:p>
        </w:tc>
        <w:tc>
          <w:tcPr>
            <w:tcW w:w="1189"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5.6</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681</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8.0</w:t>
            </w:r>
          </w:p>
        </w:tc>
      </w:tr>
      <w:tr w:rsidR="00043311" w:rsidRPr="00B958EB" w:rsidTr="0042130F">
        <w:trPr>
          <w:trHeight w:val="284"/>
        </w:trPr>
        <w:tc>
          <w:tcPr>
            <w:tcW w:w="22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w:t>
            </w:r>
          </w:p>
        </w:tc>
        <w:tc>
          <w:tcPr>
            <w:tcW w:w="1189"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16,847</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6.2</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6,788</w:t>
            </w:r>
          </w:p>
        </w:tc>
        <w:tc>
          <w:tcPr>
            <w:tcW w:w="1189"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8.0</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542</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6.4</w:t>
            </w:r>
          </w:p>
        </w:tc>
      </w:tr>
      <w:tr w:rsidR="00043311" w:rsidRPr="00B958EB" w:rsidTr="0042130F">
        <w:trPr>
          <w:trHeight w:val="284"/>
        </w:trPr>
        <w:tc>
          <w:tcPr>
            <w:tcW w:w="22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w:t>
            </w:r>
          </w:p>
        </w:tc>
        <w:tc>
          <w:tcPr>
            <w:tcW w:w="1189"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16,739</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6.2</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5,054</w:t>
            </w:r>
          </w:p>
        </w:tc>
        <w:tc>
          <w:tcPr>
            <w:tcW w:w="1189"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5.9</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570</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6.7</w:t>
            </w:r>
          </w:p>
        </w:tc>
      </w:tr>
      <w:tr w:rsidR="00043311" w:rsidRPr="00B958EB" w:rsidTr="0042130F">
        <w:trPr>
          <w:trHeight w:val="284"/>
        </w:trPr>
        <w:tc>
          <w:tcPr>
            <w:tcW w:w="22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w:t>
            </w:r>
          </w:p>
        </w:tc>
        <w:tc>
          <w:tcPr>
            <w:tcW w:w="1189"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24,758</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9.1</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7,440</w:t>
            </w:r>
          </w:p>
        </w:tc>
        <w:tc>
          <w:tcPr>
            <w:tcW w:w="1189"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8.7</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845</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9.9</w:t>
            </w:r>
          </w:p>
        </w:tc>
      </w:tr>
      <w:tr w:rsidR="00043311" w:rsidRPr="00B958EB" w:rsidTr="0042130F">
        <w:trPr>
          <w:trHeight w:val="284"/>
        </w:trPr>
        <w:tc>
          <w:tcPr>
            <w:tcW w:w="22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w:t>
            </w:r>
          </w:p>
        </w:tc>
        <w:tc>
          <w:tcPr>
            <w:tcW w:w="1189"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28,510</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10.5</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9,651</w:t>
            </w:r>
          </w:p>
        </w:tc>
        <w:tc>
          <w:tcPr>
            <w:tcW w:w="1189"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11.3</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1,103</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13.0</w:t>
            </w:r>
          </w:p>
        </w:tc>
      </w:tr>
      <w:tr w:rsidR="00043311" w:rsidRPr="00B958EB" w:rsidTr="0042130F">
        <w:trPr>
          <w:trHeight w:val="284"/>
        </w:trPr>
        <w:tc>
          <w:tcPr>
            <w:tcW w:w="22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w:t>
            </w:r>
          </w:p>
        </w:tc>
        <w:tc>
          <w:tcPr>
            <w:tcW w:w="1189"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34,063</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12.6</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9,686</w:t>
            </w:r>
          </w:p>
        </w:tc>
        <w:tc>
          <w:tcPr>
            <w:tcW w:w="1189"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11.4</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626</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7.4</w:t>
            </w:r>
          </w:p>
        </w:tc>
      </w:tr>
      <w:tr w:rsidR="00043311" w:rsidRPr="00B958EB" w:rsidTr="0042130F">
        <w:trPr>
          <w:trHeight w:val="284"/>
        </w:trPr>
        <w:tc>
          <w:tcPr>
            <w:tcW w:w="22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w:t>
            </w:r>
          </w:p>
        </w:tc>
        <w:tc>
          <w:tcPr>
            <w:tcW w:w="1189"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28,246</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10.4</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9,609</w:t>
            </w:r>
          </w:p>
        </w:tc>
        <w:tc>
          <w:tcPr>
            <w:tcW w:w="1189"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11.3</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722</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8.5</w:t>
            </w:r>
          </w:p>
        </w:tc>
      </w:tr>
      <w:tr w:rsidR="00043311" w:rsidRPr="00B958EB" w:rsidTr="0042130F">
        <w:trPr>
          <w:trHeight w:val="284"/>
        </w:trPr>
        <w:tc>
          <w:tcPr>
            <w:tcW w:w="22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w:t>
            </w:r>
          </w:p>
        </w:tc>
        <w:tc>
          <w:tcPr>
            <w:tcW w:w="1189"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36,368</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13.4</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14,220</w:t>
            </w:r>
          </w:p>
        </w:tc>
        <w:tc>
          <w:tcPr>
            <w:tcW w:w="1189"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16.7</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1,536</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18.1</w:t>
            </w:r>
          </w:p>
        </w:tc>
      </w:tr>
      <w:tr w:rsidR="00043311" w:rsidRPr="00B958EB" w:rsidTr="0042130F">
        <w:trPr>
          <w:trHeight w:val="284"/>
        </w:trPr>
        <w:tc>
          <w:tcPr>
            <w:tcW w:w="22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w:t>
            </w:r>
          </w:p>
        </w:tc>
        <w:tc>
          <w:tcPr>
            <w:tcW w:w="1189"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34,425</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12.7</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9,150</w:t>
            </w:r>
          </w:p>
        </w:tc>
        <w:tc>
          <w:tcPr>
            <w:tcW w:w="1189"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10.8</w:t>
            </w:r>
          </w:p>
        </w:tc>
        <w:tc>
          <w:tcPr>
            <w:tcW w:w="119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1,137</w:t>
            </w:r>
          </w:p>
        </w:tc>
        <w:tc>
          <w:tcPr>
            <w:tcW w:w="119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13.4</w:t>
            </w:r>
          </w:p>
        </w:tc>
      </w:tr>
      <w:tr w:rsidR="00043311" w:rsidRPr="00B958EB" w:rsidTr="0042130F">
        <w:trPr>
          <w:trHeight w:val="284"/>
        </w:trPr>
        <w:tc>
          <w:tcPr>
            <w:tcW w:w="22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w:t>
            </w:r>
          </w:p>
        </w:tc>
        <w:tc>
          <w:tcPr>
            <w:tcW w:w="1189"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40,254</w:t>
            </w:r>
          </w:p>
        </w:tc>
        <w:tc>
          <w:tcPr>
            <w:tcW w:w="1190" w:type="dxa"/>
            <w:tcBorders>
              <w:top w:val="single" w:sz="4" w:space="0" w:color="auto"/>
              <w:left w:val="single" w:sz="4"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14.8</w:t>
            </w:r>
          </w:p>
        </w:tc>
        <w:tc>
          <w:tcPr>
            <w:tcW w:w="1190"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8,695</w:t>
            </w:r>
          </w:p>
        </w:tc>
        <w:tc>
          <w:tcPr>
            <w:tcW w:w="1189" w:type="dxa"/>
            <w:tcBorders>
              <w:top w:val="single" w:sz="4" w:space="0" w:color="auto"/>
              <w:left w:val="single" w:sz="4"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10.2</w:t>
            </w:r>
          </w:p>
        </w:tc>
        <w:tc>
          <w:tcPr>
            <w:tcW w:w="1190"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738</w:t>
            </w:r>
          </w:p>
        </w:tc>
        <w:tc>
          <w:tcPr>
            <w:tcW w:w="1190" w:type="dxa"/>
            <w:tcBorders>
              <w:top w:val="single" w:sz="4" w:space="0" w:color="auto"/>
              <w:left w:val="single" w:sz="4"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8.7</w:t>
            </w:r>
          </w:p>
        </w:tc>
      </w:tr>
      <w:tr w:rsidR="00043311" w:rsidRPr="00B958EB" w:rsidTr="0042130F">
        <w:trPr>
          <w:trHeight w:val="284"/>
        </w:trPr>
        <w:tc>
          <w:tcPr>
            <w:tcW w:w="2235" w:type="dxa"/>
            <w:tcBorders>
              <w:top w:val="single" w:sz="12" w:space="0" w:color="auto"/>
              <w:left w:val="single" w:sz="12" w:space="0" w:color="auto"/>
              <w:bottom w:val="single" w:sz="4" w:space="0" w:color="auto"/>
              <w:right w:val="single" w:sz="12" w:space="0" w:color="auto"/>
            </w:tcBorders>
            <w:shd w:val="clear" w:color="auto" w:fill="95B3D7" w:themeFill="accent1" w:themeFillTint="99"/>
            <w:noWrap/>
            <w:vAlign w:val="center"/>
            <w:hideMark/>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Ethnicity</w:t>
            </w:r>
            <w:r w:rsidRPr="00B958EB">
              <w:rPr>
                <w:rFonts w:asciiTheme="minorHAnsi" w:hAnsiTheme="minorHAnsi" w:cstheme="minorHAnsi"/>
                <w:color w:val="000000" w:themeColor="text1"/>
                <w:sz w:val="20"/>
                <w:szCs w:val="20"/>
                <w:vertAlign w:val="superscript"/>
                <w:lang w:val="en-GB" w:eastAsia="en-NZ"/>
              </w:rPr>
              <w:t>2</w:t>
            </w:r>
          </w:p>
        </w:tc>
        <w:tc>
          <w:tcPr>
            <w:tcW w:w="1189"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90"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190"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89"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c>
          <w:tcPr>
            <w:tcW w:w="1190" w:type="dxa"/>
            <w:tcBorders>
              <w:top w:val="single" w:sz="12" w:space="0" w:color="auto"/>
              <w:left w:val="single" w:sz="12" w:space="0" w:color="auto"/>
              <w:bottom w:val="single" w:sz="4" w:space="0" w:color="auto"/>
              <w:right w:val="nil"/>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Number</w:t>
            </w:r>
          </w:p>
        </w:tc>
        <w:tc>
          <w:tcPr>
            <w:tcW w:w="1190" w:type="dxa"/>
            <w:tcBorders>
              <w:top w:val="single" w:sz="12" w:space="0" w:color="auto"/>
              <w:left w:val="nil"/>
              <w:bottom w:val="single" w:sz="4" w:space="0" w:color="auto"/>
              <w:right w:val="single" w:sz="12" w:space="0" w:color="auto"/>
            </w:tcBorders>
            <w:shd w:val="clear" w:color="auto" w:fill="95B3D7" w:themeFill="accent1" w:themeFillTint="99"/>
            <w:noWrap/>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b/>
                <w:color w:val="000000" w:themeColor="text1"/>
                <w:sz w:val="20"/>
                <w:szCs w:val="20"/>
                <w:lang w:val="en-GB" w:eastAsia="en-NZ"/>
              </w:rPr>
            </w:pPr>
            <w:r w:rsidRPr="00B958EB">
              <w:rPr>
                <w:rFonts w:asciiTheme="minorHAnsi" w:hAnsiTheme="minorHAnsi" w:cstheme="minorHAnsi"/>
                <w:b/>
                <w:color w:val="000000" w:themeColor="text1"/>
                <w:sz w:val="20"/>
                <w:szCs w:val="20"/>
                <w:lang w:val="en-GB" w:eastAsia="en-NZ"/>
              </w:rPr>
              <w:t>Percent</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European</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149,479</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56.7</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45,093</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54.5</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4,042</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47.5</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Māori</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53,311</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20.2</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16,927</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20.4</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1,701</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20.0</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Pacific</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25,656</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9.7</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9,881</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11.9</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1,201</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14.1</w:t>
            </w:r>
          </w:p>
        </w:tc>
      </w:tr>
      <w:tr w:rsidR="00043311" w:rsidRPr="00B958EB" w:rsidTr="0042130F">
        <w:trPr>
          <w:trHeight w:val="284"/>
        </w:trPr>
        <w:tc>
          <w:tcPr>
            <w:tcW w:w="2235" w:type="dxa"/>
            <w:tcBorders>
              <w:left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Asian</w:t>
            </w:r>
          </w:p>
        </w:tc>
        <w:tc>
          <w:tcPr>
            <w:tcW w:w="1189"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28,736</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10.9</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9,012</w:t>
            </w:r>
          </w:p>
        </w:tc>
        <w:tc>
          <w:tcPr>
            <w:tcW w:w="1189"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10.9</w:t>
            </w:r>
          </w:p>
        </w:tc>
        <w:tc>
          <w:tcPr>
            <w:tcW w:w="1190" w:type="dxa"/>
            <w:tcBorders>
              <w:lef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1,051</w:t>
            </w:r>
          </w:p>
        </w:tc>
        <w:tc>
          <w:tcPr>
            <w:tcW w:w="1190" w:type="dxa"/>
            <w:tcBorders>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12.4</w:t>
            </w:r>
          </w:p>
        </w:tc>
      </w:tr>
      <w:tr w:rsidR="00043311" w:rsidRPr="00B958EB" w:rsidTr="0042130F">
        <w:trPr>
          <w:trHeight w:val="284"/>
        </w:trPr>
        <w:tc>
          <w:tcPr>
            <w:tcW w:w="2235" w:type="dxa"/>
            <w:tcBorders>
              <w:left w:val="single" w:sz="12" w:space="0" w:color="auto"/>
              <w:bottom w:val="single" w:sz="12" w:space="0" w:color="auto"/>
              <w:right w:val="single" w:sz="12" w:space="0" w:color="auto"/>
            </w:tcBorders>
            <w:shd w:val="clear" w:color="auto" w:fill="auto"/>
            <w:noWrap/>
            <w:vAlign w:val="center"/>
          </w:tcPr>
          <w:p w:rsidR="00043311" w:rsidRPr="00B958EB" w:rsidRDefault="00043311" w:rsidP="0042130F">
            <w:pPr>
              <w:overflowPunct w:val="0"/>
              <w:autoSpaceDE w:val="0"/>
              <w:autoSpaceDN w:val="0"/>
              <w:adjustRightInd w:val="0"/>
              <w:spacing w:before="0" w:line="240" w:lineRule="auto"/>
              <w:jc w:val="left"/>
              <w:textAlignment w:val="baseline"/>
              <w:rPr>
                <w:rFonts w:asciiTheme="minorHAnsi" w:hAnsiTheme="minorHAnsi" w:cstheme="minorHAnsi"/>
                <w:color w:val="000000" w:themeColor="text1"/>
                <w:sz w:val="20"/>
                <w:szCs w:val="20"/>
                <w:lang w:val="en-GB" w:eastAsia="en-NZ"/>
              </w:rPr>
            </w:pPr>
            <w:r w:rsidRPr="00B958EB">
              <w:rPr>
                <w:rFonts w:asciiTheme="minorHAnsi" w:hAnsiTheme="minorHAnsi" w:cstheme="minorHAnsi"/>
                <w:color w:val="000000" w:themeColor="text1"/>
                <w:sz w:val="20"/>
                <w:szCs w:val="20"/>
                <w:lang w:val="en-GB" w:eastAsia="en-NZ"/>
              </w:rPr>
              <w:t>Other</w:t>
            </w:r>
          </w:p>
        </w:tc>
        <w:tc>
          <w:tcPr>
            <w:tcW w:w="1189"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6,333</w:t>
            </w:r>
          </w:p>
        </w:tc>
        <w:tc>
          <w:tcPr>
            <w:tcW w:w="1190"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2.4</w:t>
            </w:r>
          </w:p>
        </w:tc>
        <w:tc>
          <w:tcPr>
            <w:tcW w:w="1190"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1,875</w:t>
            </w:r>
          </w:p>
        </w:tc>
        <w:tc>
          <w:tcPr>
            <w:tcW w:w="1189"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2.3</w:t>
            </w:r>
          </w:p>
        </w:tc>
        <w:tc>
          <w:tcPr>
            <w:tcW w:w="1190" w:type="dxa"/>
            <w:tcBorders>
              <w:left w:val="single" w:sz="12" w:space="0" w:color="auto"/>
              <w:bottom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511</w:t>
            </w:r>
          </w:p>
        </w:tc>
        <w:tc>
          <w:tcPr>
            <w:tcW w:w="1190" w:type="dxa"/>
            <w:tcBorders>
              <w:bottom w:val="single" w:sz="12" w:space="0" w:color="auto"/>
              <w:right w:val="single" w:sz="12" w:space="0" w:color="auto"/>
            </w:tcBorders>
            <w:shd w:val="clear" w:color="auto" w:fill="auto"/>
            <w:vAlign w:val="center"/>
          </w:tcPr>
          <w:p w:rsidR="00043311" w:rsidRPr="00B958EB" w:rsidRDefault="00043311" w:rsidP="0042130F">
            <w:pPr>
              <w:overflowPunct w:val="0"/>
              <w:autoSpaceDE w:val="0"/>
              <w:autoSpaceDN w:val="0"/>
              <w:adjustRightInd w:val="0"/>
              <w:spacing w:before="0" w:line="240" w:lineRule="auto"/>
              <w:jc w:val="center"/>
              <w:textAlignment w:val="baseline"/>
              <w:rPr>
                <w:rFonts w:asciiTheme="minorHAnsi" w:hAnsiTheme="minorHAnsi" w:cstheme="minorHAnsi"/>
                <w:color w:val="000000" w:themeColor="text1"/>
                <w:sz w:val="20"/>
                <w:szCs w:val="20"/>
                <w:lang w:val="en-GB"/>
              </w:rPr>
            </w:pPr>
            <w:r w:rsidRPr="00B958EB">
              <w:rPr>
                <w:rFonts w:asciiTheme="minorHAnsi" w:hAnsiTheme="minorHAnsi" w:cstheme="minorHAnsi"/>
                <w:color w:val="000000" w:themeColor="text1"/>
                <w:sz w:val="20"/>
                <w:szCs w:val="20"/>
                <w:lang w:val="en-GB"/>
              </w:rPr>
              <w:t>6.0</w:t>
            </w:r>
          </w:p>
        </w:tc>
      </w:tr>
    </w:tbl>
    <w:p w:rsidR="00043311" w:rsidRPr="00FE47D1" w:rsidRDefault="00043311" w:rsidP="0042130F">
      <w:pPr>
        <w:tabs>
          <w:tab w:val="left" w:pos="567"/>
        </w:tabs>
        <w:overflowPunct w:val="0"/>
        <w:autoSpaceDE w:val="0"/>
        <w:autoSpaceDN w:val="0"/>
        <w:adjustRightInd w:val="0"/>
        <w:spacing w:before="0" w:line="240" w:lineRule="auto"/>
        <w:jc w:val="left"/>
        <w:textAlignment w:val="baseline"/>
        <w:rPr>
          <w:rFonts w:asciiTheme="minorHAnsi" w:hAnsiTheme="minorHAnsi" w:cstheme="minorHAnsi"/>
          <w:sz w:val="18"/>
          <w:szCs w:val="20"/>
          <w:lang w:val="en-GB"/>
        </w:rPr>
      </w:pPr>
      <w:r w:rsidRPr="00FE47D1">
        <w:rPr>
          <w:rFonts w:asciiTheme="minorHAnsi" w:hAnsiTheme="minorHAnsi" w:cstheme="minorHAnsi"/>
          <w:sz w:val="18"/>
          <w:szCs w:val="20"/>
          <w:lang w:val="en-GB"/>
        </w:rPr>
        <w:t>Note</w:t>
      </w:r>
      <w:r>
        <w:rPr>
          <w:rFonts w:asciiTheme="minorHAnsi" w:hAnsiTheme="minorHAnsi" w:cstheme="minorHAnsi"/>
          <w:sz w:val="18"/>
          <w:szCs w:val="20"/>
          <w:lang w:val="en-GB"/>
        </w:rPr>
        <w:t>s</w:t>
      </w:r>
      <w:r w:rsidRPr="00FE47D1">
        <w:rPr>
          <w:rFonts w:asciiTheme="minorHAnsi" w:hAnsiTheme="minorHAnsi" w:cstheme="minorHAnsi"/>
          <w:sz w:val="18"/>
          <w:szCs w:val="20"/>
          <w:lang w:val="en-GB"/>
        </w:rPr>
        <w:t>:</w:t>
      </w:r>
    </w:p>
    <w:p w:rsidR="00043311" w:rsidRPr="00FE47D1" w:rsidRDefault="00043311" w:rsidP="0042130F">
      <w:pPr>
        <w:tabs>
          <w:tab w:val="left" w:pos="567"/>
        </w:tabs>
        <w:overflowPunct w:val="0"/>
        <w:autoSpaceDE w:val="0"/>
        <w:autoSpaceDN w:val="0"/>
        <w:adjustRightInd w:val="0"/>
        <w:spacing w:before="0" w:line="240" w:lineRule="auto"/>
        <w:jc w:val="left"/>
        <w:textAlignment w:val="baseline"/>
        <w:rPr>
          <w:rFonts w:asciiTheme="minorHAnsi" w:hAnsiTheme="minorHAnsi" w:cstheme="minorHAnsi"/>
          <w:sz w:val="18"/>
          <w:szCs w:val="20"/>
          <w:lang w:val="en-GB"/>
        </w:rPr>
      </w:pPr>
      <w:r w:rsidRPr="00FE47D1">
        <w:rPr>
          <w:rFonts w:asciiTheme="minorHAnsi" w:hAnsiTheme="minorHAnsi" w:cstheme="minorHAnsi"/>
          <w:sz w:val="18"/>
          <w:szCs w:val="20"/>
          <w:lang w:val="en-GB"/>
        </w:rPr>
        <w:t>1. Surveyed students could not indicate if they were in Year 14 or 15 (i.e. repeating Year 12 or 13)</w:t>
      </w:r>
    </w:p>
    <w:p w:rsidR="00043311" w:rsidRPr="00930D36" w:rsidRDefault="00043311" w:rsidP="0042130F">
      <w:pPr>
        <w:tabs>
          <w:tab w:val="left" w:pos="567"/>
        </w:tabs>
        <w:overflowPunct w:val="0"/>
        <w:autoSpaceDE w:val="0"/>
        <w:autoSpaceDN w:val="0"/>
        <w:adjustRightInd w:val="0"/>
        <w:spacing w:before="0" w:line="240" w:lineRule="auto"/>
        <w:jc w:val="left"/>
        <w:textAlignment w:val="baseline"/>
        <w:rPr>
          <w:rFonts w:asciiTheme="minorHAnsi" w:hAnsiTheme="minorHAnsi" w:cstheme="minorHAnsi"/>
          <w:sz w:val="18"/>
          <w:szCs w:val="20"/>
          <w:lang w:val="en-GB"/>
        </w:rPr>
      </w:pPr>
      <w:r w:rsidRPr="00FE47D1">
        <w:rPr>
          <w:rFonts w:asciiTheme="minorHAnsi" w:hAnsiTheme="minorHAnsi" w:cstheme="minorHAnsi"/>
          <w:sz w:val="18"/>
          <w:szCs w:val="20"/>
          <w:lang w:val="en-GB"/>
        </w:rPr>
        <w:t>2. Ethnicity is prioritised</w:t>
      </w:r>
      <w:r w:rsidRPr="00930D36">
        <w:rPr>
          <w:rFonts w:asciiTheme="minorHAnsi" w:hAnsiTheme="minorHAnsi" w:cstheme="minorHAnsi"/>
          <w:sz w:val="18"/>
          <w:szCs w:val="20"/>
          <w:lang w:val="en-GB"/>
        </w:rPr>
        <w:t xml:space="preserve"> using the NZ Census ethnicity prioritisation method</w:t>
      </w:r>
    </w:p>
    <w:p w:rsidR="00043311" w:rsidRDefault="00043311" w:rsidP="0042130F">
      <w:pPr>
        <w:pStyle w:val="BodyText"/>
      </w:pPr>
    </w:p>
    <w:p w:rsidR="00043311" w:rsidRDefault="00043311" w:rsidP="0042130F">
      <w:pPr>
        <w:pStyle w:val="Heading2"/>
      </w:pPr>
      <w:bookmarkStart w:id="83" w:name="_Toc367284413"/>
      <w:bookmarkStart w:id="84" w:name="_Toc294258173"/>
      <w:bookmarkStart w:id="85" w:name="OLE_LINK1"/>
      <w:bookmarkStart w:id="86" w:name="OLE_LINK2"/>
      <w:bookmarkStart w:id="87" w:name="_Toc260342885"/>
      <w:bookmarkStart w:id="88" w:name="_Toc294258171"/>
      <w:bookmarkEnd w:id="71"/>
      <w:bookmarkEnd w:id="72"/>
      <w:bookmarkEnd w:id="73"/>
      <w:r>
        <w:lastRenderedPageBreak/>
        <w:t>Youth’12: Gambling</w:t>
      </w:r>
      <w:bookmarkEnd w:id="83"/>
      <w:r>
        <w:t xml:space="preserve"> </w:t>
      </w:r>
    </w:p>
    <w:p w:rsidR="00043311" w:rsidRPr="00BB3E8E" w:rsidRDefault="00043311" w:rsidP="0042130F">
      <w:pPr>
        <w:autoSpaceDE w:val="0"/>
        <w:autoSpaceDN w:val="0"/>
        <w:adjustRightInd w:val="0"/>
        <w:spacing w:before="0" w:line="360" w:lineRule="auto"/>
        <w:rPr>
          <w:rFonts w:asciiTheme="minorHAnsi" w:hAnsiTheme="minorHAnsi" w:cs="Calibri"/>
          <w:color w:val="000000"/>
          <w:szCs w:val="22"/>
          <w:lang w:val="en-US"/>
        </w:rPr>
      </w:pPr>
      <w:r>
        <w:rPr>
          <w:rFonts w:asciiTheme="minorHAnsi" w:hAnsiTheme="minorHAnsi" w:cs="Calibri"/>
          <w:color w:val="000000"/>
          <w:szCs w:val="22"/>
          <w:lang w:val="en-US"/>
        </w:rPr>
        <w:t>The</w:t>
      </w:r>
      <w:r w:rsidRPr="003A5473">
        <w:rPr>
          <w:rFonts w:asciiTheme="minorHAnsi" w:hAnsiTheme="minorHAnsi" w:cs="Calibri"/>
          <w:color w:val="000000"/>
          <w:szCs w:val="22"/>
          <w:lang w:val="en-US"/>
        </w:rPr>
        <w:t xml:space="preserve"> project</w:t>
      </w:r>
      <w:r>
        <w:rPr>
          <w:rFonts w:asciiTheme="minorHAnsi" w:hAnsiTheme="minorHAnsi" w:cs="Calibri"/>
          <w:color w:val="000000"/>
          <w:szCs w:val="22"/>
          <w:lang w:val="en-US"/>
        </w:rPr>
        <w:t xml:space="preserve"> outlined in this report</w:t>
      </w:r>
      <w:r w:rsidRPr="003A5473">
        <w:rPr>
          <w:rFonts w:asciiTheme="minorHAnsi" w:hAnsiTheme="minorHAnsi" w:cs="Calibri"/>
          <w:color w:val="000000"/>
          <w:szCs w:val="22"/>
          <w:lang w:val="en-US"/>
        </w:rPr>
        <w:t xml:space="preserve"> </w:t>
      </w:r>
      <w:r>
        <w:rPr>
          <w:rFonts w:asciiTheme="minorHAnsi" w:hAnsiTheme="minorHAnsi" w:cs="Calibri"/>
          <w:color w:val="000000"/>
          <w:szCs w:val="22"/>
          <w:lang w:val="en-US"/>
        </w:rPr>
        <w:t>was commissioned by the Ministry of Health and relates to</w:t>
      </w:r>
      <w:r w:rsidRPr="003A5473">
        <w:rPr>
          <w:rFonts w:asciiTheme="minorHAnsi" w:hAnsiTheme="minorHAnsi" w:cs="Calibri"/>
          <w:color w:val="000000"/>
          <w:szCs w:val="22"/>
          <w:lang w:val="en-US"/>
        </w:rPr>
        <w:t xml:space="preserve"> an in-depth quantitative analysis of </w:t>
      </w:r>
      <w:r>
        <w:rPr>
          <w:rFonts w:asciiTheme="minorHAnsi" w:hAnsiTheme="minorHAnsi" w:cs="Calibri"/>
          <w:color w:val="000000"/>
          <w:szCs w:val="22"/>
          <w:lang w:val="en-US"/>
        </w:rPr>
        <w:t xml:space="preserve">those </w:t>
      </w:r>
      <w:r w:rsidRPr="003A5473">
        <w:rPr>
          <w:rFonts w:asciiTheme="minorHAnsi" w:hAnsiTheme="minorHAnsi" w:cs="Calibri"/>
          <w:color w:val="000000"/>
          <w:szCs w:val="22"/>
          <w:lang w:val="en-US"/>
        </w:rPr>
        <w:t>Youth’12</w:t>
      </w:r>
      <w:r>
        <w:rPr>
          <w:rFonts w:asciiTheme="minorHAnsi" w:hAnsiTheme="minorHAnsi" w:cs="Calibri"/>
          <w:color w:val="000000"/>
          <w:szCs w:val="22"/>
          <w:lang w:val="en-US"/>
        </w:rPr>
        <w:t xml:space="preserve"> items</w:t>
      </w:r>
      <w:r w:rsidRPr="003A5473">
        <w:rPr>
          <w:rFonts w:asciiTheme="minorHAnsi" w:hAnsiTheme="minorHAnsi" w:cs="Calibri"/>
          <w:color w:val="000000"/>
          <w:szCs w:val="22"/>
          <w:lang w:val="en-US"/>
        </w:rPr>
        <w:t xml:space="preserve"> </w:t>
      </w:r>
      <w:r>
        <w:rPr>
          <w:rFonts w:asciiTheme="minorHAnsi" w:hAnsiTheme="minorHAnsi" w:cs="Calibri"/>
          <w:color w:val="000000"/>
          <w:szCs w:val="22"/>
          <w:lang w:val="en-US"/>
        </w:rPr>
        <w:t xml:space="preserve">with a focus on gambling. This section provides details on the research aims and objectives (Section </w:t>
      </w:r>
      <w:r w:rsidR="007B447B">
        <w:rPr>
          <w:rFonts w:asciiTheme="minorHAnsi" w:hAnsiTheme="minorHAnsi" w:cs="Calibri"/>
          <w:color w:val="000000"/>
          <w:szCs w:val="22"/>
          <w:lang w:val="en-US"/>
        </w:rPr>
        <w:fldChar w:fldCharType="begin"/>
      </w:r>
      <w:r>
        <w:rPr>
          <w:rFonts w:asciiTheme="minorHAnsi" w:hAnsiTheme="minorHAnsi" w:cs="Calibri"/>
          <w:color w:val="000000"/>
          <w:szCs w:val="22"/>
          <w:lang w:val="en-US"/>
        </w:rPr>
        <w:instrText xml:space="preserve"> REF _Ref366141794 \r \h </w:instrText>
      </w:r>
      <w:r w:rsidR="007B447B">
        <w:rPr>
          <w:rFonts w:asciiTheme="minorHAnsi" w:hAnsiTheme="minorHAnsi" w:cs="Calibri"/>
          <w:color w:val="000000"/>
          <w:szCs w:val="22"/>
          <w:lang w:val="en-US"/>
        </w:rPr>
      </w:r>
      <w:r w:rsidR="007B447B">
        <w:rPr>
          <w:rFonts w:asciiTheme="minorHAnsi" w:hAnsiTheme="minorHAnsi" w:cs="Calibri"/>
          <w:color w:val="000000"/>
          <w:szCs w:val="22"/>
          <w:lang w:val="en-US"/>
        </w:rPr>
        <w:fldChar w:fldCharType="separate"/>
      </w:r>
      <w:r w:rsidR="009E3D1C">
        <w:rPr>
          <w:rFonts w:asciiTheme="minorHAnsi" w:hAnsiTheme="minorHAnsi" w:cs="Calibri"/>
          <w:color w:val="000000"/>
          <w:szCs w:val="22"/>
          <w:lang w:val="en-US"/>
        </w:rPr>
        <w:t>3.2.1</w:t>
      </w:r>
      <w:r w:rsidR="007B447B">
        <w:rPr>
          <w:rFonts w:asciiTheme="minorHAnsi" w:hAnsiTheme="minorHAnsi" w:cs="Calibri"/>
          <w:color w:val="000000"/>
          <w:szCs w:val="22"/>
          <w:lang w:val="en-US"/>
        </w:rPr>
        <w:fldChar w:fldCharType="end"/>
      </w:r>
      <w:r>
        <w:rPr>
          <w:rFonts w:asciiTheme="minorHAnsi" w:hAnsiTheme="minorHAnsi" w:cs="Calibri"/>
          <w:color w:val="000000"/>
          <w:szCs w:val="22"/>
          <w:lang w:val="en-US"/>
        </w:rPr>
        <w:t xml:space="preserve">), the Youth’12 gambling questions (Section </w:t>
      </w:r>
      <w:r w:rsidR="00AE30B2">
        <w:rPr>
          <w:rFonts w:asciiTheme="minorHAnsi" w:hAnsiTheme="minorHAnsi" w:cs="Calibri"/>
          <w:color w:val="000000"/>
          <w:szCs w:val="22"/>
          <w:lang w:val="en-US"/>
        </w:rPr>
        <w:t>3.2.2</w:t>
      </w:r>
      <w:r>
        <w:rPr>
          <w:rFonts w:asciiTheme="minorHAnsi" w:hAnsiTheme="minorHAnsi" w:cs="Calibri"/>
          <w:color w:val="000000"/>
          <w:szCs w:val="22"/>
          <w:lang w:val="en-US"/>
        </w:rPr>
        <w:t xml:space="preserve">), </w:t>
      </w:r>
      <w:r w:rsidR="00912957">
        <w:rPr>
          <w:rFonts w:asciiTheme="minorHAnsi" w:hAnsiTheme="minorHAnsi" w:cs="Calibri"/>
          <w:color w:val="000000"/>
          <w:szCs w:val="22"/>
          <w:lang w:val="en-US"/>
        </w:rPr>
        <w:t xml:space="preserve">other health related items that were included in the analyses (Section </w:t>
      </w:r>
      <w:r w:rsidR="007B447B">
        <w:rPr>
          <w:rFonts w:asciiTheme="minorHAnsi" w:hAnsiTheme="minorHAnsi" w:cs="Calibri"/>
          <w:color w:val="000000"/>
          <w:szCs w:val="22"/>
          <w:lang w:val="en-US"/>
        </w:rPr>
        <w:fldChar w:fldCharType="begin"/>
      </w:r>
      <w:r w:rsidR="00912957">
        <w:rPr>
          <w:rFonts w:asciiTheme="minorHAnsi" w:hAnsiTheme="minorHAnsi" w:cs="Calibri"/>
          <w:color w:val="000000"/>
          <w:szCs w:val="22"/>
          <w:lang w:val="en-US"/>
        </w:rPr>
        <w:instrText xml:space="preserve"> REF _Ref367283518 \r \h </w:instrText>
      </w:r>
      <w:r w:rsidR="007B447B">
        <w:rPr>
          <w:rFonts w:asciiTheme="minorHAnsi" w:hAnsiTheme="minorHAnsi" w:cs="Calibri"/>
          <w:color w:val="000000"/>
          <w:szCs w:val="22"/>
          <w:lang w:val="en-US"/>
        </w:rPr>
      </w:r>
      <w:r w:rsidR="007B447B">
        <w:rPr>
          <w:rFonts w:asciiTheme="minorHAnsi" w:hAnsiTheme="minorHAnsi" w:cs="Calibri"/>
          <w:color w:val="000000"/>
          <w:szCs w:val="22"/>
          <w:lang w:val="en-US"/>
        </w:rPr>
        <w:fldChar w:fldCharType="separate"/>
      </w:r>
      <w:r w:rsidR="009E3D1C">
        <w:rPr>
          <w:rFonts w:asciiTheme="minorHAnsi" w:hAnsiTheme="minorHAnsi" w:cs="Calibri"/>
          <w:color w:val="000000"/>
          <w:szCs w:val="22"/>
          <w:lang w:val="en-US"/>
        </w:rPr>
        <w:t>3.2.3</w:t>
      </w:r>
      <w:r w:rsidR="007B447B">
        <w:rPr>
          <w:rFonts w:asciiTheme="minorHAnsi" w:hAnsiTheme="minorHAnsi" w:cs="Calibri"/>
          <w:color w:val="000000"/>
          <w:szCs w:val="22"/>
          <w:lang w:val="en-US"/>
        </w:rPr>
        <w:fldChar w:fldCharType="end"/>
      </w:r>
      <w:r w:rsidR="00912957">
        <w:rPr>
          <w:rFonts w:asciiTheme="minorHAnsi" w:hAnsiTheme="minorHAnsi" w:cs="Calibri"/>
          <w:color w:val="000000"/>
          <w:szCs w:val="22"/>
          <w:lang w:val="en-US"/>
        </w:rPr>
        <w:t xml:space="preserve">) </w:t>
      </w:r>
      <w:r>
        <w:rPr>
          <w:rFonts w:asciiTheme="minorHAnsi" w:hAnsiTheme="minorHAnsi" w:cs="Calibri"/>
          <w:color w:val="000000"/>
          <w:szCs w:val="22"/>
          <w:lang w:val="en-US"/>
        </w:rPr>
        <w:t>and the data analysis procedures and a guide to interpreting the results (Section</w:t>
      </w:r>
      <w:r w:rsidR="00912957">
        <w:rPr>
          <w:rFonts w:asciiTheme="minorHAnsi" w:hAnsiTheme="minorHAnsi" w:cs="Calibri"/>
          <w:color w:val="000000"/>
          <w:szCs w:val="22"/>
          <w:lang w:val="en-US"/>
        </w:rPr>
        <w:t xml:space="preserve"> </w:t>
      </w:r>
      <w:r w:rsidR="007B447B">
        <w:rPr>
          <w:rFonts w:asciiTheme="minorHAnsi" w:hAnsiTheme="minorHAnsi" w:cs="Calibri"/>
          <w:color w:val="000000"/>
          <w:szCs w:val="22"/>
          <w:lang w:val="en-US"/>
        </w:rPr>
        <w:fldChar w:fldCharType="begin"/>
      </w:r>
      <w:r w:rsidR="00912957">
        <w:rPr>
          <w:rFonts w:asciiTheme="minorHAnsi" w:hAnsiTheme="minorHAnsi" w:cs="Calibri"/>
          <w:color w:val="000000"/>
          <w:szCs w:val="22"/>
          <w:lang w:val="en-US"/>
        </w:rPr>
        <w:instrText xml:space="preserve"> REF _Ref367283527 \r \h </w:instrText>
      </w:r>
      <w:r w:rsidR="007B447B">
        <w:rPr>
          <w:rFonts w:asciiTheme="minorHAnsi" w:hAnsiTheme="minorHAnsi" w:cs="Calibri"/>
          <w:color w:val="000000"/>
          <w:szCs w:val="22"/>
          <w:lang w:val="en-US"/>
        </w:rPr>
      </w:r>
      <w:r w:rsidR="007B447B">
        <w:rPr>
          <w:rFonts w:asciiTheme="minorHAnsi" w:hAnsiTheme="minorHAnsi" w:cs="Calibri"/>
          <w:color w:val="000000"/>
          <w:szCs w:val="22"/>
          <w:lang w:val="en-US"/>
        </w:rPr>
        <w:fldChar w:fldCharType="separate"/>
      </w:r>
      <w:r w:rsidR="009E3D1C">
        <w:rPr>
          <w:rFonts w:asciiTheme="minorHAnsi" w:hAnsiTheme="minorHAnsi" w:cs="Calibri"/>
          <w:color w:val="000000"/>
          <w:szCs w:val="22"/>
          <w:lang w:val="en-US"/>
        </w:rPr>
        <w:t>3.2.4</w:t>
      </w:r>
      <w:r w:rsidR="007B447B">
        <w:rPr>
          <w:rFonts w:asciiTheme="minorHAnsi" w:hAnsiTheme="minorHAnsi" w:cs="Calibri"/>
          <w:color w:val="000000"/>
          <w:szCs w:val="22"/>
          <w:lang w:val="en-US"/>
        </w:rPr>
        <w:fldChar w:fldCharType="end"/>
      </w:r>
      <w:r>
        <w:rPr>
          <w:rFonts w:asciiTheme="minorHAnsi" w:hAnsiTheme="minorHAnsi" w:cs="Calibri"/>
          <w:color w:val="000000"/>
          <w:szCs w:val="22"/>
          <w:lang w:val="en-US"/>
        </w:rPr>
        <w:t xml:space="preserve">). </w:t>
      </w:r>
    </w:p>
    <w:p w:rsidR="00043311" w:rsidRDefault="00043311" w:rsidP="0042130F">
      <w:pPr>
        <w:pStyle w:val="Heading3"/>
      </w:pPr>
      <w:bookmarkStart w:id="89" w:name="_Ref366141794"/>
      <w:bookmarkStart w:id="90" w:name="_Toc367284414"/>
      <w:r>
        <w:t>Aims and objectives</w:t>
      </w:r>
      <w:bookmarkEnd w:id="89"/>
      <w:bookmarkEnd w:id="90"/>
    </w:p>
    <w:p w:rsidR="00043311" w:rsidRPr="003A5473" w:rsidRDefault="00043311" w:rsidP="0042130F">
      <w:pPr>
        <w:autoSpaceDE w:val="0"/>
        <w:autoSpaceDN w:val="0"/>
        <w:adjustRightInd w:val="0"/>
        <w:spacing w:before="0" w:line="360" w:lineRule="auto"/>
        <w:rPr>
          <w:rFonts w:asciiTheme="minorHAnsi" w:hAnsiTheme="minorHAnsi" w:cs="Calibri"/>
          <w:color w:val="000000"/>
          <w:szCs w:val="22"/>
          <w:lang w:val="en-US"/>
        </w:rPr>
      </w:pPr>
      <w:r>
        <w:rPr>
          <w:rFonts w:asciiTheme="minorHAnsi" w:hAnsiTheme="minorHAnsi" w:cs="Calibri"/>
          <w:color w:val="000000"/>
          <w:szCs w:val="22"/>
          <w:lang w:val="en-US"/>
        </w:rPr>
        <w:t>The</w:t>
      </w:r>
      <w:r w:rsidRPr="003A5473">
        <w:rPr>
          <w:rFonts w:asciiTheme="minorHAnsi" w:hAnsiTheme="minorHAnsi" w:cs="Calibri"/>
          <w:color w:val="000000"/>
          <w:szCs w:val="22"/>
          <w:lang w:val="en-US"/>
        </w:rPr>
        <w:t xml:space="preserve"> project</w:t>
      </w:r>
      <w:r>
        <w:rPr>
          <w:rFonts w:asciiTheme="minorHAnsi" w:hAnsiTheme="minorHAnsi" w:cs="Calibri"/>
          <w:color w:val="000000"/>
          <w:szCs w:val="22"/>
          <w:lang w:val="en-US"/>
        </w:rPr>
        <w:t xml:space="preserve"> outlined in this report</w:t>
      </w:r>
      <w:r w:rsidRPr="003A5473">
        <w:rPr>
          <w:rFonts w:asciiTheme="minorHAnsi" w:hAnsiTheme="minorHAnsi" w:cs="Calibri"/>
          <w:color w:val="000000"/>
          <w:szCs w:val="22"/>
          <w:lang w:val="en-US"/>
        </w:rPr>
        <w:t xml:space="preserve"> </w:t>
      </w:r>
      <w:r>
        <w:rPr>
          <w:rFonts w:asciiTheme="minorHAnsi" w:hAnsiTheme="minorHAnsi" w:cs="Calibri"/>
          <w:color w:val="000000"/>
          <w:szCs w:val="22"/>
          <w:lang w:val="en-US"/>
        </w:rPr>
        <w:t>relates to</w:t>
      </w:r>
      <w:r w:rsidRPr="003A5473">
        <w:rPr>
          <w:rFonts w:asciiTheme="minorHAnsi" w:hAnsiTheme="minorHAnsi" w:cs="Calibri"/>
          <w:color w:val="000000"/>
          <w:szCs w:val="22"/>
          <w:lang w:val="en-US"/>
        </w:rPr>
        <w:t xml:space="preserve"> an in-depth quantitative analysis of </w:t>
      </w:r>
      <w:r>
        <w:rPr>
          <w:rFonts w:asciiTheme="minorHAnsi" w:hAnsiTheme="minorHAnsi" w:cs="Calibri"/>
          <w:color w:val="000000"/>
          <w:szCs w:val="22"/>
          <w:lang w:val="en-US"/>
        </w:rPr>
        <w:t xml:space="preserve">those </w:t>
      </w:r>
      <w:r w:rsidRPr="003A5473">
        <w:rPr>
          <w:rFonts w:asciiTheme="minorHAnsi" w:hAnsiTheme="minorHAnsi" w:cs="Calibri"/>
          <w:color w:val="000000"/>
          <w:szCs w:val="22"/>
          <w:lang w:val="en-US"/>
        </w:rPr>
        <w:t>Youth’12</w:t>
      </w:r>
      <w:r>
        <w:rPr>
          <w:rFonts w:asciiTheme="minorHAnsi" w:hAnsiTheme="minorHAnsi" w:cs="Calibri"/>
          <w:color w:val="000000"/>
          <w:szCs w:val="22"/>
          <w:lang w:val="en-US"/>
        </w:rPr>
        <w:t xml:space="preserve"> items</w:t>
      </w:r>
      <w:r w:rsidRPr="003A5473">
        <w:rPr>
          <w:rFonts w:asciiTheme="minorHAnsi" w:hAnsiTheme="minorHAnsi" w:cs="Calibri"/>
          <w:color w:val="000000"/>
          <w:szCs w:val="22"/>
          <w:lang w:val="en-US"/>
        </w:rPr>
        <w:t xml:space="preserve"> </w:t>
      </w:r>
      <w:r w:rsidR="00436C1D">
        <w:rPr>
          <w:rFonts w:asciiTheme="minorHAnsi" w:hAnsiTheme="minorHAnsi" w:cs="Calibri"/>
          <w:color w:val="000000"/>
          <w:szCs w:val="22"/>
          <w:lang w:val="en-US"/>
        </w:rPr>
        <w:t>with a focus on gambling</w:t>
      </w:r>
      <w:r>
        <w:rPr>
          <w:rFonts w:asciiTheme="minorHAnsi" w:hAnsiTheme="minorHAnsi" w:cs="Calibri"/>
          <w:color w:val="000000"/>
          <w:szCs w:val="22"/>
          <w:lang w:val="en-US"/>
        </w:rPr>
        <w:t>.</w:t>
      </w:r>
      <w:r w:rsidRPr="003A5473">
        <w:rPr>
          <w:rFonts w:asciiTheme="minorHAnsi" w:hAnsiTheme="minorHAnsi" w:cs="Calibri"/>
          <w:color w:val="000000"/>
          <w:szCs w:val="22"/>
          <w:lang w:val="en-US"/>
        </w:rPr>
        <w:t xml:space="preserve"> </w:t>
      </w:r>
      <w:r w:rsidR="00D955ED">
        <w:rPr>
          <w:rFonts w:asciiTheme="minorHAnsi" w:hAnsiTheme="minorHAnsi" w:cstheme="minorHAnsi"/>
        </w:rPr>
        <w:t xml:space="preserve">For the purpose of this study, gambling was defined as having bet precious things for money on an activity. </w:t>
      </w:r>
      <w:r>
        <w:rPr>
          <w:rFonts w:asciiTheme="minorHAnsi" w:hAnsiTheme="minorHAnsi" w:cs="Calibri"/>
          <w:color w:val="000000"/>
          <w:szCs w:val="22"/>
          <w:lang w:val="en-US"/>
        </w:rPr>
        <w:t>The overall aim of the project wa</w:t>
      </w:r>
      <w:r w:rsidRPr="003A5473">
        <w:rPr>
          <w:rFonts w:asciiTheme="minorHAnsi" w:hAnsiTheme="minorHAnsi" w:cs="Calibri"/>
          <w:color w:val="000000"/>
          <w:szCs w:val="22"/>
          <w:lang w:val="en-US"/>
        </w:rPr>
        <w:t xml:space="preserve">s to provide an accurate and detailed description of the gambling </w:t>
      </w:r>
      <w:r w:rsidRPr="00BC3645">
        <w:rPr>
          <w:rFonts w:asciiTheme="minorHAnsi" w:hAnsiTheme="minorHAnsi" w:cs="Calibri"/>
          <w:color w:val="000000"/>
          <w:szCs w:val="22"/>
        </w:rPr>
        <w:t>behaviour</w:t>
      </w:r>
      <w:r w:rsidRPr="003A5473">
        <w:rPr>
          <w:rFonts w:asciiTheme="minorHAnsi" w:hAnsiTheme="minorHAnsi" w:cs="Calibri"/>
          <w:color w:val="000000"/>
          <w:szCs w:val="22"/>
          <w:lang w:val="en-US"/>
        </w:rPr>
        <w:t xml:space="preserve"> of secondary school students in New Zealand. Specifically, the objectives of the study can be </w:t>
      </w:r>
      <w:r w:rsidRPr="00BC3645">
        <w:rPr>
          <w:rFonts w:asciiTheme="minorHAnsi" w:hAnsiTheme="minorHAnsi" w:cs="Calibri"/>
          <w:color w:val="000000"/>
          <w:szCs w:val="22"/>
        </w:rPr>
        <w:t>summarised</w:t>
      </w:r>
      <w:r w:rsidRPr="003A5473">
        <w:rPr>
          <w:rFonts w:asciiTheme="minorHAnsi" w:hAnsiTheme="minorHAnsi" w:cs="Calibri"/>
          <w:color w:val="000000"/>
          <w:szCs w:val="22"/>
          <w:lang w:val="en-US"/>
        </w:rPr>
        <w:t xml:space="preserve"> as:</w:t>
      </w:r>
    </w:p>
    <w:p w:rsidR="00043311" w:rsidRPr="003A5473" w:rsidRDefault="00043311" w:rsidP="00043311">
      <w:pPr>
        <w:numPr>
          <w:ilvl w:val="0"/>
          <w:numId w:val="47"/>
        </w:numPr>
        <w:autoSpaceDE w:val="0"/>
        <w:autoSpaceDN w:val="0"/>
        <w:spacing w:before="0" w:after="120" w:line="360" w:lineRule="auto"/>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To investigate the levels of youth gambling in New Zealand, including descriptions of:</w:t>
      </w:r>
    </w:p>
    <w:p w:rsidR="00043311" w:rsidRPr="003A5473" w:rsidRDefault="00043311" w:rsidP="00043311">
      <w:pPr>
        <w:numPr>
          <w:ilvl w:val="1"/>
          <w:numId w:val="46"/>
        </w:numPr>
        <w:autoSpaceDE w:val="0"/>
        <w:autoSpaceDN w:val="0"/>
        <w:spacing w:before="0" w:after="120" w:line="360" w:lineRule="auto"/>
        <w:ind w:left="1701"/>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Gambling activities that students participate in;</w:t>
      </w:r>
    </w:p>
    <w:p w:rsidR="00043311" w:rsidRPr="003A5473" w:rsidRDefault="00043311" w:rsidP="00043311">
      <w:pPr>
        <w:numPr>
          <w:ilvl w:val="1"/>
          <w:numId w:val="46"/>
        </w:numPr>
        <w:autoSpaceDE w:val="0"/>
        <w:autoSpaceDN w:val="0"/>
        <w:spacing w:before="0" w:after="120" w:line="360" w:lineRule="auto"/>
        <w:ind w:left="1701"/>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Frequency of gambling;</w:t>
      </w:r>
    </w:p>
    <w:p w:rsidR="00043311" w:rsidRPr="003A5473" w:rsidRDefault="00043311" w:rsidP="00043311">
      <w:pPr>
        <w:numPr>
          <w:ilvl w:val="1"/>
          <w:numId w:val="46"/>
        </w:numPr>
        <w:autoSpaceDE w:val="0"/>
        <w:autoSpaceDN w:val="0"/>
        <w:spacing w:before="0" w:after="120" w:line="360" w:lineRule="auto"/>
        <w:ind w:left="1701"/>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Money and time spent gambling;</w:t>
      </w:r>
    </w:p>
    <w:p w:rsidR="00043311" w:rsidRPr="003A5473" w:rsidRDefault="00043311" w:rsidP="00043311">
      <w:pPr>
        <w:numPr>
          <w:ilvl w:val="1"/>
          <w:numId w:val="46"/>
        </w:numPr>
        <w:autoSpaceDE w:val="0"/>
        <w:autoSpaceDN w:val="0"/>
        <w:spacing w:before="0" w:after="120" w:line="360" w:lineRule="auto"/>
        <w:ind w:left="1701"/>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Reasons students gamble;</w:t>
      </w:r>
    </w:p>
    <w:p w:rsidR="00043311" w:rsidRPr="003A5473" w:rsidRDefault="00043311" w:rsidP="00043311">
      <w:pPr>
        <w:numPr>
          <w:ilvl w:val="1"/>
          <w:numId w:val="46"/>
        </w:numPr>
        <w:autoSpaceDE w:val="0"/>
        <w:autoSpaceDN w:val="0"/>
        <w:spacing w:before="0" w:after="120" w:line="360" w:lineRule="auto"/>
        <w:ind w:left="1701"/>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People that students gamble with;</w:t>
      </w:r>
    </w:p>
    <w:p w:rsidR="00043311" w:rsidRPr="003A5473" w:rsidRDefault="00043311" w:rsidP="00043311">
      <w:pPr>
        <w:numPr>
          <w:ilvl w:val="1"/>
          <w:numId w:val="46"/>
        </w:numPr>
        <w:autoSpaceDE w:val="0"/>
        <w:autoSpaceDN w:val="0"/>
        <w:spacing w:before="0" w:after="120" w:line="360" w:lineRule="auto"/>
        <w:ind w:left="1701"/>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Views and attitudes towards gambling;</w:t>
      </w:r>
    </w:p>
    <w:p w:rsidR="00043311" w:rsidRPr="003A5473" w:rsidRDefault="00043311" w:rsidP="00043311">
      <w:pPr>
        <w:numPr>
          <w:ilvl w:val="1"/>
          <w:numId w:val="46"/>
        </w:numPr>
        <w:autoSpaceDE w:val="0"/>
        <w:autoSpaceDN w:val="0"/>
        <w:spacing w:before="0" w:after="120" w:line="360" w:lineRule="auto"/>
        <w:ind w:left="1701"/>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 xml:space="preserve">Indicators of </w:t>
      </w:r>
      <w:r>
        <w:rPr>
          <w:rFonts w:asciiTheme="minorHAnsi" w:eastAsiaTheme="minorHAnsi" w:hAnsiTheme="minorHAnsi" w:cs="Shruti"/>
          <w:szCs w:val="22"/>
        </w:rPr>
        <w:t>unhealthy</w:t>
      </w:r>
      <w:r w:rsidRPr="003A5473">
        <w:rPr>
          <w:rFonts w:asciiTheme="minorHAnsi" w:eastAsiaTheme="minorHAnsi" w:hAnsiTheme="minorHAnsi" w:cs="Shruti"/>
          <w:szCs w:val="22"/>
        </w:rPr>
        <w:t xml:space="preserve"> gambling; </w:t>
      </w:r>
    </w:p>
    <w:p w:rsidR="00043311" w:rsidRPr="003A5473" w:rsidRDefault="00043311" w:rsidP="00043311">
      <w:pPr>
        <w:numPr>
          <w:ilvl w:val="1"/>
          <w:numId w:val="46"/>
        </w:numPr>
        <w:autoSpaceDE w:val="0"/>
        <w:autoSpaceDN w:val="0"/>
        <w:spacing w:before="0" w:after="120" w:line="360" w:lineRule="auto"/>
        <w:ind w:left="1701"/>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 xml:space="preserve">Help-seeking behaviour for </w:t>
      </w:r>
      <w:r>
        <w:rPr>
          <w:rFonts w:asciiTheme="minorHAnsi" w:eastAsiaTheme="minorHAnsi" w:hAnsiTheme="minorHAnsi" w:cs="Shruti"/>
          <w:szCs w:val="22"/>
        </w:rPr>
        <w:t>unhealthy</w:t>
      </w:r>
      <w:r w:rsidRPr="003A5473">
        <w:rPr>
          <w:rFonts w:asciiTheme="minorHAnsi" w:eastAsiaTheme="minorHAnsi" w:hAnsiTheme="minorHAnsi" w:cs="Shruti"/>
          <w:szCs w:val="22"/>
        </w:rPr>
        <w:t xml:space="preserve"> gambling;</w:t>
      </w:r>
    </w:p>
    <w:p w:rsidR="00043311" w:rsidRPr="003A5473" w:rsidRDefault="00043311" w:rsidP="00043311">
      <w:pPr>
        <w:numPr>
          <w:ilvl w:val="1"/>
          <w:numId w:val="46"/>
        </w:numPr>
        <w:autoSpaceDE w:val="0"/>
        <w:autoSpaceDN w:val="0"/>
        <w:spacing w:before="0" w:after="120" w:line="360" w:lineRule="auto"/>
        <w:ind w:left="1701"/>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Peer gambling; and,</w:t>
      </w:r>
    </w:p>
    <w:p w:rsidR="00043311" w:rsidRPr="003A5473" w:rsidRDefault="00043311" w:rsidP="00043311">
      <w:pPr>
        <w:numPr>
          <w:ilvl w:val="1"/>
          <w:numId w:val="46"/>
        </w:numPr>
        <w:autoSpaceDE w:val="0"/>
        <w:autoSpaceDN w:val="0"/>
        <w:spacing w:before="0" w:after="120" w:line="360" w:lineRule="auto"/>
        <w:ind w:left="1701"/>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Familial gambling.</w:t>
      </w:r>
    </w:p>
    <w:p w:rsidR="00043311" w:rsidRPr="003A5473" w:rsidRDefault="00043311" w:rsidP="00043311">
      <w:pPr>
        <w:numPr>
          <w:ilvl w:val="0"/>
          <w:numId w:val="47"/>
        </w:numPr>
        <w:autoSpaceDE w:val="0"/>
        <w:autoSpaceDN w:val="0"/>
        <w:spacing w:before="0" w:after="120" w:line="360" w:lineRule="auto"/>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To investigate the impacts on young people of their own, peer and familial gambling.</w:t>
      </w:r>
    </w:p>
    <w:p w:rsidR="00043311" w:rsidRPr="003A5473" w:rsidRDefault="00043311" w:rsidP="00043311">
      <w:pPr>
        <w:numPr>
          <w:ilvl w:val="0"/>
          <w:numId w:val="47"/>
        </w:numPr>
        <w:autoSpaceDE w:val="0"/>
        <w:autoSpaceDN w:val="0"/>
        <w:spacing w:before="0" w:after="120" w:line="360" w:lineRule="auto"/>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 xml:space="preserve">To help identify which groups of students are at higher risk of </w:t>
      </w:r>
      <w:r>
        <w:rPr>
          <w:rFonts w:asciiTheme="minorHAnsi" w:eastAsiaTheme="minorHAnsi" w:hAnsiTheme="minorHAnsi" w:cs="Shruti"/>
          <w:szCs w:val="22"/>
        </w:rPr>
        <w:t>unhealthy</w:t>
      </w:r>
      <w:r w:rsidRPr="003A5473">
        <w:rPr>
          <w:rFonts w:asciiTheme="minorHAnsi" w:eastAsiaTheme="minorHAnsi" w:hAnsiTheme="minorHAnsi" w:cs="Shruti"/>
          <w:szCs w:val="22"/>
        </w:rPr>
        <w:t xml:space="preserve"> gambling behaviour/practices.</w:t>
      </w:r>
    </w:p>
    <w:p w:rsidR="00043311" w:rsidRPr="003A5473" w:rsidRDefault="00043311" w:rsidP="00043311">
      <w:pPr>
        <w:numPr>
          <w:ilvl w:val="0"/>
          <w:numId w:val="47"/>
        </w:numPr>
        <w:autoSpaceDE w:val="0"/>
        <w:autoSpaceDN w:val="0"/>
        <w:spacing w:before="0" w:after="120" w:line="360" w:lineRule="auto"/>
        <w:contextualSpacing/>
        <w:jc w:val="left"/>
        <w:rPr>
          <w:rFonts w:asciiTheme="minorHAnsi" w:eastAsiaTheme="minorHAnsi" w:hAnsiTheme="minorHAnsi" w:cs="Shruti"/>
          <w:szCs w:val="22"/>
        </w:rPr>
      </w:pPr>
      <w:r w:rsidRPr="003A5473">
        <w:rPr>
          <w:rFonts w:asciiTheme="minorHAnsi" w:eastAsiaTheme="minorHAnsi" w:hAnsiTheme="minorHAnsi" w:cs="Shruti"/>
          <w:szCs w:val="22"/>
        </w:rPr>
        <w:t>To describe risk and protective factors associated with unhealthy gambling behaviours amongst New Zealand secondary school students.</w:t>
      </w:r>
    </w:p>
    <w:p w:rsidR="00043311" w:rsidRPr="003A5473" w:rsidRDefault="00043311" w:rsidP="00043311">
      <w:pPr>
        <w:numPr>
          <w:ilvl w:val="0"/>
          <w:numId w:val="47"/>
        </w:numPr>
        <w:autoSpaceDE w:val="0"/>
        <w:autoSpaceDN w:val="0"/>
        <w:spacing w:before="0" w:after="120" w:line="360" w:lineRule="auto"/>
        <w:contextualSpacing/>
        <w:jc w:val="left"/>
      </w:pPr>
      <w:r w:rsidRPr="003E2F6D">
        <w:rPr>
          <w:rFonts w:asciiTheme="minorHAnsi" w:eastAsiaTheme="minorHAnsi" w:hAnsiTheme="minorHAnsi" w:cs="Shruti"/>
          <w:szCs w:val="22"/>
        </w:rPr>
        <w:t xml:space="preserve">To investigate changes over time for gambling behaviour by comparing  Youth’07 and Youth’12 survey data.  </w:t>
      </w:r>
    </w:p>
    <w:p w:rsidR="003D61C3" w:rsidRDefault="003D61C3">
      <w:pPr>
        <w:spacing w:before="0" w:after="200" w:line="276" w:lineRule="auto"/>
        <w:jc w:val="left"/>
        <w:rPr>
          <w:rFonts w:asciiTheme="minorHAnsi" w:hAnsiTheme="minorHAnsi" w:cstheme="minorHAnsi"/>
          <w:b/>
          <w:iCs/>
          <w:color w:val="1F497D"/>
          <w:szCs w:val="26"/>
        </w:rPr>
      </w:pPr>
      <w:bookmarkStart w:id="91" w:name="_Ref366140906"/>
      <w:bookmarkStart w:id="92" w:name="_Toc367284415"/>
      <w:r>
        <w:br w:type="page"/>
      </w:r>
    </w:p>
    <w:p w:rsidR="009E3D1C" w:rsidRPr="00C726D6" w:rsidRDefault="00043311" w:rsidP="00C726D6">
      <w:pPr>
        <w:pStyle w:val="Heading3"/>
      </w:pPr>
      <w:r w:rsidRPr="00644D9E">
        <w:lastRenderedPageBreak/>
        <w:t>Youth’12 gambling questions</w:t>
      </w:r>
      <w:bookmarkEnd w:id="84"/>
      <w:bookmarkEnd w:id="91"/>
      <w:bookmarkEnd w:id="92"/>
      <w:r w:rsidRPr="00644D9E">
        <w:t xml:space="preserve"> </w:t>
      </w:r>
      <w:bookmarkEnd w:id="85"/>
      <w:bookmarkEnd w:id="86"/>
      <w:r w:rsidR="007B447B" w:rsidRPr="00C726D6">
        <w:fldChar w:fldCharType="begin"/>
      </w:r>
      <w:r w:rsidRPr="00C726D6">
        <w:instrText xml:space="preserve"> REF _Ref349740561 \h  \* MERGEFORMAT </w:instrText>
      </w:r>
      <w:r w:rsidR="007B447B" w:rsidRPr="00C726D6">
        <w:fldChar w:fldCharType="separate"/>
      </w:r>
    </w:p>
    <w:p w:rsidR="00043311" w:rsidRDefault="009E3D1C" w:rsidP="0042130F">
      <w:pPr>
        <w:pStyle w:val="BodyText"/>
      </w:pPr>
      <w:r w:rsidRPr="00C726D6">
        <w:rPr>
          <w:noProof/>
        </w:rPr>
        <w:t>Figure</w:t>
      </w:r>
      <w:r w:rsidRPr="00C726D6">
        <w:t xml:space="preserve"> </w:t>
      </w:r>
      <w:r w:rsidRPr="00C726D6">
        <w:rPr>
          <w:noProof/>
        </w:rPr>
        <w:t>1</w:t>
      </w:r>
      <w:r w:rsidR="007B447B" w:rsidRPr="00C726D6">
        <w:fldChar w:fldCharType="end"/>
      </w:r>
      <w:r w:rsidR="00043311" w:rsidRPr="00C726D6">
        <w:t xml:space="preserve"> p</w:t>
      </w:r>
      <w:r w:rsidR="00043311" w:rsidRPr="005B0336">
        <w:t>rovides an overview of the gambling questions that were included in the Youth’12 survey (full details on</w:t>
      </w:r>
      <w:r w:rsidR="00043311">
        <w:t xml:space="preserve"> the gambling questions from the survey are available in </w:t>
      </w:r>
      <w:r w:rsidR="007B447B">
        <w:fldChar w:fldCharType="begin"/>
      </w:r>
      <w:r w:rsidR="00043311">
        <w:instrText xml:space="preserve"> REF _Ref349741237 \r \h </w:instrText>
      </w:r>
      <w:r w:rsidR="007B447B">
        <w:fldChar w:fldCharType="separate"/>
      </w:r>
      <w:r>
        <w:t>Appendix A</w:t>
      </w:r>
      <w:r w:rsidR="007B447B">
        <w:fldChar w:fldCharType="end"/>
      </w:r>
      <w:r w:rsidR="00043311">
        <w:t>). In total, the survey included 14 questions on gambling, which equated to a total of 90</w:t>
      </w:r>
      <w:r w:rsidR="00043311" w:rsidRPr="00933774">
        <w:t xml:space="preserve"> items (i.e. some questions allowed for multiple responses). </w:t>
      </w:r>
      <w:r w:rsidR="00043311">
        <w:t xml:space="preserve">The following four initial questions were asked of </w:t>
      </w:r>
      <w:r w:rsidR="00043311" w:rsidRPr="00933774">
        <w:rPr>
          <w:i/>
        </w:rPr>
        <w:t>all students</w:t>
      </w:r>
      <w:r w:rsidR="00043311">
        <w:t>:</w:t>
      </w:r>
    </w:p>
    <w:p w:rsidR="00043311" w:rsidRPr="009B4107" w:rsidRDefault="00043311" w:rsidP="00043311">
      <w:pPr>
        <w:numPr>
          <w:ilvl w:val="0"/>
          <w:numId w:val="48"/>
        </w:numPr>
        <w:autoSpaceDE w:val="0"/>
        <w:autoSpaceDN w:val="0"/>
        <w:spacing w:before="0" w:after="120" w:line="360" w:lineRule="auto"/>
        <w:contextualSpacing/>
        <w:jc w:val="left"/>
        <w:rPr>
          <w:rFonts w:asciiTheme="minorHAnsi" w:eastAsiaTheme="minorHAnsi" w:hAnsiTheme="minorHAnsi" w:cs="Shruti"/>
          <w:szCs w:val="22"/>
        </w:rPr>
      </w:pPr>
      <w:r w:rsidRPr="009B4107">
        <w:rPr>
          <w:rFonts w:asciiTheme="minorHAnsi" w:eastAsiaTheme="minorHAnsi" w:hAnsiTheme="minorHAnsi" w:cs="Shruti"/>
          <w:szCs w:val="22"/>
        </w:rPr>
        <w:t>“Which of these do you think is okay for people your age to play or do regularly? (you may choose as many as you need)”</w:t>
      </w:r>
    </w:p>
    <w:p w:rsidR="00043311" w:rsidRPr="009B4107" w:rsidRDefault="00043311" w:rsidP="00043311">
      <w:pPr>
        <w:numPr>
          <w:ilvl w:val="0"/>
          <w:numId w:val="48"/>
        </w:numPr>
        <w:autoSpaceDE w:val="0"/>
        <w:autoSpaceDN w:val="0"/>
        <w:spacing w:before="0" w:after="120" w:line="360" w:lineRule="auto"/>
        <w:contextualSpacing/>
        <w:jc w:val="left"/>
        <w:rPr>
          <w:rFonts w:asciiTheme="minorHAnsi" w:eastAsiaTheme="minorHAnsi" w:hAnsiTheme="minorHAnsi" w:cs="Shruti"/>
          <w:szCs w:val="22"/>
        </w:rPr>
      </w:pPr>
      <w:r w:rsidRPr="009B4107">
        <w:rPr>
          <w:rFonts w:asciiTheme="minorHAnsi" w:eastAsiaTheme="minorHAnsi" w:hAnsiTheme="minorHAnsi" w:cs="Shruti"/>
          <w:szCs w:val="22"/>
        </w:rPr>
        <w:t>“Which of the following activities do your friends play or do? (you may choose as many as you need)”</w:t>
      </w:r>
    </w:p>
    <w:p w:rsidR="00043311" w:rsidRPr="009B4107" w:rsidRDefault="00043311" w:rsidP="00043311">
      <w:pPr>
        <w:numPr>
          <w:ilvl w:val="0"/>
          <w:numId w:val="48"/>
        </w:numPr>
        <w:autoSpaceDE w:val="0"/>
        <w:autoSpaceDN w:val="0"/>
        <w:spacing w:before="0" w:after="120" w:line="360" w:lineRule="auto"/>
        <w:contextualSpacing/>
        <w:jc w:val="left"/>
        <w:rPr>
          <w:rFonts w:asciiTheme="minorHAnsi" w:eastAsiaTheme="minorHAnsi" w:hAnsiTheme="minorHAnsi" w:cs="Shruti"/>
          <w:szCs w:val="22"/>
        </w:rPr>
      </w:pPr>
      <w:r w:rsidRPr="009B4107">
        <w:rPr>
          <w:rFonts w:asciiTheme="minorHAnsi" w:eastAsiaTheme="minorHAnsi" w:hAnsiTheme="minorHAnsi" w:cs="Shruti"/>
          <w:szCs w:val="22"/>
        </w:rPr>
        <w:t xml:space="preserve">“Which of the following activities do your parent/s or caregiver/s play or do? (you may choose as many as you need)” </w:t>
      </w:r>
    </w:p>
    <w:p w:rsidR="00043311" w:rsidRPr="009B4107" w:rsidRDefault="00043311" w:rsidP="00043311">
      <w:pPr>
        <w:numPr>
          <w:ilvl w:val="0"/>
          <w:numId w:val="48"/>
        </w:numPr>
        <w:autoSpaceDE w:val="0"/>
        <w:autoSpaceDN w:val="0"/>
        <w:spacing w:before="0" w:after="120" w:line="360" w:lineRule="auto"/>
        <w:contextualSpacing/>
        <w:jc w:val="left"/>
        <w:rPr>
          <w:rFonts w:asciiTheme="minorHAnsi" w:eastAsiaTheme="minorHAnsi" w:hAnsiTheme="minorHAnsi" w:cs="Shruti"/>
          <w:szCs w:val="22"/>
        </w:rPr>
      </w:pPr>
      <w:r w:rsidRPr="009B4107">
        <w:rPr>
          <w:rFonts w:asciiTheme="minorHAnsi" w:eastAsiaTheme="minorHAnsi" w:hAnsiTheme="minorHAnsi" w:cs="Shruti"/>
          <w:szCs w:val="22"/>
        </w:rPr>
        <w:t>“</w:t>
      </w:r>
      <w:r w:rsidR="00F43B9D">
        <w:rPr>
          <w:rFonts w:asciiTheme="minorHAnsi" w:eastAsiaTheme="minorHAnsi" w:hAnsiTheme="minorHAnsi" w:cs="Shruti"/>
          <w:szCs w:val="22"/>
        </w:rPr>
        <w:t>Have you ever gambled or bet precious things for money on any of these activities?</w:t>
      </w:r>
      <w:r w:rsidRPr="009B4107">
        <w:rPr>
          <w:rFonts w:asciiTheme="minorHAnsi" w:eastAsiaTheme="minorHAnsi" w:hAnsiTheme="minorHAnsi" w:cs="Shruti"/>
          <w:szCs w:val="22"/>
        </w:rPr>
        <w:t xml:space="preserve">” </w:t>
      </w:r>
    </w:p>
    <w:p w:rsidR="00043311" w:rsidRDefault="00005701" w:rsidP="0042130F">
      <w:pPr>
        <w:pStyle w:val="BodyText"/>
      </w:pPr>
      <w:r>
        <w:t>While s</w:t>
      </w:r>
      <w:r w:rsidR="00043311">
        <w:t>tudents who provided an affirmative response to the fourth question were asked the remainder of the gambling questions</w:t>
      </w:r>
      <w:r>
        <w:t xml:space="preserve"> (see below), t</w:t>
      </w:r>
      <w:r w:rsidR="00043311">
        <w:t xml:space="preserve">he branching design of the survey directed students who answered “Never” or “Not in the past 12 months” to the final gambling question in the survey (which asked about impacts in the family because of someone else’s gambling). </w:t>
      </w:r>
    </w:p>
    <w:p w:rsidR="00F67AE0" w:rsidRDefault="00005701" w:rsidP="00F67AE0">
      <w:pPr>
        <w:numPr>
          <w:ilvl w:val="0"/>
          <w:numId w:val="49"/>
        </w:numPr>
        <w:autoSpaceDE w:val="0"/>
        <w:autoSpaceDN w:val="0"/>
        <w:spacing w:before="0" w:after="120" w:line="360" w:lineRule="auto"/>
        <w:contextualSpacing/>
        <w:jc w:val="left"/>
        <w:rPr>
          <w:rFonts w:asciiTheme="minorHAnsi" w:eastAsiaTheme="minorHAnsi" w:hAnsiTheme="minorHAnsi" w:cs="Shruti"/>
          <w:szCs w:val="22"/>
        </w:rPr>
      </w:pPr>
      <w:r w:rsidRPr="009B4107">
        <w:rPr>
          <w:rFonts w:asciiTheme="minorHAnsi" w:eastAsiaTheme="minorHAnsi" w:hAnsiTheme="minorHAnsi" w:cs="Shruti"/>
          <w:szCs w:val="22"/>
        </w:rPr>
        <w:t>“</w:t>
      </w:r>
      <w:r>
        <w:rPr>
          <w:rFonts w:asciiTheme="minorHAnsi" w:eastAsiaTheme="minorHAnsi" w:hAnsiTheme="minorHAnsi" w:cs="Shruti"/>
          <w:szCs w:val="22"/>
        </w:rPr>
        <w:t>Thinking about the activities in the previous question, how much money would you usually spend each week on bets or gambling?</w:t>
      </w:r>
      <w:r w:rsidRPr="009B4107">
        <w:rPr>
          <w:rFonts w:asciiTheme="minorHAnsi" w:eastAsiaTheme="minorHAnsi" w:hAnsiTheme="minorHAnsi" w:cs="Shruti"/>
          <w:szCs w:val="22"/>
        </w:rPr>
        <w:t xml:space="preserve">” </w:t>
      </w:r>
    </w:p>
    <w:p w:rsidR="00F67AE0" w:rsidRDefault="00F67AE0" w:rsidP="00F67AE0">
      <w:pPr>
        <w:numPr>
          <w:ilvl w:val="0"/>
          <w:numId w:val="49"/>
        </w:numPr>
        <w:autoSpaceDE w:val="0"/>
        <w:autoSpaceDN w:val="0"/>
        <w:spacing w:before="0" w:after="120" w:line="360" w:lineRule="auto"/>
        <w:contextualSpacing/>
        <w:jc w:val="left"/>
        <w:rPr>
          <w:rFonts w:asciiTheme="minorHAnsi" w:eastAsiaTheme="minorHAnsi" w:hAnsiTheme="minorHAnsi" w:cs="Shruti"/>
          <w:szCs w:val="22"/>
        </w:rPr>
      </w:pPr>
      <w:r>
        <w:rPr>
          <w:rFonts w:asciiTheme="minorHAnsi" w:eastAsiaTheme="minorHAnsi" w:hAnsiTheme="minorHAnsi" w:cs="Shruti"/>
          <w:szCs w:val="22"/>
        </w:rPr>
        <w:t>“</w:t>
      </w:r>
      <w:r w:rsidRPr="00F67AE0">
        <w:rPr>
          <w:rFonts w:asciiTheme="minorHAnsi" w:eastAsiaTheme="minorHAnsi" w:hAnsiTheme="minorHAnsi" w:cs="Shruti"/>
          <w:szCs w:val="22"/>
        </w:rPr>
        <w:t xml:space="preserve">How much time would you usually spend each day on bets or gambling?” </w:t>
      </w:r>
    </w:p>
    <w:p w:rsidR="00F67AE0" w:rsidRDefault="00F67AE0" w:rsidP="00F67AE0">
      <w:pPr>
        <w:numPr>
          <w:ilvl w:val="0"/>
          <w:numId w:val="49"/>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t xml:space="preserve">When you do these activities or gamble, who do you usually do it with? (you may choose as many as you need) </w:t>
      </w:r>
    </w:p>
    <w:p w:rsidR="00F67AE0" w:rsidRPr="00F67AE0" w:rsidRDefault="00F67AE0" w:rsidP="00F67AE0">
      <w:pPr>
        <w:numPr>
          <w:ilvl w:val="0"/>
          <w:numId w:val="49"/>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t xml:space="preserve">“Why do you participate in gambling or bet for money? (you can choose as many as you need)” </w:t>
      </w:r>
    </w:p>
    <w:p w:rsidR="00F67AE0" w:rsidRPr="00F67AE0" w:rsidRDefault="00F67AE0" w:rsidP="00F67AE0">
      <w:pPr>
        <w:numPr>
          <w:ilvl w:val="0"/>
          <w:numId w:val="49"/>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t xml:space="preserve">“How many times in the last 12 months have you… </w:t>
      </w:r>
      <w:r w:rsidR="00BA3BA9">
        <w:rPr>
          <w:rStyle w:val="FootnoteReference"/>
        </w:rPr>
        <w:footnoteReference w:id="14"/>
      </w:r>
    </w:p>
    <w:p w:rsidR="00F67AE0" w:rsidRPr="00F67AE0" w:rsidRDefault="00F67AE0" w:rsidP="00F67AE0">
      <w:pPr>
        <w:numPr>
          <w:ilvl w:val="1"/>
          <w:numId w:val="50"/>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t xml:space="preserve">Had friends or family tell you that you should cut down on the money or time you spend on gambling or these activities? </w:t>
      </w:r>
    </w:p>
    <w:p w:rsidR="00F67AE0" w:rsidRPr="00F67AE0" w:rsidRDefault="00F67AE0" w:rsidP="00F67AE0">
      <w:pPr>
        <w:numPr>
          <w:ilvl w:val="1"/>
          <w:numId w:val="50"/>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t xml:space="preserve">Had your performance or attendance at school or work affected by gambling or these activities? </w:t>
      </w:r>
    </w:p>
    <w:p w:rsidR="00F67AE0" w:rsidRPr="00F67AE0" w:rsidRDefault="00F67AE0" w:rsidP="00F67AE0">
      <w:pPr>
        <w:numPr>
          <w:ilvl w:val="1"/>
          <w:numId w:val="50"/>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t xml:space="preserve">Done things that could have got you into serious trouble (e.g. stealing) because of gambling or these activities? </w:t>
      </w:r>
    </w:p>
    <w:p w:rsidR="00F67AE0" w:rsidRPr="00F67AE0" w:rsidRDefault="00F67AE0" w:rsidP="00F67AE0">
      <w:pPr>
        <w:numPr>
          <w:ilvl w:val="1"/>
          <w:numId w:val="50"/>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lastRenderedPageBreak/>
        <w:t xml:space="preserve">Had arguments or fights with your friends because of the money or time spent on gambling or these activities? </w:t>
      </w:r>
    </w:p>
    <w:p w:rsidR="00F67AE0" w:rsidRPr="00F67AE0" w:rsidRDefault="00F67AE0" w:rsidP="00F67AE0">
      <w:pPr>
        <w:numPr>
          <w:ilvl w:val="1"/>
          <w:numId w:val="50"/>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t xml:space="preserve">Had arguments with your family because of the money or time spent on your gambling or activities?” </w:t>
      </w:r>
    </w:p>
    <w:p w:rsidR="00F67AE0" w:rsidRPr="00F67AE0" w:rsidRDefault="00F67AE0" w:rsidP="00F67AE0">
      <w:pPr>
        <w:numPr>
          <w:ilvl w:val="0"/>
          <w:numId w:val="49"/>
        </w:numPr>
        <w:autoSpaceDE w:val="0"/>
        <w:autoSpaceDN w:val="0"/>
        <w:spacing w:before="0" w:after="120" w:line="360" w:lineRule="auto"/>
        <w:contextualSpacing/>
        <w:jc w:val="left"/>
        <w:rPr>
          <w:rFonts w:asciiTheme="minorHAnsi" w:eastAsiaTheme="minorHAnsi" w:hAnsiTheme="minorHAnsi" w:cs="Shruti"/>
          <w:szCs w:val="22"/>
        </w:rPr>
      </w:pPr>
      <w:r>
        <w:rPr>
          <w:rFonts w:asciiTheme="minorHAnsi" w:eastAsiaTheme="minorHAnsi" w:hAnsiTheme="minorHAnsi" w:cs="Shruti"/>
          <w:szCs w:val="22"/>
        </w:rPr>
        <w:t>“</w:t>
      </w:r>
      <w:r w:rsidRPr="00F67AE0">
        <w:rPr>
          <w:rFonts w:asciiTheme="minorHAnsi" w:eastAsiaTheme="minorHAnsi" w:hAnsiTheme="minorHAnsi" w:cs="Shruti"/>
          <w:szCs w:val="22"/>
        </w:rPr>
        <w:t>Are you worried about how much time or money you spend on these activities or gambling?</w:t>
      </w:r>
      <w:r>
        <w:rPr>
          <w:rFonts w:asciiTheme="minorHAnsi" w:eastAsiaTheme="minorHAnsi" w:hAnsiTheme="minorHAnsi" w:cs="Shruti"/>
          <w:szCs w:val="22"/>
        </w:rPr>
        <w:t>”</w:t>
      </w:r>
      <w:r w:rsidRPr="00F67AE0">
        <w:rPr>
          <w:rFonts w:asciiTheme="minorHAnsi" w:eastAsiaTheme="minorHAnsi" w:hAnsiTheme="minorHAnsi" w:cs="Shruti"/>
          <w:szCs w:val="22"/>
        </w:rPr>
        <w:t xml:space="preserve"> </w:t>
      </w:r>
    </w:p>
    <w:p w:rsidR="00F67AE0" w:rsidRPr="00F67AE0" w:rsidRDefault="00F67AE0" w:rsidP="00F67AE0">
      <w:pPr>
        <w:numPr>
          <w:ilvl w:val="0"/>
          <w:numId w:val="49"/>
        </w:numPr>
        <w:autoSpaceDE w:val="0"/>
        <w:autoSpaceDN w:val="0"/>
        <w:spacing w:before="0" w:after="120" w:line="360" w:lineRule="auto"/>
        <w:contextualSpacing/>
        <w:jc w:val="left"/>
        <w:rPr>
          <w:rFonts w:asciiTheme="minorHAnsi" w:eastAsiaTheme="minorHAnsi" w:hAnsiTheme="minorHAnsi" w:cs="Shruti"/>
          <w:szCs w:val="22"/>
        </w:rPr>
      </w:pPr>
      <w:r>
        <w:rPr>
          <w:rFonts w:asciiTheme="minorHAnsi" w:eastAsiaTheme="minorHAnsi" w:hAnsiTheme="minorHAnsi" w:cs="Shruti"/>
          <w:szCs w:val="22"/>
        </w:rPr>
        <w:t>“</w:t>
      </w:r>
      <w:r w:rsidRPr="00F67AE0">
        <w:rPr>
          <w:rFonts w:asciiTheme="minorHAnsi" w:eastAsiaTheme="minorHAnsi" w:hAnsiTheme="minorHAnsi" w:cs="Shruti"/>
          <w:szCs w:val="22"/>
        </w:rPr>
        <w:t>Have you ever tried to cut down or give up gambling or any of these activities?</w:t>
      </w:r>
      <w:r>
        <w:rPr>
          <w:rFonts w:asciiTheme="minorHAnsi" w:eastAsiaTheme="minorHAnsi" w:hAnsiTheme="minorHAnsi" w:cs="Shruti"/>
          <w:szCs w:val="22"/>
        </w:rPr>
        <w:t>”</w:t>
      </w:r>
      <w:r w:rsidRPr="00F67AE0">
        <w:rPr>
          <w:rFonts w:asciiTheme="minorHAnsi" w:eastAsiaTheme="minorHAnsi" w:hAnsiTheme="minorHAnsi" w:cs="Shruti"/>
          <w:szCs w:val="22"/>
        </w:rPr>
        <w:t xml:space="preserve"> </w:t>
      </w:r>
    </w:p>
    <w:p w:rsidR="00F67AE0" w:rsidRPr="00F67AE0" w:rsidRDefault="00F67AE0" w:rsidP="00F67AE0">
      <w:pPr>
        <w:numPr>
          <w:ilvl w:val="0"/>
          <w:numId w:val="49"/>
        </w:numPr>
        <w:autoSpaceDE w:val="0"/>
        <w:autoSpaceDN w:val="0"/>
        <w:spacing w:before="0" w:after="120" w:line="360" w:lineRule="auto"/>
        <w:contextualSpacing/>
        <w:jc w:val="left"/>
        <w:rPr>
          <w:rFonts w:asciiTheme="minorHAnsi" w:eastAsiaTheme="minorHAnsi" w:hAnsiTheme="minorHAnsi" w:cs="Shruti"/>
          <w:szCs w:val="22"/>
        </w:rPr>
      </w:pPr>
      <w:r>
        <w:rPr>
          <w:rFonts w:asciiTheme="minorHAnsi" w:eastAsiaTheme="minorHAnsi" w:hAnsiTheme="minorHAnsi" w:cs="Shruti"/>
          <w:szCs w:val="22"/>
        </w:rPr>
        <w:t>“</w:t>
      </w:r>
      <w:r w:rsidRPr="00F67AE0">
        <w:rPr>
          <w:rFonts w:asciiTheme="minorHAnsi" w:eastAsiaTheme="minorHAnsi" w:hAnsiTheme="minorHAnsi" w:cs="Shruti"/>
          <w:szCs w:val="22"/>
        </w:rPr>
        <w:t>If you had problems or concerns because of your gambling, who would you go to for help? (you may choose as many as you need)</w:t>
      </w:r>
      <w:r>
        <w:rPr>
          <w:rFonts w:asciiTheme="minorHAnsi" w:eastAsiaTheme="minorHAnsi" w:hAnsiTheme="minorHAnsi" w:cs="Shruti"/>
          <w:szCs w:val="22"/>
        </w:rPr>
        <w:t>”</w:t>
      </w:r>
      <w:r w:rsidRPr="00F67AE0">
        <w:rPr>
          <w:rFonts w:asciiTheme="minorHAnsi" w:eastAsiaTheme="minorHAnsi" w:hAnsiTheme="minorHAnsi" w:cs="Shruti"/>
          <w:szCs w:val="22"/>
        </w:rPr>
        <w:t xml:space="preserve"> </w:t>
      </w:r>
    </w:p>
    <w:p w:rsidR="00F67AE0" w:rsidRPr="00F67AE0" w:rsidRDefault="00F67AE0" w:rsidP="00F67AE0">
      <w:pPr>
        <w:numPr>
          <w:ilvl w:val="0"/>
          <w:numId w:val="49"/>
        </w:numPr>
        <w:autoSpaceDE w:val="0"/>
        <w:autoSpaceDN w:val="0"/>
        <w:spacing w:before="0" w:after="120" w:line="360" w:lineRule="auto"/>
        <w:contextualSpacing/>
        <w:jc w:val="left"/>
        <w:rPr>
          <w:rFonts w:asciiTheme="minorHAnsi" w:eastAsiaTheme="minorHAnsi" w:hAnsiTheme="minorHAnsi" w:cs="Shruti"/>
          <w:szCs w:val="22"/>
        </w:rPr>
      </w:pPr>
      <w:r>
        <w:rPr>
          <w:rFonts w:asciiTheme="minorHAnsi" w:eastAsiaTheme="minorHAnsi" w:hAnsiTheme="minorHAnsi" w:cs="Shruti"/>
          <w:szCs w:val="22"/>
        </w:rPr>
        <w:t>“</w:t>
      </w:r>
      <w:r w:rsidRPr="00F67AE0">
        <w:rPr>
          <w:rFonts w:asciiTheme="minorHAnsi" w:eastAsiaTheme="minorHAnsi" w:hAnsiTheme="minorHAnsi" w:cs="Shruti"/>
          <w:szCs w:val="22"/>
        </w:rPr>
        <w:t>Do you ever worry or feel anxious about how much money or time other people you live with (parents and family), spend on gambling or any of these activities?</w:t>
      </w:r>
      <w:r>
        <w:rPr>
          <w:rFonts w:asciiTheme="minorHAnsi" w:eastAsiaTheme="minorHAnsi" w:hAnsiTheme="minorHAnsi" w:cs="Shruti"/>
          <w:szCs w:val="22"/>
        </w:rPr>
        <w:t>”</w:t>
      </w:r>
      <w:r w:rsidRPr="00F67AE0">
        <w:rPr>
          <w:rFonts w:asciiTheme="minorHAnsi" w:eastAsiaTheme="minorHAnsi" w:hAnsiTheme="minorHAnsi" w:cs="Shruti"/>
          <w:szCs w:val="22"/>
        </w:rPr>
        <w:t xml:space="preserve"> </w:t>
      </w:r>
    </w:p>
    <w:p w:rsidR="00F67AE0" w:rsidRPr="00F67AE0" w:rsidRDefault="00F67AE0" w:rsidP="00F67AE0">
      <w:pPr>
        <w:numPr>
          <w:ilvl w:val="0"/>
          <w:numId w:val="49"/>
        </w:numPr>
        <w:autoSpaceDE w:val="0"/>
        <w:autoSpaceDN w:val="0"/>
        <w:spacing w:before="0" w:after="120" w:line="360" w:lineRule="auto"/>
        <w:contextualSpacing/>
        <w:jc w:val="left"/>
        <w:rPr>
          <w:rFonts w:asciiTheme="minorHAnsi" w:eastAsiaTheme="minorHAnsi" w:hAnsiTheme="minorHAnsi" w:cs="Shruti"/>
          <w:szCs w:val="22"/>
        </w:rPr>
      </w:pPr>
      <w:r>
        <w:rPr>
          <w:rFonts w:asciiTheme="minorHAnsi" w:eastAsiaTheme="minorHAnsi" w:hAnsiTheme="minorHAnsi" w:cs="Shruti"/>
          <w:szCs w:val="22"/>
        </w:rPr>
        <w:t>“</w:t>
      </w:r>
      <w:r w:rsidRPr="00F67AE0">
        <w:rPr>
          <w:rFonts w:asciiTheme="minorHAnsi" w:eastAsiaTheme="minorHAnsi" w:hAnsiTheme="minorHAnsi" w:cs="Shruti"/>
          <w:szCs w:val="22"/>
        </w:rPr>
        <w:t xml:space="preserve">How many times in the last 12 months have these things happened in your family because of someone else’s gambling… </w:t>
      </w:r>
    </w:p>
    <w:p w:rsidR="00F67AE0" w:rsidRPr="00F67AE0" w:rsidRDefault="00F67AE0" w:rsidP="00F67AE0">
      <w:pPr>
        <w:numPr>
          <w:ilvl w:val="1"/>
          <w:numId w:val="50"/>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t>Had arguments or fights about time or money spent on betting or gambling</w:t>
      </w:r>
      <w:r w:rsidR="00AE7DDD">
        <w:rPr>
          <w:rFonts w:asciiTheme="minorHAnsi" w:eastAsiaTheme="minorHAnsi" w:hAnsiTheme="minorHAnsi" w:cs="Shruti"/>
          <w:szCs w:val="22"/>
        </w:rPr>
        <w:t>?</w:t>
      </w:r>
      <w:r w:rsidRPr="00F67AE0">
        <w:rPr>
          <w:rFonts w:asciiTheme="minorHAnsi" w:eastAsiaTheme="minorHAnsi" w:hAnsiTheme="minorHAnsi" w:cs="Shruti"/>
          <w:szCs w:val="22"/>
        </w:rPr>
        <w:t xml:space="preserve"> </w:t>
      </w:r>
    </w:p>
    <w:p w:rsidR="00F67AE0" w:rsidRPr="00F67AE0" w:rsidRDefault="00F67AE0" w:rsidP="00F67AE0">
      <w:pPr>
        <w:numPr>
          <w:ilvl w:val="1"/>
          <w:numId w:val="50"/>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t>We had to go without something we needed (e.g. food) because too much money was spent on gambling or betting</w:t>
      </w:r>
      <w:r w:rsidR="00AE7DDD">
        <w:rPr>
          <w:rFonts w:asciiTheme="minorHAnsi" w:eastAsiaTheme="minorHAnsi" w:hAnsiTheme="minorHAnsi" w:cs="Shruti"/>
          <w:szCs w:val="22"/>
        </w:rPr>
        <w:t>?</w:t>
      </w:r>
      <w:r w:rsidRPr="00F67AE0">
        <w:rPr>
          <w:rFonts w:asciiTheme="minorHAnsi" w:eastAsiaTheme="minorHAnsi" w:hAnsiTheme="minorHAnsi" w:cs="Shruti"/>
          <w:szCs w:val="22"/>
        </w:rPr>
        <w:t xml:space="preserve"> </w:t>
      </w:r>
    </w:p>
    <w:p w:rsidR="00F67AE0" w:rsidRPr="00F67AE0" w:rsidRDefault="00F67AE0" w:rsidP="00F67AE0">
      <w:pPr>
        <w:numPr>
          <w:ilvl w:val="1"/>
          <w:numId w:val="50"/>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t>Some bills weren’t paid because too much money was spent on gambling or betting</w:t>
      </w:r>
      <w:r w:rsidR="00AE7DDD">
        <w:rPr>
          <w:rFonts w:asciiTheme="minorHAnsi" w:eastAsiaTheme="minorHAnsi" w:hAnsiTheme="minorHAnsi" w:cs="Shruti"/>
          <w:szCs w:val="22"/>
        </w:rPr>
        <w:t>?</w:t>
      </w:r>
      <w:r w:rsidRPr="00F67AE0">
        <w:rPr>
          <w:rFonts w:asciiTheme="minorHAnsi" w:eastAsiaTheme="minorHAnsi" w:hAnsiTheme="minorHAnsi" w:cs="Shruti"/>
          <w:szCs w:val="22"/>
        </w:rPr>
        <w:t xml:space="preserve"> </w:t>
      </w:r>
    </w:p>
    <w:p w:rsidR="00005701" w:rsidRPr="00F67AE0" w:rsidRDefault="00F67AE0" w:rsidP="00F67AE0">
      <w:pPr>
        <w:numPr>
          <w:ilvl w:val="1"/>
          <w:numId w:val="50"/>
        </w:numPr>
        <w:autoSpaceDE w:val="0"/>
        <w:autoSpaceDN w:val="0"/>
        <w:spacing w:before="0" w:after="120" w:line="360" w:lineRule="auto"/>
        <w:contextualSpacing/>
        <w:jc w:val="left"/>
        <w:rPr>
          <w:rFonts w:asciiTheme="minorHAnsi" w:eastAsiaTheme="minorHAnsi" w:hAnsiTheme="minorHAnsi" w:cs="Shruti"/>
          <w:szCs w:val="22"/>
        </w:rPr>
      </w:pPr>
      <w:r w:rsidRPr="00F67AE0">
        <w:rPr>
          <w:rFonts w:asciiTheme="minorHAnsi" w:eastAsiaTheme="minorHAnsi" w:hAnsiTheme="minorHAnsi" w:cs="Shruti"/>
          <w:szCs w:val="22"/>
        </w:rPr>
        <w:t xml:space="preserve">They did things that could have got them into serious trouble (e.g. stealing) because </w:t>
      </w:r>
      <w:r>
        <w:rPr>
          <w:rFonts w:asciiTheme="minorHAnsi" w:eastAsiaTheme="minorHAnsi" w:hAnsiTheme="minorHAnsi" w:cs="Shruti"/>
          <w:szCs w:val="22"/>
        </w:rPr>
        <w:t>of gambling or these activities</w:t>
      </w:r>
      <w:r w:rsidR="00AE7DDD">
        <w:rPr>
          <w:rFonts w:asciiTheme="minorHAnsi" w:eastAsiaTheme="minorHAnsi" w:hAnsiTheme="minorHAnsi" w:cs="Shruti"/>
          <w:szCs w:val="22"/>
        </w:rPr>
        <w:t>?</w:t>
      </w:r>
      <w:r>
        <w:rPr>
          <w:rFonts w:asciiTheme="minorHAnsi" w:eastAsiaTheme="minorHAnsi" w:hAnsiTheme="minorHAnsi" w:cs="Shruti"/>
          <w:szCs w:val="22"/>
        </w:rPr>
        <w:t>”</w:t>
      </w:r>
    </w:p>
    <w:p w:rsidR="00005701" w:rsidRDefault="009015DD" w:rsidP="0042130F">
      <w:pPr>
        <w:pStyle w:val="BodyText"/>
      </w:pPr>
      <w:r>
        <w:t>The flowchart i</w:t>
      </w:r>
      <w:r w:rsidRPr="00943745">
        <w:t xml:space="preserve">n </w:t>
      </w:r>
      <w:r w:rsidR="005B0336">
        <w:t xml:space="preserve">Figure 1 </w:t>
      </w:r>
      <w:r>
        <w:t>provides an overview of the gambling questions, including their order in the questionnaire and the branching design.</w:t>
      </w:r>
    </w:p>
    <w:p w:rsidR="00B2239E" w:rsidRDefault="00B2239E">
      <w:pPr>
        <w:spacing w:before="0" w:after="200" w:line="276" w:lineRule="auto"/>
        <w:jc w:val="left"/>
        <w:rPr>
          <w:rFonts w:asciiTheme="minorHAnsi" w:hAnsiTheme="minorHAnsi" w:cstheme="minorHAnsi"/>
          <w:b/>
          <w:bCs/>
          <w:i/>
          <w:sz w:val="20"/>
          <w:szCs w:val="20"/>
        </w:rPr>
      </w:pPr>
      <w:bookmarkStart w:id="93" w:name="_Ref349740561"/>
      <w:r>
        <w:rPr>
          <w:rFonts w:asciiTheme="minorHAnsi" w:hAnsiTheme="minorHAnsi" w:cstheme="minorHAnsi"/>
          <w:i/>
        </w:rPr>
        <w:br w:type="page"/>
      </w:r>
    </w:p>
    <w:p w:rsidR="00043311" w:rsidRPr="00E11FA5" w:rsidRDefault="00043311" w:rsidP="0042130F">
      <w:pPr>
        <w:pStyle w:val="Caption"/>
        <w:keepNext/>
        <w:spacing w:line="276" w:lineRule="auto"/>
        <w:jc w:val="left"/>
        <w:rPr>
          <w:rFonts w:asciiTheme="minorHAnsi" w:hAnsiTheme="minorHAnsi" w:cstheme="minorHAnsi"/>
          <w:i/>
        </w:rPr>
      </w:pPr>
      <w:bookmarkStart w:id="94" w:name="_Toc367285517"/>
      <w:r w:rsidRPr="00E11FA5">
        <w:rPr>
          <w:rFonts w:asciiTheme="minorHAnsi" w:hAnsiTheme="minorHAnsi" w:cstheme="minorHAnsi"/>
          <w:i/>
        </w:rPr>
        <w:lastRenderedPageBreak/>
        <w:t xml:space="preserve">Figure </w:t>
      </w:r>
      <w:r w:rsidR="007B447B" w:rsidRPr="00E11FA5">
        <w:rPr>
          <w:rFonts w:asciiTheme="minorHAnsi" w:hAnsiTheme="minorHAnsi" w:cstheme="minorHAnsi"/>
          <w:i/>
        </w:rPr>
        <w:fldChar w:fldCharType="begin"/>
      </w:r>
      <w:r w:rsidRPr="00E11FA5">
        <w:rPr>
          <w:rFonts w:asciiTheme="minorHAnsi" w:hAnsiTheme="minorHAnsi" w:cstheme="minorHAnsi"/>
          <w:i/>
        </w:rPr>
        <w:instrText xml:space="preserve"> SEQ Figure \* ARABIC </w:instrText>
      </w:r>
      <w:r w:rsidR="007B447B" w:rsidRPr="00E11FA5">
        <w:rPr>
          <w:rFonts w:asciiTheme="minorHAnsi" w:hAnsiTheme="minorHAnsi" w:cstheme="minorHAnsi"/>
          <w:i/>
        </w:rPr>
        <w:fldChar w:fldCharType="separate"/>
      </w:r>
      <w:r w:rsidR="009E3D1C">
        <w:rPr>
          <w:rFonts w:asciiTheme="minorHAnsi" w:hAnsiTheme="minorHAnsi" w:cstheme="minorHAnsi"/>
          <w:i/>
          <w:noProof/>
        </w:rPr>
        <w:t>1</w:t>
      </w:r>
      <w:r w:rsidR="007B447B" w:rsidRPr="00E11FA5">
        <w:rPr>
          <w:rFonts w:asciiTheme="minorHAnsi" w:hAnsiTheme="minorHAnsi" w:cstheme="minorHAnsi"/>
          <w:i/>
        </w:rPr>
        <w:fldChar w:fldCharType="end"/>
      </w:r>
      <w:bookmarkEnd w:id="93"/>
      <w:r w:rsidRPr="00E11FA5">
        <w:rPr>
          <w:rFonts w:asciiTheme="minorHAnsi" w:hAnsiTheme="minorHAnsi" w:cstheme="minorHAnsi"/>
          <w:i/>
        </w:rPr>
        <w:t>: Flowchart of Youth’12 gambling questions</w:t>
      </w:r>
      <w:bookmarkEnd w:id="94"/>
    </w:p>
    <w:tbl>
      <w:tblPr>
        <w:tblStyle w:val="TableGrid3"/>
        <w:tblW w:w="0" w:type="auto"/>
        <w:tblInd w:w="392" w:type="dxa"/>
        <w:tblLook w:val="04A0" w:firstRow="1" w:lastRow="0" w:firstColumn="1" w:lastColumn="0" w:noHBand="0" w:noVBand="1"/>
      </w:tblPr>
      <w:tblGrid>
        <w:gridCol w:w="5760"/>
        <w:gridCol w:w="497"/>
        <w:gridCol w:w="3773"/>
      </w:tblGrid>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bookmarkStart w:id="95" w:name="_Ref366141799"/>
            <w:r w:rsidRPr="00B2239E">
              <w:rPr>
                <w:rFonts w:asciiTheme="minorHAnsi" w:eastAsiaTheme="minorHAnsi" w:hAnsiTheme="minorHAnsi" w:cstheme="minorBidi"/>
                <w:b/>
                <w:sz w:val="20"/>
                <w:szCs w:val="20"/>
              </w:rPr>
              <w:t>Activities that are okay to play or do</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Activities that friends gamble on</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Activities that parents gamble on</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Activities that student gambles on, including frequency</w:t>
            </w:r>
          </w:p>
        </w:tc>
        <w:tc>
          <w:tcPr>
            <w:tcW w:w="507" w:type="dxa"/>
            <w:tcBorders>
              <w:top w:val="single" w:sz="4" w:space="0" w:color="FFFFFF" w:themeColor="background1"/>
              <w:bottom w:val="single" w:sz="4" w:space="0" w:color="FFFFFF" w:themeColor="background1"/>
            </w:tcBorders>
            <w:vAlign w:val="center"/>
          </w:tcPr>
          <w:p w:rsidR="00B2239E" w:rsidRPr="00B2239E" w:rsidRDefault="00082F17" w:rsidP="00B2239E">
            <w:pPr>
              <w:spacing w:before="0" w:line="240" w:lineRule="auto"/>
              <w:jc w:val="center"/>
              <w:rPr>
                <w:rFonts w:asciiTheme="minorHAnsi" w:eastAsiaTheme="minorHAnsi" w:hAnsiTheme="minorHAnsi" w:cstheme="minorBidi"/>
                <w:b/>
              </w:rPr>
            </w:pPr>
            <w:r>
              <w:rPr>
                <w:rFonts w:asciiTheme="minorHAnsi" w:eastAsiaTheme="minorHAnsi" w:hAnsiTheme="minorHAnsi" w:cstheme="minorBidi"/>
                <w:b/>
                <w:noProof/>
                <w:lang w:eastAsia="en-NZ"/>
              </w:rPr>
              <w:pict>
                <v:shapetype id="_x0000_t32" coordsize="21600,21600" o:spt="32" o:oned="t" path="m,l21600,21600e" filled="f">
                  <v:path arrowok="t" fillok="f" o:connecttype="none"/>
                  <o:lock v:ext="edit" shapetype="t"/>
                </v:shapetype>
                <v:shape id="Straight Arrow Connector 29" o:spid="_x0000_s1035" type="#_x0000_t32" style="position:absolute;left:0;text-align:left;margin-left:-.5pt;margin-top:14.8pt;width:17.55pt;height:0;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" strokecolor="windowText" strokeweight="1pt">
                  <v:stroke endarrow="open"/>
                </v:shape>
              </w:pict>
            </w:r>
          </w:p>
        </w:tc>
        <w:tc>
          <w:tcPr>
            <w:tcW w:w="3874" w:type="dxa"/>
            <w:vAlign w:val="center"/>
          </w:tcPr>
          <w:p w:rsidR="00B2239E" w:rsidRPr="00B2239E" w:rsidRDefault="00B2239E" w:rsidP="00B2239E">
            <w:pPr>
              <w:spacing w:before="0" w:line="240" w:lineRule="auto"/>
              <w:jc w:val="center"/>
              <w:rPr>
                <w:rFonts w:asciiTheme="minorHAnsi" w:eastAsiaTheme="minorHAnsi" w:hAnsiTheme="minorHAnsi" w:cstheme="minorBidi"/>
                <w:b/>
                <w:sz w:val="18"/>
              </w:rPr>
            </w:pPr>
            <w:r w:rsidRPr="00B2239E">
              <w:rPr>
                <w:rFonts w:asciiTheme="minorHAnsi" w:eastAsiaTheme="minorHAnsi" w:hAnsiTheme="minorHAnsi" w:cstheme="minorBidi"/>
                <w:sz w:val="20"/>
              </w:rPr>
              <w:t>If answered ‘</w:t>
            </w:r>
            <w:r w:rsidRPr="00B2239E">
              <w:rPr>
                <w:rFonts w:asciiTheme="minorHAnsi" w:eastAsiaTheme="minorHAnsi" w:hAnsiTheme="minorHAnsi" w:cstheme="minorBidi"/>
                <w:i/>
                <w:sz w:val="20"/>
              </w:rPr>
              <w:t>Never’</w:t>
            </w:r>
            <w:r w:rsidRPr="00B2239E">
              <w:rPr>
                <w:rFonts w:asciiTheme="minorHAnsi" w:eastAsiaTheme="minorHAnsi" w:hAnsiTheme="minorHAnsi" w:cstheme="minorBidi"/>
                <w:sz w:val="20"/>
              </w:rPr>
              <w:t xml:space="preserve"> or ‘</w:t>
            </w:r>
            <w:r w:rsidRPr="00B2239E">
              <w:rPr>
                <w:rFonts w:asciiTheme="minorHAnsi" w:eastAsiaTheme="minorHAnsi" w:hAnsiTheme="minorHAnsi" w:cstheme="minorBidi"/>
                <w:i/>
                <w:sz w:val="20"/>
              </w:rPr>
              <w:t>Not in the past 12 months</w:t>
            </w:r>
            <w:r w:rsidRPr="00B2239E">
              <w:rPr>
                <w:rFonts w:asciiTheme="minorHAnsi" w:eastAsiaTheme="minorHAnsi" w:hAnsiTheme="minorHAnsi" w:cstheme="minorBidi"/>
                <w:sz w:val="20"/>
              </w:rPr>
              <w:t xml:space="preserve">’ </w:t>
            </w:r>
            <w:r w:rsidRPr="00B2239E">
              <w:rPr>
                <w:rFonts w:asciiTheme="minorHAnsi" w:eastAsiaTheme="minorHAnsi" w:hAnsiTheme="minorHAnsi" w:cstheme="minorBidi"/>
                <w:b/>
                <w:sz w:val="20"/>
              </w:rPr>
              <w:t>GO TO Impacts in family</w:t>
            </w: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082F17" w:rsidP="00B2239E">
            <w:pPr>
              <w:spacing w:before="0" w:line="240" w:lineRule="auto"/>
              <w:jc w:val="center"/>
              <w:rPr>
                <w:rFonts w:asciiTheme="minorHAnsi" w:eastAsiaTheme="minorHAnsi" w:hAnsiTheme="minorHAnsi" w:cstheme="minorBidi"/>
              </w:rPr>
            </w:pPr>
            <w:r>
              <w:rPr>
                <w:rFonts w:asciiTheme="minorHAnsi" w:eastAsiaTheme="minorHAnsi" w:hAnsiTheme="minorHAnsi" w:cstheme="minorBidi"/>
                <w:noProof/>
                <w:lang w:eastAsia="en-NZ"/>
              </w:rPr>
              <w:pict>
                <v:shape id="Straight Arrow Connector 30" o:spid="_x0000_s1037" type="#_x0000_t32" style="position:absolute;left:0;text-align:left;margin-left:92.65pt;margin-top:3.35pt;width:0;height:384.2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" strokecolor="windowText" strokeweight="1.25pt"/>
              </w:pict>
            </w: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Money spent on gambling each week</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tabs>
                <w:tab w:val="left" w:pos="989"/>
                <w:tab w:val="center" w:pos="1363"/>
              </w:tabs>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Money spent on gambling each day</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Who does student gamble with</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Reasons for gambling</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6F20B0">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 xml:space="preserve">Problem indicators – student gambling </w:t>
            </w:r>
            <w:r w:rsidR="006F20B0" w:rsidRPr="006F20B0">
              <w:rPr>
                <w:rFonts w:asciiTheme="minorHAnsi" w:eastAsiaTheme="minorHAnsi" w:hAnsiTheme="minorHAnsi" w:cstheme="minorBidi"/>
                <w:b/>
                <w:sz w:val="20"/>
                <w:szCs w:val="20"/>
                <w:vertAlign w:val="superscript"/>
              </w:rPr>
              <w:t>1</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Worried about time or money spent gambling</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Tried to cut down or give up gambling</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Help-seeking</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Worried about the time or money that parents spend on gambling</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284"/>
        </w:trPr>
        <w:tc>
          <w:tcPr>
            <w:tcW w:w="5932" w:type="dxa"/>
            <w:tcBorders>
              <w:left w:val="nil"/>
              <w:bottom w:val="single" w:sz="4" w:space="0" w:color="auto"/>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sz w:val="20"/>
                <w:szCs w:val="20"/>
              </w:rPr>
            </w:pPr>
            <w:r w:rsidRPr="00B2239E">
              <w:rPr>
                <w:rFonts w:asciiTheme="minorHAnsi" w:eastAsiaTheme="minorHAnsi" w:hAnsiTheme="minorHAnsi" w:cstheme="minorHAnsi"/>
                <w:b/>
                <w:sz w:val="20"/>
                <w:szCs w:val="20"/>
              </w:rPr>
              <w:t>↓</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r w:rsidR="00B2239E" w:rsidRPr="00B2239E" w:rsidTr="00B2239E">
        <w:trPr>
          <w:trHeight w:hRule="exact" w:val="510"/>
        </w:trPr>
        <w:tc>
          <w:tcPr>
            <w:tcW w:w="5932" w:type="dxa"/>
            <w:tcBorders>
              <w:left w:val="single" w:sz="4" w:space="0" w:color="auto"/>
            </w:tcBorders>
            <w:vAlign w:val="center"/>
          </w:tcPr>
          <w:p w:rsidR="00B2239E" w:rsidRPr="00B2239E" w:rsidRDefault="00B2239E" w:rsidP="00B2239E">
            <w:pPr>
              <w:spacing w:before="0" w:line="240" w:lineRule="auto"/>
              <w:jc w:val="center"/>
              <w:rPr>
                <w:rFonts w:asciiTheme="minorHAnsi" w:eastAsiaTheme="minorHAnsi" w:hAnsiTheme="minorHAnsi" w:cstheme="minorBidi"/>
                <w:b/>
                <w:sz w:val="20"/>
                <w:szCs w:val="20"/>
              </w:rPr>
            </w:pPr>
            <w:r w:rsidRPr="00B2239E">
              <w:rPr>
                <w:rFonts w:asciiTheme="minorHAnsi" w:eastAsiaTheme="minorHAnsi" w:hAnsiTheme="minorHAnsi" w:cstheme="minorBidi"/>
                <w:b/>
                <w:sz w:val="20"/>
                <w:szCs w:val="20"/>
              </w:rPr>
              <w:t>Impacts in family because of someone else’s gambling</w:t>
            </w:r>
          </w:p>
        </w:tc>
        <w:tc>
          <w:tcPr>
            <w:tcW w:w="507" w:type="dxa"/>
            <w:tcBorders>
              <w:top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082F17" w:rsidP="00B2239E">
            <w:pPr>
              <w:spacing w:before="0" w:line="240" w:lineRule="auto"/>
              <w:jc w:val="center"/>
              <w:rPr>
                <w:rFonts w:asciiTheme="minorHAnsi" w:eastAsiaTheme="minorHAnsi" w:hAnsiTheme="minorHAnsi" w:cstheme="minorBidi"/>
              </w:rPr>
            </w:pPr>
            <w:r>
              <w:rPr>
                <w:rFonts w:asciiTheme="minorHAnsi" w:eastAsiaTheme="minorHAnsi" w:hAnsiTheme="minorHAnsi" w:cstheme="minorBidi"/>
                <w:noProof/>
                <w:lang w:eastAsia="en-NZ"/>
              </w:rPr>
              <w:pict>
                <v:shape id="Straight Arrow Connector 31" o:spid="_x0000_s1036" type="#_x0000_t32" style="position:absolute;left:0;text-align:left;margin-left:-.55pt;margin-top:13.55pt;width:118pt;height:0;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" strokecolor="windowText" strokeweight="1.25pt">
                  <v:stroke startarrow="block"/>
                </v:shape>
              </w:pict>
            </w:r>
          </w:p>
        </w:tc>
        <w:tc>
          <w:tcPr>
            <w:tcW w:w="3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239E" w:rsidRPr="00B2239E" w:rsidRDefault="00B2239E" w:rsidP="00B2239E">
            <w:pPr>
              <w:spacing w:before="0" w:line="240" w:lineRule="auto"/>
              <w:jc w:val="center"/>
              <w:rPr>
                <w:rFonts w:asciiTheme="minorHAnsi" w:eastAsiaTheme="minorHAnsi" w:hAnsiTheme="minorHAnsi" w:cstheme="minorBidi"/>
              </w:rPr>
            </w:pPr>
          </w:p>
        </w:tc>
      </w:tr>
    </w:tbl>
    <w:p w:rsidR="006F20B0" w:rsidRDefault="006F20B0" w:rsidP="006F20B0">
      <w:pPr>
        <w:spacing w:before="0" w:line="240" w:lineRule="auto"/>
        <w:jc w:val="left"/>
        <w:rPr>
          <w:rFonts w:asciiTheme="minorHAnsi" w:hAnsiTheme="minorHAnsi"/>
          <w:sz w:val="20"/>
        </w:rPr>
      </w:pPr>
    </w:p>
    <w:p w:rsidR="006F20B0" w:rsidRDefault="006F20B0" w:rsidP="006F20B0">
      <w:pPr>
        <w:spacing w:before="0" w:line="240" w:lineRule="auto"/>
        <w:jc w:val="left"/>
        <w:rPr>
          <w:rFonts w:asciiTheme="minorHAnsi" w:hAnsiTheme="minorHAnsi"/>
          <w:sz w:val="20"/>
        </w:rPr>
      </w:pPr>
      <w:r w:rsidRPr="006F20B0">
        <w:rPr>
          <w:rFonts w:asciiTheme="minorHAnsi" w:hAnsiTheme="minorHAnsi"/>
          <w:sz w:val="20"/>
        </w:rPr>
        <w:t xml:space="preserve">Note: </w:t>
      </w:r>
    </w:p>
    <w:p w:rsidR="006F20B0" w:rsidRPr="006F20B0" w:rsidRDefault="006F20B0" w:rsidP="006F20B0">
      <w:pPr>
        <w:pStyle w:val="FootnoteText"/>
        <w:numPr>
          <w:ilvl w:val="2"/>
          <w:numId w:val="46"/>
        </w:numPr>
        <w:spacing w:line="240" w:lineRule="auto"/>
        <w:ind w:left="426"/>
        <w:rPr>
          <w:rFonts w:asciiTheme="minorHAnsi" w:hAnsiTheme="minorHAnsi"/>
        </w:rPr>
      </w:pPr>
      <w:r w:rsidRPr="006F20B0">
        <w:rPr>
          <w:rFonts w:asciiTheme="minorHAnsi" w:hAnsiTheme="minorHAnsi" w:cstheme="minorHAnsi"/>
        </w:rPr>
        <w:t>Due to a technological error, this question (five indicators of problematic student gambling) was inconsistently coded and subsequently omitted from the questionnaire. As such, data relating to this item have not been reported on or analysed.</w:t>
      </w:r>
    </w:p>
    <w:p w:rsidR="006F20B0" w:rsidRDefault="006F20B0">
      <w:pPr>
        <w:spacing w:before="0" w:after="200" w:line="276" w:lineRule="auto"/>
        <w:jc w:val="left"/>
        <w:rPr>
          <w:rFonts w:asciiTheme="minorHAnsi" w:hAnsiTheme="minorHAnsi" w:cstheme="minorHAnsi"/>
          <w:b/>
          <w:iCs/>
          <w:color w:val="1F497D"/>
          <w:szCs w:val="26"/>
        </w:rPr>
      </w:pPr>
    </w:p>
    <w:p w:rsidR="006536C4" w:rsidRPr="00644D9E" w:rsidRDefault="006536C4" w:rsidP="006536C4">
      <w:pPr>
        <w:pStyle w:val="Heading3"/>
      </w:pPr>
      <w:bookmarkStart w:id="96" w:name="_Ref367283518"/>
      <w:bookmarkStart w:id="97" w:name="_Toc367284416"/>
      <w:r>
        <w:lastRenderedPageBreak/>
        <w:t>Health related items</w:t>
      </w:r>
      <w:bookmarkEnd w:id="96"/>
      <w:bookmarkEnd w:id="97"/>
      <w:r w:rsidRPr="00644D9E">
        <w:t xml:space="preserve"> </w:t>
      </w:r>
    </w:p>
    <w:p w:rsidR="006536C4" w:rsidRDefault="006536C4" w:rsidP="006536C4">
      <w:pPr>
        <w:pStyle w:val="BodyText"/>
      </w:pPr>
      <w:r>
        <w:t>In addition to the previously defined variables, the following standardised measures from the Youth’12 survey were analysed in relation to youth gambling:</w:t>
      </w:r>
    </w:p>
    <w:p w:rsidR="006536C4" w:rsidRDefault="006536C4" w:rsidP="006536C4">
      <w:pPr>
        <w:pStyle w:val="BodyText"/>
        <w:numPr>
          <w:ilvl w:val="0"/>
          <w:numId w:val="26"/>
        </w:numPr>
      </w:pPr>
      <w:r w:rsidRPr="00434CE2">
        <w:rPr>
          <w:i/>
        </w:rPr>
        <w:t xml:space="preserve">Depression: </w:t>
      </w:r>
      <w:r>
        <w:t xml:space="preserve">The </w:t>
      </w:r>
      <w:r w:rsidRPr="00434CE2">
        <w:t>Reynolds Adolescent Depr</w:t>
      </w:r>
      <w:r w:rsidR="006B134C">
        <w:t>ession Scale, Short Form (RADS-</w:t>
      </w:r>
      <w:r w:rsidRPr="00434CE2">
        <w:t>SF)</w:t>
      </w:r>
      <w:r>
        <w:t xml:space="preserve"> was used to measure symptoms of depression – a score of </w:t>
      </w:r>
      <w:r w:rsidRPr="00434CE2">
        <w:rPr>
          <w:rFonts w:cs="Calibri"/>
          <w:sz w:val="20"/>
        </w:rPr>
        <w:t>≥</w:t>
      </w:r>
      <w:r w:rsidRPr="00434CE2">
        <w:rPr>
          <w:rFonts w:ascii="Verdana" w:hAnsi="Verdana"/>
          <w:sz w:val="20"/>
        </w:rPr>
        <w:t xml:space="preserve">28 indicated </w:t>
      </w:r>
      <w:r>
        <w:t xml:space="preserve">significant depressive symptoms. This cut-off score was based on a previous evaluation of the </w:t>
      </w:r>
      <w:r w:rsidRPr="00434CE2">
        <w:t>Reynolds Adolescent Depression Scale</w:t>
      </w:r>
      <w:r>
        <w:t xml:space="preserve"> in New Zealand adolescents (Milfont et al., 2008).</w:t>
      </w:r>
    </w:p>
    <w:p w:rsidR="006536C4" w:rsidRDefault="006536C4" w:rsidP="006536C4">
      <w:pPr>
        <w:pStyle w:val="BodyText"/>
        <w:numPr>
          <w:ilvl w:val="0"/>
          <w:numId w:val="26"/>
        </w:numPr>
      </w:pPr>
      <w:r w:rsidRPr="006536C4">
        <w:rPr>
          <w:i/>
        </w:rPr>
        <w:t>Wellbeing:</w:t>
      </w:r>
      <w:r>
        <w:t xml:space="preserve"> Wellbeing was measured by the WHO-5 Well-Being Index</w:t>
      </w:r>
      <w:r w:rsidRPr="00434CE2">
        <w:rPr>
          <w:noProof/>
        </w:rPr>
        <w:t xml:space="preserve"> </w:t>
      </w:r>
      <w:r>
        <w:rPr>
          <w:noProof/>
        </w:rPr>
        <w:t xml:space="preserve">(World Health Organization, 1998). The WHO-5 is a short self-administered questionnaire that covers five-item relating to positive mood, vitality and general interests. Participants with scores of </w:t>
      </w:r>
      <w:r>
        <w:rPr>
          <w:rFonts w:ascii="Verdana" w:hAnsi="Verdana"/>
          <w:sz w:val="20"/>
        </w:rPr>
        <w:t xml:space="preserve">≥13 were classified as having good overall wellbeing. </w:t>
      </w:r>
    </w:p>
    <w:p w:rsidR="00043311" w:rsidRPr="00E3310E" w:rsidRDefault="00043311" w:rsidP="0042130F">
      <w:pPr>
        <w:pStyle w:val="Heading3"/>
      </w:pPr>
      <w:bookmarkStart w:id="98" w:name="_Ref367283527"/>
      <w:bookmarkStart w:id="99" w:name="_Toc367284417"/>
      <w:r w:rsidRPr="00E3310E">
        <w:t>Data analysis</w:t>
      </w:r>
      <w:bookmarkEnd w:id="87"/>
      <w:r w:rsidRPr="00E3310E">
        <w:t xml:space="preserve"> and interpreting the results</w:t>
      </w:r>
      <w:bookmarkEnd w:id="88"/>
      <w:bookmarkEnd w:id="95"/>
      <w:bookmarkEnd w:id="98"/>
      <w:bookmarkEnd w:id="99"/>
    </w:p>
    <w:p w:rsidR="00043311" w:rsidRDefault="00043311" w:rsidP="0042130F">
      <w:pPr>
        <w:pStyle w:val="BodyText"/>
      </w:pPr>
      <w:r w:rsidRPr="00E3310E">
        <w:t xml:space="preserve">All statistical analyses outlined in this report were carried out using SAS software </w:t>
      </w:r>
      <w:r w:rsidRPr="00930D36">
        <w:t xml:space="preserve">(version 9.3) </w:t>
      </w:r>
      <w:r>
        <w:rPr>
          <w:noProof/>
        </w:rPr>
        <w:t>(SAS Institute Inc., 2011)</w:t>
      </w:r>
      <w:r>
        <w:t xml:space="preserve"> and </w:t>
      </w:r>
      <w:r w:rsidRPr="00E3310E">
        <w:t>have accounted for the sample design and clustering effects within schools.</w:t>
      </w:r>
    </w:p>
    <w:p w:rsidR="00043311" w:rsidRPr="00964582" w:rsidRDefault="00043311" w:rsidP="0042130F">
      <w:pPr>
        <w:pStyle w:val="BodyText"/>
      </w:pPr>
      <w:r w:rsidRPr="00E3310E">
        <w:t>A number of parameters are detailed when reporting the statistics in this report. In the tables for each item, we report ‘N’, which refers to the total number of students who answered that particular question in the survey</w:t>
      </w:r>
      <w:r>
        <w:t xml:space="preserve"> and ‘n’ which is </w:t>
      </w:r>
      <w:r w:rsidRPr="00E3310E">
        <w:t xml:space="preserve">the number of students </w:t>
      </w:r>
      <w:r>
        <w:t xml:space="preserve">engaging in that behaviour. </w:t>
      </w:r>
      <w:r w:rsidRPr="00E3310E">
        <w:t xml:space="preserve">Each table </w:t>
      </w:r>
      <w:r>
        <w:t>also</w:t>
      </w:r>
      <w:r w:rsidRPr="00E3310E">
        <w:t xml:space="preserve"> provides</w:t>
      </w:r>
      <w:r>
        <w:t xml:space="preserve"> prevalence estimates (i.e. </w:t>
      </w:r>
      <w:r w:rsidRPr="00E3310E">
        <w:t>weighted percentages</w:t>
      </w:r>
      <w:r>
        <w:t xml:space="preserve"> </w:t>
      </w:r>
      <w:r w:rsidRPr="00E3310E">
        <w:t xml:space="preserve">‘%’) </w:t>
      </w:r>
      <w:r>
        <w:t xml:space="preserve">and 95% confidence intervals </w:t>
      </w:r>
      <w:r w:rsidRPr="00E3310E">
        <w:t xml:space="preserve">(‘95% CI’). These confidence intervals provide an indication of the precision of the percentage results by providing </w:t>
      </w:r>
      <w:r>
        <w:t xml:space="preserve">a range or </w:t>
      </w:r>
      <w:r w:rsidRPr="00E3310E">
        <w:t xml:space="preserve">an interval in which we are relatively sure that the true value lies (i.e. we are 95% confident that the actual prevalence for that response/category lies between the two values provided). A wide confidence interval indicates more uncertainty in the percentage results than a </w:t>
      </w:r>
      <w:r>
        <w:t>narrow</w:t>
      </w:r>
      <w:r w:rsidRPr="00E3310E">
        <w:t xml:space="preserve"> interval. </w:t>
      </w:r>
      <w:r w:rsidRPr="005F7D68">
        <w:rPr>
          <w:rFonts w:cs="Arial"/>
          <w:color w:val="000000" w:themeColor="text1"/>
          <w:lang w:val="en-NZ"/>
        </w:rPr>
        <w:t xml:space="preserve">Note that we have adjusted all confidence intervals in this report for the clustering of students within schools, reflecting evidence that students from the same school are more alike than those from different schools </w:t>
      </w:r>
      <w:r>
        <w:rPr>
          <w:rFonts w:cs="Arial"/>
          <w:noProof/>
          <w:color w:val="000000" w:themeColor="text1"/>
          <w:lang w:val="en-NZ"/>
        </w:rPr>
        <w:t>(Murray, 1998)</w:t>
      </w:r>
      <w:r w:rsidRPr="005F7D68">
        <w:rPr>
          <w:rFonts w:cs="Arial"/>
          <w:color w:val="000000" w:themeColor="text1"/>
          <w:lang w:val="en-NZ"/>
        </w:rPr>
        <w:t>.</w:t>
      </w:r>
    </w:p>
    <w:p w:rsidR="00043311" w:rsidRPr="00C70BC8" w:rsidRDefault="00043311" w:rsidP="0042130F">
      <w:pPr>
        <w:pStyle w:val="BodyText"/>
      </w:pPr>
      <w:r w:rsidRPr="00C70BC8">
        <w:t>Tables in this report present results according to sex, age, New Zealand 2006 Deprivation Index (NZDep2006) grouping</w:t>
      </w:r>
      <w:r>
        <w:t>s</w:t>
      </w:r>
      <w:r w:rsidRPr="00C70BC8">
        <w:t xml:space="preserve"> and an urban/rural classification. The purpose of</w:t>
      </w:r>
      <w:r>
        <w:t xml:space="preserve"> presenting results in this manner</w:t>
      </w:r>
      <w:r w:rsidRPr="00C70BC8">
        <w:t xml:space="preserve"> is to inform schools, communities and families about particular issues</w:t>
      </w:r>
      <w:r>
        <w:t xml:space="preserve"> related to gambling, and </w:t>
      </w:r>
      <w:r w:rsidRPr="00C70BC8">
        <w:t xml:space="preserve">to assist in </w:t>
      </w:r>
      <w:r>
        <w:t>equitable allocation of</w:t>
      </w:r>
      <w:r w:rsidRPr="00C70BC8">
        <w:t xml:space="preserve"> resource</w:t>
      </w:r>
      <w:r>
        <w:t>s</w:t>
      </w:r>
      <w:r w:rsidRPr="00C70BC8">
        <w:t xml:space="preserve">. It is important, however, to avoid placing too much emphasis on apparent differences between groups, especially when the numbers of students are small. </w:t>
      </w:r>
      <w:r>
        <w:t>A</w:t>
      </w:r>
      <w:r w:rsidRPr="00C70BC8">
        <w:t xml:space="preserve"> useful guide </w:t>
      </w:r>
      <w:r>
        <w:t>when</w:t>
      </w:r>
      <w:r w:rsidRPr="00C70BC8">
        <w:t xml:space="preserve"> </w:t>
      </w:r>
      <w:r>
        <w:t xml:space="preserve">comparing results is the use of </w:t>
      </w:r>
      <w:r w:rsidRPr="00C70BC8">
        <w:t>confidence intervals.</w:t>
      </w:r>
      <w:r>
        <w:t xml:space="preserve"> For instance, i</w:t>
      </w:r>
      <w:r w:rsidRPr="00C70BC8">
        <w:t xml:space="preserve">f two estimates’ </w:t>
      </w:r>
      <w:r>
        <w:t xml:space="preserve">for the same behaviour have overlapping </w:t>
      </w:r>
      <w:r w:rsidRPr="00C70BC8">
        <w:t xml:space="preserve">confidence </w:t>
      </w:r>
      <w:r w:rsidRPr="00C70BC8">
        <w:lastRenderedPageBreak/>
        <w:t>intervals,</w:t>
      </w:r>
      <w:r>
        <w:t xml:space="preserve"> the</w:t>
      </w:r>
      <w:r w:rsidRPr="00C70BC8">
        <w:t xml:space="preserve"> differences are unlikely to be meaningful.</w:t>
      </w:r>
      <w:r>
        <w:t xml:space="preserve"> </w:t>
      </w:r>
      <w:r w:rsidRPr="00C70BC8">
        <w:t>Where there are very few students responding to a specific question</w:t>
      </w:r>
      <w:r>
        <w:t xml:space="preserve"> (≤5)</w:t>
      </w:r>
      <w:r w:rsidRPr="00C70BC8">
        <w:t>, results are presented as totals or by sex only.</w:t>
      </w:r>
    </w:p>
    <w:p w:rsidR="00043311" w:rsidRDefault="00043311" w:rsidP="0042130F">
      <w:pPr>
        <w:pStyle w:val="BodyText"/>
      </w:pPr>
      <w:r w:rsidRPr="00C70BC8">
        <w:t xml:space="preserve">Logistic regression models were </w:t>
      </w:r>
      <w:r>
        <w:t xml:space="preserve">also </w:t>
      </w:r>
      <w:r w:rsidRPr="00C70BC8">
        <w:t xml:space="preserve">used to investigate associations between </w:t>
      </w:r>
      <w:r>
        <w:t xml:space="preserve">a number of key items and </w:t>
      </w:r>
      <w:r w:rsidRPr="00C70BC8">
        <w:t>gambling status (e.g. problematic gambling); thes</w:t>
      </w:r>
      <w:r>
        <w:t>e statistical tests employed a p</w:t>
      </w:r>
      <w:r w:rsidRPr="00C70BC8">
        <w:t xml:space="preserve">-value of </w:t>
      </w:r>
      <w:r>
        <w:t>0</w:t>
      </w:r>
      <w:r w:rsidRPr="00C70BC8">
        <w:t xml:space="preserve">.05 as a measure of statistical significance. </w:t>
      </w:r>
    </w:p>
    <w:p w:rsidR="00043311" w:rsidRDefault="00043311" w:rsidP="0042130F">
      <w:pPr>
        <w:pStyle w:val="BodyText"/>
      </w:pPr>
      <w:bookmarkStart w:id="100" w:name="_Ref293240461"/>
      <w:bookmarkStart w:id="101" w:name="_Toc294258175"/>
    </w:p>
    <w:p w:rsidR="00043311" w:rsidRDefault="00043311" w:rsidP="0042130F">
      <w:pPr>
        <w:pStyle w:val="Heading1"/>
        <w:rPr>
          <w:rFonts w:asciiTheme="minorHAnsi" w:hAnsiTheme="minorHAnsi" w:cstheme="minorHAnsi"/>
        </w:rPr>
      </w:pPr>
      <w:bookmarkStart w:id="102" w:name="_Toc367284418"/>
      <w:r>
        <w:rPr>
          <w:rFonts w:asciiTheme="minorHAnsi" w:hAnsiTheme="minorHAnsi" w:cstheme="minorHAnsi"/>
        </w:rPr>
        <w:lastRenderedPageBreak/>
        <w:t>RESULTS</w:t>
      </w:r>
      <w:bookmarkEnd w:id="102"/>
    </w:p>
    <w:p w:rsidR="00043311" w:rsidRDefault="00043311" w:rsidP="0042130F">
      <w:pPr>
        <w:pStyle w:val="BodyText"/>
      </w:pPr>
      <w:r w:rsidRPr="00E3310E">
        <w:t xml:space="preserve">The following </w:t>
      </w:r>
      <w:r>
        <w:t>sections (Section Five – Section Twelve)</w:t>
      </w:r>
      <w:r w:rsidRPr="00E3310E">
        <w:t xml:space="preserve"> </w:t>
      </w:r>
      <w:r>
        <w:t>report findings in relation to the impacts of gambling on young people as measured by gambling items included in Youth’12. Results have been reported in the following categories</w:t>
      </w:r>
      <w:r w:rsidRPr="00C70BC8">
        <w:t xml:space="preserve">: </w:t>
      </w:r>
    </w:p>
    <w:p w:rsidR="00043311" w:rsidRDefault="00043311" w:rsidP="0042130F">
      <w:pPr>
        <w:pStyle w:val="BodyText"/>
        <w:numPr>
          <w:ilvl w:val="0"/>
          <w:numId w:val="14"/>
        </w:numPr>
      </w:pPr>
      <w:r>
        <w:t>Students and their own gambling (Section Five);</w:t>
      </w:r>
    </w:p>
    <w:p w:rsidR="00043311" w:rsidRDefault="00043311" w:rsidP="0042130F">
      <w:pPr>
        <w:pStyle w:val="BodyText"/>
        <w:numPr>
          <w:ilvl w:val="0"/>
          <w:numId w:val="14"/>
        </w:numPr>
      </w:pPr>
      <w:r>
        <w:t>Unhealthy gambling amongst students (Section Six);</w:t>
      </w:r>
    </w:p>
    <w:p w:rsidR="00043311" w:rsidRDefault="00043311" w:rsidP="0042130F">
      <w:pPr>
        <w:pStyle w:val="BodyText"/>
        <w:numPr>
          <w:ilvl w:val="0"/>
          <w:numId w:val="14"/>
        </w:numPr>
      </w:pPr>
      <w:r>
        <w:t>Attitudes and motivating factors towards gambling (Section Seven);</w:t>
      </w:r>
    </w:p>
    <w:p w:rsidR="00043311" w:rsidRDefault="00043311" w:rsidP="0042130F">
      <w:pPr>
        <w:pStyle w:val="BodyText"/>
        <w:numPr>
          <w:ilvl w:val="0"/>
          <w:numId w:val="14"/>
        </w:numPr>
      </w:pPr>
      <w:r>
        <w:t>The impacts of others’ gambling on students (Section Eight); and,</w:t>
      </w:r>
    </w:p>
    <w:p w:rsidR="00043311" w:rsidRDefault="00043311" w:rsidP="0042130F">
      <w:pPr>
        <w:pStyle w:val="BodyText"/>
        <w:numPr>
          <w:ilvl w:val="0"/>
          <w:numId w:val="14"/>
        </w:numPr>
      </w:pPr>
      <w:r>
        <w:t>Risk and protective factors for student gambling (Section Nine);</w:t>
      </w:r>
    </w:p>
    <w:p w:rsidR="00043311" w:rsidRDefault="00043311" w:rsidP="0042130F">
      <w:pPr>
        <w:pStyle w:val="BodyText"/>
      </w:pPr>
      <w:r>
        <w:t>This report also includes three ethnic-specific summaries on young people and gambling:</w:t>
      </w:r>
    </w:p>
    <w:p w:rsidR="00043311" w:rsidRDefault="00043311" w:rsidP="0042130F">
      <w:pPr>
        <w:pStyle w:val="BodyText"/>
        <w:numPr>
          <w:ilvl w:val="0"/>
          <w:numId w:val="14"/>
        </w:numPr>
      </w:pPr>
      <w:r>
        <w:t>Gambling and Māori taitamariki in Aotearoa (Section 10);</w:t>
      </w:r>
    </w:p>
    <w:p w:rsidR="00043311" w:rsidRDefault="00043311" w:rsidP="0042130F">
      <w:pPr>
        <w:pStyle w:val="BodyText"/>
        <w:numPr>
          <w:ilvl w:val="0"/>
          <w:numId w:val="14"/>
        </w:numPr>
      </w:pPr>
      <w:r>
        <w:t>Gambling and Pacific young people in New Zealand (Section 11); and,</w:t>
      </w:r>
    </w:p>
    <w:p w:rsidR="00043311" w:rsidRDefault="00043311" w:rsidP="0042130F">
      <w:pPr>
        <w:pStyle w:val="BodyText"/>
        <w:numPr>
          <w:ilvl w:val="0"/>
          <w:numId w:val="14"/>
        </w:numPr>
      </w:pPr>
      <w:r>
        <w:t>Gambling and Asian young people in New Zealand (Section 12).</w:t>
      </w:r>
    </w:p>
    <w:p w:rsidR="00043311" w:rsidRPr="00FA08AB" w:rsidRDefault="00043311" w:rsidP="0042130F">
      <w:pPr>
        <w:pStyle w:val="BodyText"/>
      </w:pPr>
      <w:r>
        <w:t xml:space="preserve">These summaries provide an overview of key findings and important issues in relation to gambling for Māori, Pacific and Asian young people and will be a particularly helpful resource for those working in a range of communities with young people and their whānau. </w:t>
      </w:r>
    </w:p>
    <w:p w:rsidR="00043311" w:rsidRPr="00E3310E" w:rsidRDefault="00043311" w:rsidP="0042130F">
      <w:pPr>
        <w:pStyle w:val="Heading1"/>
        <w:rPr>
          <w:rFonts w:asciiTheme="minorHAnsi" w:hAnsiTheme="minorHAnsi" w:cstheme="minorHAnsi"/>
        </w:rPr>
      </w:pPr>
      <w:bookmarkStart w:id="103" w:name="_Toc367284419"/>
      <w:r w:rsidRPr="00E3310E">
        <w:rPr>
          <w:rFonts w:asciiTheme="minorHAnsi" w:hAnsiTheme="minorHAnsi" w:cstheme="minorHAnsi"/>
          <w:caps w:val="0"/>
        </w:rPr>
        <w:lastRenderedPageBreak/>
        <w:t>STUDENTS &amp; THEIR OWN GAMBLING</w:t>
      </w:r>
      <w:bookmarkEnd w:id="103"/>
    </w:p>
    <w:p w:rsidR="00043311" w:rsidRPr="00E3310E" w:rsidRDefault="00043311" w:rsidP="0042130F">
      <w:pPr>
        <w:pStyle w:val="BodyText"/>
      </w:pPr>
      <w:r w:rsidRPr="00E3310E">
        <w:t>The following section outlines results that relate to the level of engagement that stud</w:t>
      </w:r>
      <w:r>
        <w:t>ents had with gambling</w:t>
      </w:r>
      <w:r w:rsidRPr="00E3310E">
        <w:t>:</w:t>
      </w:r>
    </w:p>
    <w:p w:rsidR="00043311" w:rsidRPr="00E3310E" w:rsidRDefault="00043311" w:rsidP="0042130F">
      <w:pPr>
        <w:pStyle w:val="BodyText"/>
        <w:numPr>
          <w:ilvl w:val="0"/>
          <w:numId w:val="14"/>
        </w:numPr>
      </w:pPr>
      <w:r w:rsidRPr="00E3310E">
        <w:t xml:space="preserve">Gambling over the past year and past month; </w:t>
      </w:r>
    </w:p>
    <w:p w:rsidR="00043311" w:rsidRDefault="00043311" w:rsidP="0042130F">
      <w:pPr>
        <w:pStyle w:val="BodyText"/>
        <w:numPr>
          <w:ilvl w:val="0"/>
          <w:numId w:val="14"/>
        </w:numPr>
      </w:pPr>
      <w:r>
        <w:t>Type of a</w:t>
      </w:r>
      <w:r w:rsidRPr="00E3310E">
        <w:t xml:space="preserve">ctivities that students gamble on; </w:t>
      </w:r>
    </w:p>
    <w:p w:rsidR="00043311" w:rsidRDefault="00043311" w:rsidP="0042130F">
      <w:pPr>
        <w:pStyle w:val="BodyText"/>
        <w:numPr>
          <w:ilvl w:val="0"/>
          <w:numId w:val="14"/>
        </w:numPr>
      </w:pPr>
      <w:r>
        <w:t xml:space="preserve">Number of activities that students gamble on; </w:t>
      </w:r>
    </w:p>
    <w:p w:rsidR="00043311" w:rsidRDefault="00043311" w:rsidP="0042130F">
      <w:pPr>
        <w:pStyle w:val="BodyText"/>
        <w:numPr>
          <w:ilvl w:val="0"/>
          <w:numId w:val="14"/>
        </w:numPr>
      </w:pPr>
      <w:r w:rsidRPr="00E3310E">
        <w:t>Time and money spent on gambling activities</w:t>
      </w:r>
      <w:r>
        <w:t>; and,</w:t>
      </w:r>
    </w:p>
    <w:p w:rsidR="00043311" w:rsidRPr="00E3310E" w:rsidRDefault="00043311" w:rsidP="0042130F">
      <w:pPr>
        <w:pStyle w:val="BodyText"/>
        <w:numPr>
          <w:ilvl w:val="0"/>
          <w:numId w:val="14"/>
        </w:numPr>
      </w:pPr>
      <w:r>
        <w:t>Social context of gambling.</w:t>
      </w:r>
    </w:p>
    <w:p w:rsidR="00043311" w:rsidRPr="00073D7D" w:rsidRDefault="00043311" w:rsidP="00043311">
      <w:pPr>
        <w:pStyle w:val="Heading2"/>
        <w:numPr>
          <w:ilvl w:val="1"/>
          <w:numId w:val="29"/>
        </w:numPr>
      </w:pPr>
      <w:bookmarkStart w:id="104" w:name="_Toc367284420"/>
      <w:r w:rsidRPr="00073D7D">
        <w:t>Gambling over the past year and past month</w:t>
      </w:r>
      <w:bookmarkEnd w:id="104"/>
    </w:p>
    <w:p w:rsidR="00043311" w:rsidRDefault="00043311" w:rsidP="0042130F">
      <w:pPr>
        <w:pStyle w:val="BodyText"/>
      </w:pPr>
      <w:r>
        <w:t xml:space="preserve">One in ten students had gambled in the last four weeks and almost one-quarter (24%) </w:t>
      </w:r>
      <w:r w:rsidR="009D09D2">
        <w:t xml:space="preserve">of all students </w:t>
      </w:r>
      <w:r>
        <w:t>had gambled in the last year (S</w:t>
      </w:r>
      <w:r w:rsidRPr="00E3310E">
        <w:t>ee</w:t>
      </w:r>
      <w:r w:rsidR="00720A6C">
        <w:t xml:space="preserve"> Table 6</w:t>
      </w:r>
      <w:r>
        <w:t>). Overall, rates of gambling were fairly consistent across age, urban/rural setting, and level of neighbourhood deprivation. However, g</w:t>
      </w:r>
      <w:r w:rsidRPr="00E3310E">
        <w:t>reater proportions of males than females had gambled in the last 4 weeks (13%</w:t>
      </w:r>
      <w:r>
        <w:t xml:space="preserve"> and </w:t>
      </w:r>
      <w:r w:rsidRPr="00E3310E">
        <w:t>8%</w:t>
      </w:r>
      <w:r>
        <w:t xml:space="preserve"> respectively</w:t>
      </w:r>
      <w:r w:rsidRPr="00E3310E">
        <w:t>) and</w:t>
      </w:r>
      <w:r>
        <w:t xml:space="preserve"> in </w:t>
      </w:r>
      <w:r w:rsidRPr="00E3310E">
        <w:t xml:space="preserve">the last </w:t>
      </w:r>
      <w:r>
        <w:t>year</w:t>
      </w:r>
      <w:r w:rsidRPr="00E3310E">
        <w:t xml:space="preserve"> (26%</w:t>
      </w:r>
      <w:r>
        <w:t xml:space="preserve"> and</w:t>
      </w:r>
      <w:r w:rsidRPr="00E3310E">
        <w:t xml:space="preserve"> 23%</w:t>
      </w:r>
      <w:r>
        <w:t xml:space="preserve"> respectively</w:t>
      </w:r>
      <w:r w:rsidRPr="00E3310E">
        <w:t>).</w:t>
      </w:r>
    </w:p>
    <w:p w:rsidR="00740B76" w:rsidRDefault="00740B76">
      <w:pPr>
        <w:spacing w:before="0" w:after="200" w:line="276" w:lineRule="auto"/>
        <w:jc w:val="left"/>
        <w:rPr>
          <w:rFonts w:asciiTheme="minorHAnsi" w:hAnsiTheme="minorHAnsi"/>
          <w:b/>
          <w:bCs/>
          <w:i/>
          <w:sz w:val="20"/>
          <w:szCs w:val="20"/>
        </w:rPr>
      </w:pPr>
      <w:r>
        <w:rPr>
          <w:rFonts w:asciiTheme="minorHAnsi" w:hAnsiTheme="minorHAnsi"/>
          <w:i/>
        </w:rPr>
        <w:br w:type="page"/>
      </w:r>
    </w:p>
    <w:p w:rsidR="00740B76" w:rsidRPr="00740B76" w:rsidRDefault="00740B76" w:rsidP="00740B76">
      <w:pPr>
        <w:pStyle w:val="Caption"/>
        <w:keepNext/>
        <w:spacing w:line="276" w:lineRule="auto"/>
        <w:rPr>
          <w:rFonts w:asciiTheme="minorHAnsi" w:hAnsiTheme="minorHAnsi" w:cstheme="minorHAnsi"/>
          <w:i/>
        </w:rPr>
      </w:pPr>
      <w:bookmarkStart w:id="105" w:name="_Toc367285389"/>
      <w:r w:rsidRPr="00740B76">
        <w:rPr>
          <w:rFonts w:asciiTheme="minorHAnsi" w:hAnsiTheme="minorHAnsi"/>
          <w:i/>
        </w:rPr>
        <w:lastRenderedPageBreak/>
        <w:t xml:space="preserve">Table </w:t>
      </w:r>
      <w:r w:rsidR="007B447B" w:rsidRPr="00740B76">
        <w:rPr>
          <w:rFonts w:asciiTheme="minorHAnsi" w:hAnsiTheme="minorHAnsi"/>
          <w:i/>
        </w:rPr>
        <w:fldChar w:fldCharType="begin"/>
      </w:r>
      <w:r w:rsidRPr="00740B76">
        <w:rPr>
          <w:rFonts w:asciiTheme="minorHAnsi" w:hAnsiTheme="minorHAnsi"/>
          <w:i/>
        </w:rPr>
        <w:instrText xml:space="preserve"> SEQ Table \* ARABIC </w:instrText>
      </w:r>
      <w:r w:rsidR="007B447B" w:rsidRPr="00740B76">
        <w:rPr>
          <w:rFonts w:asciiTheme="minorHAnsi" w:hAnsiTheme="minorHAnsi"/>
          <w:i/>
        </w:rPr>
        <w:fldChar w:fldCharType="separate"/>
      </w:r>
      <w:r w:rsidR="009E3D1C">
        <w:rPr>
          <w:rFonts w:asciiTheme="minorHAnsi" w:hAnsiTheme="minorHAnsi"/>
          <w:i/>
          <w:noProof/>
        </w:rPr>
        <w:t>6</w:t>
      </w:r>
      <w:r w:rsidR="007B447B" w:rsidRPr="00740B76">
        <w:rPr>
          <w:rFonts w:asciiTheme="minorHAnsi" w:hAnsiTheme="minorHAnsi"/>
          <w:i/>
        </w:rPr>
        <w:fldChar w:fldCharType="end"/>
      </w:r>
      <w:r w:rsidRPr="00740B76">
        <w:rPr>
          <w:rFonts w:asciiTheme="minorHAnsi" w:hAnsiTheme="minorHAnsi"/>
          <w:i/>
        </w:rPr>
        <w:t>:</w:t>
      </w:r>
      <w:r w:rsidRPr="00740B76">
        <w:rPr>
          <w:rFonts w:asciiTheme="minorHAnsi" w:hAnsiTheme="minorHAnsi" w:cstheme="minorHAnsi"/>
          <w:i/>
        </w:rPr>
        <w:t xml:space="preserve"> Gambling over past year and past month (among all students; N=7813)</w:t>
      </w:r>
      <w:bookmarkEnd w:id="105"/>
    </w:p>
    <w:tbl>
      <w:tblPr>
        <w:tblW w:w="6341" w:type="dxa"/>
        <w:jc w:val="center"/>
        <w:tblLook w:val="04A0" w:firstRow="1" w:lastRow="0" w:firstColumn="1" w:lastColumn="0" w:noHBand="0" w:noVBand="1"/>
      </w:tblPr>
      <w:tblGrid>
        <w:gridCol w:w="1427"/>
        <w:gridCol w:w="1037"/>
        <w:gridCol w:w="893"/>
        <w:gridCol w:w="1124"/>
        <w:gridCol w:w="803"/>
        <w:gridCol w:w="1057"/>
      </w:tblGrid>
      <w:tr w:rsidR="00043311" w:rsidRPr="00764D26" w:rsidTr="0042130F">
        <w:trPr>
          <w:trHeight w:val="300"/>
          <w:jc w:val="center"/>
        </w:trPr>
        <w:tc>
          <w:tcPr>
            <w:tcW w:w="2464" w:type="dxa"/>
            <w:gridSpan w:val="2"/>
            <w:vMerge w:val="restart"/>
            <w:tcBorders>
              <w:top w:val="single" w:sz="4" w:space="0" w:color="auto"/>
              <w:left w:val="single" w:sz="4" w:space="0" w:color="auto"/>
              <w:bottom w:val="single" w:sz="4" w:space="0" w:color="000000"/>
              <w:right w:val="single" w:sz="4" w:space="0" w:color="000000"/>
            </w:tcBorders>
            <w:shd w:val="clear" w:color="000000" w:fill="A6A6A6"/>
            <w:noWrap/>
            <w:vAlign w:val="bottom"/>
            <w:hideMark/>
          </w:tcPr>
          <w:p w:rsidR="00043311" w:rsidRPr="00764D26" w:rsidRDefault="00043311" w:rsidP="0042130F">
            <w:pPr>
              <w:spacing w:before="0" w:line="240" w:lineRule="auto"/>
              <w:jc w:val="left"/>
              <w:rPr>
                <w:rFonts w:ascii="Calibri" w:hAnsi="Calibri" w:cs="Calibri"/>
                <w:color w:val="000000"/>
                <w:lang w:eastAsia="en-NZ"/>
              </w:rPr>
            </w:pPr>
            <w:r w:rsidRPr="00764D26">
              <w:rPr>
                <w:rFonts w:ascii="Calibri" w:hAnsi="Calibri" w:cs="Calibri"/>
                <w:color w:val="000000"/>
                <w:szCs w:val="22"/>
                <w:lang w:eastAsia="en-NZ"/>
              </w:rPr>
              <w:t> </w:t>
            </w:r>
          </w:p>
        </w:tc>
        <w:tc>
          <w:tcPr>
            <w:tcW w:w="2017" w:type="dxa"/>
            <w:gridSpan w:val="2"/>
            <w:vMerge w:val="restart"/>
            <w:tcBorders>
              <w:top w:val="single" w:sz="4" w:space="0" w:color="auto"/>
              <w:left w:val="single" w:sz="4" w:space="0" w:color="auto"/>
              <w:bottom w:val="single" w:sz="4" w:space="0" w:color="000000"/>
              <w:right w:val="single" w:sz="4" w:space="0" w:color="000000"/>
            </w:tcBorders>
            <w:shd w:val="clear" w:color="000000" w:fill="A6A6A6"/>
            <w:vAlign w:val="center"/>
            <w:hideMark/>
          </w:tcPr>
          <w:p w:rsidR="00043311" w:rsidRPr="00764D26" w:rsidRDefault="00043311" w:rsidP="0042130F">
            <w:pPr>
              <w:spacing w:before="0" w:line="240" w:lineRule="auto"/>
              <w:jc w:val="center"/>
              <w:rPr>
                <w:rFonts w:ascii="Arial Narrow" w:hAnsi="Arial Narrow" w:cs="Calibri"/>
                <w:b/>
                <w:bCs/>
                <w:sz w:val="20"/>
                <w:szCs w:val="20"/>
                <w:lang w:eastAsia="en-NZ"/>
              </w:rPr>
            </w:pPr>
            <w:r w:rsidRPr="00764D26">
              <w:rPr>
                <w:rFonts w:ascii="Arial Narrow" w:hAnsi="Arial Narrow" w:cs="Calibri"/>
                <w:b/>
                <w:bCs/>
                <w:sz w:val="20"/>
                <w:szCs w:val="20"/>
                <w:lang w:eastAsia="en-NZ"/>
              </w:rPr>
              <w:t>Gambled in the last 4 weeks</w:t>
            </w:r>
          </w:p>
        </w:tc>
        <w:tc>
          <w:tcPr>
            <w:tcW w:w="1860" w:type="dxa"/>
            <w:gridSpan w:val="2"/>
            <w:vMerge w:val="restart"/>
            <w:tcBorders>
              <w:top w:val="single" w:sz="4" w:space="0" w:color="auto"/>
              <w:left w:val="nil"/>
              <w:bottom w:val="single" w:sz="4" w:space="0" w:color="000000"/>
              <w:right w:val="single" w:sz="4" w:space="0" w:color="000000"/>
            </w:tcBorders>
            <w:shd w:val="clear" w:color="000000" w:fill="A6A6A6"/>
            <w:vAlign w:val="center"/>
            <w:hideMark/>
          </w:tcPr>
          <w:p w:rsidR="00043311" w:rsidRPr="00764D26" w:rsidRDefault="00043311" w:rsidP="0042130F">
            <w:pPr>
              <w:spacing w:before="0" w:line="240" w:lineRule="auto"/>
              <w:jc w:val="center"/>
              <w:rPr>
                <w:rFonts w:ascii="Arial Narrow" w:hAnsi="Arial Narrow" w:cs="Calibri"/>
                <w:b/>
                <w:bCs/>
                <w:sz w:val="20"/>
                <w:szCs w:val="20"/>
                <w:lang w:eastAsia="en-NZ"/>
              </w:rPr>
            </w:pPr>
            <w:r w:rsidRPr="00764D26">
              <w:rPr>
                <w:rFonts w:ascii="Arial Narrow" w:hAnsi="Arial Narrow" w:cs="Calibri"/>
                <w:b/>
                <w:bCs/>
                <w:sz w:val="20"/>
                <w:szCs w:val="20"/>
                <w:lang w:eastAsia="en-NZ"/>
              </w:rPr>
              <w:t>Gambled in the last 12 months</w:t>
            </w:r>
            <w:r w:rsidR="009D09D2">
              <w:rPr>
                <w:rFonts w:ascii="Arial Narrow" w:hAnsi="Arial Narrow" w:cs="Calibri"/>
                <w:b/>
                <w:bCs/>
                <w:sz w:val="20"/>
                <w:szCs w:val="20"/>
                <w:lang w:eastAsia="en-NZ"/>
              </w:rPr>
              <w:t xml:space="preserve"> </w:t>
            </w:r>
            <w:r w:rsidR="009D09D2" w:rsidRPr="009D09D2">
              <w:rPr>
                <w:rFonts w:ascii="Arial Narrow" w:hAnsi="Arial Narrow" w:cs="Calibri"/>
                <w:b/>
                <w:bCs/>
                <w:sz w:val="20"/>
                <w:szCs w:val="20"/>
                <w:vertAlign w:val="superscript"/>
                <w:lang w:eastAsia="en-NZ"/>
              </w:rPr>
              <w:t>1</w:t>
            </w:r>
          </w:p>
        </w:tc>
      </w:tr>
      <w:tr w:rsidR="00043311" w:rsidRPr="00764D26" w:rsidTr="0042130F">
        <w:trPr>
          <w:trHeight w:val="300"/>
          <w:jc w:val="center"/>
        </w:trPr>
        <w:tc>
          <w:tcPr>
            <w:tcW w:w="2464" w:type="dxa"/>
            <w:gridSpan w:val="2"/>
            <w:vMerge/>
            <w:tcBorders>
              <w:top w:val="single" w:sz="4" w:space="0" w:color="auto"/>
              <w:left w:val="single" w:sz="4" w:space="0" w:color="auto"/>
              <w:bottom w:val="single" w:sz="4" w:space="0" w:color="000000"/>
              <w:right w:val="single" w:sz="4" w:space="0" w:color="000000"/>
            </w:tcBorders>
            <w:vAlign w:val="center"/>
            <w:hideMark/>
          </w:tcPr>
          <w:p w:rsidR="00043311" w:rsidRPr="00764D26" w:rsidRDefault="00043311" w:rsidP="0042130F">
            <w:pPr>
              <w:spacing w:before="0" w:line="240" w:lineRule="auto"/>
              <w:jc w:val="left"/>
              <w:rPr>
                <w:rFonts w:ascii="Calibri" w:hAnsi="Calibri" w:cs="Calibri"/>
                <w:color w:val="000000"/>
                <w:lang w:eastAsia="en-NZ"/>
              </w:rPr>
            </w:pPr>
          </w:p>
        </w:tc>
        <w:tc>
          <w:tcPr>
            <w:tcW w:w="2017" w:type="dxa"/>
            <w:gridSpan w:val="2"/>
            <w:vMerge/>
            <w:tcBorders>
              <w:top w:val="single" w:sz="4" w:space="0" w:color="auto"/>
              <w:left w:val="single" w:sz="4" w:space="0" w:color="auto"/>
              <w:bottom w:val="single" w:sz="4" w:space="0" w:color="000000"/>
              <w:right w:val="single" w:sz="4" w:space="0" w:color="000000"/>
            </w:tcBorders>
            <w:vAlign w:val="center"/>
            <w:hideMark/>
          </w:tcPr>
          <w:p w:rsidR="00043311" w:rsidRPr="00764D26" w:rsidRDefault="00043311" w:rsidP="0042130F">
            <w:pPr>
              <w:spacing w:before="0" w:line="240" w:lineRule="auto"/>
              <w:jc w:val="left"/>
              <w:rPr>
                <w:rFonts w:ascii="Arial Narrow" w:hAnsi="Arial Narrow" w:cs="Calibri"/>
                <w:b/>
                <w:bCs/>
                <w:sz w:val="20"/>
                <w:szCs w:val="20"/>
                <w:lang w:eastAsia="en-NZ"/>
              </w:rPr>
            </w:pPr>
          </w:p>
        </w:tc>
        <w:tc>
          <w:tcPr>
            <w:tcW w:w="1860" w:type="dxa"/>
            <w:gridSpan w:val="2"/>
            <w:vMerge/>
            <w:tcBorders>
              <w:top w:val="single" w:sz="4" w:space="0" w:color="auto"/>
              <w:left w:val="nil"/>
              <w:bottom w:val="single" w:sz="4" w:space="0" w:color="000000"/>
              <w:right w:val="single" w:sz="4" w:space="0" w:color="000000"/>
            </w:tcBorders>
            <w:vAlign w:val="center"/>
            <w:hideMark/>
          </w:tcPr>
          <w:p w:rsidR="00043311" w:rsidRPr="00764D26" w:rsidRDefault="00043311" w:rsidP="0042130F">
            <w:pPr>
              <w:spacing w:before="0" w:line="240" w:lineRule="auto"/>
              <w:jc w:val="left"/>
              <w:rPr>
                <w:rFonts w:ascii="Arial Narrow" w:hAnsi="Arial Narrow" w:cs="Calibri"/>
                <w:b/>
                <w:bCs/>
                <w:sz w:val="20"/>
                <w:szCs w:val="20"/>
                <w:lang w:eastAsia="en-NZ"/>
              </w:rPr>
            </w:pPr>
          </w:p>
        </w:tc>
      </w:tr>
      <w:tr w:rsidR="00043311" w:rsidRPr="00764D26" w:rsidTr="0042130F">
        <w:trPr>
          <w:trHeight w:val="510"/>
          <w:jc w:val="center"/>
        </w:trPr>
        <w:tc>
          <w:tcPr>
            <w:tcW w:w="2464" w:type="dxa"/>
            <w:gridSpan w:val="2"/>
            <w:vMerge/>
            <w:tcBorders>
              <w:top w:val="single" w:sz="4" w:space="0" w:color="auto"/>
              <w:left w:val="single" w:sz="4" w:space="0" w:color="auto"/>
              <w:bottom w:val="single" w:sz="4" w:space="0" w:color="000000"/>
              <w:right w:val="single" w:sz="4" w:space="0" w:color="000000"/>
            </w:tcBorders>
            <w:vAlign w:val="center"/>
            <w:hideMark/>
          </w:tcPr>
          <w:p w:rsidR="00043311" w:rsidRPr="00764D26" w:rsidRDefault="00043311" w:rsidP="0042130F">
            <w:pPr>
              <w:spacing w:before="0" w:line="240" w:lineRule="auto"/>
              <w:jc w:val="left"/>
              <w:rPr>
                <w:rFonts w:ascii="Calibri" w:hAnsi="Calibri" w:cs="Calibri"/>
                <w:color w:val="000000"/>
                <w:lang w:eastAsia="en-NZ"/>
              </w:rPr>
            </w:pPr>
          </w:p>
        </w:tc>
        <w:tc>
          <w:tcPr>
            <w:tcW w:w="893" w:type="dxa"/>
            <w:tcBorders>
              <w:top w:val="nil"/>
              <w:left w:val="nil"/>
              <w:bottom w:val="single" w:sz="4" w:space="0" w:color="auto"/>
              <w:right w:val="single" w:sz="4" w:space="0" w:color="auto"/>
            </w:tcBorders>
            <w:shd w:val="clear" w:color="000000" w:fill="A6A6A6"/>
            <w:vAlign w:val="center"/>
            <w:hideMark/>
          </w:tcPr>
          <w:p w:rsidR="00043311" w:rsidRPr="00764D26" w:rsidRDefault="00043311" w:rsidP="0042130F">
            <w:pPr>
              <w:spacing w:before="0" w:line="240" w:lineRule="auto"/>
              <w:jc w:val="center"/>
              <w:rPr>
                <w:rFonts w:ascii="Arial Narrow" w:hAnsi="Arial Narrow" w:cs="Calibri"/>
                <w:b/>
                <w:bCs/>
                <w:sz w:val="20"/>
                <w:szCs w:val="20"/>
                <w:lang w:eastAsia="en-NZ"/>
              </w:rPr>
            </w:pPr>
            <w:r w:rsidRPr="00764D26">
              <w:rPr>
                <w:rFonts w:ascii="Arial Narrow" w:hAnsi="Arial Narrow" w:cs="Calibri"/>
                <w:b/>
                <w:bCs/>
                <w:sz w:val="20"/>
                <w:szCs w:val="20"/>
                <w:lang w:eastAsia="en-NZ"/>
              </w:rPr>
              <w:t>n</w:t>
            </w:r>
            <w:r w:rsidRPr="00764D26">
              <w:rPr>
                <w:rFonts w:ascii="Arial Narrow" w:hAnsi="Arial Narrow" w:cs="Calibri"/>
                <w:b/>
                <w:bCs/>
                <w:sz w:val="20"/>
                <w:szCs w:val="20"/>
                <w:lang w:eastAsia="en-NZ"/>
              </w:rPr>
              <w:br/>
              <w:t>(N)</w:t>
            </w:r>
          </w:p>
        </w:tc>
        <w:tc>
          <w:tcPr>
            <w:tcW w:w="1124" w:type="dxa"/>
            <w:tcBorders>
              <w:top w:val="nil"/>
              <w:left w:val="nil"/>
              <w:bottom w:val="single" w:sz="4" w:space="0" w:color="auto"/>
              <w:right w:val="single" w:sz="4" w:space="0" w:color="auto"/>
            </w:tcBorders>
            <w:shd w:val="clear" w:color="000000" w:fill="A6A6A6"/>
            <w:vAlign w:val="center"/>
            <w:hideMark/>
          </w:tcPr>
          <w:p w:rsidR="00043311" w:rsidRPr="00764D26" w:rsidRDefault="00043311" w:rsidP="0042130F">
            <w:pPr>
              <w:spacing w:before="0" w:line="240" w:lineRule="auto"/>
              <w:jc w:val="center"/>
              <w:rPr>
                <w:rFonts w:ascii="Arial Narrow" w:hAnsi="Arial Narrow" w:cs="Calibri"/>
                <w:b/>
                <w:bCs/>
                <w:sz w:val="20"/>
                <w:szCs w:val="20"/>
                <w:lang w:eastAsia="en-NZ"/>
              </w:rPr>
            </w:pPr>
            <w:r w:rsidRPr="00764D26">
              <w:rPr>
                <w:rFonts w:ascii="Arial Narrow" w:hAnsi="Arial Narrow" w:cs="Calibri"/>
                <w:b/>
                <w:bCs/>
                <w:sz w:val="20"/>
                <w:szCs w:val="20"/>
                <w:lang w:eastAsia="en-NZ"/>
              </w:rPr>
              <w:t>%</w:t>
            </w:r>
            <w:r w:rsidRPr="00764D26">
              <w:rPr>
                <w:rFonts w:ascii="Arial Narrow" w:hAnsi="Arial Narrow" w:cs="Calibri"/>
                <w:b/>
                <w:bCs/>
                <w:sz w:val="20"/>
                <w:szCs w:val="20"/>
                <w:lang w:eastAsia="en-NZ"/>
              </w:rPr>
              <w:br/>
              <w:t>95% CI</w:t>
            </w:r>
          </w:p>
        </w:tc>
        <w:tc>
          <w:tcPr>
            <w:tcW w:w="803" w:type="dxa"/>
            <w:tcBorders>
              <w:top w:val="nil"/>
              <w:left w:val="nil"/>
              <w:bottom w:val="single" w:sz="4" w:space="0" w:color="auto"/>
              <w:right w:val="single" w:sz="4" w:space="0" w:color="auto"/>
            </w:tcBorders>
            <w:shd w:val="clear" w:color="000000" w:fill="A6A6A6"/>
            <w:vAlign w:val="center"/>
            <w:hideMark/>
          </w:tcPr>
          <w:p w:rsidR="00043311" w:rsidRPr="00764D26" w:rsidRDefault="00043311" w:rsidP="0042130F">
            <w:pPr>
              <w:spacing w:before="0" w:line="240" w:lineRule="auto"/>
              <w:jc w:val="center"/>
              <w:rPr>
                <w:rFonts w:ascii="Arial Narrow" w:hAnsi="Arial Narrow" w:cs="Calibri"/>
                <w:b/>
                <w:bCs/>
                <w:sz w:val="20"/>
                <w:szCs w:val="20"/>
                <w:lang w:eastAsia="en-NZ"/>
              </w:rPr>
            </w:pPr>
            <w:r w:rsidRPr="00764D26">
              <w:rPr>
                <w:rFonts w:ascii="Arial Narrow" w:hAnsi="Arial Narrow" w:cs="Calibri"/>
                <w:b/>
                <w:bCs/>
                <w:sz w:val="20"/>
                <w:szCs w:val="20"/>
                <w:lang w:eastAsia="en-NZ"/>
              </w:rPr>
              <w:t>n</w:t>
            </w:r>
            <w:r w:rsidRPr="00764D26">
              <w:rPr>
                <w:rFonts w:ascii="Arial Narrow" w:hAnsi="Arial Narrow" w:cs="Calibri"/>
                <w:b/>
                <w:bCs/>
                <w:sz w:val="20"/>
                <w:szCs w:val="20"/>
                <w:lang w:eastAsia="en-NZ"/>
              </w:rPr>
              <w:br/>
              <w:t>(N)</w:t>
            </w:r>
          </w:p>
        </w:tc>
        <w:tc>
          <w:tcPr>
            <w:tcW w:w="1057" w:type="dxa"/>
            <w:tcBorders>
              <w:top w:val="nil"/>
              <w:left w:val="nil"/>
              <w:bottom w:val="single" w:sz="4" w:space="0" w:color="auto"/>
              <w:right w:val="single" w:sz="4" w:space="0" w:color="auto"/>
            </w:tcBorders>
            <w:shd w:val="clear" w:color="000000" w:fill="A6A6A6"/>
            <w:vAlign w:val="center"/>
            <w:hideMark/>
          </w:tcPr>
          <w:p w:rsidR="00043311" w:rsidRPr="00764D26" w:rsidRDefault="00043311" w:rsidP="0042130F">
            <w:pPr>
              <w:spacing w:before="0" w:line="240" w:lineRule="auto"/>
              <w:jc w:val="center"/>
              <w:rPr>
                <w:rFonts w:ascii="Arial Narrow" w:hAnsi="Arial Narrow" w:cs="Calibri"/>
                <w:b/>
                <w:bCs/>
                <w:sz w:val="20"/>
                <w:szCs w:val="20"/>
                <w:lang w:eastAsia="en-NZ"/>
              </w:rPr>
            </w:pPr>
            <w:r w:rsidRPr="00764D26">
              <w:rPr>
                <w:rFonts w:ascii="Arial Narrow" w:hAnsi="Arial Narrow" w:cs="Calibri"/>
                <w:b/>
                <w:bCs/>
                <w:sz w:val="20"/>
                <w:szCs w:val="20"/>
                <w:lang w:eastAsia="en-NZ"/>
              </w:rPr>
              <w:t>%</w:t>
            </w:r>
            <w:r w:rsidRPr="00764D26">
              <w:rPr>
                <w:rFonts w:ascii="Arial Narrow" w:hAnsi="Arial Narrow" w:cs="Calibri"/>
                <w:b/>
                <w:bCs/>
                <w:sz w:val="20"/>
                <w:szCs w:val="20"/>
                <w:lang w:eastAsia="en-NZ"/>
              </w:rPr>
              <w:br/>
              <w:t>95% CI</w:t>
            </w:r>
          </w:p>
        </w:tc>
      </w:tr>
      <w:tr w:rsidR="00043311" w:rsidRPr="00764D26" w:rsidTr="0042130F">
        <w:trPr>
          <w:trHeight w:val="510"/>
          <w:jc w:val="center"/>
        </w:trPr>
        <w:tc>
          <w:tcPr>
            <w:tcW w:w="24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r w:rsidRPr="00764D26">
              <w:rPr>
                <w:rFonts w:ascii="Arial Narrow" w:hAnsi="Arial Narrow" w:cs="Calibri"/>
                <w:sz w:val="20"/>
                <w:szCs w:val="20"/>
                <w:lang w:eastAsia="en-NZ"/>
              </w:rPr>
              <w:t>Total</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804</w:t>
            </w:r>
            <w:r>
              <w:rPr>
                <w:rFonts w:ascii="Arial Narrow" w:hAnsi="Arial Narrow" w:cs="Calibri"/>
                <w:sz w:val="20"/>
                <w:szCs w:val="20"/>
                <w:lang w:eastAsia="en-NZ"/>
              </w:rPr>
              <w:br/>
              <w:t>(7</w:t>
            </w:r>
            <w:r w:rsidRPr="00764D26">
              <w:rPr>
                <w:rFonts w:ascii="Arial Narrow" w:hAnsi="Arial Narrow" w:cs="Calibri"/>
                <w:sz w:val="20"/>
                <w:szCs w:val="20"/>
                <w:lang w:eastAsia="en-NZ"/>
              </w:rPr>
              <w:t>813)</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10.3</w:t>
            </w:r>
            <w:r w:rsidRPr="00764D26">
              <w:rPr>
                <w:rFonts w:ascii="Arial Narrow" w:hAnsi="Arial Narrow" w:cs="Calibri"/>
                <w:sz w:val="20"/>
                <w:szCs w:val="20"/>
                <w:lang w:eastAsia="en-NZ"/>
              </w:rPr>
              <w:br/>
              <w:t>9.4 - 11.3</w:t>
            </w:r>
          </w:p>
        </w:tc>
        <w:tc>
          <w:tcPr>
            <w:tcW w:w="803" w:type="dxa"/>
            <w:tcBorders>
              <w:top w:val="nil"/>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1890</w:t>
            </w:r>
            <w:r>
              <w:rPr>
                <w:rFonts w:ascii="Arial Narrow" w:hAnsi="Arial Narrow" w:cs="Calibri"/>
                <w:sz w:val="20"/>
                <w:szCs w:val="20"/>
                <w:lang w:eastAsia="en-NZ"/>
              </w:rPr>
              <w:br/>
              <w:t>(7</w:t>
            </w:r>
            <w:r w:rsidRPr="00764D26">
              <w:rPr>
                <w:rFonts w:ascii="Arial Narrow" w:hAnsi="Arial Narrow" w:cs="Calibri"/>
                <w:sz w:val="20"/>
                <w:szCs w:val="20"/>
                <w:lang w:eastAsia="en-NZ"/>
              </w:rPr>
              <w:t>813)</w:t>
            </w:r>
          </w:p>
        </w:tc>
        <w:tc>
          <w:tcPr>
            <w:tcW w:w="1057" w:type="dxa"/>
            <w:tcBorders>
              <w:top w:val="nil"/>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24.2</w:t>
            </w:r>
            <w:r w:rsidRPr="00764D26">
              <w:rPr>
                <w:rFonts w:ascii="Arial Narrow" w:hAnsi="Arial Narrow" w:cs="Calibri"/>
                <w:sz w:val="20"/>
                <w:szCs w:val="20"/>
                <w:lang w:eastAsia="en-NZ"/>
              </w:rPr>
              <w:br/>
              <w:t>23.1 - 25.3</w:t>
            </w:r>
          </w:p>
        </w:tc>
      </w:tr>
      <w:tr w:rsidR="00043311" w:rsidRPr="00764D26" w:rsidTr="0042130F">
        <w:trPr>
          <w:trHeight w:hRule="exact" w:val="113"/>
          <w:jc w:val="center"/>
        </w:trPr>
        <w:tc>
          <w:tcPr>
            <w:tcW w:w="63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 </w:t>
            </w:r>
          </w:p>
        </w:tc>
      </w:tr>
      <w:tr w:rsidR="00043311" w:rsidRPr="00764D26" w:rsidTr="0042130F">
        <w:trPr>
          <w:trHeight w:val="510"/>
          <w:jc w:val="center"/>
        </w:trPr>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r w:rsidRPr="00764D26">
              <w:rPr>
                <w:rFonts w:ascii="Arial Narrow" w:hAnsi="Arial Narrow" w:cs="Calibri"/>
                <w:sz w:val="20"/>
                <w:szCs w:val="20"/>
                <w:lang w:eastAsia="en-NZ"/>
              </w:rPr>
              <w:t>By Gender</w:t>
            </w: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Male</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440</w:t>
            </w:r>
            <w:r>
              <w:rPr>
                <w:rFonts w:ascii="Arial Narrow" w:hAnsi="Arial Narrow" w:cs="Calibri"/>
                <w:sz w:val="20"/>
                <w:szCs w:val="20"/>
                <w:lang w:eastAsia="en-NZ"/>
              </w:rPr>
              <w:br/>
              <w:t>(3</w:t>
            </w:r>
            <w:r w:rsidRPr="00764D26">
              <w:rPr>
                <w:rFonts w:ascii="Arial Narrow" w:hAnsi="Arial Narrow" w:cs="Calibri"/>
                <w:sz w:val="20"/>
                <w:szCs w:val="20"/>
                <w:lang w:eastAsia="en-NZ"/>
              </w:rPr>
              <w:t>456)</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12.8</w:t>
            </w:r>
            <w:r w:rsidRPr="00764D26">
              <w:rPr>
                <w:rFonts w:ascii="Arial Narrow" w:hAnsi="Arial Narrow" w:cs="Calibri"/>
                <w:sz w:val="20"/>
                <w:szCs w:val="20"/>
                <w:lang w:eastAsia="en-NZ"/>
              </w:rPr>
              <w:br/>
              <w:t>11.7 - 13.8</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911</w:t>
            </w:r>
            <w:r>
              <w:rPr>
                <w:rFonts w:ascii="Arial Narrow" w:hAnsi="Arial Narrow" w:cs="Calibri"/>
                <w:sz w:val="20"/>
                <w:szCs w:val="20"/>
                <w:lang w:eastAsia="en-NZ"/>
              </w:rPr>
              <w:br/>
              <w:t>(3</w:t>
            </w:r>
            <w:r w:rsidRPr="00764D26">
              <w:rPr>
                <w:rFonts w:ascii="Arial Narrow" w:hAnsi="Arial Narrow" w:cs="Calibri"/>
                <w:sz w:val="20"/>
                <w:szCs w:val="20"/>
                <w:lang w:eastAsia="en-NZ"/>
              </w:rPr>
              <w:t>456)</w:t>
            </w:r>
          </w:p>
        </w:tc>
        <w:tc>
          <w:tcPr>
            <w:tcW w:w="1057" w:type="dxa"/>
            <w:tcBorders>
              <w:top w:val="nil"/>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26.4</w:t>
            </w:r>
            <w:r>
              <w:rPr>
                <w:rFonts w:ascii="Arial Narrow" w:hAnsi="Arial Narrow" w:cs="Calibri"/>
                <w:sz w:val="20"/>
                <w:szCs w:val="20"/>
                <w:lang w:eastAsia="en-NZ"/>
              </w:rPr>
              <w:br/>
              <w:t>24.7 - 28.1</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Female</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363</w:t>
            </w:r>
            <w:r w:rsidRPr="00764D26">
              <w:rPr>
                <w:rFonts w:ascii="Arial Narrow" w:hAnsi="Arial Narrow" w:cs="Calibri"/>
                <w:sz w:val="20"/>
                <w:szCs w:val="20"/>
                <w:lang w:eastAsia="en-NZ"/>
              </w:rPr>
              <w:br/>
              <w:t>(4355)</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8.4</w:t>
            </w:r>
            <w:r w:rsidRPr="00764D26">
              <w:rPr>
                <w:rFonts w:ascii="Arial Narrow" w:hAnsi="Arial Narrow" w:cs="Calibri"/>
                <w:sz w:val="20"/>
                <w:szCs w:val="20"/>
                <w:lang w:eastAsia="en-NZ"/>
              </w:rPr>
              <w:br/>
              <w:t>7.4 - 9.3</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978</w:t>
            </w:r>
            <w:r>
              <w:rPr>
                <w:rFonts w:ascii="Arial Narrow" w:hAnsi="Arial Narrow" w:cs="Calibri"/>
                <w:sz w:val="20"/>
                <w:szCs w:val="20"/>
                <w:lang w:eastAsia="en-NZ"/>
              </w:rPr>
              <w:br/>
              <w:t>(4</w:t>
            </w:r>
            <w:r w:rsidRPr="00764D26">
              <w:rPr>
                <w:rFonts w:ascii="Arial Narrow" w:hAnsi="Arial Narrow" w:cs="Calibri"/>
                <w:sz w:val="20"/>
                <w:szCs w:val="20"/>
                <w:lang w:eastAsia="en-NZ"/>
              </w:rPr>
              <w:t>355)</w:t>
            </w:r>
          </w:p>
        </w:tc>
        <w:tc>
          <w:tcPr>
            <w:tcW w:w="1057"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22.5</w:t>
            </w:r>
            <w:r w:rsidRPr="00764D26">
              <w:rPr>
                <w:rFonts w:ascii="Arial Narrow" w:hAnsi="Arial Narrow" w:cs="Calibri"/>
                <w:sz w:val="20"/>
                <w:szCs w:val="20"/>
                <w:lang w:eastAsia="en-NZ"/>
              </w:rPr>
              <w:br/>
              <w:t>21.4 - 23.6</w:t>
            </w:r>
          </w:p>
        </w:tc>
      </w:tr>
      <w:tr w:rsidR="00043311" w:rsidRPr="00764D26" w:rsidTr="0042130F">
        <w:trPr>
          <w:trHeight w:hRule="exact" w:val="113"/>
          <w:jc w:val="center"/>
        </w:trPr>
        <w:tc>
          <w:tcPr>
            <w:tcW w:w="63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p>
        </w:tc>
      </w:tr>
      <w:tr w:rsidR="00043311" w:rsidRPr="00764D26" w:rsidTr="0042130F">
        <w:trPr>
          <w:trHeight w:val="510"/>
          <w:jc w:val="center"/>
        </w:trPr>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r w:rsidRPr="00764D26">
              <w:rPr>
                <w:rFonts w:ascii="Arial Narrow" w:hAnsi="Arial Narrow" w:cs="Calibri"/>
                <w:sz w:val="20"/>
                <w:szCs w:val="20"/>
                <w:lang w:eastAsia="en-NZ"/>
              </w:rPr>
              <w:t>By Age</w:t>
            </w: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13 and under</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191</w:t>
            </w:r>
            <w:r>
              <w:rPr>
                <w:rFonts w:ascii="Arial Narrow" w:hAnsi="Arial Narrow" w:cs="Calibri"/>
                <w:sz w:val="20"/>
                <w:szCs w:val="20"/>
                <w:lang w:eastAsia="en-NZ"/>
              </w:rPr>
              <w:br/>
              <w:t>(1</w:t>
            </w:r>
            <w:r w:rsidRPr="00764D26">
              <w:rPr>
                <w:rFonts w:ascii="Arial Narrow" w:hAnsi="Arial Narrow" w:cs="Calibri"/>
                <w:sz w:val="20"/>
                <w:szCs w:val="20"/>
                <w:lang w:eastAsia="en-NZ"/>
              </w:rPr>
              <w:t>679)</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11.4</w:t>
            </w:r>
            <w:r w:rsidRPr="00764D26">
              <w:rPr>
                <w:rFonts w:ascii="Arial Narrow" w:hAnsi="Arial Narrow" w:cs="Calibri"/>
                <w:sz w:val="20"/>
                <w:szCs w:val="20"/>
                <w:lang w:eastAsia="en-NZ"/>
              </w:rPr>
              <w:br/>
              <w:t>9.7 - 13.1</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408</w:t>
            </w:r>
            <w:r>
              <w:rPr>
                <w:rFonts w:ascii="Arial Narrow" w:hAnsi="Arial Narrow" w:cs="Calibri"/>
                <w:sz w:val="20"/>
                <w:szCs w:val="20"/>
                <w:lang w:eastAsia="en-NZ"/>
              </w:rPr>
              <w:br/>
              <w:t>(1</w:t>
            </w:r>
            <w:r w:rsidRPr="00764D26">
              <w:rPr>
                <w:rFonts w:ascii="Arial Narrow" w:hAnsi="Arial Narrow" w:cs="Calibri"/>
                <w:sz w:val="20"/>
                <w:szCs w:val="20"/>
                <w:lang w:eastAsia="en-NZ"/>
              </w:rPr>
              <w:t>679)</w:t>
            </w:r>
          </w:p>
        </w:tc>
        <w:tc>
          <w:tcPr>
            <w:tcW w:w="1057" w:type="dxa"/>
            <w:tcBorders>
              <w:top w:val="nil"/>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24.3</w:t>
            </w:r>
            <w:r w:rsidRPr="00764D26">
              <w:rPr>
                <w:rFonts w:ascii="Arial Narrow" w:hAnsi="Arial Narrow" w:cs="Calibri"/>
                <w:sz w:val="20"/>
                <w:szCs w:val="20"/>
                <w:lang w:eastAsia="en-NZ"/>
              </w:rPr>
              <w:br/>
              <w:t>22.0 - 26.6</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14</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169</w:t>
            </w:r>
            <w:r>
              <w:rPr>
                <w:rFonts w:ascii="Arial Narrow" w:hAnsi="Arial Narrow" w:cs="Calibri"/>
                <w:sz w:val="20"/>
                <w:szCs w:val="20"/>
                <w:lang w:eastAsia="en-NZ"/>
              </w:rPr>
              <w:br/>
              <w:t>(1</w:t>
            </w:r>
            <w:r w:rsidRPr="00764D26">
              <w:rPr>
                <w:rFonts w:ascii="Arial Narrow" w:hAnsi="Arial Narrow" w:cs="Calibri"/>
                <w:sz w:val="20"/>
                <w:szCs w:val="20"/>
                <w:lang w:eastAsia="en-NZ"/>
              </w:rPr>
              <w:t>760)</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9.7</w:t>
            </w:r>
            <w:r w:rsidRPr="00764D26">
              <w:rPr>
                <w:rFonts w:ascii="Arial Narrow" w:hAnsi="Arial Narrow" w:cs="Calibri"/>
                <w:sz w:val="20"/>
                <w:szCs w:val="20"/>
                <w:lang w:eastAsia="en-NZ"/>
              </w:rPr>
              <w:br/>
              <w:t>8.2 - 11.2</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405</w:t>
            </w:r>
            <w:r>
              <w:rPr>
                <w:rFonts w:ascii="Arial Narrow" w:hAnsi="Arial Narrow" w:cs="Calibri"/>
                <w:sz w:val="20"/>
                <w:szCs w:val="20"/>
                <w:lang w:eastAsia="en-NZ"/>
              </w:rPr>
              <w:br/>
              <w:t>(1</w:t>
            </w:r>
            <w:r w:rsidRPr="00764D26">
              <w:rPr>
                <w:rFonts w:ascii="Arial Narrow" w:hAnsi="Arial Narrow" w:cs="Calibri"/>
                <w:sz w:val="20"/>
                <w:szCs w:val="20"/>
                <w:lang w:eastAsia="en-NZ"/>
              </w:rPr>
              <w:t>760)</w:t>
            </w:r>
          </w:p>
        </w:tc>
        <w:tc>
          <w:tcPr>
            <w:tcW w:w="1057"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23.2</w:t>
            </w:r>
            <w:r w:rsidRPr="00764D26">
              <w:rPr>
                <w:rFonts w:ascii="Arial Narrow" w:hAnsi="Arial Narrow" w:cs="Calibri"/>
                <w:sz w:val="20"/>
                <w:szCs w:val="20"/>
                <w:lang w:eastAsia="en-NZ"/>
              </w:rPr>
              <w:br/>
              <w:t>21.2 - 25.1</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15</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169</w:t>
            </w:r>
            <w:r>
              <w:rPr>
                <w:rFonts w:ascii="Arial Narrow" w:hAnsi="Arial Narrow" w:cs="Calibri"/>
                <w:sz w:val="20"/>
                <w:szCs w:val="20"/>
                <w:lang w:eastAsia="en-NZ"/>
              </w:rPr>
              <w:br/>
              <w:t>(1</w:t>
            </w:r>
            <w:r w:rsidRPr="00764D26">
              <w:rPr>
                <w:rFonts w:ascii="Arial Narrow" w:hAnsi="Arial Narrow" w:cs="Calibri"/>
                <w:sz w:val="20"/>
                <w:szCs w:val="20"/>
                <w:lang w:eastAsia="en-NZ"/>
              </w:rPr>
              <w:t>594)</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10.6</w:t>
            </w:r>
            <w:r w:rsidRPr="00764D26">
              <w:rPr>
                <w:rFonts w:ascii="Arial Narrow" w:hAnsi="Arial Narrow" w:cs="Calibri"/>
                <w:sz w:val="20"/>
                <w:szCs w:val="20"/>
                <w:lang w:eastAsia="en-NZ"/>
              </w:rPr>
              <w:br/>
              <w:t>9.1 - 12.2</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376</w:t>
            </w:r>
            <w:r>
              <w:rPr>
                <w:rFonts w:ascii="Arial Narrow" w:hAnsi="Arial Narrow" w:cs="Calibri"/>
                <w:sz w:val="20"/>
                <w:szCs w:val="20"/>
                <w:lang w:eastAsia="en-NZ"/>
              </w:rPr>
              <w:br/>
              <w:t>(1</w:t>
            </w:r>
            <w:r w:rsidRPr="00764D26">
              <w:rPr>
                <w:rFonts w:ascii="Arial Narrow" w:hAnsi="Arial Narrow" w:cs="Calibri"/>
                <w:sz w:val="20"/>
                <w:szCs w:val="20"/>
                <w:lang w:eastAsia="en-NZ"/>
              </w:rPr>
              <w:t>594)</w:t>
            </w:r>
          </w:p>
        </w:tc>
        <w:tc>
          <w:tcPr>
            <w:tcW w:w="1057"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23.6</w:t>
            </w:r>
            <w:r w:rsidRPr="00764D26">
              <w:rPr>
                <w:rFonts w:ascii="Arial Narrow" w:hAnsi="Arial Narrow" w:cs="Calibri"/>
                <w:sz w:val="20"/>
                <w:szCs w:val="20"/>
                <w:lang w:eastAsia="en-NZ"/>
              </w:rPr>
              <w:br/>
              <w:t>21.9 - 25.3</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16</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144</w:t>
            </w:r>
            <w:r>
              <w:rPr>
                <w:rFonts w:ascii="Arial Narrow" w:hAnsi="Arial Narrow" w:cs="Calibri"/>
                <w:sz w:val="20"/>
                <w:szCs w:val="20"/>
                <w:lang w:eastAsia="en-NZ"/>
              </w:rPr>
              <w:br/>
              <w:t>(1</w:t>
            </w:r>
            <w:r w:rsidRPr="00764D26">
              <w:rPr>
                <w:rFonts w:ascii="Arial Narrow" w:hAnsi="Arial Narrow" w:cs="Calibri"/>
                <w:sz w:val="20"/>
                <w:szCs w:val="20"/>
                <w:lang w:eastAsia="en-NZ"/>
              </w:rPr>
              <w:t>444)</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9.9</w:t>
            </w:r>
            <w:r w:rsidRPr="00764D26">
              <w:rPr>
                <w:rFonts w:ascii="Arial Narrow" w:hAnsi="Arial Narrow" w:cs="Calibri"/>
                <w:sz w:val="20"/>
                <w:szCs w:val="20"/>
                <w:lang w:eastAsia="en-NZ"/>
              </w:rPr>
              <w:br/>
              <w:t>8.1 - 11.7</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356</w:t>
            </w:r>
            <w:r>
              <w:rPr>
                <w:rFonts w:ascii="Arial Narrow" w:hAnsi="Arial Narrow" w:cs="Calibri"/>
                <w:sz w:val="20"/>
                <w:szCs w:val="20"/>
                <w:lang w:eastAsia="en-NZ"/>
              </w:rPr>
              <w:br/>
              <w:t>(1</w:t>
            </w:r>
            <w:r w:rsidRPr="00764D26">
              <w:rPr>
                <w:rFonts w:ascii="Arial Narrow" w:hAnsi="Arial Narrow" w:cs="Calibri"/>
                <w:sz w:val="20"/>
                <w:szCs w:val="20"/>
                <w:lang w:eastAsia="en-NZ"/>
              </w:rPr>
              <w:t>444)</w:t>
            </w:r>
          </w:p>
        </w:tc>
        <w:tc>
          <w:tcPr>
            <w:tcW w:w="1057"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24.7</w:t>
            </w:r>
            <w:r w:rsidRPr="00764D26">
              <w:rPr>
                <w:rFonts w:ascii="Arial Narrow" w:hAnsi="Arial Narrow" w:cs="Calibri"/>
                <w:sz w:val="20"/>
                <w:szCs w:val="20"/>
                <w:lang w:eastAsia="en-NZ"/>
              </w:rPr>
              <w:br/>
              <w:t>22.0 - 27.4</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17 and over</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129</w:t>
            </w:r>
            <w:r>
              <w:rPr>
                <w:rFonts w:ascii="Arial Narrow" w:hAnsi="Arial Narrow" w:cs="Calibri"/>
                <w:sz w:val="20"/>
                <w:szCs w:val="20"/>
                <w:lang w:eastAsia="en-NZ"/>
              </w:rPr>
              <w:br/>
              <w:t>(1</w:t>
            </w:r>
            <w:r w:rsidRPr="00764D26">
              <w:rPr>
                <w:rFonts w:ascii="Arial Narrow" w:hAnsi="Arial Narrow" w:cs="Calibri"/>
                <w:sz w:val="20"/>
                <w:szCs w:val="20"/>
                <w:lang w:eastAsia="en-NZ"/>
              </w:rPr>
              <w:t>326)</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9.7</w:t>
            </w:r>
            <w:r w:rsidRPr="00764D26">
              <w:rPr>
                <w:rFonts w:ascii="Arial Narrow" w:hAnsi="Arial Narrow" w:cs="Calibri"/>
                <w:sz w:val="20"/>
                <w:szCs w:val="20"/>
                <w:lang w:eastAsia="en-NZ"/>
              </w:rPr>
              <w:br/>
              <w:t>8.1 - 11.4</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341</w:t>
            </w:r>
            <w:r>
              <w:rPr>
                <w:rFonts w:ascii="Arial Narrow" w:hAnsi="Arial Narrow" w:cs="Calibri"/>
                <w:sz w:val="20"/>
                <w:szCs w:val="20"/>
                <w:lang w:eastAsia="en-NZ"/>
              </w:rPr>
              <w:br/>
              <w:t>(1</w:t>
            </w:r>
            <w:r w:rsidRPr="00764D26">
              <w:rPr>
                <w:rFonts w:ascii="Arial Narrow" w:hAnsi="Arial Narrow" w:cs="Calibri"/>
                <w:sz w:val="20"/>
                <w:szCs w:val="20"/>
                <w:lang w:eastAsia="en-NZ"/>
              </w:rPr>
              <w:t>326)</w:t>
            </w:r>
          </w:p>
        </w:tc>
        <w:tc>
          <w:tcPr>
            <w:tcW w:w="1057"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25.7</w:t>
            </w:r>
            <w:r w:rsidRPr="00764D26">
              <w:rPr>
                <w:rFonts w:ascii="Arial Narrow" w:hAnsi="Arial Narrow" w:cs="Calibri"/>
                <w:sz w:val="20"/>
                <w:szCs w:val="20"/>
                <w:lang w:eastAsia="en-NZ"/>
              </w:rPr>
              <w:br/>
              <w:t>23.5 - 27.9</w:t>
            </w:r>
          </w:p>
        </w:tc>
      </w:tr>
      <w:tr w:rsidR="00043311" w:rsidRPr="00764D26" w:rsidTr="0042130F">
        <w:trPr>
          <w:trHeight w:hRule="exact" w:val="113"/>
          <w:jc w:val="center"/>
        </w:trPr>
        <w:tc>
          <w:tcPr>
            <w:tcW w:w="63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 </w:t>
            </w:r>
          </w:p>
        </w:tc>
      </w:tr>
      <w:tr w:rsidR="00043311" w:rsidRPr="00764D26" w:rsidTr="0042130F">
        <w:trPr>
          <w:trHeight w:val="510"/>
          <w:jc w:val="center"/>
        </w:trPr>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r w:rsidRPr="00764D26">
              <w:rPr>
                <w:rFonts w:ascii="Arial Narrow" w:hAnsi="Arial Narrow" w:cs="Calibri"/>
                <w:sz w:val="20"/>
                <w:szCs w:val="20"/>
                <w:lang w:eastAsia="en-NZ"/>
              </w:rPr>
              <w:t>By Ethnicity</w:t>
            </w: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NZ European</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335</w:t>
            </w:r>
            <w:r w:rsidRPr="00764D26">
              <w:rPr>
                <w:rFonts w:ascii="Arial Narrow" w:hAnsi="Arial Narrow" w:cs="Calibri"/>
                <w:sz w:val="20"/>
                <w:szCs w:val="20"/>
                <w:lang w:eastAsia="en-NZ"/>
              </w:rPr>
              <w:br/>
              <w:t>(3852)</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8.7</w:t>
            </w:r>
            <w:r w:rsidRPr="00764D26">
              <w:rPr>
                <w:rFonts w:ascii="Arial Narrow" w:hAnsi="Arial Narrow" w:cs="Calibri"/>
                <w:sz w:val="20"/>
                <w:szCs w:val="20"/>
                <w:lang w:eastAsia="en-NZ"/>
              </w:rPr>
              <w:br/>
              <w:t>7.5 - 9.9</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916</w:t>
            </w:r>
            <w:r w:rsidRPr="00764D26">
              <w:rPr>
                <w:rFonts w:ascii="Arial Narrow" w:hAnsi="Arial Narrow" w:cs="Calibri"/>
                <w:sz w:val="20"/>
                <w:szCs w:val="20"/>
                <w:lang w:eastAsia="en-NZ"/>
              </w:rPr>
              <w:br/>
              <w:t>(3852)</w:t>
            </w:r>
          </w:p>
        </w:tc>
        <w:tc>
          <w:tcPr>
            <w:tcW w:w="1057" w:type="dxa"/>
            <w:tcBorders>
              <w:top w:val="nil"/>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23.8</w:t>
            </w:r>
            <w:r w:rsidRPr="00764D26">
              <w:rPr>
                <w:rFonts w:ascii="Arial Narrow" w:hAnsi="Arial Narrow" w:cs="Calibri"/>
                <w:sz w:val="20"/>
                <w:szCs w:val="20"/>
                <w:lang w:eastAsia="en-NZ"/>
              </w:rPr>
              <w:br/>
              <w:t>22.3 - 25.4</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 xml:space="preserve">Māori  </w:t>
            </w:r>
          </w:p>
        </w:tc>
        <w:tc>
          <w:tcPr>
            <w:tcW w:w="89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180</w:t>
            </w:r>
            <w:r w:rsidRPr="00764D26">
              <w:rPr>
                <w:rFonts w:ascii="Arial Narrow" w:hAnsi="Arial Narrow" w:cs="Calibri"/>
                <w:sz w:val="20"/>
                <w:szCs w:val="20"/>
                <w:lang w:eastAsia="en-NZ"/>
              </w:rPr>
              <w:br/>
              <w:t>(1490)</w:t>
            </w:r>
          </w:p>
        </w:tc>
        <w:tc>
          <w:tcPr>
            <w:tcW w:w="1124" w:type="dxa"/>
            <w:tcBorders>
              <w:top w:val="nil"/>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12.1</w:t>
            </w:r>
            <w:r w:rsidRPr="00764D26">
              <w:rPr>
                <w:rFonts w:ascii="Arial Narrow" w:hAnsi="Arial Narrow" w:cs="Calibri"/>
                <w:sz w:val="20"/>
                <w:szCs w:val="20"/>
                <w:lang w:eastAsia="en-NZ"/>
              </w:rPr>
              <w:br/>
              <w:t>10.4 - 13.8</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375</w:t>
            </w:r>
            <w:r w:rsidRPr="00764D26">
              <w:rPr>
                <w:rFonts w:ascii="Arial Narrow" w:hAnsi="Arial Narrow" w:cs="Calibri"/>
                <w:sz w:val="20"/>
                <w:szCs w:val="20"/>
                <w:lang w:eastAsia="en-NZ"/>
              </w:rPr>
              <w:br/>
              <w:t>(1490)</w:t>
            </w:r>
          </w:p>
        </w:tc>
        <w:tc>
          <w:tcPr>
            <w:tcW w:w="1057"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25.1</w:t>
            </w:r>
            <w:r w:rsidRPr="00764D26">
              <w:rPr>
                <w:rFonts w:ascii="Arial Narrow" w:hAnsi="Arial Narrow" w:cs="Calibri"/>
                <w:sz w:val="20"/>
                <w:szCs w:val="20"/>
                <w:lang w:eastAsia="en-NZ"/>
              </w:rPr>
              <w:br/>
              <w:t>22.7 - 27.5</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Pacific</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142</w:t>
            </w:r>
            <w:r w:rsidRPr="00764D26">
              <w:rPr>
                <w:rFonts w:ascii="Arial Narrow" w:hAnsi="Arial Narrow" w:cs="Calibri"/>
                <w:sz w:val="20"/>
                <w:szCs w:val="20"/>
                <w:lang w:eastAsia="en-NZ"/>
              </w:rPr>
              <w:br/>
              <w:t>(1007)</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14.2</w:t>
            </w:r>
            <w:r w:rsidRPr="00764D26">
              <w:rPr>
                <w:rFonts w:ascii="Arial Narrow" w:hAnsi="Arial Narrow" w:cs="Calibri"/>
                <w:sz w:val="20"/>
                <w:szCs w:val="20"/>
                <w:lang w:eastAsia="en-NZ"/>
              </w:rPr>
              <w:br/>
              <w:t>10.8 - 17.5</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264</w:t>
            </w:r>
            <w:r w:rsidRPr="00764D26">
              <w:rPr>
                <w:rFonts w:ascii="Arial Narrow" w:hAnsi="Arial Narrow" w:cs="Calibri"/>
                <w:sz w:val="20"/>
                <w:szCs w:val="20"/>
                <w:lang w:eastAsia="en-NZ"/>
              </w:rPr>
              <w:br/>
              <w:t>(1007)</w:t>
            </w:r>
          </w:p>
        </w:tc>
        <w:tc>
          <w:tcPr>
            <w:tcW w:w="1057"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26.3</w:t>
            </w:r>
            <w:r w:rsidRPr="00764D26">
              <w:rPr>
                <w:rFonts w:ascii="Arial Narrow" w:hAnsi="Arial Narrow" w:cs="Calibri"/>
                <w:sz w:val="20"/>
                <w:szCs w:val="20"/>
                <w:lang w:eastAsia="en-NZ"/>
              </w:rPr>
              <w:br/>
              <w:t>23.2 - 29.3</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Asian</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91</w:t>
            </w:r>
            <w:r w:rsidRPr="00764D26">
              <w:rPr>
                <w:rFonts w:ascii="Arial Narrow" w:hAnsi="Arial Narrow" w:cs="Calibri"/>
                <w:sz w:val="20"/>
                <w:szCs w:val="20"/>
                <w:lang w:eastAsia="en-NZ"/>
              </w:rPr>
              <w:br/>
              <w:t>(983)</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9.3</w:t>
            </w:r>
            <w:r w:rsidRPr="00764D26">
              <w:rPr>
                <w:rFonts w:ascii="Arial Narrow" w:hAnsi="Arial Narrow" w:cs="Calibri"/>
                <w:sz w:val="20"/>
                <w:szCs w:val="20"/>
                <w:lang w:eastAsia="en-NZ"/>
              </w:rPr>
              <w:br/>
              <w:t>7.9 - 10.8</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221</w:t>
            </w:r>
            <w:r w:rsidRPr="00764D26">
              <w:rPr>
                <w:rFonts w:ascii="Arial Narrow" w:hAnsi="Arial Narrow" w:cs="Calibri"/>
                <w:sz w:val="20"/>
                <w:szCs w:val="20"/>
                <w:lang w:eastAsia="en-NZ"/>
              </w:rPr>
              <w:br/>
              <w:t>(983)</w:t>
            </w:r>
          </w:p>
        </w:tc>
        <w:tc>
          <w:tcPr>
            <w:tcW w:w="1057"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22.6</w:t>
            </w:r>
            <w:r w:rsidRPr="00764D26">
              <w:rPr>
                <w:rFonts w:ascii="Arial Narrow" w:hAnsi="Arial Narrow" w:cs="Calibri"/>
                <w:sz w:val="20"/>
                <w:szCs w:val="20"/>
                <w:lang w:eastAsia="en-NZ"/>
              </w:rPr>
              <w:br/>
              <w:t>20.0 - 25.1</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Other</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55</w:t>
            </w:r>
            <w:r w:rsidRPr="00764D26">
              <w:rPr>
                <w:rFonts w:ascii="Arial Narrow" w:hAnsi="Arial Narrow" w:cs="Calibri"/>
                <w:sz w:val="20"/>
                <w:szCs w:val="20"/>
                <w:lang w:eastAsia="en-NZ"/>
              </w:rPr>
              <w:br/>
              <w:t>(474)</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11.6</w:t>
            </w:r>
            <w:r w:rsidRPr="00764D26">
              <w:rPr>
                <w:rFonts w:ascii="Arial Narrow" w:hAnsi="Arial Narrow" w:cs="Calibri"/>
                <w:sz w:val="20"/>
                <w:szCs w:val="20"/>
                <w:lang w:eastAsia="en-NZ"/>
              </w:rPr>
              <w:br/>
              <w:t>8.5 - 14.7</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113</w:t>
            </w:r>
            <w:r w:rsidRPr="00764D26">
              <w:rPr>
                <w:rFonts w:ascii="Arial Narrow" w:hAnsi="Arial Narrow" w:cs="Calibri"/>
                <w:sz w:val="20"/>
                <w:szCs w:val="20"/>
                <w:lang w:eastAsia="en-NZ"/>
              </w:rPr>
              <w:br/>
              <w:t>(474)</w:t>
            </w:r>
          </w:p>
        </w:tc>
        <w:tc>
          <w:tcPr>
            <w:tcW w:w="1057" w:type="dxa"/>
            <w:tcBorders>
              <w:top w:val="single" w:sz="4" w:space="0" w:color="auto"/>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23.9</w:t>
            </w:r>
            <w:r w:rsidRPr="00764D26">
              <w:rPr>
                <w:rFonts w:ascii="Arial Narrow" w:hAnsi="Arial Narrow" w:cs="Calibri"/>
                <w:sz w:val="20"/>
                <w:szCs w:val="20"/>
                <w:lang w:eastAsia="en-NZ"/>
              </w:rPr>
              <w:br/>
              <w:t>19.5 - 28.3</w:t>
            </w:r>
          </w:p>
        </w:tc>
      </w:tr>
      <w:tr w:rsidR="00043311" w:rsidRPr="00764D26" w:rsidTr="0042130F">
        <w:trPr>
          <w:trHeight w:hRule="exact" w:val="113"/>
          <w:jc w:val="center"/>
        </w:trPr>
        <w:tc>
          <w:tcPr>
            <w:tcW w:w="63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 </w:t>
            </w:r>
          </w:p>
        </w:tc>
      </w:tr>
      <w:tr w:rsidR="00043311" w:rsidRPr="00764D26" w:rsidTr="0042130F">
        <w:trPr>
          <w:trHeight w:val="510"/>
          <w:jc w:val="center"/>
        </w:trPr>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r w:rsidRPr="00764D26">
              <w:rPr>
                <w:rFonts w:ascii="Arial Narrow" w:hAnsi="Arial Narrow" w:cs="Calibri"/>
                <w:sz w:val="20"/>
                <w:szCs w:val="20"/>
                <w:lang w:eastAsia="en-NZ"/>
              </w:rPr>
              <w:t>By NZDep2006</w:t>
            </w: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Lower</w:t>
            </w:r>
          </w:p>
        </w:tc>
        <w:tc>
          <w:tcPr>
            <w:tcW w:w="89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239</w:t>
            </w:r>
            <w:r>
              <w:rPr>
                <w:rFonts w:ascii="Arial Narrow" w:hAnsi="Arial Narrow" w:cs="Calibri"/>
                <w:sz w:val="20"/>
                <w:szCs w:val="20"/>
                <w:lang w:eastAsia="en-NZ"/>
              </w:rPr>
              <w:br/>
              <w:t>(2</w:t>
            </w:r>
            <w:r w:rsidRPr="00764D26">
              <w:rPr>
                <w:rFonts w:ascii="Arial Narrow" w:hAnsi="Arial Narrow" w:cs="Calibri"/>
                <w:sz w:val="20"/>
                <w:szCs w:val="20"/>
                <w:lang w:eastAsia="en-NZ"/>
              </w:rPr>
              <w:t>598)</w:t>
            </w:r>
          </w:p>
        </w:tc>
        <w:tc>
          <w:tcPr>
            <w:tcW w:w="1124" w:type="dxa"/>
            <w:tcBorders>
              <w:top w:val="nil"/>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9.3</w:t>
            </w:r>
            <w:r w:rsidRPr="00764D26">
              <w:rPr>
                <w:rFonts w:ascii="Arial Narrow" w:hAnsi="Arial Narrow" w:cs="Calibri"/>
                <w:sz w:val="20"/>
                <w:szCs w:val="20"/>
                <w:lang w:eastAsia="en-NZ"/>
              </w:rPr>
              <w:br/>
              <w:t>7.8 - 10.7</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639</w:t>
            </w:r>
            <w:r>
              <w:rPr>
                <w:rFonts w:ascii="Arial Narrow" w:hAnsi="Arial Narrow" w:cs="Calibri"/>
                <w:sz w:val="20"/>
                <w:szCs w:val="20"/>
                <w:lang w:eastAsia="en-NZ"/>
              </w:rPr>
              <w:br/>
              <w:t>(2</w:t>
            </w:r>
            <w:r w:rsidRPr="00764D26">
              <w:rPr>
                <w:rFonts w:ascii="Arial Narrow" w:hAnsi="Arial Narrow" w:cs="Calibri"/>
                <w:sz w:val="20"/>
                <w:szCs w:val="20"/>
                <w:lang w:eastAsia="en-NZ"/>
              </w:rPr>
              <w:t>598)</w:t>
            </w:r>
          </w:p>
        </w:tc>
        <w:tc>
          <w:tcPr>
            <w:tcW w:w="1057" w:type="dxa"/>
            <w:tcBorders>
              <w:top w:val="nil"/>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24.7</w:t>
            </w:r>
            <w:r w:rsidRPr="00764D26">
              <w:rPr>
                <w:rFonts w:ascii="Arial Narrow" w:hAnsi="Arial Narrow" w:cs="Calibri"/>
                <w:sz w:val="20"/>
                <w:szCs w:val="20"/>
                <w:lang w:eastAsia="en-NZ"/>
              </w:rPr>
              <w:br/>
              <w:t>22.6 - 26.7</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Medium</w:t>
            </w:r>
          </w:p>
        </w:tc>
        <w:tc>
          <w:tcPr>
            <w:tcW w:w="89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272</w:t>
            </w:r>
            <w:r>
              <w:rPr>
                <w:rFonts w:ascii="Arial Narrow" w:hAnsi="Arial Narrow" w:cs="Calibri"/>
                <w:sz w:val="20"/>
                <w:szCs w:val="20"/>
                <w:lang w:eastAsia="en-NZ"/>
              </w:rPr>
              <w:br/>
              <w:t>(2</w:t>
            </w:r>
            <w:r w:rsidRPr="00764D26">
              <w:rPr>
                <w:rFonts w:ascii="Arial Narrow" w:hAnsi="Arial Narrow" w:cs="Calibri"/>
                <w:sz w:val="20"/>
                <w:szCs w:val="20"/>
                <w:lang w:eastAsia="en-NZ"/>
              </w:rPr>
              <w:t>809)</w:t>
            </w:r>
          </w:p>
        </w:tc>
        <w:tc>
          <w:tcPr>
            <w:tcW w:w="1124"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9.7</w:t>
            </w:r>
            <w:r w:rsidRPr="00764D26">
              <w:rPr>
                <w:rFonts w:ascii="Arial Narrow" w:hAnsi="Arial Narrow" w:cs="Calibri"/>
                <w:sz w:val="20"/>
                <w:szCs w:val="20"/>
                <w:lang w:eastAsia="en-NZ"/>
              </w:rPr>
              <w:br/>
              <w:t>8.5 - 10.9</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667</w:t>
            </w:r>
            <w:r>
              <w:rPr>
                <w:rFonts w:ascii="Arial Narrow" w:hAnsi="Arial Narrow" w:cs="Calibri"/>
                <w:sz w:val="20"/>
                <w:szCs w:val="20"/>
                <w:lang w:eastAsia="en-NZ"/>
              </w:rPr>
              <w:br/>
              <w:t>(2</w:t>
            </w:r>
            <w:r w:rsidRPr="00764D26">
              <w:rPr>
                <w:rFonts w:ascii="Arial Narrow" w:hAnsi="Arial Narrow" w:cs="Calibri"/>
                <w:sz w:val="20"/>
                <w:szCs w:val="20"/>
                <w:lang w:eastAsia="en-NZ"/>
              </w:rPr>
              <w:t>809)</w:t>
            </w:r>
          </w:p>
        </w:tc>
        <w:tc>
          <w:tcPr>
            <w:tcW w:w="1057"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23.8</w:t>
            </w:r>
            <w:r w:rsidRPr="00764D26">
              <w:rPr>
                <w:rFonts w:ascii="Arial Narrow" w:hAnsi="Arial Narrow" w:cs="Calibri"/>
                <w:sz w:val="20"/>
                <w:szCs w:val="20"/>
                <w:lang w:eastAsia="en-NZ"/>
              </w:rPr>
              <w:br/>
              <w:t>22.1 - 25.4</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Higher</w:t>
            </w:r>
          </w:p>
        </w:tc>
        <w:tc>
          <w:tcPr>
            <w:tcW w:w="89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286</w:t>
            </w:r>
            <w:r>
              <w:rPr>
                <w:rFonts w:ascii="Arial Narrow" w:hAnsi="Arial Narrow" w:cs="Calibri"/>
                <w:sz w:val="20"/>
                <w:szCs w:val="20"/>
                <w:lang w:eastAsia="en-NZ"/>
              </w:rPr>
              <w:br/>
              <w:t>(2</w:t>
            </w:r>
            <w:r w:rsidRPr="00764D26">
              <w:rPr>
                <w:rFonts w:ascii="Arial Narrow" w:hAnsi="Arial Narrow" w:cs="Calibri"/>
                <w:sz w:val="20"/>
                <w:szCs w:val="20"/>
                <w:lang w:eastAsia="en-NZ"/>
              </w:rPr>
              <w:t>327)</w:t>
            </w:r>
          </w:p>
        </w:tc>
        <w:tc>
          <w:tcPr>
            <w:tcW w:w="1124"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12.4</w:t>
            </w:r>
            <w:r w:rsidRPr="00764D26">
              <w:rPr>
                <w:rFonts w:ascii="Arial Narrow" w:hAnsi="Arial Narrow" w:cs="Calibri"/>
                <w:sz w:val="20"/>
                <w:szCs w:val="20"/>
                <w:lang w:eastAsia="en-NZ"/>
              </w:rPr>
              <w:br/>
              <w:t>10.5 - 14.2</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565</w:t>
            </w:r>
            <w:r>
              <w:rPr>
                <w:rFonts w:ascii="Arial Narrow" w:hAnsi="Arial Narrow" w:cs="Calibri"/>
                <w:sz w:val="20"/>
                <w:szCs w:val="20"/>
                <w:lang w:eastAsia="en-NZ"/>
              </w:rPr>
              <w:br/>
              <w:t>(2</w:t>
            </w:r>
            <w:r w:rsidRPr="00764D26">
              <w:rPr>
                <w:rFonts w:ascii="Arial Narrow" w:hAnsi="Arial Narrow" w:cs="Calibri"/>
                <w:sz w:val="20"/>
                <w:szCs w:val="20"/>
                <w:lang w:eastAsia="en-NZ"/>
              </w:rPr>
              <w:t>327)</w:t>
            </w:r>
          </w:p>
        </w:tc>
        <w:tc>
          <w:tcPr>
            <w:tcW w:w="1057" w:type="dxa"/>
            <w:tcBorders>
              <w:top w:val="single" w:sz="4" w:space="0" w:color="auto"/>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24.4</w:t>
            </w:r>
            <w:r w:rsidRPr="00764D26">
              <w:rPr>
                <w:rFonts w:ascii="Arial Narrow" w:hAnsi="Arial Narrow" w:cs="Calibri"/>
                <w:sz w:val="20"/>
                <w:szCs w:val="20"/>
                <w:lang w:eastAsia="en-NZ"/>
              </w:rPr>
              <w:br/>
              <w:t>22.5 - 26.3</w:t>
            </w:r>
          </w:p>
        </w:tc>
      </w:tr>
      <w:tr w:rsidR="00043311" w:rsidRPr="00764D26" w:rsidTr="0042130F">
        <w:trPr>
          <w:trHeight w:hRule="exact" w:val="113"/>
          <w:jc w:val="center"/>
        </w:trPr>
        <w:tc>
          <w:tcPr>
            <w:tcW w:w="63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 </w:t>
            </w:r>
          </w:p>
        </w:tc>
      </w:tr>
      <w:tr w:rsidR="00043311" w:rsidRPr="00764D26" w:rsidTr="0042130F">
        <w:trPr>
          <w:trHeight w:val="510"/>
          <w:jc w:val="center"/>
        </w:trPr>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r w:rsidRPr="00764D26">
              <w:rPr>
                <w:rFonts w:ascii="Arial Narrow" w:hAnsi="Arial Narrow" w:cs="Calibri"/>
                <w:sz w:val="20"/>
                <w:szCs w:val="20"/>
                <w:lang w:eastAsia="en-NZ"/>
              </w:rPr>
              <w:t>By Geography</w:t>
            </w: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Urban</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693</w:t>
            </w:r>
            <w:r>
              <w:rPr>
                <w:rFonts w:ascii="Arial Narrow" w:hAnsi="Arial Narrow" w:cs="Calibri"/>
                <w:sz w:val="20"/>
                <w:szCs w:val="20"/>
                <w:lang w:eastAsia="en-NZ"/>
              </w:rPr>
              <w:br/>
              <w:t>(6</w:t>
            </w:r>
            <w:r w:rsidRPr="00764D26">
              <w:rPr>
                <w:rFonts w:ascii="Arial Narrow" w:hAnsi="Arial Narrow" w:cs="Calibri"/>
                <w:sz w:val="20"/>
                <w:szCs w:val="20"/>
                <w:lang w:eastAsia="en-NZ"/>
              </w:rPr>
              <w:t>563)</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10.6</w:t>
            </w:r>
            <w:r w:rsidRPr="00764D26">
              <w:rPr>
                <w:rFonts w:ascii="Arial Narrow" w:hAnsi="Arial Narrow" w:cs="Calibri"/>
                <w:sz w:val="20"/>
                <w:szCs w:val="20"/>
                <w:lang w:eastAsia="en-NZ"/>
              </w:rPr>
              <w:br/>
              <w:t>9.6 - 11.6</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1,580</w:t>
            </w:r>
            <w:r>
              <w:rPr>
                <w:rFonts w:ascii="Arial Narrow" w:hAnsi="Arial Narrow" w:cs="Calibri"/>
                <w:sz w:val="20"/>
                <w:szCs w:val="20"/>
                <w:lang w:eastAsia="en-NZ"/>
              </w:rPr>
              <w:br/>
              <w:t>(6</w:t>
            </w:r>
            <w:r w:rsidRPr="00764D26">
              <w:rPr>
                <w:rFonts w:ascii="Arial Narrow" w:hAnsi="Arial Narrow" w:cs="Calibri"/>
                <w:sz w:val="20"/>
                <w:szCs w:val="20"/>
                <w:lang w:eastAsia="en-NZ"/>
              </w:rPr>
              <w:t>563)</w:t>
            </w:r>
          </w:p>
        </w:tc>
        <w:tc>
          <w:tcPr>
            <w:tcW w:w="1057" w:type="dxa"/>
            <w:tcBorders>
              <w:top w:val="nil"/>
              <w:left w:val="nil"/>
              <w:bottom w:val="nil"/>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24.1</w:t>
            </w:r>
            <w:r w:rsidRPr="00764D26">
              <w:rPr>
                <w:rFonts w:ascii="Arial Narrow" w:hAnsi="Arial Narrow" w:cs="Calibri"/>
                <w:sz w:val="20"/>
                <w:szCs w:val="20"/>
                <w:lang w:eastAsia="en-NZ"/>
              </w:rPr>
              <w:br/>
              <w:t>23.0 - 25.3</w:t>
            </w:r>
          </w:p>
        </w:tc>
      </w:tr>
      <w:tr w:rsidR="00043311" w:rsidRPr="00764D26" w:rsidTr="0042130F">
        <w:trPr>
          <w:trHeight w:val="510"/>
          <w:jc w:val="center"/>
        </w:trPr>
        <w:tc>
          <w:tcPr>
            <w:tcW w:w="1427" w:type="dxa"/>
            <w:vMerge/>
            <w:tcBorders>
              <w:top w:val="nil"/>
              <w:left w:val="single" w:sz="4" w:space="0" w:color="auto"/>
              <w:bottom w:val="single" w:sz="4" w:space="0" w:color="000000"/>
              <w:right w:val="single" w:sz="4" w:space="0" w:color="auto"/>
            </w:tcBorders>
            <w:vAlign w:val="center"/>
            <w:hideMark/>
          </w:tcPr>
          <w:p w:rsidR="00043311" w:rsidRPr="00764D26" w:rsidRDefault="00043311" w:rsidP="0042130F">
            <w:pPr>
              <w:spacing w:before="0" w:line="240" w:lineRule="auto"/>
              <w:jc w:val="left"/>
              <w:rPr>
                <w:rFonts w:ascii="Arial Narrow" w:hAnsi="Arial Narrow" w:cs="Calibri"/>
                <w:sz w:val="20"/>
                <w:szCs w:val="20"/>
                <w:lang w:eastAsia="en-NZ"/>
              </w:rPr>
            </w:pPr>
          </w:p>
        </w:tc>
        <w:tc>
          <w:tcPr>
            <w:tcW w:w="1037"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Rural</w:t>
            </w:r>
          </w:p>
        </w:tc>
        <w:tc>
          <w:tcPr>
            <w:tcW w:w="893"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104</w:t>
            </w:r>
            <w:r>
              <w:rPr>
                <w:rFonts w:ascii="Arial Narrow" w:hAnsi="Arial Narrow" w:cs="Calibri"/>
                <w:sz w:val="20"/>
                <w:szCs w:val="20"/>
                <w:lang w:eastAsia="en-NZ"/>
              </w:rPr>
              <w:br/>
              <w:t>(1</w:t>
            </w:r>
            <w:r w:rsidRPr="00764D26">
              <w:rPr>
                <w:rFonts w:ascii="Arial Narrow" w:hAnsi="Arial Narrow" w:cs="Calibri"/>
                <w:sz w:val="20"/>
                <w:szCs w:val="20"/>
                <w:lang w:eastAsia="en-NZ"/>
              </w:rPr>
              <w:t>171)</w:t>
            </w:r>
          </w:p>
        </w:tc>
        <w:tc>
          <w:tcPr>
            <w:tcW w:w="1124" w:type="dxa"/>
            <w:tcBorders>
              <w:top w:val="nil"/>
              <w:left w:val="nil"/>
              <w:bottom w:val="single" w:sz="4" w:space="0" w:color="auto"/>
              <w:right w:val="single" w:sz="4" w:space="0" w:color="auto"/>
            </w:tcBorders>
            <w:shd w:val="clear" w:color="auto" w:fill="auto"/>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8.9</w:t>
            </w:r>
            <w:r w:rsidRPr="00764D26">
              <w:rPr>
                <w:rFonts w:ascii="Arial Narrow" w:hAnsi="Arial Narrow" w:cs="Calibri"/>
                <w:sz w:val="20"/>
                <w:szCs w:val="20"/>
                <w:lang w:eastAsia="en-NZ"/>
              </w:rPr>
              <w:br/>
              <w:t>7.3 - 10.5</w:t>
            </w:r>
          </w:p>
        </w:tc>
        <w:tc>
          <w:tcPr>
            <w:tcW w:w="803" w:type="dxa"/>
            <w:tcBorders>
              <w:top w:val="nil"/>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Pr>
                <w:rFonts w:ascii="Arial Narrow" w:hAnsi="Arial Narrow" w:cs="Calibri"/>
                <w:sz w:val="20"/>
                <w:szCs w:val="20"/>
                <w:lang w:eastAsia="en-NZ"/>
              </w:rPr>
              <w:t>291</w:t>
            </w:r>
            <w:r>
              <w:rPr>
                <w:rFonts w:ascii="Arial Narrow" w:hAnsi="Arial Narrow" w:cs="Calibri"/>
                <w:sz w:val="20"/>
                <w:szCs w:val="20"/>
                <w:lang w:eastAsia="en-NZ"/>
              </w:rPr>
              <w:br/>
              <w:t>(1</w:t>
            </w:r>
            <w:r w:rsidRPr="00764D26">
              <w:rPr>
                <w:rFonts w:ascii="Arial Narrow" w:hAnsi="Arial Narrow" w:cs="Calibri"/>
                <w:sz w:val="20"/>
                <w:szCs w:val="20"/>
                <w:lang w:eastAsia="en-NZ"/>
              </w:rPr>
              <w:t>171)</w:t>
            </w:r>
          </w:p>
        </w:tc>
        <w:tc>
          <w:tcPr>
            <w:tcW w:w="1057" w:type="dxa"/>
            <w:tcBorders>
              <w:top w:val="single" w:sz="4" w:space="0" w:color="auto"/>
              <w:left w:val="nil"/>
              <w:bottom w:val="single" w:sz="4" w:space="0" w:color="auto"/>
              <w:right w:val="single" w:sz="4" w:space="0" w:color="auto"/>
            </w:tcBorders>
            <w:shd w:val="clear" w:color="000000" w:fill="FFFFFF"/>
            <w:vAlign w:val="center"/>
            <w:hideMark/>
          </w:tcPr>
          <w:p w:rsidR="00043311" w:rsidRPr="00764D26" w:rsidRDefault="00043311" w:rsidP="0042130F">
            <w:pPr>
              <w:spacing w:before="0" w:line="240" w:lineRule="auto"/>
              <w:jc w:val="center"/>
              <w:rPr>
                <w:rFonts w:ascii="Arial Narrow" w:hAnsi="Arial Narrow" w:cs="Calibri"/>
                <w:sz w:val="20"/>
                <w:szCs w:val="20"/>
                <w:lang w:eastAsia="en-NZ"/>
              </w:rPr>
            </w:pPr>
            <w:r w:rsidRPr="00764D26">
              <w:rPr>
                <w:rFonts w:ascii="Arial Narrow" w:hAnsi="Arial Narrow" w:cs="Calibri"/>
                <w:sz w:val="20"/>
                <w:szCs w:val="20"/>
                <w:lang w:eastAsia="en-NZ"/>
              </w:rPr>
              <w:t>24.8</w:t>
            </w:r>
            <w:r w:rsidRPr="00764D26">
              <w:rPr>
                <w:rFonts w:ascii="Arial Narrow" w:hAnsi="Arial Narrow" w:cs="Calibri"/>
                <w:sz w:val="20"/>
                <w:szCs w:val="20"/>
                <w:lang w:eastAsia="en-NZ"/>
              </w:rPr>
              <w:br/>
              <w:t>22.2 - 27.5</w:t>
            </w:r>
          </w:p>
        </w:tc>
      </w:tr>
    </w:tbl>
    <w:p w:rsidR="009D09D2" w:rsidRPr="0055372F" w:rsidRDefault="009D09D2" w:rsidP="001055C9">
      <w:pPr>
        <w:spacing w:before="0" w:line="240" w:lineRule="auto"/>
        <w:ind w:left="1985"/>
        <w:rPr>
          <w:rFonts w:asciiTheme="minorHAnsi" w:hAnsiTheme="minorHAnsi" w:cstheme="minorHAnsi"/>
          <w:sz w:val="18"/>
        </w:rPr>
      </w:pPr>
      <w:r w:rsidRPr="0055372F">
        <w:rPr>
          <w:rFonts w:asciiTheme="minorHAnsi" w:hAnsiTheme="minorHAnsi" w:cstheme="minorHAnsi"/>
          <w:sz w:val="18"/>
        </w:rPr>
        <w:t>Note:</w:t>
      </w:r>
    </w:p>
    <w:p w:rsidR="009D09D2" w:rsidRPr="005C40CE" w:rsidRDefault="009D09D2" w:rsidP="001055C9">
      <w:pPr>
        <w:pStyle w:val="ListParagraph"/>
        <w:numPr>
          <w:ilvl w:val="0"/>
          <w:numId w:val="39"/>
        </w:numPr>
        <w:spacing w:line="240" w:lineRule="auto"/>
        <w:ind w:left="1985" w:right="1133" w:firstLine="0"/>
        <w:rPr>
          <w:rFonts w:asciiTheme="minorHAnsi" w:hAnsiTheme="minorHAnsi" w:cstheme="minorHAnsi"/>
          <w:sz w:val="18"/>
        </w:rPr>
      </w:pPr>
      <w:r>
        <w:rPr>
          <w:rFonts w:asciiTheme="minorHAnsi" w:hAnsiTheme="minorHAnsi" w:cstheme="minorHAnsi"/>
          <w:sz w:val="18"/>
        </w:rPr>
        <w:t>The percentage reported here includes students who had gambled in the past four weeks</w:t>
      </w:r>
      <w:r w:rsidRPr="005C40CE">
        <w:rPr>
          <w:rFonts w:asciiTheme="minorHAnsi" w:hAnsiTheme="minorHAnsi" w:cstheme="minorHAnsi"/>
          <w:sz w:val="18"/>
        </w:rPr>
        <w:t xml:space="preserve">. </w:t>
      </w:r>
    </w:p>
    <w:p w:rsidR="00043311" w:rsidRDefault="00043311" w:rsidP="0042130F">
      <w:pPr>
        <w:pStyle w:val="BodyText"/>
      </w:pPr>
    </w:p>
    <w:p w:rsidR="00043311" w:rsidRPr="00E3310E" w:rsidRDefault="00043311" w:rsidP="0042130F">
      <w:pPr>
        <w:pStyle w:val="Heading2"/>
      </w:pPr>
      <w:bookmarkStart w:id="106" w:name="_Toc367284421"/>
      <w:r>
        <w:lastRenderedPageBreak/>
        <w:t>Type of a</w:t>
      </w:r>
      <w:r w:rsidRPr="00E3310E">
        <w:t>ctivities that students gamble on</w:t>
      </w:r>
      <w:bookmarkEnd w:id="106"/>
    </w:p>
    <w:p w:rsidR="00043311" w:rsidRPr="00E3310E" w:rsidRDefault="00043311" w:rsidP="0042130F">
      <w:pPr>
        <w:pStyle w:val="BodyText"/>
      </w:pPr>
      <w:r>
        <w:rPr>
          <w:lang w:val="en-NZ"/>
        </w:rPr>
        <w:t>T</w:t>
      </w:r>
      <w:r w:rsidRPr="00E3310E">
        <w:rPr>
          <w:lang w:val="en-NZ"/>
        </w:rPr>
        <w:t>he</w:t>
      </w:r>
      <w:r>
        <w:rPr>
          <w:lang w:val="en-NZ"/>
        </w:rPr>
        <w:t xml:space="preserve"> types of gambling that students </w:t>
      </w:r>
      <w:r w:rsidRPr="00E3310E">
        <w:rPr>
          <w:lang w:val="en-NZ"/>
        </w:rPr>
        <w:t xml:space="preserve">most frequently reported </w:t>
      </w:r>
      <w:r>
        <w:rPr>
          <w:lang w:val="en-NZ"/>
        </w:rPr>
        <w:t>participating in</w:t>
      </w:r>
      <w:r w:rsidRPr="00E3310E">
        <w:rPr>
          <w:lang w:val="en-NZ"/>
        </w:rPr>
        <w:t xml:space="preserve"> were</w:t>
      </w:r>
      <w:r>
        <w:rPr>
          <w:lang w:val="en-NZ"/>
        </w:rPr>
        <w:t>:</w:t>
      </w:r>
      <w:r w:rsidRPr="00E3310E">
        <w:rPr>
          <w:lang w:val="en-NZ"/>
        </w:rPr>
        <w:t xml:space="preserve"> “bets with friends or family” </w:t>
      </w:r>
      <w:r w:rsidRPr="00E3310E">
        <w:t>(1</w:t>
      </w:r>
      <w:r>
        <w:t>7%);</w:t>
      </w:r>
      <w:r w:rsidRPr="00E3310E">
        <w:t xml:space="preserve"> “Instant Kiwi (scratchies)” (9%)</w:t>
      </w:r>
      <w:r>
        <w:rPr>
          <w:rStyle w:val="FootnoteReference"/>
        </w:rPr>
        <w:footnoteReference w:id="15"/>
      </w:r>
      <w:r>
        <w:t>;</w:t>
      </w:r>
      <w:r w:rsidRPr="00E3310E">
        <w:t xml:space="preserve"> and</w:t>
      </w:r>
      <w:r>
        <w:t>,</w:t>
      </w:r>
      <w:r w:rsidRPr="00E3310E">
        <w:t xml:space="preserve"> “cards or coin games (e.g. poker)” (6%). Less than five percent of students indicated that they had </w:t>
      </w:r>
      <w:r>
        <w:t>participated in</w:t>
      </w:r>
      <w:r w:rsidRPr="00E3310E">
        <w:t xml:space="preserve"> the other listed modes of gambling</w:t>
      </w:r>
      <w:r>
        <w:t xml:space="preserve">. </w:t>
      </w:r>
      <w:r w:rsidR="00082F17">
        <w:fldChar w:fldCharType="begin"/>
      </w:r>
      <w:r w:rsidR="00082F17">
        <w:instrText xml:space="preserve"> REF _Ref345580575 \h  \* MERGEFORMAT </w:instrText>
      </w:r>
      <w:r w:rsidR="00082F17">
        <w:fldChar w:fldCharType="separate"/>
      </w:r>
      <w:r w:rsidR="009E3D1C" w:rsidRPr="00E97D23">
        <w:t>Figure 2</w:t>
      </w:r>
      <w:r w:rsidR="00082F17">
        <w:fldChar w:fldCharType="end"/>
      </w:r>
      <w:r w:rsidRPr="00E3310E">
        <w:t xml:space="preserve"> illustrates the types of gambling that students participated in over th</w:t>
      </w:r>
      <w:r>
        <w:t>e 12 months prior to the survey.</w:t>
      </w:r>
    </w:p>
    <w:p w:rsidR="00043311" w:rsidRDefault="00043311" w:rsidP="0042130F">
      <w:pPr>
        <w:pStyle w:val="BodyText"/>
      </w:pPr>
      <w:r w:rsidRPr="00E3310E">
        <w:t>A greater proportion of males than females had gambled on the following activities over the last 12 months:</w:t>
      </w:r>
      <w:r>
        <w:t xml:space="preserve"> </w:t>
      </w:r>
      <w:r w:rsidRPr="00E3310E">
        <w:t xml:space="preserve">“a casino (e.g. roulette, pokies)”; “games and gambling on a cell/mobile phone for money or prizes (e.g. txt games)”; “gambling on the Internet for money or prizes (e.g. Internet casinos or poker)”, “bets with friends </w:t>
      </w:r>
      <w:r w:rsidRPr="00905E11">
        <w:t>or</w:t>
      </w:r>
      <w:r w:rsidRPr="00E3310E">
        <w:t xml:space="preserve"> family”; and, “cards or coin games (e.g. poker)”. Students from neighbourhoods with higher levels of</w:t>
      </w:r>
      <w:r>
        <w:t xml:space="preserve"> socio-economic</w:t>
      </w:r>
      <w:r w:rsidRPr="00E3310E">
        <w:t xml:space="preserve"> deprivation and those living in urban settings were more likely than their counterparts to have gambled on “bingo or housie”. </w:t>
      </w:r>
    </w:p>
    <w:p w:rsidR="00043311" w:rsidRPr="00E3310E" w:rsidRDefault="00043311" w:rsidP="0042130F">
      <w:pPr>
        <w:pStyle w:val="BodyText"/>
      </w:pPr>
      <w:r w:rsidRPr="00E3310E">
        <w:t xml:space="preserve">Detailed information on participation rates by gambling mode, including a breakdown of data according to demographic variables, can be found in </w:t>
      </w:r>
      <w:r w:rsidR="007B447B">
        <w:fldChar w:fldCharType="begin"/>
      </w:r>
      <w:r>
        <w:instrText xml:space="preserve"> REF _Ref350331504 \r \h </w:instrText>
      </w:r>
      <w:r w:rsidR="007B447B">
        <w:fldChar w:fldCharType="separate"/>
      </w:r>
      <w:r w:rsidR="009E3D1C">
        <w:t>Appendix B</w:t>
      </w:r>
      <w:r w:rsidR="007B447B">
        <w:fldChar w:fldCharType="end"/>
      </w:r>
      <w:r w:rsidRPr="00E3310E">
        <w:t>.</w:t>
      </w:r>
    </w:p>
    <w:p w:rsidR="00043311" w:rsidRPr="00E3310E" w:rsidRDefault="00043311" w:rsidP="0042130F">
      <w:pPr>
        <w:pStyle w:val="Caption"/>
        <w:keepNext/>
        <w:spacing w:line="276" w:lineRule="auto"/>
        <w:rPr>
          <w:rFonts w:asciiTheme="minorHAnsi" w:hAnsiTheme="minorHAnsi" w:cstheme="minorHAnsi"/>
          <w:i/>
          <w:lang w:val="en-GB"/>
        </w:rPr>
      </w:pPr>
      <w:bookmarkStart w:id="107" w:name="_Ref345580575"/>
      <w:bookmarkStart w:id="108" w:name="_Toc367285518"/>
      <w:r w:rsidRPr="00E3310E">
        <w:rPr>
          <w:rFonts w:asciiTheme="minorHAnsi" w:hAnsiTheme="minorHAnsi" w:cstheme="minorHAnsi"/>
          <w:i/>
        </w:rPr>
        <w:t xml:space="preserve">Figure </w:t>
      </w:r>
      <w:r w:rsidR="007B447B" w:rsidRPr="00E3310E">
        <w:rPr>
          <w:rFonts w:asciiTheme="minorHAnsi" w:hAnsiTheme="minorHAnsi" w:cstheme="minorHAnsi"/>
          <w:i/>
        </w:rPr>
        <w:fldChar w:fldCharType="begin"/>
      </w:r>
      <w:r w:rsidRPr="00E3310E">
        <w:rPr>
          <w:rFonts w:asciiTheme="minorHAnsi" w:hAnsiTheme="minorHAnsi" w:cstheme="minorHAnsi"/>
          <w:i/>
        </w:rPr>
        <w:instrText xml:space="preserve"> SEQ Figure \* ARABIC </w:instrText>
      </w:r>
      <w:r w:rsidR="007B447B" w:rsidRPr="00E3310E">
        <w:rPr>
          <w:rFonts w:asciiTheme="minorHAnsi" w:hAnsiTheme="minorHAnsi" w:cstheme="minorHAnsi"/>
          <w:i/>
        </w:rPr>
        <w:fldChar w:fldCharType="separate"/>
      </w:r>
      <w:r w:rsidR="009E3D1C">
        <w:rPr>
          <w:rFonts w:asciiTheme="minorHAnsi" w:hAnsiTheme="minorHAnsi" w:cstheme="minorHAnsi"/>
          <w:i/>
          <w:noProof/>
        </w:rPr>
        <w:t>2</w:t>
      </w:r>
      <w:r w:rsidR="007B447B" w:rsidRPr="00E3310E">
        <w:rPr>
          <w:rFonts w:asciiTheme="minorHAnsi" w:hAnsiTheme="minorHAnsi" w:cstheme="minorHAnsi"/>
          <w:i/>
          <w:noProof/>
        </w:rPr>
        <w:fldChar w:fldCharType="end"/>
      </w:r>
      <w:bookmarkEnd w:id="107"/>
      <w:r w:rsidRPr="00E3310E">
        <w:rPr>
          <w:rFonts w:asciiTheme="minorHAnsi" w:hAnsiTheme="minorHAnsi" w:cstheme="minorHAnsi"/>
          <w:i/>
        </w:rPr>
        <w:t xml:space="preserve">: </w:t>
      </w:r>
      <w:r w:rsidRPr="00E3310E">
        <w:rPr>
          <w:rFonts w:asciiTheme="minorHAnsi" w:hAnsiTheme="minorHAnsi" w:cstheme="minorHAnsi"/>
          <w:i/>
          <w:lang w:val="en-US"/>
        </w:rPr>
        <w:t>Types of gambling that students participated in over past 12 months (</w:t>
      </w:r>
      <w:r>
        <w:rPr>
          <w:rFonts w:asciiTheme="minorHAnsi" w:hAnsiTheme="minorHAnsi" w:cstheme="minorHAnsi"/>
          <w:i/>
          <w:lang w:val="en-US"/>
        </w:rPr>
        <w:t xml:space="preserve">among </w:t>
      </w:r>
      <w:r w:rsidRPr="00E3310E">
        <w:rPr>
          <w:rFonts w:asciiTheme="minorHAnsi" w:hAnsiTheme="minorHAnsi" w:cstheme="minorHAnsi"/>
          <w:i/>
          <w:lang w:val="en-US"/>
        </w:rPr>
        <w:t>all students</w:t>
      </w:r>
      <w:r>
        <w:rPr>
          <w:rFonts w:asciiTheme="minorHAnsi" w:hAnsiTheme="minorHAnsi" w:cstheme="minorHAnsi"/>
          <w:i/>
          <w:lang w:val="en-US"/>
        </w:rPr>
        <w:t>; N=7813</w:t>
      </w:r>
      <w:r w:rsidRPr="00E3310E">
        <w:rPr>
          <w:rFonts w:asciiTheme="minorHAnsi" w:hAnsiTheme="minorHAnsi" w:cstheme="minorHAnsi"/>
          <w:i/>
          <w:lang w:val="en-US"/>
        </w:rPr>
        <w:t>)</w:t>
      </w:r>
      <w:r>
        <w:rPr>
          <w:rFonts w:asciiTheme="minorHAnsi" w:hAnsiTheme="minorHAnsi" w:cstheme="minorHAnsi"/>
          <w:i/>
          <w:lang w:val="en-US"/>
        </w:rPr>
        <w:t xml:space="preserve"> </w:t>
      </w:r>
      <w:r w:rsidRPr="0055372F">
        <w:rPr>
          <w:rFonts w:asciiTheme="minorHAnsi" w:hAnsiTheme="minorHAnsi" w:cstheme="minorHAnsi"/>
          <w:i/>
          <w:vertAlign w:val="superscript"/>
          <w:lang w:val="en-US"/>
        </w:rPr>
        <w:t>1</w:t>
      </w:r>
      <w:bookmarkEnd w:id="108"/>
    </w:p>
    <w:p w:rsidR="00043311" w:rsidRDefault="00043311" w:rsidP="0042130F">
      <w:pPr>
        <w:pStyle w:val="BodyText"/>
        <w:spacing w:after="0"/>
        <w:jc w:val="center"/>
      </w:pPr>
      <w:r w:rsidRPr="00E3310E">
        <w:rPr>
          <w:noProof/>
          <w:lang w:val="en-NZ" w:eastAsia="en-NZ"/>
        </w:rPr>
        <w:drawing>
          <wp:inline distT="0" distB="0" distL="0" distR="0" wp14:anchorId="69121B8B" wp14:editId="76B78D24">
            <wp:extent cx="6257925" cy="33813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43311" w:rsidRPr="0055372F" w:rsidRDefault="00043311" w:rsidP="0042130F">
      <w:pPr>
        <w:spacing w:before="0" w:line="240" w:lineRule="auto"/>
        <w:ind w:left="284"/>
        <w:rPr>
          <w:rFonts w:asciiTheme="minorHAnsi" w:hAnsiTheme="minorHAnsi" w:cstheme="minorHAnsi"/>
          <w:sz w:val="18"/>
        </w:rPr>
      </w:pPr>
      <w:r w:rsidRPr="0055372F">
        <w:rPr>
          <w:rFonts w:asciiTheme="minorHAnsi" w:hAnsiTheme="minorHAnsi" w:cstheme="minorHAnsi"/>
          <w:sz w:val="18"/>
        </w:rPr>
        <w:t>Note:</w:t>
      </w:r>
    </w:p>
    <w:p w:rsidR="00043311" w:rsidRPr="0055372F" w:rsidRDefault="00043311" w:rsidP="0042130F">
      <w:pPr>
        <w:spacing w:before="0" w:line="240" w:lineRule="auto"/>
        <w:ind w:left="284"/>
        <w:rPr>
          <w:rFonts w:asciiTheme="minorHAnsi" w:hAnsiTheme="minorHAnsi" w:cstheme="minorHAnsi"/>
          <w:sz w:val="18"/>
        </w:rPr>
      </w:pPr>
      <w:r>
        <w:rPr>
          <w:rFonts w:asciiTheme="minorHAnsi" w:hAnsiTheme="minorHAnsi" w:cstheme="minorHAnsi"/>
          <w:sz w:val="18"/>
        </w:rPr>
        <w:t xml:space="preserve">1. Students could choose more than one response option. </w:t>
      </w:r>
    </w:p>
    <w:p w:rsidR="00043311" w:rsidRPr="00E3310E" w:rsidRDefault="00043311" w:rsidP="0042130F">
      <w:pPr>
        <w:pStyle w:val="Heading2"/>
      </w:pPr>
      <w:bookmarkStart w:id="109" w:name="_Toc367284422"/>
      <w:r>
        <w:lastRenderedPageBreak/>
        <w:t>Number of a</w:t>
      </w:r>
      <w:r w:rsidRPr="00E3310E">
        <w:t>ctivities that students gamble on</w:t>
      </w:r>
      <w:bookmarkEnd w:id="109"/>
    </w:p>
    <w:p w:rsidR="00043311" w:rsidRDefault="00043311" w:rsidP="0042130F">
      <w:pPr>
        <w:pStyle w:val="BodyText"/>
      </w:pPr>
      <w:r>
        <w:t>While the majority of students (76%; n=5,923) had not gambled in the past 12 months, a sizeable proportion had gambled on either just one activity (14%) or two to three activities (8%). Very few students (2%) had gambled on 4 or more activities (see</w:t>
      </w:r>
      <w:r w:rsidR="00720A6C">
        <w:t xml:space="preserve"> Table 7</w:t>
      </w:r>
      <w:r>
        <w:t xml:space="preserve"> for details).  </w:t>
      </w:r>
    </w:p>
    <w:p w:rsidR="00043311" w:rsidRPr="00740B76" w:rsidRDefault="00740B76" w:rsidP="00740B76">
      <w:pPr>
        <w:pStyle w:val="Caption"/>
        <w:rPr>
          <w:rFonts w:asciiTheme="minorHAnsi" w:hAnsiTheme="minorHAnsi"/>
          <w:i/>
        </w:rPr>
      </w:pPr>
      <w:bookmarkStart w:id="110" w:name="_Toc367285390"/>
      <w:r w:rsidRPr="00740B76">
        <w:rPr>
          <w:rFonts w:asciiTheme="minorHAnsi" w:hAnsiTheme="minorHAnsi"/>
          <w:i/>
        </w:rPr>
        <w:t xml:space="preserve">Table </w:t>
      </w:r>
      <w:r w:rsidR="007B447B" w:rsidRPr="00740B76">
        <w:rPr>
          <w:rFonts w:asciiTheme="minorHAnsi" w:hAnsiTheme="minorHAnsi"/>
          <w:i/>
        </w:rPr>
        <w:fldChar w:fldCharType="begin"/>
      </w:r>
      <w:r w:rsidRPr="00740B76">
        <w:rPr>
          <w:rFonts w:asciiTheme="minorHAnsi" w:hAnsiTheme="minorHAnsi"/>
          <w:i/>
        </w:rPr>
        <w:instrText xml:space="preserve"> SEQ Table \* ARABIC </w:instrText>
      </w:r>
      <w:r w:rsidR="007B447B" w:rsidRPr="00740B76">
        <w:rPr>
          <w:rFonts w:asciiTheme="minorHAnsi" w:hAnsiTheme="minorHAnsi"/>
          <w:i/>
        </w:rPr>
        <w:fldChar w:fldCharType="separate"/>
      </w:r>
      <w:r w:rsidR="009E3D1C">
        <w:rPr>
          <w:rFonts w:asciiTheme="minorHAnsi" w:hAnsiTheme="minorHAnsi"/>
          <w:i/>
          <w:noProof/>
        </w:rPr>
        <w:t>7</w:t>
      </w:r>
      <w:r w:rsidR="007B447B" w:rsidRPr="00740B76">
        <w:rPr>
          <w:rFonts w:asciiTheme="minorHAnsi" w:hAnsiTheme="minorHAnsi"/>
          <w:i/>
        </w:rPr>
        <w:fldChar w:fldCharType="end"/>
      </w:r>
      <w:r w:rsidRPr="00740B76">
        <w:rPr>
          <w:rFonts w:asciiTheme="minorHAnsi" w:hAnsiTheme="minorHAnsi"/>
          <w:i/>
        </w:rPr>
        <w:t xml:space="preserve">: </w:t>
      </w:r>
      <w:r w:rsidRPr="00740B76">
        <w:rPr>
          <w:rFonts w:asciiTheme="minorHAnsi" w:hAnsiTheme="minorHAnsi" w:cstheme="minorHAnsi"/>
          <w:i/>
        </w:rPr>
        <w:t>Number of gambling activities that students participated in over past 12 months (among all students; N=7813)</w:t>
      </w:r>
      <w:bookmarkEnd w:id="110"/>
    </w:p>
    <w:tbl>
      <w:tblPr>
        <w:tblW w:w="6307" w:type="dxa"/>
        <w:jc w:val="center"/>
        <w:tblInd w:w="-1743" w:type="dxa"/>
        <w:tblLook w:val="04A0" w:firstRow="1" w:lastRow="0" w:firstColumn="1" w:lastColumn="0" w:noHBand="0" w:noVBand="1"/>
      </w:tblPr>
      <w:tblGrid>
        <w:gridCol w:w="3682"/>
        <w:gridCol w:w="1138"/>
        <w:gridCol w:w="1487"/>
      </w:tblGrid>
      <w:tr w:rsidR="00043311" w:rsidRPr="005D04F5" w:rsidTr="0042130F">
        <w:trPr>
          <w:trHeight w:val="644"/>
          <w:jc w:val="center"/>
        </w:trPr>
        <w:tc>
          <w:tcPr>
            <w:tcW w:w="3682" w:type="dxa"/>
            <w:tcBorders>
              <w:top w:val="single" w:sz="4" w:space="0" w:color="auto"/>
              <w:left w:val="single" w:sz="4" w:space="0" w:color="auto"/>
              <w:bottom w:val="single" w:sz="4" w:space="0" w:color="000000"/>
              <w:right w:val="single" w:sz="4" w:space="0" w:color="000000"/>
            </w:tcBorders>
            <w:shd w:val="clear" w:color="000000" w:fill="A6A6A6"/>
            <w:noWrap/>
            <w:vAlign w:val="center"/>
            <w:hideMark/>
          </w:tcPr>
          <w:p w:rsidR="00043311" w:rsidRPr="00E26838" w:rsidRDefault="00043311" w:rsidP="0042130F">
            <w:pPr>
              <w:spacing w:before="0" w:line="240" w:lineRule="auto"/>
              <w:jc w:val="left"/>
              <w:rPr>
                <w:rFonts w:asciiTheme="minorHAnsi" w:hAnsiTheme="minorHAnsi" w:cstheme="minorHAnsi"/>
                <w:color w:val="000000"/>
                <w:lang w:eastAsia="en-NZ"/>
              </w:rPr>
            </w:pPr>
            <w:r w:rsidRPr="00E26838">
              <w:rPr>
                <w:rFonts w:asciiTheme="minorHAnsi" w:hAnsiTheme="minorHAnsi" w:cstheme="minorHAnsi"/>
                <w:b/>
                <w:bCs/>
                <w:sz w:val="20"/>
                <w:szCs w:val="20"/>
                <w:lang w:eastAsia="en-NZ"/>
              </w:rPr>
              <w:t>Number of gambling activities participated in over the last 12 months</w:t>
            </w:r>
          </w:p>
        </w:tc>
        <w:tc>
          <w:tcPr>
            <w:tcW w:w="1138" w:type="dxa"/>
            <w:tcBorders>
              <w:top w:val="single" w:sz="4" w:space="0" w:color="auto"/>
              <w:left w:val="single" w:sz="4" w:space="0" w:color="auto"/>
              <w:bottom w:val="single" w:sz="4" w:space="0" w:color="auto"/>
              <w:right w:val="single" w:sz="4" w:space="0" w:color="000000"/>
            </w:tcBorders>
            <w:shd w:val="clear" w:color="000000" w:fill="A6A6A6"/>
            <w:vAlign w:val="center"/>
            <w:hideMark/>
          </w:tcPr>
          <w:p w:rsidR="00043311" w:rsidRPr="00E26838" w:rsidRDefault="00043311" w:rsidP="0042130F">
            <w:pPr>
              <w:spacing w:before="0" w:line="240" w:lineRule="auto"/>
              <w:jc w:val="center"/>
              <w:rPr>
                <w:rFonts w:asciiTheme="minorHAnsi" w:hAnsiTheme="minorHAnsi" w:cstheme="minorHAnsi"/>
                <w:b/>
                <w:bCs/>
                <w:sz w:val="20"/>
                <w:szCs w:val="20"/>
                <w:lang w:eastAsia="en-NZ"/>
              </w:rPr>
            </w:pPr>
            <w:r w:rsidRPr="00E26838">
              <w:rPr>
                <w:rFonts w:asciiTheme="minorHAnsi" w:hAnsiTheme="minorHAnsi" w:cstheme="minorHAnsi"/>
                <w:b/>
                <w:bCs/>
                <w:sz w:val="20"/>
                <w:szCs w:val="20"/>
                <w:lang w:eastAsia="en-NZ"/>
              </w:rPr>
              <w:t>n</w:t>
            </w:r>
          </w:p>
          <w:p w:rsidR="00043311" w:rsidRPr="00E26838" w:rsidRDefault="00043311" w:rsidP="0042130F">
            <w:pPr>
              <w:spacing w:before="0" w:line="240" w:lineRule="auto"/>
              <w:jc w:val="center"/>
              <w:rPr>
                <w:rFonts w:asciiTheme="minorHAnsi" w:hAnsiTheme="minorHAnsi" w:cstheme="minorHAnsi"/>
                <w:b/>
                <w:bCs/>
                <w:sz w:val="20"/>
                <w:szCs w:val="20"/>
                <w:lang w:eastAsia="en-NZ"/>
              </w:rPr>
            </w:pPr>
            <w:r w:rsidRPr="00E26838">
              <w:rPr>
                <w:rFonts w:asciiTheme="minorHAnsi" w:hAnsiTheme="minorHAnsi" w:cstheme="minorHAnsi"/>
                <w:b/>
                <w:bCs/>
                <w:sz w:val="20"/>
                <w:szCs w:val="20"/>
                <w:lang w:eastAsia="en-NZ"/>
              </w:rPr>
              <w:t>(N)</w:t>
            </w:r>
          </w:p>
        </w:tc>
        <w:tc>
          <w:tcPr>
            <w:tcW w:w="1487" w:type="dxa"/>
            <w:tcBorders>
              <w:top w:val="single" w:sz="4" w:space="0" w:color="auto"/>
              <w:left w:val="single" w:sz="4" w:space="0" w:color="auto"/>
              <w:bottom w:val="single" w:sz="4" w:space="0" w:color="auto"/>
              <w:right w:val="single" w:sz="4" w:space="0" w:color="000000"/>
            </w:tcBorders>
            <w:shd w:val="clear" w:color="000000" w:fill="A6A6A6"/>
            <w:vAlign w:val="center"/>
          </w:tcPr>
          <w:p w:rsidR="00043311" w:rsidRPr="00E26838" w:rsidRDefault="00043311" w:rsidP="0042130F">
            <w:pPr>
              <w:spacing w:before="0" w:line="240" w:lineRule="auto"/>
              <w:jc w:val="center"/>
              <w:rPr>
                <w:rFonts w:asciiTheme="minorHAnsi" w:hAnsiTheme="minorHAnsi" w:cstheme="minorHAnsi"/>
                <w:b/>
                <w:bCs/>
                <w:sz w:val="20"/>
                <w:szCs w:val="20"/>
                <w:lang w:eastAsia="en-NZ"/>
              </w:rPr>
            </w:pPr>
            <w:r w:rsidRPr="00E26838">
              <w:rPr>
                <w:rFonts w:asciiTheme="minorHAnsi" w:hAnsiTheme="minorHAnsi" w:cstheme="minorHAnsi"/>
                <w:b/>
                <w:bCs/>
                <w:sz w:val="20"/>
                <w:szCs w:val="20"/>
                <w:lang w:eastAsia="en-NZ"/>
              </w:rPr>
              <w:t>%</w:t>
            </w:r>
          </w:p>
          <w:p w:rsidR="00043311" w:rsidRPr="00E26838" w:rsidRDefault="00043311" w:rsidP="0042130F">
            <w:pPr>
              <w:spacing w:before="0" w:line="240" w:lineRule="auto"/>
              <w:jc w:val="center"/>
              <w:rPr>
                <w:rFonts w:asciiTheme="minorHAnsi" w:hAnsiTheme="minorHAnsi" w:cstheme="minorHAnsi"/>
                <w:b/>
                <w:bCs/>
                <w:sz w:val="20"/>
                <w:szCs w:val="20"/>
                <w:lang w:eastAsia="en-NZ"/>
              </w:rPr>
            </w:pPr>
            <w:r w:rsidRPr="00E26838">
              <w:rPr>
                <w:rFonts w:asciiTheme="minorHAnsi" w:hAnsiTheme="minorHAnsi" w:cstheme="minorHAnsi"/>
                <w:b/>
                <w:bCs/>
                <w:sz w:val="20"/>
                <w:szCs w:val="20"/>
                <w:lang w:eastAsia="en-NZ"/>
              </w:rPr>
              <w:t>95% CI</w:t>
            </w:r>
          </w:p>
        </w:tc>
      </w:tr>
      <w:tr w:rsidR="00043311" w:rsidRPr="005D04F5" w:rsidTr="0042130F">
        <w:trPr>
          <w:trHeight w:val="510"/>
          <w:jc w:val="center"/>
        </w:trPr>
        <w:tc>
          <w:tcPr>
            <w:tcW w:w="3682" w:type="dxa"/>
            <w:tcBorders>
              <w:top w:val="nil"/>
              <w:left w:val="single" w:sz="4" w:space="0" w:color="auto"/>
              <w:bottom w:val="single" w:sz="4" w:space="0" w:color="000000"/>
              <w:right w:val="single" w:sz="4" w:space="0" w:color="auto"/>
            </w:tcBorders>
            <w:shd w:val="clear" w:color="auto" w:fill="auto"/>
            <w:vAlign w:val="center"/>
            <w:hideMark/>
          </w:tcPr>
          <w:p w:rsidR="00043311" w:rsidRPr="00E26838" w:rsidRDefault="00043311" w:rsidP="0042130F">
            <w:pPr>
              <w:spacing w:before="0" w:line="240" w:lineRule="auto"/>
              <w:ind w:left="340"/>
              <w:jc w:val="left"/>
              <w:rPr>
                <w:rFonts w:asciiTheme="minorHAnsi" w:hAnsiTheme="minorHAnsi" w:cstheme="minorHAnsi"/>
                <w:sz w:val="20"/>
                <w:szCs w:val="20"/>
                <w:lang w:eastAsia="en-NZ"/>
              </w:rPr>
            </w:pPr>
            <w:r w:rsidRPr="00E26838">
              <w:rPr>
                <w:rFonts w:asciiTheme="minorHAnsi" w:hAnsiTheme="minorHAnsi" w:cstheme="minorHAnsi"/>
                <w:sz w:val="20"/>
                <w:szCs w:val="20"/>
                <w:lang w:eastAsia="en-NZ"/>
              </w:rPr>
              <w:t>0</w:t>
            </w:r>
          </w:p>
        </w:tc>
        <w:tc>
          <w:tcPr>
            <w:tcW w:w="1138" w:type="dxa"/>
            <w:tcBorders>
              <w:top w:val="single" w:sz="4" w:space="0" w:color="auto"/>
              <w:left w:val="nil"/>
              <w:bottom w:val="single" w:sz="4" w:space="0" w:color="auto"/>
              <w:right w:val="single" w:sz="4" w:space="0" w:color="auto"/>
            </w:tcBorders>
            <w:shd w:val="clear" w:color="auto" w:fill="auto"/>
            <w:vAlign w:val="center"/>
          </w:tcPr>
          <w:p w:rsidR="00043311" w:rsidRPr="00E26838" w:rsidRDefault="00043311" w:rsidP="0042130F">
            <w:pPr>
              <w:spacing w:before="0" w:line="240" w:lineRule="auto"/>
              <w:jc w:val="center"/>
              <w:rPr>
                <w:rFonts w:asciiTheme="minorHAnsi" w:hAnsiTheme="minorHAnsi" w:cstheme="minorHAnsi"/>
                <w:sz w:val="20"/>
                <w:szCs w:val="20"/>
                <w:lang w:eastAsia="en-NZ"/>
              </w:rPr>
            </w:pPr>
            <w:r w:rsidRPr="00E26838">
              <w:rPr>
                <w:rFonts w:asciiTheme="minorHAnsi" w:hAnsiTheme="minorHAnsi" w:cstheme="minorHAnsi"/>
                <w:sz w:val="20"/>
                <w:szCs w:val="20"/>
                <w:lang w:eastAsia="en-NZ"/>
              </w:rPr>
              <w:t>5923</w:t>
            </w:r>
            <w:r w:rsidRPr="00E26838">
              <w:rPr>
                <w:rFonts w:asciiTheme="minorHAnsi" w:hAnsiTheme="minorHAnsi" w:cstheme="minorHAnsi"/>
                <w:sz w:val="20"/>
                <w:szCs w:val="20"/>
                <w:lang w:eastAsia="en-NZ"/>
              </w:rPr>
              <w:br/>
              <w:t>(7813)</w:t>
            </w:r>
          </w:p>
        </w:tc>
        <w:tc>
          <w:tcPr>
            <w:tcW w:w="1487" w:type="dxa"/>
            <w:tcBorders>
              <w:top w:val="single" w:sz="4" w:space="0" w:color="auto"/>
              <w:left w:val="nil"/>
              <w:bottom w:val="single" w:sz="4" w:space="0" w:color="auto"/>
              <w:right w:val="single" w:sz="4" w:space="0" w:color="auto"/>
            </w:tcBorders>
            <w:shd w:val="clear" w:color="auto" w:fill="auto"/>
            <w:vAlign w:val="center"/>
          </w:tcPr>
          <w:p w:rsidR="00043311" w:rsidRPr="00E26838" w:rsidRDefault="00043311" w:rsidP="0042130F">
            <w:pPr>
              <w:spacing w:before="0" w:line="240" w:lineRule="auto"/>
              <w:jc w:val="center"/>
              <w:rPr>
                <w:rFonts w:asciiTheme="minorHAnsi" w:hAnsiTheme="minorHAnsi" w:cstheme="minorHAnsi"/>
                <w:sz w:val="20"/>
                <w:szCs w:val="20"/>
                <w:lang w:eastAsia="en-NZ"/>
              </w:rPr>
            </w:pPr>
            <w:r w:rsidRPr="00E26838">
              <w:rPr>
                <w:rFonts w:asciiTheme="minorHAnsi" w:hAnsiTheme="minorHAnsi" w:cstheme="minorHAnsi"/>
                <w:sz w:val="20"/>
                <w:szCs w:val="20"/>
                <w:lang w:eastAsia="en-NZ"/>
              </w:rPr>
              <w:t>75.8</w:t>
            </w:r>
            <w:r w:rsidRPr="00E26838">
              <w:rPr>
                <w:rFonts w:asciiTheme="minorHAnsi" w:hAnsiTheme="minorHAnsi" w:cstheme="minorHAnsi"/>
                <w:sz w:val="20"/>
                <w:szCs w:val="20"/>
                <w:lang w:eastAsia="en-NZ"/>
              </w:rPr>
              <w:br/>
              <w:t>74.7 - 76.9</w:t>
            </w:r>
          </w:p>
        </w:tc>
      </w:tr>
      <w:tr w:rsidR="00043311" w:rsidRPr="005D04F5" w:rsidTr="0042130F">
        <w:trPr>
          <w:trHeight w:val="510"/>
          <w:jc w:val="center"/>
        </w:trPr>
        <w:tc>
          <w:tcPr>
            <w:tcW w:w="3682" w:type="dxa"/>
            <w:tcBorders>
              <w:top w:val="nil"/>
              <w:left w:val="single" w:sz="4" w:space="0" w:color="auto"/>
              <w:bottom w:val="single" w:sz="4" w:space="0" w:color="000000"/>
              <w:right w:val="single" w:sz="4" w:space="0" w:color="auto"/>
            </w:tcBorders>
            <w:shd w:val="clear" w:color="auto" w:fill="auto"/>
            <w:vAlign w:val="center"/>
            <w:hideMark/>
          </w:tcPr>
          <w:p w:rsidR="00043311" w:rsidRPr="00E26838" w:rsidRDefault="00043311" w:rsidP="0042130F">
            <w:pPr>
              <w:spacing w:before="0" w:line="240" w:lineRule="auto"/>
              <w:ind w:left="340"/>
              <w:jc w:val="left"/>
              <w:rPr>
                <w:rFonts w:asciiTheme="minorHAnsi" w:hAnsiTheme="minorHAnsi" w:cstheme="minorHAnsi"/>
                <w:sz w:val="20"/>
                <w:szCs w:val="20"/>
                <w:lang w:eastAsia="en-NZ"/>
              </w:rPr>
            </w:pPr>
            <w:r w:rsidRPr="00E26838">
              <w:rPr>
                <w:rFonts w:asciiTheme="minorHAnsi" w:hAnsiTheme="minorHAnsi" w:cstheme="minorHAnsi"/>
                <w:sz w:val="20"/>
                <w:szCs w:val="20"/>
                <w:lang w:eastAsia="en-NZ"/>
              </w:rPr>
              <w:t>1</w:t>
            </w:r>
          </w:p>
        </w:tc>
        <w:tc>
          <w:tcPr>
            <w:tcW w:w="1138" w:type="dxa"/>
            <w:tcBorders>
              <w:top w:val="nil"/>
              <w:left w:val="nil"/>
              <w:bottom w:val="single" w:sz="4" w:space="0" w:color="auto"/>
              <w:right w:val="single" w:sz="4" w:space="0" w:color="auto"/>
            </w:tcBorders>
            <w:shd w:val="clear" w:color="auto" w:fill="auto"/>
            <w:vAlign w:val="center"/>
          </w:tcPr>
          <w:p w:rsidR="00043311" w:rsidRPr="00E26838" w:rsidRDefault="00043311" w:rsidP="0042130F">
            <w:pPr>
              <w:spacing w:before="0" w:line="240" w:lineRule="auto"/>
              <w:jc w:val="center"/>
              <w:rPr>
                <w:rFonts w:asciiTheme="minorHAnsi" w:hAnsiTheme="minorHAnsi" w:cstheme="minorHAnsi"/>
                <w:sz w:val="20"/>
                <w:szCs w:val="20"/>
                <w:lang w:eastAsia="en-NZ"/>
              </w:rPr>
            </w:pPr>
            <w:r w:rsidRPr="00E26838">
              <w:rPr>
                <w:rFonts w:asciiTheme="minorHAnsi" w:hAnsiTheme="minorHAnsi" w:cstheme="minorHAnsi"/>
                <w:sz w:val="20"/>
                <w:szCs w:val="20"/>
                <w:lang w:eastAsia="en-NZ"/>
              </w:rPr>
              <w:t>1109</w:t>
            </w:r>
            <w:r w:rsidRPr="00E26838">
              <w:rPr>
                <w:rFonts w:asciiTheme="minorHAnsi" w:hAnsiTheme="minorHAnsi" w:cstheme="minorHAnsi"/>
                <w:sz w:val="20"/>
                <w:szCs w:val="20"/>
                <w:lang w:eastAsia="en-NZ"/>
              </w:rPr>
              <w:br/>
              <w:t>(7813)</w:t>
            </w:r>
          </w:p>
        </w:tc>
        <w:tc>
          <w:tcPr>
            <w:tcW w:w="1487" w:type="dxa"/>
            <w:tcBorders>
              <w:top w:val="nil"/>
              <w:left w:val="nil"/>
              <w:bottom w:val="single" w:sz="4" w:space="0" w:color="auto"/>
              <w:right w:val="single" w:sz="4" w:space="0" w:color="auto"/>
            </w:tcBorders>
            <w:shd w:val="clear" w:color="auto" w:fill="auto"/>
            <w:vAlign w:val="center"/>
          </w:tcPr>
          <w:p w:rsidR="00043311" w:rsidRPr="00E26838" w:rsidRDefault="00043311" w:rsidP="0042130F">
            <w:pPr>
              <w:spacing w:before="0" w:line="240" w:lineRule="auto"/>
              <w:jc w:val="center"/>
              <w:rPr>
                <w:rFonts w:asciiTheme="minorHAnsi" w:hAnsiTheme="minorHAnsi" w:cstheme="minorHAnsi"/>
                <w:sz w:val="20"/>
                <w:szCs w:val="20"/>
                <w:lang w:eastAsia="en-NZ"/>
              </w:rPr>
            </w:pPr>
            <w:r w:rsidRPr="00E26838">
              <w:rPr>
                <w:rFonts w:asciiTheme="minorHAnsi" w:hAnsiTheme="minorHAnsi" w:cstheme="minorHAnsi"/>
                <w:sz w:val="20"/>
                <w:szCs w:val="20"/>
                <w:lang w:eastAsia="en-NZ"/>
              </w:rPr>
              <w:t>14.3</w:t>
            </w:r>
            <w:r w:rsidRPr="00E26838">
              <w:rPr>
                <w:rFonts w:asciiTheme="minorHAnsi" w:hAnsiTheme="minorHAnsi" w:cstheme="minorHAnsi"/>
                <w:sz w:val="20"/>
                <w:szCs w:val="20"/>
                <w:lang w:eastAsia="en-NZ"/>
              </w:rPr>
              <w:br/>
              <w:t>13.4 - 15.1</w:t>
            </w:r>
          </w:p>
        </w:tc>
      </w:tr>
      <w:tr w:rsidR="00043311" w:rsidRPr="005D04F5" w:rsidTr="0042130F">
        <w:trPr>
          <w:trHeight w:val="510"/>
          <w:jc w:val="center"/>
        </w:trPr>
        <w:tc>
          <w:tcPr>
            <w:tcW w:w="3682" w:type="dxa"/>
            <w:tcBorders>
              <w:top w:val="nil"/>
              <w:left w:val="single" w:sz="4" w:space="0" w:color="auto"/>
              <w:bottom w:val="single" w:sz="4" w:space="0" w:color="000000"/>
              <w:right w:val="single" w:sz="4" w:space="0" w:color="auto"/>
            </w:tcBorders>
            <w:shd w:val="clear" w:color="auto" w:fill="auto"/>
            <w:vAlign w:val="center"/>
            <w:hideMark/>
          </w:tcPr>
          <w:p w:rsidR="00043311" w:rsidRPr="00E26838" w:rsidRDefault="00043311" w:rsidP="0042130F">
            <w:pPr>
              <w:spacing w:before="0" w:line="240" w:lineRule="auto"/>
              <w:ind w:left="340"/>
              <w:jc w:val="left"/>
              <w:rPr>
                <w:rFonts w:asciiTheme="minorHAnsi" w:hAnsiTheme="minorHAnsi" w:cstheme="minorHAnsi"/>
                <w:sz w:val="20"/>
                <w:szCs w:val="20"/>
                <w:lang w:eastAsia="en-NZ"/>
              </w:rPr>
            </w:pPr>
            <w:r>
              <w:rPr>
                <w:rFonts w:asciiTheme="minorHAnsi" w:hAnsiTheme="minorHAnsi" w:cstheme="minorHAnsi"/>
                <w:sz w:val="20"/>
                <w:szCs w:val="20"/>
                <w:lang w:eastAsia="en-NZ"/>
              </w:rPr>
              <w:t xml:space="preserve">2 to </w:t>
            </w:r>
            <w:r w:rsidRPr="00E26838">
              <w:rPr>
                <w:rFonts w:asciiTheme="minorHAnsi" w:hAnsiTheme="minorHAnsi" w:cstheme="minorHAnsi"/>
                <w:sz w:val="20"/>
                <w:szCs w:val="20"/>
                <w:lang w:eastAsia="en-NZ"/>
              </w:rPr>
              <w:t>3</w:t>
            </w:r>
          </w:p>
        </w:tc>
        <w:tc>
          <w:tcPr>
            <w:tcW w:w="1138" w:type="dxa"/>
            <w:tcBorders>
              <w:top w:val="nil"/>
              <w:left w:val="nil"/>
              <w:bottom w:val="single" w:sz="4" w:space="0" w:color="auto"/>
              <w:right w:val="single" w:sz="4" w:space="0" w:color="auto"/>
            </w:tcBorders>
            <w:shd w:val="clear" w:color="auto" w:fill="auto"/>
            <w:vAlign w:val="center"/>
          </w:tcPr>
          <w:p w:rsidR="00043311" w:rsidRPr="00E26838" w:rsidRDefault="00043311" w:rsidP="0042130F">
            <w:pPr>
              <w:spacing w:before="0" w:line="240" w:lineRule="auto"/>
              <w:jc w:val="center"/>
              <w:rPr>
                <w:rFonts w:asciiTheme="minorHAnsi" w:hAnsiTheme="minorHAnsi" w:cstheme="minorHAnsi"/>
                <w:sz w:val="20"/>
                <w:szCs w:val="20"/>
                <w:lang w:eastAsia="en-NZ"/>
              </w:rPr>
            </w:pPr>
            <w:r>
              <w:rPr>
                <w:rFonts w:asciiTheme="minorHAnsi" w:hAnsiTheme="minorHAnsi" w:cstheme="minorHAnsi"/>
                <w:sz w:val="20"/>
                <w:szCs w:val="20"/>
                <w:lang w:eastAsia="en-NZ"/>
              </w:rPr>
              <w:t>631</w:t>
            </w:r>
            <w:r>
              <w:rPr>
                <w:rFonts w:asciiTheme="minorHAnsi" w:hAnsiTheme="minorHAnsi" w:cstheme="minorHAnsi"/>
                <w:sz w:val="20"/>
                <w:szCs w:val="20"/>
                <w:lang w:eastAsia="en-NZ"/>
              </w:rPr>
              <w:br/>
              <w:t>(7</w:t>
            </w:r>
            <w:r w:rsidRPr="00E26838">
              <w:rPr>
                <w:rFonts w:asciiTheme="minorHAnsi" w:hAnsiTheme="minorHAnsi" w:cstheme="minorHAnsi"/>
                <w:sz w:val="20"/>
                <w:szCs w:val="20"/>
                <w:lang w:eastAsia="en-NZ"/>
              </w:rPr>
              <w:t>813)</w:t>
            </w:r>
          </w:p>
        </w:tc>
        <w:tc>
          <w:tcPr>
            <w:tcW w:w="1487" w:type="dxa"/>
            <w:tcBorders>
              <w:top w:val="nil"/>
              <w:left w:val="nil"/>
              <w:bottom w:val="single" w:sz="4" w:space="0" w:color="auto"/>
              <w:right w:val="single" w:sz="4" w:space="0" w:color="auto"/>
            </w:tcBorders>
            <w:shd w:val="clear" w:color="auto" w:fill="auto"/>
            <w:vAlign w:val="center"/>
          </w:tcPr>
          <w:p w:rsidR="00043311" w:rsidRPr="00E26838" w:rsidRDefault="00043311" w:rsidP="0042130F">
            <w:pPr>
              <w:spacing w:before="0" w:line="240" w:lineRule="auto"/>
              <w:jc w:val="center"/>
              <w:rPr>
                <w:rFonts w:asciiTheme="minorHAnsi" w:hAnsiTheme="minorHAnsi" w:cstheme="minorHAnsi"/>
                <w:sz w:val="20"/>
                <w:szCs w:val="20"/>
                <w:lang w:eastAsia="en-NZ"/>
              </w:rPr>
            </w:pPr>
            <w:r w:rsidRPr="00E26838">
              <w:rPr>
                <w:rFonts w:asciiTheme="minorHAnsi" w:hAnsiTheme="minorHAnsi" w:cstheme="minorHAnsi"/>
                <w:sz w:val="20"/>
                <w:szCs w:val="20"/>
                <w:lang w:eastAsia="en-NZ"/>
              </w:rPr>
              <w:t>8.1</w:t>
            </w:r>
            <w:r w:rsidRPr="00E26838">
              <w:rPr>
                <w:rFonts w:asciiTheme="minorHAnsi" w:hAnsiTheme="minorHAnsi" w:cstheme="minorHAnsi"/>
                <w:sz w:val="20"/>
                <w:szCs w:val="20"/>
                <w:lang w:eastAsia="en-NZ"/>
              </w:rPr>
              <w:br/>
              <w:t>7.4 - 8.8</w:t>
            </w:r>
          </w:p>
        </w:tc>
      </w:tr>
      <w:tr w:rsidR="00043311" w:rsidRPr="005D04F5" w:rsidTr="0042130F">
        <w:trPr>
          <w:trHeight w:val="510"/>
          <w:jc w:val="center"/>
        </w:trPr>
        <w:tc>
          <w:tcPr>
            <w:tcW w:w="3682" w:type="dxa"/>
            <w:tcBorders>
              <w:top w:val="nil"/>
              <w:left w:val="single" w:sz="4" w:space="0" w:color="auto"/>
              <w:bottom w:val="single" w:sz="4" w:space="0" w:color="000000"/>
              <w:right w:val="single" w:sz="4" w:space="0" w:color="auto"/>
            </w:tcBorders>
            <w:shd w:val="clear" w:color="auto" w:fill="auto"/>
            <w:vAlign w:val="center"/>
            <w:hideMark/>
          </w:tcPr>
          <w:p w:rsidR="00043311" w:rsidRPr="00E26838" w:rsidRDefault="00043311" w:rsidP="0042130F">
            <w:pPr>
              <w:spacing w:before="0" w:line="240" w:lineRule="auto"/>
              <w:ind w:left="340"/>
              <w:jc w:val="left"/>
              <w:rPr>
                <w:rFonts w:asciiTheme="minorHAnsi" w:hAnsiTheme="minorHAnsi" w:cstheme="minorHAnsi"/>
                <w:sz w:val="20"/>
                <w:szCs w:val="20"/>
                <w:lang w:eastAsia="en-NZ"/>
              </w:rPr>
            </w:pPr>
            <w:r>
              <w:rPr>
                <w:rFonts w:asciiTheme="minorHAnsi" w:hAnsiTheme="minorHAnsi" w:cstheme="minorHAnsi"/>
                <w:sz w:val="20"/>
                <w:szCs w:val="20"/>
                <w:lang w:eastAsia="en-NZ"/>
              </w:rPr>
              <w:t xml:space="preserve">4 to </w:t>
            </w:r>
            <w:r w:rsidRPr="00E26838">
              <w:rPr>
                <w:rFonts w:asciiTheme="minorHAnsi" w:hAnsiTheme="minorHAnsi" w:cstheme="minorHAnsi"/>
                <w:sz w:val="20"/>
                <w:szCs w:val="20"/>
                <w:lang w:eastAsia="en-NZ"/>
              </w:rPr>
              <w:t>5</w:t>
            </w:r>
          </w:p>
        </w:tc>
        <w:tc>
          <w:tcPr>
            <w:tcW w:w="1138" w:type="dxa"/>
            <w:tcBorders>
              <w:top w:val="nil"/>
              <w:left w:val="nil"/>
              <w:bottom w:val="single" w:sz="4" w:space="0" w:color="auto"/>
              <w:right w:val="single" w:sz="4" w:space="0" w:color="auto"/>
            </w:tcBorders>
            <w:shd w:val="clear" w:color="auto" w:fill="auto"/>
            <w:vAlign w:val="center"/>
          </w:tcPr>
          <w:p w:rsidR="00043311" w:rsidRPr="00E26838" w:rsidRDefault="00043311" w:rsidP="0042130F">
            <w:pPr>
              <w:spacing w:before="0" w:line="240" w:lineRule="auto"/>
              <w:jc w:val="center"/>
              <w:rPr>
                <w:rFonts w:asciiTheme="minorHAnsi" w:hAnsiTheme="minorHAnsi" w:cstheme="minorHAnsi"/>
                <w:sz w:val="20"/>
                <w:szCs w:val="20"/>
                <w:lang w:eastAsia="en-NZ"/>
              </w:rPr>
            </w:pPr>
            <w:r w:rsidRPr="00E26838">
              <w:rPr>
                <w:rFonts w:asciiTheme="minorHAnsi" w:hAnsiTheme="minorHAnsi" w:cstheme="minorHAnsi"/>
                <w:sz w:val="20"/>
                <w:szCs w:val="20"/>
                <w:lang w:eastAsia="en-NZ"/>
              </w:rPr>
              <w:t>82</w:t>
            </w:r>
            <w:r w:rsidRPr="00E26838">
              <w:rPr>
                <w:rFonts w:asciiTheme="minorHAnsi" w:hAnsiTheme="minorHAnsi" w:cstheme="minorHAnsi"/>
                <w:sz w:val="20"/>
                <w:szCs w:val="20"/>
                <w:lang w:eastAsia="en-NZ"/>
              </w:rPr>
              <w:br/>
              <w:t>(7813)</w:t>
            </w:r>
          </w:p>
        </w:tc>
        <w:tc>
          <w:tcPr>
            <w:tcW w:w="1487" w:type="dxa"/>
            <w:tcBorders>
              <w:top w:val="nil"/>
              <w:left w:val="nil"/>
              <w:bottom w:val="single" w:sz="4" w:space="0" w:color="auto"/>
              <w:right w:val="single" w:sz="4" w:space="0" w:color="auto"/>
            </w:tcBorders>
            <w:shd w:val="clear" w:color="auto" w:fill="auto"/>
            <w:vAlign w:val="center"/>
          </w:tcPr>
          <w:p w:rsidR="00043311" w:rsidRPr="00E26838" w:rsidRDefault="00043311" w:rsidP="0042130F">
            <w:pPr>
              <w:spacing w:before="0" w:line="240" w:lineRule="auto"/>
              <w:jc w:val="center"/>
              <w:rPr>
                <w:rFonts w:asciiTheme="minorHAnsi" w:hAnsiTheme="minorHAnsi" w:cstheme="minorHAnsi"/>
                <w:sz w:val="20"/>
                <w:szCs w:val="20"/>
                <w:lang w:eastAsia="en-NZ"/>
              </w:rPr>
            </w:pPr>
            <w:r w:rsidRPr="00E26838">
              <w:rPr>
                <w:rFonts w:asciiTheme="minorHAnsi" w:hAnsiTheme="minorHAnsi" w:cstheme="minorHAnsi"/>
                <w:sz w:val="20"/>
                <w:szCs w:val="20"/>
                <w:lang w:eastAsia="en-NZ"/>
              </w:rPr>
              <w:t>1.1</w:t>
            </w:r>
            <w:r w:rsidRPr="00E26838">
              <w:rPr>
                <w:rFonts w:asciiTheme="minorHAnsi" w:hAnsiTheme="minorHAnsi" w:cstheme="minorHAnsi"/>
                <w:sz w:val="20"/>
                <w:szCs w:val="20"/>
                <w:lang w:eastAsia="en-NZ"/>
              </w:rPr>
              <w:br/>
              <w:t>0.8 - 1.3</w:t>
            </w:r>
          </w:p>
        </w:tc>
      </w:tr>
      <w:tr w:rsidR="00043311" w:rsidRPr="00E3310E" w:rsidTr="0042130F">
        <w:trPr>
          <w:trHeight w:val="510"/>
          <w:jc w:val="center"/>
        </w:trPr>
        <w:tc>
          <w:tcPr>
            <w:tcW w:w="3682" w:type="dxa"/>
            <w:tcBorders>
              <w:top w:val="nil"/>
              <w:left w:val="single" w:sz="4" w:space="0" w:color="auto"/>
              <w:bottom w:val="single" w:sz="4" w:space="0" w:color="000000"/>
              <w:right w:val="single" w:sz="4" w:space="0" w:color="auto"/>
            </w:tcBorders>
            <w:shd w:val="clear" w:color="auto" w:fill="auto"/>
            <w:vAlign w:val="center"/>
            <w:hideMark/>
          </w:tcPr>
          <w:p w:rsidR="00043311" w:rsidRPr="00E26838" w:rsidRDefault="00043311" w:rsidP="0042130F">
            <w:pPr>
              <w:spacing w:before="0" w:line="240" w:lineRule="auto"/>
              <w:ind w:left="340"/>
              <w:jc w:val="left"/>
              <w:rPr>
                <w:rFonts w:asciiTheme="minorHAnsi" w:hAnsiTheme="minorHAnsi" w:cstheme="minorHAnsi"/>
                <w:sz w:val="20"/>
                <w:szCs w:val="20"/>
                <w:lang w:eastAsia="en-NZ"/>
              </w:rPr>
            </w:pPr>
            <w:r w:rsidRPr="00E26838">
              <w:rPr>
                <w:rFonts w:asciiTheme="minorHAnsi" w:hAnsiTheme="minorHAnsi" w:cstheme="minorHAnsi"/>
                <w:sz w:val="20"/>
                <w:szCs w:val="20"/>
                <w:lang w:eastAsia="en-NZ"/>
              </w:rPr>
              <w:t>6 or more</w:t>
            </w:r>
          </w:p>
        </w:tc>
        <w:tc>
          <w:tcPr>
            <w:tcW w:w="1138" w:type="dxa"/>
            <w:tcBorders>
              <w:top w:val="nil"/>
              <w:left w:val="nil"/>
              <w:bottom w:val="single" w:sz="4" w:space="0" w:color="auto"/>
              <w:right w:val="single" w:sz="4" w:space="0" w:color="auto"/>
            </w:tcBorders>
            <w:shd w:val="clear" w:color="auto" w:fill="auto"/>
            <w:vAlign w:val="center"/>
          </w:tcPr>
          <w:p w:rsidR="00043311" w:rsidRPr="00E26838" w:rsidRDefault="00043311" w:rsidP="0042130F">
            <w:pPr>
              <w:spacing w:before="0" w:line="240" w:lineRule="auto"/>
              <w:jc w:val="center"/>
              <w:rPr>
                <w:rFonts w:asciiTheme="minorHAnsi" w:hAnsiTheme="minorHAnsi" w:cstheme="minorHAnsi"/>
                <w:sz w:val="20"/>
                <w:szCs w:val="20"/>
                <w:lang w:eastAsia="en-NZ"/>
              </w:rPr>
            </w:pPr>
            <w:r w:rsidRPr="00E26838">
              <w:rPr>
                <w:rFonts w:asciiTheme="minorHAnsi" w:hAnsiTheme="minorHAnsi" w:cstheme="minorHAnsi"/>
                <w:sz w:val="20"/>
                <w:szCs w:val="20"/>
                <w:lang w:eastAsia="en-NZ"/>
              </w:rPr>
              <w:t>68</w:t>
            </w:r>
            <w:r w:rsidRPr="00E26838">
              <w:rPr>
                <w:rFonts w:asciiTheme="minorHAnsi" w:hAnsiTheme="minorHAnsi" w:cstheme="minorHAnsi"/>
                <w:sz w:val="20"/>
                <w:szCs w:val="20"/>
                <w:lang w:eastAsia="en-NZ"/>
              </w:rPr>
              <w:br/>
              <w:t>(7813)</w:t>
            </w:r>
          </w:p>
        </w:tc>
        <w:tc>
          <w:tcPr>
            <w:tcW w:w="1487" w:type="dxa"/>
            <w:tcBorders>
              <w:top w:val="nil"/>
              <w:left w:val="nil"/>
              <w:bottom w:val="single" w:sz="4" w:space="0" w:color="auto"/>
              <w:right w:val="single" w:sz="4" w:space="0" w:color="auto"/>
            </w:tcBorders>
            <w:shd w:val="clear" w:color="auto" w:fill="auto"/>
            <w:vAlign w:val="center"/>
          </w:tcPr>
          <w:p w:rsidR="00043311" w:rsidRPr="00E26838" w:rsidRDefault="00043311" w:rsidP="0042130F">
            <w:pPr>
              <w:spacing w:before="0" w:line="240" w:lineRule="auto"/>
              <w:jc w:val="center"/>
              <w:rPr>
                <w:rFonts w:asciiTheme="minorHAnsi" w:hAnsiTheme="minorHAnsi" w:cstheme="minorHAnsi"/>
                <w:sz w:val="20"/>
                <w:szCs w:val="20"/>
                <w:lang w:eastAsia="en-NZ"/>
              </w:rPr>
            </w:pPr>
            <w:r w:rsidRPr="00E26838">
              <w:rPr>
                <w:rFonts w:asciiTheme="minorHAnsi" w:hAnsiTheme="minorHAnsi" w:cstheme="minorHAnsi"/>
                <w:sz w:val="20"/>
                <w:szCs w:val="20"/>
                <w:lang w:eastAsia="en-NZ"/>
              </w:rPr>
              <w:t>0.9</w:t>
            </w:r>
            <w:r w:rsidRPr="00E26838">
              <w:rPr>
                <w:rFonts w:asciiTheme="minorHAnsi" w:hAnsiTheme="minorHAnsi" w:cstheme="minorHAnsi"/>
                <w:sz w:val="20"/>
                <w:szCs w:val="20"/>
                <w:lang w:eastAsia="en-NZ"/>
              </w:rPr>
              <w:br/>
              <w:t>0.6 - 1.1</w:t>
            </w:r>
          </w:p>
        </w:tc>
      </w:tr>
    </w:tbl>
    <w:p w:rsidR="00043311" w:rsidRDefault="00043311" w:rsidP="0042130F">
      <w:pPr>
        <w:pStyle w:val="BodyText"/>
      </w:pPr>
    </w:p>
    <w:p w:rsidR="00043311" w:rsidRDefault="00043311" w:rsidP="0042130F">
      <w:pPr>
        <w:pStyle w:val="BodyText"/>
      </w:pPr>
      <w:r>
        <w:t xml:space="preserve">A greater proportion of males (1.3%) than females (0.5%) had gambled on 6 or more activities over the past 12 months; and, students aged 17 and over were more likely than younger students to have gambled on 2 to 3 gambling activities. Overall, the number of gambling activities that students had engaged in over the past 12 months was fairly consistent across level of neighbourhood deprivation and rural/urban setting. Further details can be found in </w:t>
      </w:r>
      <w:r w:rsidR="007B447B">
        <w:fldChar w:fldCharType="begin"/>
      </w:r>
      <w:r>
        <w:instrText xml:space="preserve"> REF _Ref350428281 \r \h </w:instrText>
      </w:r>
      <w:r w:rsidR="007B447B">
        <w:fldChar w:fldCharType="separate"/>
      </w:r>
      <w:r w:rsidR="009E3D1C">
        <w:t>Appendix C</w:t>
      </w:r>
      <w:r w:rsidR="007B447B">
        <w:fldChar w:fldCharType="end"/>
      </w:r>
      <w:r>
        <w:t>.</w:t>
      </w:r>
    </w:p>
    <w:p w:rsidR="00043311" w:rsidRPr="00E3310E" w:rsidRDefault="00043311" w:rsidP="0042130F">
      <w:pPr>
        <w:pStyle w:val="Heading2"/>
      </w:pPr>
      <w:bookmarkStart w:id="111" w:name="_Toc367284423"/>
      <w:r w:rsidRPr="00E3310E">
        <w:t xml:space="preserve">Time and money spent </w:t>
      </w:r>
      <w:r>
        <w:t xml:space="preserve">on </w:t>
      </w:r>
      <w:r w:rsidRPr="00E3310E">
        <w:t>gambling</w:t>
      </w:r>
      <w:r>
        <w:t xml:space="preserve"> activities</w:t>
      </w:r>
      <w:bookmarkEnd w:id="111"/>
    </w:p>
    <w:p w:rsidR="00043311" w:rsidRPr="00302714" w:rsidRDefault="00043311" w:rsidP="0042130F">
      <w:pPr>
        <w:pStyle w:val="BodyText"/>
      </w:pPr>
      <w:r w:rsidRPr="00302714">
        <w:t>Four percent of the students who had gambled</w:t>
      </w:r>
      <w:r>
        <w:t xml:space="preserve"> in the last 12 months</w:t>
      </w:r>
      <w:r w:rsidRPr="00302714">
        <w:t xml:space="preserve"> indicated that they would usually spend $20 or more per week on gambling activities. </w:t>
      </w:r>
      <w:r>
        <w:t>T</w:t>
      </w:r>
      <w:r w:rsidRPr="00302714">
        <w:t>he proportion of males who usually spent $20 or more per week (5%) was greater than that for females (2%)</w:t>
      </w:r>
      <w:r>
        <w:t>. There were</w:t>
      </w:r>
      <w:r w:rsidRPr="00302714">
        <w:t xml:space="preserve"> no other </w:t>
      </w:r>
      <w:r>
        <w:t xml:space="preserve">meaningful </w:t>
      </w:r>
      <w:r w:rsidRPr="00302714">
        <w:t xml:space="preserve">differences </w:t>
      </w:r>
      <w:r>
        <w:t>according to</w:t>
      </w:r>
      <w:r w:rsidRPr="00302714">
        <w:t xml:space="preserve"> demographic</w:t>
      </w:r>
      <w:r>
        <w:t xml:space="preserve"> feature</w:t>
      </w:r>
      <w:r w:rsidRPr="00302714">
        <w:t>s (i.e. age, level of neighbourhood deprivation or living in an urban/rural setting) (see</w:t>
      </w:r>
      <w:r w:rsidR="00720A6C">
        <w:t xml:space="preserve"> Table 8</w:t>
      </w:r>
      <w:r w:rsidRPr="00302714">
        <w:t xml:space="preserve"> for details). </w:t>
      </w:r>
    </w:p>
    <w:p w:rsidR="00043311" w:rsidRDefault="00043311" w:rsidP="0042130F">
      <w:pPr>
        <w:pStyle w:val="BodyText"/>
      </w:pPr>
      <w:r w:rsidRPr="00302714">
        <w:t xml:space="preserve">Very few students (2% of those who had gambled in the last 12 months) indicated that they spent 30 minutes or more per day on gambling. No </w:t>
      </w:r>
      <w:r>
        <w:t>meaningful</w:t>
      </w:r>
      <w:r w:rsidRPr="00302714">
        <w:t xml:space="preserve"> differences were observed in the amount of time spent gambling </w:t>
      </w:r>
      <w:r>
        <w:t>according to</w:t>
      </w:r>
      <w:r w:rsidRPr="00302714">
        <w:t xml:space="preserve"> demographic </w:t>
      </w:r>
      <w:r>
        <w:t>features</w:t>
      </w:r>
      <w:r w:rsidRPr="00302714">
        <w:t xml:space="preserve"> (see</w:t>
      </w:r>
      <w:r w:rsidR="00720A6C">
        <w:t xml:space="preserve"> Table 8</w:t>
      </w:r>
      <w:r w:rsidRPr="00302714">
        <w:t>).</w:t>
      </w:r>
    </w:p>
    <w:p w:rsidR="00740B76" w:rsidRDefault="00740B76">
      <w:pPr>
        <w:spacing w:before="0" w:after="200" w:line="276" w:lineRule="auto"/>
        <w:jc w:val="left"/>
        <w:rPr>
          <w:rFonts w:asciiTheme="minorHAnsi" w:hAnsiTheme="minorHAnsi"/>
          <w:b/>
          <w:bCs/>
          <w:i/>
          <w:sz w:val="20"/>
          <w:szCs w:val="20"/>
        </w:rPr>
      </w:pPr>
      <w:r>
        <w:rPr>
          <w:rFonts w:asciiTheme="minorHAnsi" w:hAnsiTheme="minorHAnsi"/>
          <w:i/>
        </w:rPr>
        <w:br w:type="page"/>
      </w:r>
    </w:p>
    <w:p w:rsidR="00740B76" w:rsidRPr="00740B76" w:rsidRDefault="00740B76" w:rsidP="00740B76">
      <w:pPr>
        <w:pStyle w:val="Caption"/>
        <w:keepNext/>
        <w:spacing w:line="276" w:lineRule="auto"/>
        <w:rPr>
          <w:rFonts w:asciiTheme="minorHAnsi" w:hAnsiTheme="minorHAnsi" w:cstheme="minorHAnsi"/>
          <w:i/>
        </w:rPr>
      </w:pPr>
      <w:bookmarkStart w:id="112" w:name="_Toc367285391"/>
      <w:r w:rsidRPr="00740B76">
        <w:rPr>
          <w:rFonts w:asciiTheme="minorHAnsi" w:hAnsiTheme="minorHAnsi"/>
          <w:i/>
        </w:rPr>
        <w:lastRenderedPageBreak/>
        <w:t xml:space="preserve">Table </w:t>
      </w:r>
      <w:r w:rsidR="007B447B" w:rsidRPr="00740B76">
        <w:rPr>
          <w:rFonts w:asciiTheme="minorHAnsi" w:hAnsiTheme="minorHAnsi"/>
          <w:i/>
        </w:rPr>
        <w:fldChar w:fldCharType="begin"/>
      </w:r>
      <w:r w:rsidRPr="00740B76">
        <w:rPr>
          <w:rFonts w:asciiTheme="minorHAnsi" w:hAnsiTheme="minorHAnsi"/>
          <w:i/>
        </w:rPr>
        <w:instrText xml:space="preserve"> SEQ Table \* ARABIC </w:instrText>
      </w:r>
      <w:r w:rsidR="007B447B" w:rsidRPr="00740B76">
        <w:rPr>
          <w:rFonts w:asciiTheme="minorHAnsi" w:hAnsiTheme="minorHAnsi"/>
          <w:i/>
        </w:rPr>
        <w:fldChar w:fldCharType="separate"/>
      </w:r>
      <w:r w:rsidR="009E3D1C">
        <w:rPr>
          <w:rFonts w:asciiTheme="minorHAnsi" w:hAnsiTheme="minorHAnsi"/>
          <w:i/>
          <w:noProof/>
        </w:rPr>
        <w:t>8</w:t>
      </w:r>
      <w:r w:rsidR="007B447B" w:rsidRPr="00740B76">
        <w:rPr>
          <w:rFonts w:asciiTheme="minorHAnsi" w:hAnsiTheme="minorHAnsi"/>
          <w:i/>
        </w:rPr>
        <w:fldChar w:fldCharType="end"/>
      </w:r>
      <w:r w:rsidRPr="00740B76">
        <w:rPr>
          <w:rFonts w:asciiTheme="minorHAnsi" w:hAnsiTheme="minorHAnsi"/>
          <w:i/>
        </w:rPr>
        <w:t xml:space="preserve">: </w:t>
      </w:r>
      <w:r w:rsidRPr="00740B76">
        <w:rPr>
          <w:rFonts w:asciiTheme="minorHAnsi" w:hAnsiTheme="minorHAnsi" w:cstheme="minorHAnsi"/>
          <w:i/>
        </w:rPr>
        <w:t>Time and money spent on gambling activities (among students who have gambled in the past 12 months; n=1882)</w:t>
      </w:r>
      <w:bookmarkEnd w:id="112"/>
    </w:p>
    <w:tbl>
      <w:tblPr>
        <w:tblW w:w="6517" w:type="dxa"/>
        <w:jc w:val="center"/>
        <w:tblInd w:w="-488" w:type="dxa"/>
        <w:tblLook w:val="04A0" w:firstRow="1" w:lastRow="0" w:firstColumn="1" w:lastColumn="0" w:noHBand="0" w:noVBand="1"/>
      </w:tblPr>
      <w:tblGrid>
        <w:gridCol w:w="1412"/>
        <w:gridCol w:w="1168"/>
        <w:gridCol w:w="936"/>
        <w:gridCol w:w="1048"/>
        <w:gridCol w:w="856"/>
        <w:gridCol w:w="1097"/>
      </w:tblGrid>
      <w:tr w:rsidR="00043311" w:rsidRPr="00BF6A69" w:rsidTr="0042130F">
        <w:trPr>
          <w:trHeight w:val="300"/>
          <w:jc w:val="center"/>
        </w:trPr>
        <w:tc>
          <w:tcPr>
            <w:tcW w:w="2580" w:type="dxa"/>
            <w:gridSpan w:val="2"/>
            <w:vMerge w:val="restart"/>
            <w:tcBorders>
              <w:top w:val="single" w:sz="4" w:space="0" w:color="auto"/>
              <w:left w:val="single" w:sz="4" w:space="0" w:color="auto"/>
              <w:bottom w:val="single" w:sz="4" w:space="0" w:color="000000"/>
              <w:right w:val="single" w:sz="4" w:space="0" w:color="000000"/>
            </w:tcBorders>
            <w:shd w:val="clear" w:color="000000" w:fill="A6A6A6"/>
            <w:noWrap/>
            <w:vAlign w:val="bottom"/>
            <w:hideMark/>
          </w:tcPr>
          <w:p w:rsidR="00043311" w:rsidRPr="00BF6A69" w:rsidRDefault="00043311" w:rsidP="0042130F">
            <w:pPr>
              <w:spacing w:before="0" w:line="240" w:lineRule="auto"/>
              <w:jc w:val="left"/>
              <w:rPr>
                <w:rFonts w:ascii="Calibri" w:hAnsi="Calibri"/>
                <w:color w:val="000000"/>
                <w:lang w:eastAsia="en-NZ"/>
              </w:rPr>
            </w:pPr>
            <w:r w:rsidRPr="00E3310E">
              <w:rPr>
                <w:rFonts w:asciiTheme="minorHAnsi" w:hAnsiTheme="minorHAnsi" w:cstheme="minorHAnsi"/>
              </w:rPr>
              <w:br w:type="page"/>
            </w:r>
            <w:r w:rsidRPr="00BF6A69">
              <w:rPr>
                <w:rFonts w:ascii="Calibri" w:hAnsi="Calibri"/>
                <w:color w:val="000000"/>
                <w:szCs w:val="22"/>
                <w:lang w:eastAsia="en-NZ"/>
              </w:rPr>
              <w:t> </w:t>
            </w:r>
          </w:p>
        </w:tc>
        <w:tc>
          <w:tcPr>
            <w:tcW w:w="1984" w:type="dxa"/>
            <w:gridSpan w:val="2"/>
            <w:vMerge w:val="restart"/>
            <w:tcBorders>
              <w:top w:val="single" w:sz="4" w:space="0" w:color="auto"/>
              <w:left w:val="single" w:sz="4" w:space="0" w:color="auto"/>
              <w:bottom w:val="single" w:sz="4" w:space="0" w:color="000000"/>
              <w:right w:val="single" w:sz="4" w:space="0" w:color="000000"/>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sidRPr="00BF6A69">
              <w:rPr>
                <w:rFonts w:ascii="Arial Narrow" w:hAnsi="Arial Narrow"/>
                <w:b/>
                <w:bCs/>
                <w:sz w:val="20"/>
                <w:szCs w:val="20"/>
                <w:lang w:eastAsia="en-NZ"/>
              </w:rPr>
              <w:t>Usually spend $20 or more per week on gambling</w:t>
            </w:r>
          </w:p>
        </w:tc>
        <w:tc>
          <w:tcPr>
            <w:tcW w:w="1953" w:type="dxa"/>
            <w:gridSpan w:val="2"/>
            <w:vMerge w:val="restart"/>
            <w:tcBorders>
              <w:top w:val="single" w:sz="4" w:space="0" w:color="auto"/>
              <w:left w:val="nil"/>
              <w:bottom w:val="single" w:sz="4" w:space="0" w:color="000000"/>
              <w:right w:val="single" w:sz="4" w:space="0" w:color="000000"/>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sidRPr="00BF6A69">
              <w:rPr>
                <w:rFonts w:ascii="Arial Narrow" w:hAnsi="Arial Narrow"/>
                <w:b/>
                <w:bCs/>
                <w:sz w:val="20"/>
                <w:szCs w:val="20"/>
                <w:lang w:eastAsia="en-NZ"/>
              </w:rPr>
              <w:t>Usually spend 30 minutes or more per day on gambling</w:t>
            </w:r>
          </w:p>
        </w:tc>
      </w:tr>
      <w:tr w:rsidR="00043311" w:rsidRPr="00BF6A69" w:rsidTr="0042130F">
        <w:trPr>
          <w:trHeight w:val="540"/>
          <w:jc w:val="center"/>
        </w:trPr>
        <w:tc>
          <w:tcPr>
            <w:tcW w:w="2580" w:type="dxa"/>
            <w:gridSpan w:val="2"/>
            <w:vMerge/>
            <w:tcBorders>
              <w:top w:val="single" w:sz="4" w:space="0" w:color="auto"/>
              <w:left w:val="single" w:sz="4" w:space="0" w:color="auto"/>
              <w:bottom w:val="single" w:sz="4" w:space="0" w:color="000000"/>
              <w:right w:val="single" w:sz="4" w:space="0" w:color="000000"/>
            </w:tcBorders>
            <w:vAlign w:val="center"/>
            <w:hideMark/>
          </w:tcPr>
          <w:p w:rsidR="00043311" w:rsidRPr="00BF6A69" w:rsidRDefault="00043311" w:rsidP="0042130F">
            <w:pPr>
              <w:spacing w:before="0" w:line="240" w:lineRule="auto"/>
              <w:jc w:val="left"/>
              <w:rPr>
                <w:rFonts w:ascii="Calibri" w:hAnsi="Calibri"/>
                <w:color w:val="000000"/>
                <w:lang w:eastAsia="en-NZ"/>
              </w:rPr>
            </w:pPr>
          </w:p>
        </w:tc>
        <w:tc>
          <w:tcPr>
            <w:tcW w:w="1984" w:type="dxa"/>
            <w:gridSpan w:val="2"/>
            <w:vMerge/>
            <w:tcBorders>
              <w:top w:val="single" w:sz="4" w:space="0" w:color="auto"/>
              <w:left w:val="single" w:sz="4" w:space="0" w:color="auto"/>
              <w:bottom w:val="single" w:sz="4" w:space="0" w:color="000000"/>
              <w:right w:val="single" w:sz="4" w:space="0" w:color="000000"/>
            </w:tcBorders>
            <w:vAlign w:val="center"/>
            <w:hideMark/>
          </w:tcPr>
          <w:p w:rsidR="00043311" w:rsidRPr="00BF6A69" w:rsidRDefault="00043311" w:rsidP="0042130F">
            <w:pPr>
              <w:spacing w:before="0" w:line="240" w:lineRule="auto"/>
              <w:jc w:val="left"/>
              <w:rPr>
                <w:rFonts w:ascii="Arial Narrow" w:hAnsi="Arial Narrow"/>
                <w:b/>
                <w:bCs/>
                <w:sz w:val="20"/>
                <w:szCs w:val="20"/>
                <w:lang w:eastAsia="en-NZ"/>
              </w:rPr>
            </w:pPr>
          </w:p>
        </w:tc>
        <w:tc>
          <w:tcPr>
            <w:tcW w:w="1953" w:type="dxa"/>
            <w:gridSpan w:val="2"/>
            <w:vMerge/>
            <w:tcBorders>
              <w:top w:val="single" w:sz="4" w:space="0" w:color="auto"/>
              <w:left w:val="nil"/>
              <w:bottom w:val="single" w:sz="4" w:space="0" w:color="000000"/>
              <w:right w:val="single" w:sz="4" w:space="0" w:color="000000"/>
            </w:tcBorders>
            <w:vAlign w:val="center"/>
            <w:hideMark/>
          </w:tcPr>
          <w:p w:rsidR="00043311" w:rsidRPr="00BF6A69" w:rsidRDefault="00043311" w:rsidP="0042130F">
            <w:pPr>
              <w:spacing w:before="0" w:line="240" w:lineRule="auto"/>
              <w:jc w:val="left"/>
              <w:rPr>
                <w:rFonts w:ascii="Arial Narrow" w:hAnsi="Arial Narrow"/>
                <w:b/>
                <w:bCs/>
                <w:sz w:val="20"/>
                <w:szCs w:val="20"/>
                <w:lang w:eastAsia="en-NZ"/>
              </w:rPr>
            </w:pPr>
          </w:p>
        </w:tc>
      </w:tr>
      <w:tr w:rsidR="00043311" w:rsidRPr="00BF6A69" w:rsidTr="0042130F">
        <w:trPr>
          <w:trHeight w:val="510"/>
          <w:jc w:val="center"/>
        </w:trPr>
        <w:tc>
          <w:tcPr>
            <w:tcW w:w="2580" w:type="dxa"/>
            <w:gridSpan w:val="2"/>
            <w:vMerge/>
            <w:tcBorders>
              <w:top w:val="single" w:sz="4" w:space="0" w:color="auto"/>
              <w:left w:val="single" w:sz="4" w:space="0" w:color="auto"/>
              <w:bottom w:val="single" w:sz="4" w:space="0" w:color="000000"/>
              <w:right w:val="single" w:sz="4" w:space="0" w:color="000000"/>
            </w:tcBorders>
            <w:vAlign w:val="center"/>
            <w:hideMark/>
          </w:tcPr>
          <w:p w:rsidR="00043311" w:rsidRPr="00BF6A69" w:rsidRDefault="00043311" w:rsidP="0042130F">
            <w:pPr>
              <w:spacing w:before="0" w:line="240" w:lineRule="auto"/>
              <w:jc w:val="left"/>
              <w:rPr>
                <w:rFonts w:ascii="Calibri" w:hAnsi="Calibri"/>
                <w:color w:val="000000"/>
                <w:lang w:eastAsia="en-NZ"/>
              </w:rPr>
            </w:pPr>
          </w:p>
        </w:tc>
        <w:tc>
          <w:tcPr>
            <w:tcW w:w="936" w:type="dxa"/>
            <w:tcBorders>
              <w:top w:val="nil"/>
              <w:left w:val="nil"/>
              <w:bottom w:val="single" w:sz="4" w:space="0" w:color="auto"/>
              <w:right w:val="single" w:sz="4" w:space="0" w:color="auto"/>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sidRPr="00BF6A69">
              <w:rPr>
                <w:rFonts w:ascii="Arial Narrow" w:hAnsi="Arial Narrow"/>
                <w:b/>
                <w:bCs/>
                <w:sz w:val="20"/>
                <w:szCs w:val="20"/>
                <w:lang w:eastAsia="en-NZ"/>
              </w:rPr>
              <w:t>n</w:t>
            </w:r>
            <w:r w:rsidRPr="00BF6A69">
              <w:rPr>
                <w:rFonts w:ascii="Arial Narrow" w:hAnsi="Arial Narrow"/>
                <w:b/>
                <w:bCs/>
                <w:sz w:val="20"/>
                <w:szCs w:val="20"/>
                <w:lang w:eastAsia="en-NZ"/>
              </w:rPr>
              <w:br/>
              <w:t>(N)</w:t>
            </w:r>
          </w:p>
        </w:tc>
        <w:tc>
          <w:tcPr>
            <w:tcW w:w="1048" w:type="dxa"/>
            <w:tcBorders>
              <w:top w:val="nil"/>
              <w:left w:val="nil"/>
              <w:bottom w:val="single" w:sz="4" w:space="0" w:color="auto"/>
              <w:right w:val="single" w:sz="4" w:space="0" w:color="auto"/>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sidRPr="00BF6A69">
              <w:rPr>
                <w:rFonts w:ascii="Arial Narrow" w:hAnsi="Arial Narrow"/>
                <w:b/>
                <w:bCs/>
                <w:sz w:val="20"/>
                <w:szCs w:val="20"/>
                <w:lang w:eastAsia="en-NZ"/>
              </w:rPr>
              <w:t>%</w:t>
            </w:r>
            <w:r w:rsidRPr="00BF6A69">
              <w:rPr>
                <w:rFonts w:ascii="Arial Narrow" w:hAnsi="Arial Narrow"/>
                <w:b/>
                <w:bCs/>
                <w:sz w:val="20"/>
                <w:szCs w:val="20"/>
                <w:lang w:eastAsia="en-NZ"/>
              </w:rPr>
              <w:br/>
              <w:t>95% CI</w:t>
            </w:r>
          </w:p>
        </w:tc>
        <w:tc>
          <w:tcPr>
            <w:tcW w:w="856" w:type="dxa"/>
            <w:tcBorders>
              <w:top w:val="nil"/>
              <w:left w:val="nil"/>
              <w:bottom w:val="single" w:sz="4" w:space="0" w:color="auto"/>
              <w:right w:val="single" w:sz="4" w:space="0" w:color="auto"/>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sidRPr="00BF6A69">
              <w:rPr>
                <w:rFonts w:ascii="Arial Narrow" w:hAnsi="Arial Narrow"/>
                <w:b/>
                <w:bCs/>
                <w:sz w:val="20"/>
                <w:szCs w:val="20"/>
                <w:lang w:eastAsia="en-NZ"/>
              </w:rPr>
              <w:t>n</w:t>
            </w:r>
            <w:r w:rsidRPr="00BF6A69">
              <w:rPr>
                <w:rFonts w:ascii="Arial Narrow" w:hAnsi="Arial Narrow"/>
                <w:b/>
                <w:bCs/>
                <w:sz w:val="20"/>
                <w:szCs w:val="20"/>
                <w:lang w:eastAsia="en-NZ"/>
              </w:rPr>
              <w:br/>
              <w:t>(N)</w:t>
            </w:r>
          </w:p>
        </w:tc>
        <w:tc>
          <w:tcPr>
            <w:tcW w:w="1097" w:type="dxa"/>
            <w:tcBorders>
              <w:top w:val="nil"/>
              <w:left w:val="nil"/>
              <w:bottom w:val="single" w:sz="4" w:space="0" w:color="auto"/>
              <w:right w:val="single" w:sz="4" w:space="0" w:color="auto"/>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sidRPr="00BF6A69">
              <w:rPr>
                <w:rFonts w:ascii="Arial Narrow" w:hAnsi="Arial Narrow"/>
                <w:b/>
                <w:bCs/>
                <w:sz w:val="20"/>
                <w:szCs w:val="20"/>
                <w:lang w:eastAsia="en-NZ"/>
              </w:rPr>
              <w:t>%</w:t>
            </w:r>
            <w:r w:rsidRPr="00BF6A69">
              <w:rPr>
                <w:rFonts w:ascii="Arial Narrow" w:hAnsi="Arial Narrow"/>
                <w:b/>
                <w:bCs/>
                <w:sz w:val="20"/>
                <w:szCs w:val="20"/>
                <w:lang w:eastAsia="en-NZ"/>
              </w:rPr>
              <w:br/>
              <w:t>95% CI</w:t>
            </w:r>
          </w:p>
        </w:tc>
      </w:tr>
      <w:tr w:rsidR="00043311" w:rsidRPr="00BF6A69" w:rsidTr="0042130F">
        <w:trPr>
          <w:trHeight w:val="510"/>
          <w:jc w:val="center"/>
        </w:trPr>
        <w:tc>
          <w:tcPr>
            <w:tcW w:w="25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BF6A69" w:rsidRDefault="00043311" w:rsidP="0042130F">
            <w:pPr>
              <w:spacing w:before="0" w:line="240" w:lineRule="auto"/>
              <w:jc w:val="left"/>
              <w:rPr>
                <w:rFonts w:ascii="Arial Narrow" w:hAnsi="Arial Narrow"/>
                <w:sz w:val="20"/>
                <w:szCs w:val="20"/>
                <w:lang w:eastAsia="en-NZ"/>
              </w:rPr>
            </w:pPr>
            <w:r w:rsidRPr="00BF6A69">
              <w:rPr>
                <w:rFonts w:ascii="Arial Narrow" w:hAnsi="Arial Narrow"/>
                <w:sz w:val="20"/>
                <w:szCs w:val="20"/>
                <w:lang w:eastAsia="en-NZ"/>
              </w:rPr>
              <w:t>Total</w:t>
            </w:r>
          </w:p>
        </w:tc>
        <w:tc>
          <w:tcPr>
            <w:tcW w:w="936"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67</w:t>
            </w:r>
            <w:r>
              <w:rPr>
                <w:rFonts w:ascii="Arial Narrow" w:hAnsi="Arial Narrow"/>
                <w:sz w:val="20"/>
                <w:szCs w:val="20"/>
                <w:lang w:eastAsia="en-NZ"/>
              </w:rPr>
              <w:br/>
              <w:t>(1</w:t>
            </w:r>
            <w:r w:rsidRPr="00BF6A69">
              <w:rPr>
                <w:rFonts w:ascii="Arial Narrow" w:hAnsi="Arial Narrow"/>
                <w:sz w:val="20"/>
                <w:szCs w:val="20"/>
                <w:lang w:eastAsia="en-NZ"/>
              </w:rPr>
              <w:t>882)</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3.6</w:t>
            </w:r>
            <w:r w:rsidRPr="00BF6A69">
              <w:rPr>
                <w:rFonts w:ascii="Arial Narrow" w:hAnsi="Arial Narrow"/>
                <w:sz w:val="20"/>
                <w:szCs w:val="20"/>
                <w:lang w:eastAsia="en-NZ"/>
              </w:rPr>
              <w:br/>
              <w:t>2.7 - 4.4</w:t>
            </w:r>
          </w:p>
        </w:tc>
        <w:tc>
          <w:tcPr>
            <w:tcW w:w="856" w:type="dxa"/>
            <w:tcBorders>
              <w:top w:val="nil"/>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44</w:t>
            </w:r>
            <w:r>
              <w:rPr>
                <w:rFonts w:ascii="Arial Narrow" w:hAnsi="Arial Narrow"/>
                <w:sz w:val="20"/>
                <w:szCs w:val="20"/>
                <w:lang w:eastAsia="en-NZ"/>
              </w:rPr>
              <w:br/>
              <w:t>(1</w:t>
            </w:r>
            <w:r w:rsidRPr="00BF6A69">
              <w:rPr>
                <w:rFonts w:ascii="Arial Narrow" w:hAnsi="Arial Narrow"/>
                <w:sz w:val="20"/>
                <w:szCs w:val="20"/>
                <w:lang w:eastAsia="en-NZ"/>
              </w:rPr>
              <w:t>878)</w:t>
            </w:r>
          </w:p>
        </w:tc>
        <w:tc>
          <w:tcPr>
            <w:tcW w:w="1097" w:type="dxa"/>
            <w:tcBorders>
              <w:top w:val="nil"/>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2.3</w:t>
            </w:r>
            <w:r w:rsidRPr="00BF6A69">
              <w:rPr>
                <w:rFonts w:ascii="Arial Narrow" w:hAnsi="Arial Narrow"/>
                <w:sz w:val="20"/>
                <w:szCs w:val="20"/>
                <w:lang w:eastAsia="en-NZ"/>
              </w:rPr>
              <w:br/>
              <w:t>1.5 - 3.0</w:t>
            </w:r>
          </w:p>
        </w:tc>
      </w:tr>
      <w:tr w:rsidR="00043311" w:rsidRPr="00BF6A69" w:rsidTr="0042130F">
        <w:trPr>
          <w:trHeight w:hRule="exact" w:val="113"/>
          <w:jc w:val="center"/>
        </w:trPr>
        <w:tc>
          <w:tcPr>
            <w:tcW w:w="651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 </w:t>
            </w:r>
          </w:p>
        </w:tc>
      </w:tr>
      <w:tr w:rsidR="00043311" w:rsidRPr="00BF6A69" w:rsidTr="0042130F">
        <w:trPr>
          <w:trHeight w:val="510"/>
          <w:jc w:val="center"/>
        </w:trPr>
        <w:tc>
          <w:tcPr>
            <w:tcW w:w="1412" w:type="dxa"/>
            <w:vMerge w:val="restart"/>
            <w:tcBorders>
              <w:top w:val="nil"/>
              <w:left w:val="single" w:sz="4" w:space="0" w:color="auto"/>
              <w:bottom w:val="single" w:sz="4" w:space="0" w:color="000000"/>
              <w:right w:val="single" w:sz="4" w:space="0" w:color="auto"/>
            </w:tcBorders>
            <w:shd w:val="clear" w:color="auto" w:fill="auto"/>
            <w:vAlign w:val="center"/>
            <w:hideMark/>
          </w:tcPr>
          <w:p w:rsidR="00043311" w:rsidRPr="00BF6A69" w:rsidRDefault="00043311" w:rsidP="0042130F">
            <w:pPr>
              <w:spacing w:before="0" w:line="240" w:lineRule="auto"/>
              <w:jc w:val="left"/>
              <w:rPr>
                <w:rFonts w:ascii="Arial Narrow" w:hAnsi="Arial Narrow"/>
                <w:sz w:val="20"/>
                <w:szCs w:val="20"/>
                <w:lang w:eastAsia="en-NZ"/>
              </w:rPr>
            </w:pPr>
            <w:r w:rsidRPr="00BF6A69">
              <w:rPr>
                <w:rFonts w:ascii="Arial Narrow" w:hAnsi="Arial Narrow"/>
                <w:sz w:val="20"/>
                <w:szCs w:val="20"/>
                <w:lang w:eastAsia="en-NZ"/>
              </w:rPr>
              <w:t xml:space="preserve">By </w:t>
            </w:r>
            <w:r>
              <w:rPr>
                <w:rFonts w:ascii="Arial Narrow" w:hAnsi="Arial Narrow"/>
                <w:sz w:val="20"/>
                <w:szCs w:val="20"/>
                <w:lang w:eastAsia="en-NZ"/>
              </w:rPr>
              <w:t>Sex</w:t>
            </w: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Male</w:t>
            </w:r>
          </w:p>
        </w:tc>
        <w:tc>
          <w:tcPr>
            <w:tcW w:w="936"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47</w:t>
            </w:r>
            <w:r w:rsidRPr="00BF6A69">
              <w:rPr>
                <w:rFonts w:ascii="Arial Narrow" w:hAnsi="Arial Narrow"/>
                <w:sz w:val="20"/>
                <w:szCs w:val="20"/>
                <w:lang w:eastAsia="en-NZ"/>
              </w:rPr>
              <w:br/>
              <w:t>(905)</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5.2</w:t>
            </w:r>
            <w:r w:rsidRPr="00BF6A69">
              <w:rPr>
                <w:rFonts w:ascii="Arial Narrow" w:hAnsi="Arial Narrow"/>
                <w:sz w:val="20"/>
                <w:szCs w:val="20"/>
                <w:lang w:eastAsia="en-NZ"/>
              </w:rPr>
              <w:br/>
              <w:t>3.7 - 6.6</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25</w:t>
            </w:r>
            <w:r w:rsidRPr="00BF6A69">
              <w:rPr>
                <w:rFonts w:ascii="Arial Narrow" w:hAnsi="Arial Narrow"/>
                <w:sz w:val="20"/>
                <w:szCs w:val="20"/>
                <w:lang w:eastAsia="en-NZ"/>
              </w:rPr>
              <w:br/>
              <w:t>(903)</w:t>
            </w:r>
          </w:p>
        </w:tc>
        <w:tc>
          <w:tcPr>
            <w:tcW w:w="1097" w:type="dxa"/>
            <w:tcBorders>
              <w:top w:val="nil"/>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2.7</w:t>
            </w:r>
            <w:r w:rsidRPr="00BF6A69">
              <w:rPr>
                <w:rFonts w:ascii="Arial Narrow" w:hAnsi="Arial Narrow"/>
                <w:sz w:val="20"/>
                <w:szCs w:val="20"/>
                <w:lang w:eastAsia="en-NZ"/>
              </w:rPr>
              <w:br/>
              <w:t>1.4 - 3.9</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Female</w:t>
            </w:r>
          </w:p>
        </w:tc>
        <w:tc>
          <w:tcPr>
            <w:tcW w:w="936"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20</w:t>
            </w:r>
            <w:r w:rsidRPr="00BF6A69">
              <w:rPr>
                <w:rFonts w:ascii="Arial Narrow" w:hAnsi="Arial Narrow"/>
                <w:sz w:val="20"/>
                <w:szCs w:val="20"/>
                <w:lang w:eastAsia="en-NZ"/>
              </w:rPr>
              <w:br/>
              <w:t>(976)</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2.1</w:t>
            </w:r>
            <w:r w:rsidRPr="00BF6A69">
              <w:rPr>
                <w:rFonts w:ascii="Arial Narrow" w:hAnsi="Arial Narrow"/>
                <w:sz w:val="20"/>
                <w:szCs w:val="20"/>
                <w:lang w:eastAsia="en-NZ"/>
              </w:rPr>
              <w:br/>
              <w:t>1.2 - 2.9</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19</w:t>
            </w:r>
            <w:r w:rsidRPr="00BF6A69">
              <w:rPr>
                <w:rFonts w:ascii="Arial Narrow" w:hAnsi="Arial Narrow"/>
                <w:sz w:val="20"/>
                <w:szCs w:val="20"/>
                <w:lang w:eastAsia="en-NZ"/>
              </w:rPr>
              <w:br/>
              <w:t>(974)</w:t>
            </w:r>
          </w:p>
        </w:tc>
        <w:tc>
          <w:tcPr>
            <w:tcW w:w="1097" w:type="dxa"/>
            <w:tcBorders>
              <w:top w:val="single" w:sz="4" w:space="0" w:color="auto"/>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2.0</w:t>
            </w:r>
            <w:r w:rsidRPr="00BF6A69">
              <w:rPr>
                <w:rFonts w:ascii="Arial Narrow" w:hAnsi="Arial Narrow"/>
                <w:sz w:val="20"/>
                <w:szCs w:val="20"/>
                <w:lang w:eastAsia="en-NZ"/>
              </w:rPr>
              <w:br/>
              <w:t>0.9 - 3.0</w:t>
            </w:r>
          </w:p>
        </w:tc>
      </w:tr>
      <w:tr w:rsidR="00043311" w:rsidRPr="00BF6A69" w:rsidTr="0042130F">
        <w:trPr>
          <w:trHeight w:hRule="exact" w:val="113"/>
          <w:jc w:val="center"/>
        </w:trPr>
        <w:tc>
          <w:tcPr>
            <w:tcW w:w="651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 </w:t>
            </w:r>
          </w:p>
        </w:tc>
      </w:tr>
      <w:tr w:rsidR="00043311" w:rsidRPr="00BF6A69" w:rsidTr="0042130F">
        <w:trPr>
          <w:trHeight w:val="510"/>
          <w:jc w:val="center"/>
        </w:trPr>
        <w:tc>
          <w:tcPr>
            <w:tcW w:w="1412" w:type="dxa"/>
            <w:vMerge w:val="restart"/>
            <w:tcBorders>
              <w:top w:val="nil"/>
              <w:left w:val="single" w:sz="4" w:space="0" w:color="auto"/>
              <w:bottom w:val="single" w:sz="4" w:space="0" w:color="000000"/>
              <w:right w:val="single" w:sz="4" w:space="0" w:color="auto"/>
            </w:tcBorders>
            <w:shd w:val="clear" w:color="auto" w:fill="auto"/>
            <w:vAlign w:val="center"/>
            <w:hideMark/>
          </w:tcPr>
          <w:p w:rsidR="00043311" w:rsidRPr="00BF6A69" w:rsidRDefault="00043311" w:rsidP="0042130F">
            <w:pPr>
              <w:spacing w:before="0" w:line="240" w:lineRule="auto"/>
              <w:jc w:val="left"/>
              <w:rPr>
                <w:rFonts w:ascii="Arial Narrow" w:hAnsi="Arial Narrow"/>
                <w:sz w:val="20"/>
                <w:szCs w:val="20"/>
                <w:lang w:eastAsia="en-NZ"/>
              </w:rPr>
            </w:pPr>
            <w:r w:rsidRPr="00BF6A69">
              <w:rPr>
                <w:rFonts w:ascii="Arial Narrow" w:hAnsi="Arial Narrow"/>
                <w:sz w:val="20"/>
                <w:szCs w:val="20"/>
                <w:lang w:eastAsia="en-NZ"/>
              </w:rPr>
              <w:t>By Age</w:t>
            </w: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13 and under</w:t>
            </w:r>
          </w:p>
        </w:tc>
        <w:tc>
          <w:tcPr>
            <w:tcW w:w="936"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8</w:t>
            </w:r>
            <w:r w:rsidRPr="00BF6A69">
              <w:rPr>
                <w:rFonts w:ascii="Arial Narrow" w:hAnsi="Arial Narrow"/>
                <w:sz w:val="20"/>
                <w:szCs w:val="20"/>
                <w:lang w:eastAsia="en-NZ"/>
              </w:rPr>
              <w:br/>
              <w:t>(405)</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2.1</w:t>
            </w:r>
            <w:r w:rsidRPr="00BF6A69">
              <w:rPr>
                <w:rFonts w:ascii="Arial Narrow" w:hAnsi="Arial Narrow"/>
                <w:sz w:val="20"/>
                <w:szCs w:val="20"/>
                <w:lang w:eastAsia="en-NZ"/>
              </w:rPr>
              <w:br/>
              <w:t>0.6 - 3.5</w:t>
            </w:r>
          </w:p>
        </w:tc>
        <w:tc>
          <w:tcPr>
            <w:tcW w:w="856"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313E33">
              <w:rPr>
                <w:rFonts w:ascii="Arial Narrow" w:hAnsi="Arial Narrow"/>
                <w:sz w:val="20"/>
                <w:szCs w:val="20"/>
                <w:lang w:eastAsia="en-NZ"/>
              </w:rPr>
              <w:t>few or none</w:t>
            </w:r>
          </w:p>
        </w:tc>
        <w:tc>
          <w:tcPr>
            <w:tcW w:w="1097" w:type="dxa"/>
            <w:tcBorders>
              <w:top w:val="nil"/>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14</w:t>
            </w:r>
          </w:p>
        </w:tc>
        <w:tc>
          <w:tcPr>
            <w:tcW w:w="936"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13</w:t>
            </w:r>
            <w:r w:rsidRPr="00BF6A69">
              <w:rPr>
                <w:rFonts w:ascii="Arial Narrow" w:hAnsi="Arial Narrow"/>
                <w:sz w:val="20"/>
                <w:szCs w:val="20"/>
                <w:lang w:eastAsia="en-NZ"/>
              </w:rPr>
              <w:br/>
              <w:t>(403)</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3.1</w:t>
            </w:r>
            <w:r w:rsidRPr="00BF6A69">
              <w:rPr>
                <w:rFonts w:ascii="Arial Narrow" w:hAnsi="Arial Narrow"/>
                <w:sz w:val="20"/>
                <w:szCs w:val="20"/>
                <w:lang w:eastAsia="en-NZ"/>
              </w:rPr>
              <w:br/>
              <w:t>1.6 - 4.6</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9</w:t>
            </w:r>
            <w:r w:rsidRPr="00BF6A69">
              <w:rPr>
                <w:rFonts w:ascii="Arial Narrow" w:hAnsi="Arial Narrow"/>
                <w:sz w:val="20"/>
                <w:szCs w:val="20"/>
                <w:lang w:eastAsia="en-NZ"/>
              </w:rPr>
              <w:br/>
              <w:t>(403)</w:t>
            </w:r>
          </w:p>
        </w:tc>
        <w:tc>
          <w:tcPr>
            <w:tcW w:w="1097" w:type="dxa"/>
            <w:tcBorders>
              <w:top w:val="single" w:sz="4" w:space="0" w:color="auto"/>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2.1</w:t>
            </w:r>
            <w:r w:rsidRPr="00BF6A69">
              <w:rPr>
                <w:rFonts w:ascii="Arial Narrow" w:hAnsi="Arial Narrow"/>
                <w:sz w:val="20"/>
                <w:szCs w:val="20"/>
                <w:lang w:eastAsia="en-NZ"/>
              </w:rPr>
              <w:br/>
              <w:t>0.8 - 3.4</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15</w:t>
            </w:r>
          </w:p>
        </w:tc>
        <w:tc>
          <w:tcPr>
            <w:tcW w:w="936"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16</w:t>
            </w:r>
            <w:r w:rsidRPr="00BF6A69">
              <w:rPr>
                <w:rFonts w:ascii="Arial Narrow" w:hAnsi="Arial Narrow"/>
                <w:sz w:val="20"/>
                <w:szCs w:val="20"/>
                <w:lang w:eastAsia="en-NZ"/>
              </w:rPr>
              <w:br/>
              <w:t>(375)</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4.3</w:t>
            </w:r>
            <w:r w:rsidRPr="00BF6A69">
              <w:rPr>
                <w:rFonts w:ascii="Arial Narrow" w:hAnsi="Arial Narrow"/>
                <w:sz w:val="20"/>
                <w:szCs w:val="20"/>
                <w:lang w:eastAsia="en-NZ"/>
              </w:rPr>
              <w:br/>
              <w:t>2.2 - 6.4</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16</w:t>
            </w:r>
            <w:r w:rsidRPr="00BF6A69">
              <w:rPr>
                <w:rFonts w:ascii="Arial Narrow" w:hAnsi="Arial Narrow"/>
                <w:sz w:val="20"/>
                <w:szCs w:val="20"/>
                <w:lang w:eastAsia="en-NZ"/>
              </w:rPr>
              <w:br/>
              <w:t>(374)</w:t>
            </w:r>
          </w:p>
        </w:tc>
        <w:tc>
          <w:tcPr>
            <w:tcW w:w="1097" w:type="dxa"/>
            <w:tcBorders>
              <w:top w:val="single" w:sz="4" w:space="0" w:color="auto"/>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4.3</w:t>
            </w:r>
            <w:r w:rsidRPr="00BF6A69">
              <w:rPr>
                <w:rFonts w:ascii="Arial Narrow" w:hAnsi="Arial Narrow"/>
                <w:sz w:val="20"/>
                <w:szCs w:val="20"/>
                <w:lang w:eastAsia="en-NZ"/>
              </w:rPr>
              <w:br/>
              <w:t>1.8 - 6.8</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16</w:t>
            </w:r>
          </w:p>
        </w:tc>
        <w:tc>
          <w:tcPr>
            <w:tcW w:w="936"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16</w:t>
            </w:r>
            <w:r w:rsidRPr="00BF6A69">
              <w:rPr>
                <w:rFonts w:ascii="Arial Narrow" w:hAnsi="Arial Narrow"/>
                <w:sz w:val="20"/>
                <w:szCs w:val="20"/>
                <w:lang w:eastAsia="en-NZ"/>
              </w:rPr>
              <w:br/>
              <w:t>(356)</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4.5</w:t>
            </w:r>
            <w:r w:rsidRPr="00BF6A69">
              <w:rPr>
                <w:rFonts w:ascii="Arial Narrow" w:hAnsi="Arial Narrow"/>
                <w:sz w:val="20"/>
                <w:szCs w:val="20"/>
                <w:lang w:eastAsia="en-NZ"/>
              </w:rPr>
              <w:br/>
              <w:t>2.5 - 6.5</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8</w:t>
            </w:r>
            <w:r w:rsidRPr="00BF6A69">
              <w:rPr>
                <w:rFonts w:ascii="Arial Narrow" w:hAnsi="Arial Narrow"/>
                <w:sz w:val="20"/>
                <w:szCs w:val="20"/>
                <w:lang w:eastAsia="en-NZ"/>
              </w:rPr>
              <w:br/>
              <w:t>(355)</w:t>
            </w:r>
          </w:p>
        </w:tc>
        <w:tc>
          <w:tcPr>
            <w:tcW w:w="1097" w:type="dxa"/>
            <w:tcBorders>
              <w:top w:val="single" w:sz="4" w:space="0" w:color="auto"/>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2.1</w:t>
            </w:r>
            <w:r w:rsidRPr="00BF6A69">
              <w:rPr>
                <w:rFonts w:ascii="Arial Narrow" w:hAnsi="Arial Narrow"/>
                <w:sz w:val="20"/>
                <w:szCs w:val="20"/>
                <w:lang w:eastAsia="en-NZ"/>
              </w:rPr>
              <w:br/>
              <w:t>0.8 - 3.4</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17 and over</w:t>
            </w:r>
          </w:p>
        </w:tc>
        <w:tc>
          <w:tcPr>
            <w:tcW w:w="936"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13</w:t>
            </w:r>
            <w:r w:rsidRPr="00BF6A69">
              <w:rPr>
                <w:rFonts w:ascii="Arial Narrow" w:hAnsi="Arial Narrow"/>
                <w:sz w:val="20"/>
                <w:szCs w:val="20"/>
                <w:lang w:eastAsia="en-NZ"/>
              </w:rPr>
              <w:br/>
              <w:t>(339)</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3.9</w:t>
            </w:r>
            <w:r w:rsidRPr="00BF6A69">
              <w:rPr>
                <w:rFonts w:ascii="Arial Narrow" w:hAnsi="Arial Narrow"/>
                <w:sz w:val="20"/>
                <w:szCs w:val="20"/>
                <w:lang w:eastAsia="en-NZ"/>
              </w:rPr>
              <w:br/>
              <w:t>1.7 - 6.0</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9</w:t>
            </w:r>
            <w:r w:rsidRPr="00BF6A69">
              <w:rPr>
                <w:rFonts w:ascii="Arial Narrow" w:hAnsi="Arial Narrow"/>
                <w:sz w:val="20"/>
                <w:szCs w:val="20"/>
                <w:lang w:eastAsia="en-NZ"/>
              </w:rPr>
              <w:br/>
              <w:t>(339)</w:t>
            </w:r>
          </w:p>
        </w:tc>
        <w:tc>
          <w:tcPr>
            <w:tcW w:w="1097" w:type="dxa"/>
            <w:tcBorders>
              <w:top w:val="single" w:sz="4" w:space="0" w:color="auto"/>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2.7</w:t>
            </w:r>
            <w:r w:rsidRPr="00BF6A69">
              <w:rPr>
                <w:rFonts w:ascii="Arial Narrow" w:hAnsi="Arial Narrow"/>
                <w:sz w:val="20"/>
                <w:szCs w:val="20"/>
                <w:lang w:eastAsia="en-NZ"/>
              </w:rPr>
              <w:br/>
              <w:t>0.9 - 4.5</w:t>
            </w:r>
          </w:p>
        </w:tc>
      </w:tr>
      <w:tr w:rsidR="00043311" w:rsidRPr="00BF6A69" w:rsidTr="0042130F">
        <w:trPr>
          <w:trHeight w:hRule="exact" w:val="113"/>
          <w:jc w:val="center"/>
        </w:trPr>
        <w:tc>
          <w:tcPr>
            <w:tcW w:w="651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 </w:t>
            </w:r>
          </w:p>
        </w:tc>
      </w:tr>
      <w:tr w:rsidR="00043311" w:rsidRPr="00BF6A69" w:rsidTr="0042130F">
        <w:trPr>
          <w:trHeight w:val="510"/>
          <w:jc w:val="center"/>
        </w:trPr>
        <w:tc>
          <w:tcPr>
            <w:tcW w:w="1412" w:type="dxa"/>
            <w:vMerge w:val="restart"/>
            <w:tcBorders>
              <w:top w:val="nil"/>
              <w:left w:val="single" w:sz="4" w:space="0" w:color="auto"/>
              <w:bottom w:val="single" w:sz="4" w:space="0" w:color="000000"/>
              <w:right w:val="single" w:sz="4" w:space="0" w:color="auto"/>
            </w:tcBorders>
            <w:shd w:val="clear" w:color="auto" w:fill="auto"/>
            <w:vAlign w:val="center"/>
            <w:hideMark/>
          </w:tcPr>
          <w:p w:rsidR="00043311" w:rsidRPr="00BF6A69" w:rsidRDefault="00043311" w:rsidP="0042130F">
            <w:pPr>
              <w:spacing w:before="0" w:line="240" w:lineRule="auto"/>
              <w:jc w:val="left"/>
              <w:rPr>
                <w:rFonts w:ascii="Arial Narrow" w:hAnsi="Arial Narrow"/>
                <w:sz w:val="20"/>
                <w:szCs w:val="20"/>
                <w:lang w:eastAsia="en-NZ"/>
              </w:rPr>
            </w:pPr>
            <w:r w:rsidRPr="00BF6A69">
              <w:rPr>
                <w:rFonts w:ascii="Arial Narrow" w:hAnsi="Arial Narrow"/>
                <w:sz w:val="20"/>
                <w:szCs w:val="20"/>
                <w:lang w:eastAsia="en-NZ"/>
              </w:rPr>
              <w:t>By Ethnicity</w:t>
            </w:r>
          </w:p>
        </w:tc>
        <w:tc>
          <w:tcPr>
            <w:tcW w:w="1168"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NZ European</w:t>
            </w:r>
          </w:p>
        </w:tc>
        <w:tc>
          <w:tcPr>
            <w:tcW w:w="936"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20</w:t>
            </w:r>
            <w:r w:rsidRPr="00BF607B">
              <w:rPr>
                <w:rFonts w:ascii="Arial Narrow" w:hAnsi="Arial Narrow"/>
                <w:sz w:val="20"/>
                <w:szCs w:val="20"/>
                <w:lang w:eastAsia="en-NZ"/>
              </w:rPr>
              <w:br/>
              <w:t>(915)</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2.2</w:t>
            </w:r>
            <w:r w:rsidRPr="00BF607B">
              <w:rPr>
                <w:rFonts w:ascii="Arial Narrow" w:hAnsi="Arial Narrow"/>
                <w:sz w:val="20"/>
                <w:szCs w:val="20"/>
                <w:lang w:eastAsia="en-NZ"/>
              </w:rPr>
              <w:br/>
              <w:t>1.3 - 3.1</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8</w:t>
            </w:r>
            <w:r w:rsidRPr="00BF607B">
              <w:rPr>
                <w:rFonts w:ascii="Arial Narrow" w:hAnsi="Arial Narrow"/>
                <w:sz w:val="20"/>
                <w:szCs w:val="20"/>
                <w:lang w:eastAsia="en-NZ"/>
              </w:rPr>
              <w:br/>
              <w:t>(915)</w:t>
            </w:r>
          </w:p>
        </w:tc>
        <w:tc>
          <w:tcPr>
            <w:tcW w:w="1097" w:type="dxa"/>
            <w:tcBorders>
              <w:top w:val="nil"/>
              <w:left w:val="nil"/>
              <w:bottom w:val="nil"/>
              <w:right w:val="single" w:sz="4" w:space="0" w:color="auto"/>
            </w:tcBorders>
            <w:shd w:val="clear" w:color="000000" w:fill="FFFFFF"/>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0.8</w:t>
            </w:r>
            <w:r w:rsidRPr="00BF607B">
              <w:rPr>
                <w:rFonts w:ascii="Arial Narrow" w:hAnsi="Arial Narrow"/>
                <w:sz w:val="20"/>
                <w:szCs w:val="20"/>
                <w:lang w:eastAsia="en-NZ"/>
              </w:rPr>
              <w:br/>
              <w:t>0.3 - 1.3</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 xml:space="preserve">Māori  </w:t>
            </w:r>
          </w:p>
        </w:tc>
        <w:tc>
          <w:tcPr>
            <w:tcW w:w="936"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cs="Calibri"/>
                <w:sz w:val="20"/>
                <w:szCs w:val="20"/>
                <w:lang w:eastAsia="en-NZ"/>
              </w:rPr>
            </w:pPr>
            <w:r w:rsidRPr="00BF607B">
              <w:rPr>
                <w:rFonts w:ascii="Arial Narrow" w:hAnsi="Arial Narrow" w:cs="Calibri"/>
                <w:sz w:val="20"/>
                <w:szCs w:val="20"/>
                <w:lang w:eastAsia="en-NZ"/>
              </w:rPr>
              <w:t>21</w:t>
            </w:r>
            <w:r w:rsidRPr="00BF607B">
              <w:rPr>
                <w:rFonts w:ascii="Arial Narrow" w:hAnsi="Arial Narrow" w:cs="Calibri"/>
                <w:sz w:val="20"/>
                <w:szCs w:val="20"/>
                <w:lang w:eastAsia="en-NZ"/>
              </w:rPr>
              <w:br/>
              <w:t>(373)</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cs="Calibri"/>
                <w:sz w:val="20"/>
                <w:szCs w:val="20"/>
                <w:lang w:eastAsia="en-NZ"/>
              </w:rPr>
            </w:pPr>
            <w:r w:rsidRPr="00BF607B">
              <w:rPr>
                <w:rFonts w:ascii="Arial Narrow" w:hAnsi="Arial Narrow" w:cs="Calibri"/>
                <w:sz w:val="20"/>
                <w:szCs w:val="20"/>
                <w:lang w:eastAsia="en-NZ"/>
              </w:rPr>
              <w:t>5.6</w:t>
            </w:r>
            <w:r w:rsidRPr="00BF607B">
              <w:rPr>
                <w:rFonts w:ascii="Arial Narrow" w:hAnsi="Arial Narrow" w:cs="Calibri"/>
                <w:sz w:val="20"/>
                <w:szCs w:val="20"/>
                <w:lang w:eastAsia="en-NZ"/>
              </w:rPr>
              <w:br/>
              <w:t>3.4 - 7.8</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07B" w:rsidRDefault="00043311" w:rsidP="0042130F">
            <w:pPr>
              <w:spacing w:before="0" w:line="240" w:lineRule="auto"/>
              <w:jc w:val="center"/>
              <w:rPr>
                <w:rFonts w:ascii="Arial Narrow" w:hAnsi="Arial Narrow" w:cs="Calibri"/>
                <w:sz w:val="20"/>
                <w:szCs w:val="20"/>
                <w:lang w:eastAsia="en-NZ"/>
              </w:rPr>
            </w:pPr>
            <w:r w:rsidRPr="00BF607B">
              <w:rPr>
                <w:rFonts w:ascii="Arial Narrow" w:hAnsi="Arial Narrow" w:cs="Calibri"/>
                <w:sz w:val="20"/>
                <w:szCs w:val="20"/>
                <w:lang w:eastAsia="en-NZ"/>
              </w:rPr>
              <w:t>8</w:t>
            </w:r>
            <w:r w:rsidRPr="00BF607B">
              <w:rPr>
                <w:rFonts w:ascii="Arial Narrow" w:hAnsi="Arial Narrow" w:cs="Calibri"/>
                <w:sz w:val="20"/>
                <w:szCs w:val="20"/>
                <w:lang w:eastAsia="en-NZ"/>
              </w:rPr>
              <w:br/>
              <w:t>(371)</w:t>
            </w:r>
          </w:p>
        </w:tc>
        <w:tc>
          <w:tcPr>
            <w:tcW w:w="1097" w:type="dxa"/>
            <w:tcBorders>
              <w:top w:val="single" w:sz="4" w:space="0" w:color="auto"/>
              <w:left w:val="nil"/>
              <w:bottom w:val="nil"/>
              <w:right w:val="single" w:sz="4" w:space="0" w:color="auto"/>
            </w:tcBorders>
            <w:shd w:val="clear" w:color="000000" w:fill="FFFFFF"/>
            <w:vAlign w:val="center"/>
            <w:hideMark/>
          </w:tcPr>
          <w:p w:rsidR="00043311" w:rsidRPr="00BF607B" w:rsidRDefault="00043311" w:rsidP="0042130F">
            <w:pPr>
              <w:spacing w:before="0" w:line="240" w:lineRule="auto"/>
              <w:jc w:val="center"/>
              <w:rPr>
                <w:rFonts w:ascii="Arial Narrow" w:hAnsi="Arial Narrow" w:cs="Calibri"/>
                <w:sz w:val="20"/>
                <w:szCs w:val="20"/>
                <w:lang w:eastAsia="en-NZ"/>
              </w:rPr>
            </w:pPr>
            <w:r w:rsidRPr="00BF607B">
              <w:rPr>
                <w:rFonts w:ascii="Arial Narrow" w:hAnsi="Arial Narrow" w:cs="Calibri"/>
                <w:sz w:val="20"/>
                <w:szCs w:val="20"/>
                <w:lang w:eastAsia="en-NZ"/>
              </w:rPr>
              <w:t>2.0</w:t>
            </w:r>
            <w:r w:rsidRPr="00BF607B">
              <w:rPr>
                <w:rFonts w:ascii="Arial Narrow" w:hAnsi="Arial Narrow" w:cs="Calibri"/>
                <w:sz w:val="20"/>
                <w:szCs w:val="20"/>
                <w:lang w:eastAsia="en-NZ"/>
              </w:rPr>
              <w:br/>
              <w:t>0.7 - 3.4</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Pacific</w:t>
            </w:r>
          </w:p>
        </w:tc>
        <w:tc>
          <w:tcPr>
            <w:tcW w:w="936"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11</w:t>
            </w:r>
            <w:r w:rsidRPr="00BF607B">
              <w:rPr>
                <w:rFonts w:ascii="Arial Narrow" w:hAnsi="Arial Narrow"/>
                <w:sz w:val="20"/>
                <w:szCs w:val="20"/>
                <w:lang w:eastAsia="en-NZ"/>
              </w:rPr>
              <w:br/>
              <w:t>(261)</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4.2</w:t>
            </w:r>
            <w:r w:rsidRPr="00BF607B">
              <w:rPr>
                <w:rFonts w:ascii="Arial Narrow" w:hAnsi="Arial Narrow"/>
                <w:sz w:val="20"/>
                <w:szCs w:val="20"/>
                <w:lang w:eastAsia="en-NZ"/>
              </w:rPr>
              <w:br/>
              <w:t>2.0 - 6.5</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14</w:t>
            </w:r>
            <w:r w:rsidRPr="00BF607B">
              <w:rPr>
                <w:rFonts w:ascii="Arial Narrow" w:hAnsi="Arial Narrow"/>
                <w:sz w:val="20"/>
                <w:szCs w:val="20"/>
                <w:lang w:eastAsia="en-NZ"/>
              </w:rPr>
              <w:br/>
              <w:t>(259)</w:t>
            </w:r>
          </w:p>
        </w:tc>
        <w:tc>
          <w:tcPr>
            <w:tcW w:w="1097" w:type="dxa"/>
            <w:tcBorders>
              <w:top w:val="single" w:sz="4" w:space="0" w:color="auto"/>
              <w:left w:val="nil"/>
              <w:bottom w:val="nil"/>
              <w:right w:val="single" w:sz="4" w:space="0" w:color="auto"/>
            </w:tcBorders>
            <w:shd w:val="clear" w:color="000000" w:fill="FFFFFF"/>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5.4</w:t>
            </w:r>
            <w:r w:rsidRPr="00BF607B">
              <w:rPr>
                <w:rFonts w:ascii="Arial Narrow" w:hAnsi="Arial Narrow"/>
                <w:sz w:val="20"/>
                <w:szCs w:val="20"/>
                <w:lang w:eastAsia="en-NZ"/>
              </w:rPr>
              <w:br/>
              <w:t>2.3 - 8.5</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Asian</w:t>
            </w:r>
          </w:p>
        </w:tc>
        <w:tc>
          <w:tcPr>
            <w:tcW w:w="936"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10</w:t>
            </w:r>
            <w:r w:rsidRPr="00BF607B">
              <w:rPr>
                <w:rFonts w:ascii="Arial Narrow" w:hAnsi="Arial Narrow"/>
                <w:sz w:val="20"/>
                <w:szCs w:val="20"/>
                <w:lang w:eastAsia="en-NZ"/>
              </w:rPr>
              <w:br/>
              <w:t>(219)</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4.6</w:t>
            </w:r>
            <w:r w:rsidRPr="00BF607B">
              <w:rPr>
                <w:rFonts w:ascii="Arial Narrow" w:hAnsi="Arial Narrow"/>
                <w:sz w:val="20"/>
                <w:szCs w:val="20"/>
                <w:lang w:eastAsia="en-NZ"/>
              </w:rPr>
              <w:br/>
              <w:t>2.0 - 7.1</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10</w:t>
            </w:r>
            <w:r w:rsidRPr="00BF607B">
              <w:rPr>
                <w:rFonts w:ascii="Arial Narrow" w:hAnsi="Arial Narrow"/>
                <w:sz w:val="20"/>
                <w:szCs w:val="20"/>
                <w:lang w:eastAsia="en-NZ"/>
              </w:rPr>
              <w:br/>
              <w:t>(219)</w:t>
            </w:r>
          </w:p>
        </w:tc>
        <w:tc>
          <w:tcPr>
            <w:tcW w:w="1097" w:type="dxa"/>
            <w:tcBorders>
              <w:top w:val="single" w:sz="4" w:space="0" w:color="auto"/>
              <w:left w:val="nil"/>
              <w:bottom w:val="nil"/>
              <w:right w:val="single" w:sz="4" w:space="0" w:color="auto"/>
            </w:tcBorders>
            <w:shd w:val="clear" w:color="000000" w:fill="FFFFFF"/>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4.6</w:t>
            </w:r>
            <w:r w:rsidRPr="00BF607B">
              <w:rPr>
                <w:rFonts w:ascii="Arial Narrow" w:hAnsi="Arial Narrow"/>
                <w:sz w:val="20"/>
                <w:szCs w:val="20"/>
                <w:lang w:eastAsia="en-NZ"/>
              </w:rPr>
              <w:br/>
              <w:t>2.3 - 6.9</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Other</w:t>
            </w:r>
          </w:p>
        </w:tc>
        <w:tc>
          <w:tcPr>
            <w:tcW w:w="936"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few or none</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w:t>
            </w:r>
          </w:p>
        </w:tc>
        <w:tc>
          <w:tcPr>
            <w:tcW w:w="856" w:type="dxa"/>
            <w:tcBorders>
              <w:top w:val="nil"/>
              <w:left w:val="nil"/>
              <w:bottom w:val="single" w:sz="4" w:space="0" w:color="auto"/>
              <w:right w:val="single" w:sz="4" w:space="0" w:color="auto"/>
            </w:tcBorders>
            <w:shd w:val="clear" w:color="auto" w:fill="auto"/>
            <w:vAlign w:val="center"/>
            <w:hideMark/>
          </w:tcPr>
          <w:p w:rsidR="00043311" w:rsidRPr="00BF607B" w:rsidRDefault="00043311" w:rsidP="0042130F">
            <w:pPr>
              <w:spacing w:before="0" w:line="240" w:lineRule="auto"/>
              <w:jc w:val="center"/>
              <w:rPr>
                <w:rFonts w:ascii="Arial Narrow" w:hAnsi="Arial Narrow"/>
                <w:sz w:val="20"/>
                <w:szCs w:val="20"/>
                <w:lang w:eastAsia="en-NZ"/>
              </w:rPr>
            </w:pPr>
            <w:r w:rsidRPr="00BF607B">
              <w:rPr>
                <w:rFonts w:ascii="Arial Narrow" w:hAnsi="Arial Narrow"/>
                <w:sz w:val="20"/>
                <w:szCs w:val="20"/>
                <w:lang w:eastAsia="en-NZ"/>
              </w:rPr>
              <w:t>few or none</w:t>
            </w:r>
          </w:p>
        </w:tc>
        <w:tc>
          <w:tcPr>
            <w:tcW w:w="1097" w:type="dxa"/>
            <w:tcBorders>
              <w:top w:val="single" w:sz="4" w:space="0" w:color="auto"/>
              <w:left w:val="nil"/>
              <w:bottom w:val="single" w:sz="4" w:space="0" w:color="auto"/>
              <w:right w:val="single" w:sz="4" w:space="0" w:color="auto"/>
            </w:tcBorders>
            <w:shd w:val="clear" w:color="000000" w:fill="FFFFFF"/>
            <w:vAlign w:val="center"/>
            <w:hideMark/>
          </w:tcPr>
          <w:p w:rsidR="00043311" w:rsidRPr="00BF607B"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w:t>
            </w:r>
          </w:p>
        </w:tc>
      </w:tr>
      <w:tr w:rsidR="00043311" w:rsidRPr="00BF6A69" w:rsidTr="0042130F">
        <w:trPr>
          <w:trHeight w:hRule="exact" w:val="113"/>
          <w:jc w:val="center"/>
        </w:trPr>
        <w:tc>
          <w:tcPr>
            <w:tcW w:w="651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 </w:t>
            </w:r>
          </w:p>
        </w:tc>
      </w:tr>
      <w:tr w:rsidR="00043311" w:rsidRPr="00BF6A69" w:rsidTr="0042130F">
        <w:trPr>
          <w:trHeight w:val="510"/>
          <w:jc w:val="center"/>
        </w:trPr>
        <w:tc>
          <w:tcPr>
            <w:tcW w:w="1412" w:type="dxa"/>
            <w:vMerge w:val="restart"/>
            <w:tcBorders>
              <w:top w:val="nil"/>
              <w:left w:val="single" w:sz="4" w:space="0" w:color="auto"/>
              <w:bottom w:val="single" w:sz="4" w:space="0" w:color="000000"/>
              <w:right w:val="single" w:sz="4" w:space="0" w:color="auto"/>
            </w:tcBorders>
            <w:shd w:val="clear" w:color="auto" w:fill="auto"/>
            <w:vAlign w:val="center"/>
            <w:hideMark/>
          </w:tcPr>
          <w:p w:rsidR="00043311" w:rsidRPr="00BF6A69" w:rsidRDefault="00043311" w:rsidP="0042130F">
            <w:pPr>
              <w:spacing w:before="0" w:line="240" w:lineRule="auto"/>
              <w:jc w:val="left"/>
              <w:rPr>
                <w:rFonts w:ascii="Arial Narrow" w:hAnsi="Arial Narrow"/>
                <w:sz w:val="20"/>
                <w:szCs w:val="20"/>
                <w:lang w:eastAsia="en-NZ"/>
              </w:rPr>
            </w:pPr>
            <w:r w:rsidRPr="00BF6A69">
              <w:rPr>
                <w:rFonts w:ascii="Arial Narrow" w:hAnsi="Arial Narrow"/>
                <w:sz w:val="20"/>
                <w:szCs w:val="20"/>
                <w:lang w:eastAsia="en-NZ"/>
              </w:rPr>
              <w:t>By NZDep2006</w:t>
            </w: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Lower</w:t>
            </w:r>
          </w:p>
        </w:tc>
        <w:tc>
          <w:tcPr>
            <w:tcW w:w="93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15</w:t>
            </w:r>
            <w:r w:rsidRPr="00BF6A69">
              <w:rPr>
                <w:rFonts w:ascii="Arial Narrow" w:hAnsi="Arial Narrow"/>
                <w:sz w:val="20"/>
                <w:szCs w:val="20"/>
                <w:lang w:eastAsia="en-NZ"/>
              </w:rPr>
              <w:br/>
              <w:t>(635)</w:t>
            </w:r>
          </w:p>
        </w:tc>
        <w:tc>
          <w:tcPr>
            <w:tcW w:w="1048" w:type="dxa"/>
            <w:tcBorders>
              <w:top w:val="nil"/>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2.4</w:t>
            </w:r>
            <w:r w:rsidRPr="00BF6A69">
              <w:rPr>
                <w:rFonts w:ascii="Arial Narrow" w:hAnsi="Arial Narrow"/>
                <w:sz w:val="20"/>
                <w:szCs w:val="20"/>
                <w:lang w:eastAsia="en-NZ"/>
              </w:rPr>
              <w:br/>
              <w:t>1.1 - 3.6</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10</w:t>
            </w:r>
            <w:r w:rsidRPr="00BF6A69">
              <w:rPr>
                <w:rFonts w:ascii="Arial Narrow" w:hAnsi="Arial Narrow"/>
                <w:sz w:val="20"/>
                <w:szCs w:val="20"/>
                <w:lang w:eastAsia="en-NZ"/>
              </w:rPr>
              <w:br/>
              <w:t>(636)</w:t>
            </w:r>
          </w:p>
        </w:tc>
        <w:tc>
          <w:tcPr>
            <w:tcW w:w="1097" w:type="dxa"/>
            <w:tcBorders>
              <w:top w:val="nil"/>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1.6</w:t>
            </w:r>
            <w:r w:rsidRPr="00BF6A69">
              <w:rPr>
                <w:rFonts w:ascii="Arial Narrow" w:hAnsi="Arial Narrow"/>
                <w:sz w:val="20"/>
                <w:szCs w:val="20"/>
                <w:lang w:eastAsia="en-NZ"/>
              </w:rPr>
              <w:br/>
              <w:t>0.7 - 2.5</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Medium</w:t>
            </w:r>
          </w:p>
        </w:tc>
        <w:tc>
          <w:tcPr>
            <w:tcW w:w="93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25</w:t>
            </w:r>
            <w:r w:rsidRPr="00BF6A69">
              <w:rPr>
                <w:rFonts w:ascii="Arial Narrow" w:hAnsi="Arial Narrow"/>
                <w:sz w:val="20"/>
                <w:szCs w:val="20"/>
                <w:lang w:eastAsia="en-NZ"/>
              </w:rPr>
              <w:br/>
              <w:t>(665)</w:t>
            </w:r>
          </w:p>
        </w:tc>
        <w:tc>
          <w:tcPr>
            <w:tcW w:w="1048" w:type="dxa"/>
            <w:tcBorders>
              <w:top w:val="single" w:sz="4" w:space="0" w:color="auto"/>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3.7</w:t>
            </w:r>
            <w:r w:rsidRPr="00BF6A69">
              <w:rPr>
                <w:rFonts w:ascii="Arial Narrow" w:hAnsi="Arial Narrow"/>
                <w:sz w:val="20"/>
                <w:szCs w:val="20"/>
                <w:lang w:eastAsia="en-NZ"/>
              </w:rPr>
              <w:br/>
              <w:t>2.1 - 5.3</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17</w:t>
            </w:r>
            <w:r w:rsidRPr="00BF6A69">
              <w:rPr>
                <w:rFonts w:ascii="Arial Narrow" w:hAnsi="Arial Narrow"/>
                <w:sz w:val="20"/>
                <w:szCs w:val="20"/>
                <w:lang w:eastAsia="en-NZ"/>
              </w:rPr>
              <w:br/>
              <w:t>(663)</w:t>
            </w:r>
          </w:p>
        </w:tc>
        <w:tc>
          <w:tcPr>
            <w:tcW w:w="1097" w:type="dxa"/>
            <w:tcBorders>
              <w:top w:val="single" w:sz="4" w:space="0" w:color="auto"/>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2.4</w:t>
            </w:r>
            <w:r w:rsidRPr="00BF6A69">
              <w:rPr>
                <w:rFonts w:ascii="Arial Narrow" w:hAnsi="Arial Narrow"/>
                <w:sz w:val="20"/>
                <w:szCs w:val="20"/>
                <w:lang w:eastAsia="en-NZ"/>
              </w:rPr>
              <w:br/>
              <w:t>1.3 - 3.6</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Higher</w:t>
            </w:r>
          </w:p>
        </w:tc>
        <w:tc>
          <w:tcPr>
            <w:tcW w:w="93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26</w:t>
            </w:r>
            <w:r w:rsidRPr="00BF6A69">
              <w:rPr>
                <w:rFonts w:ascii="Arial Narrow" w:hAnsi="Arial Narrow"/>
                <w:sz w:val="20"/>
                <w:szCs w:val="20"/>
                <w:lang w:eastAsia="en-NZ"/>
              </w:rPr>
              <w:br/>
              <w:t>(564)</w:t>
            </w:r>
          </w:p>
        </w:tc>
        <w:tc>
          <w:tcPr>
            <w:tcW w:w="1048" w:type="dxa"/>
            <w:tcBorders>
              <w:top w:val="single" w:sz="4" w:space="0" w:color="auto"/>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4.7</w:t>
            </w:r>
            <w:r w:rsidRPr="00BF6A69">
              <w:rPr>
                <w:rFonts w:ascii="Arial Narrow" w:hAnsi="Arial Narrow"/>
                <w:sz w:val="20"/>
                <w:szCs w:val="20"/>
                <w:lang w:eastAsia="en-NZ"/>
              </w:rPr>
              <w:br/>
              <w:t>3.3 - 6.1</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17</w:t>
            </w:r>
            <w:r w:rsidRPr="00BF6A69">
              <w:rPr>
                <w:rFonts w:ascii="Arial Narrow" w:hAnsi="Arial Narrow"/>
                <w:sz w:val="20"/>
                <w:szCs w:val="20"/>
                <w:lang w:eastAsia="en-NZ"/>
              </w:rPr>
              <w:br/>
              <w:t>(561)</w:t>
            </w:r>
          </w:p>
        </w:tc>
        <w:tc>
          <w:tcPr>
            <w:tcW w:w="1097" w:type="dxa"/>
            <w:tcBorders>
              <w:top w:val="single" w:sz="4" w:space="0" w:color="auto"/>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2.4</w:t>
            </w:r>
            <w:r w:rsidRPr="00BF6A69">
              <w:rPr>
                <w:rFonts w:ascii="Arial Narrow" w:hAnsi="Arial Narrow"/>
                <w:sz w:val="20"/>
                <w:szCs w:val="20"/>
                <w:lang w:eastAsia="en-NZ"/>
              </w:rPr>
              <w:br/>
              <w:t>1.3 - 3.6</w:t>
            </w:r>
          </w:p>
        </w:tc>
      </w:tr>
      <w:tr w:rsidR="00043311" w:rsidRPr="00BF6A69" w:rsidTr="0042130F">
        <w:trPr>
          <w:trHeight w:hRule="exact" w:val="113"/>
          <w:jc w:val="center"/>
        </w:trPr>
        <w:tc>
          <w:tcPr>
            <w:tcW w:w="651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 </w:t>
            </w:r>
          </w:p>
        </w:tc>
      </w:tr>
      <w:tr w:rsidR="00043311" w:rsidRPr="00BF6A69" w:rsidTr="0042130F">
        <w:trPr>
          <w:trHeight w:val="510"/>
          <w:jc w:val="center"/>
        </w:trPr>
        <w:tc>
          <w:tcPr>
            <w:tcW w:w="1412" w:type="dxa"/>
            <w:vMerge w:val="restart"/>
            <w:tcBorders>
              <w:top w:val="nil"/>
              <w:left w:val="single" w:sz="4" w:space="0" w:color="auto"/>
              <w:bottom w:val="single" w:sz="4" w:space="0" w:color="000000"/>
              <w:right w:val="single" w:sz="4" w:space="0" w:color="auto"/>
            </w:tcBorders>
            <w:shd w:val="clear" w:color="auto" w:fill="auto"/>
            <w:vAlign w:val="center"/>
            <w:hideMark/>
          </w:tcPr>
          <w:p w:rsidR="00043311" w:rsidRPr="00BF6A69" w:rsidRDefault="00043311" w:rsidP="0042130F">
            <w:pPr>
              <w:spacing w:before="0" w:line="240" w:lineRule="auto"/>
              <w:jc w:val="left"/>
              <w:rPr>
                <w:rFonts w:ascii="Arial Narrow" w:hAnsi="Arial Narrow"/>
                <w:sz w:val="20"/>
                <w:szCs w:val="20"/>
                <w:lang w:eastAsia="en-NZ"/>
              </w:rPr>
            </w:pPr>
            <w:r w:rsidRPr="00BF6A69">
              <w:rPr>
                <w:rFonts w:ascii="Arial Narrow" w:hAnsi="Arial Narrow"/>
                <w:sz w:val="20"/>
                <w:szCs w:val="20"/>
                <w:lang w:eastAsia="en-NZ"/>
              </w:rPr>
              <w:t>By Geography</w:t>
            </w: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Urban</w:t>
            </w:r>
          </w:p>
        </w:tc>
        <w:tc>
          <w:tcPr>
            <w:tcW w:w="936"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59</w:t>
            </w:r>
            <w:r>
              <w:rPr>
                <w:rFonts w:ascii="Arial Narrow" w:hAnsi="Arial Narrow"/>
                <w:sz w:val="20"/>
                <w:szCs w:val="20"/>
                <w:lang w:eastAsia="en-NZ"/>
              </w:rPr>
              <w:br/>
              <w:t>(1</w:t>
            </w:r>
            <w:r w:rsidRPr="00BF6A69">
              <w:rPr>
                <w:rFonts w:ascii="Arial Narrow" w:hAnsi="Arial Narrow"/>
                <w:sz w:val="20"/>
                <w:szCs w:val="20"/>
                <w:lang w:eastAsia="en-NZ"/>
              </w:rPr>
              <w:t>574)</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3.8</w:t>
            </w:r>
            <w:r w:rsidRPr="00BF6A69">
              <w:rPr>
                <w:rFonts w:ascii="Arial Narrow" w:hAnsi="Arial Narrow"/>
                <w:sz w:val="20"/>
                <w:szCs w:val="20"/>
                <w:lang w:eastAsia="en-NZ"/>
              </w:rPr>
              <w:br/>
              <w:t>2.8 - 4.7</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41</w:t>
            </w:r>
            <w:r w:rsidRPr="00BF6A69">
              <w:rPr>
                <w:rFonts w:ascii="Arial Narrow" w:hAnsi="Arial Narrow"/>
                <w:sz w:val="20"/>
                <w:szCs w:val="20"/>
                <w:lang w:eastAsia="en-NZ"/>
              </w:rPr>
              <w:br/>
              <w:t>(1570)</w:t>
            </w:r>
          </w:p>
        </w:tc>
        <w:tc>
          <w:tcPr>
            <w:tcW w:w="1097" w:type="dxa"/>
            <w:tcBorders>
              <w:top w:val="nil"/>
              <w:left w:val="nil"/>
              <w:bottom w:val="nil"/>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2.6</w:t>
            </w:r>
            <w:r w:rsidRPr="00BF6A69">
              <w:rPr>
                <w:rFonts w:ascii="Arial Narrow" w:hAnsi="Arial Narrow"/>
                <w:sz w:val="20"/>
                <w:szCs w:val="20"/>
                <w:lang w:eastAsia="en-NZ"/>
              </w:rPr>
              <w:br/>
              <w:t>1.7 - 3.4</w:t>
            </w:r>
          </w:p>
        </w:tc>
      </w:tr>
      <w:tr w:rsidR="00043311" w:rsidRPr="00BF6A69" w:rsidTr="0042130F">
        <w:trPr>
          <w:trHeight w:val="510"/>
          <w:jc w:val="center"/>
        </w:trPr>
        <w:tc>
          <w:tcPr>
            <w:tcW w:w="1412" w:type="dxa"/>
            <w:vMerge/>
            <w:tcBorders>
              <w:top w:val="nil"/>
              <w:left w:val="single" w:sz="4" w:space="0" w:color="auto"/>
              <w:bottom w:val="single" w:sz="4" w:space="0" w:color="000000"/>
              <w:right w:val="single" w:sz="4" w:space="0" w:color="auto"/>
            </w:tcBorders>
            <w:vAlign w:val="center"/>
            <w:hideMark/>
          </w:tcPr>
          <w:p w:rsidR="00043311" w:rsidRPr="00BF6A69" w:rsidRDefault="00043311" w:rsidP="0042130F">
            <w:pPr>
              <w:spacing w:before="0" w:line="240" w:lineRule="auto"/>
              <w:jc w:val="left"/>
              <w:rPr>
                <w:rFonts w:ascii="Arial Narrow" w:hAnsi="Arial Narrow"/>
                <w:sz w:val="20"/>
                <w:szCs w:val="20"/>
                <w:lang w:eastAsia="en-NZ"/>
              </w:rPr>
            </w:pPr>
          </w:p>
        </w:tc>
        <w:tc>
          <w:tcPr>
            <w:tcW w:w="116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Rural</w:t>
            </w:r>
          </w:p>
        </w:tc>
        <w:tc>
          <w:tcPr>
            <w:tcW w:w="936"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7</w:t>
            </w:r>
            <w:r w:rsidRPr="00BF6A69">
              <w:rPr>
                <w:rFonts w:ascii="Arial Narrow" w:hAnsi="Arial Narrow"/>
                <w:sz w:val="20"/>
                <w:szCs w:val="20"/>
                <w:lang w:eastAsia="en-NZ"/>
              </w:rPr>
              <w:br/>
              <w:t>(290)</w:t>
            </w:r>
          </w:p>
        </w:tc>
        <w:tc>
          <w:tcPr>
            <w:tcW w:w="1048" w:type="dxa"/>
            <w:tcBorders>
              <w:top w:val="nil"/>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BF6A69">
              <w:rPr>
                <w:rFonts w:ascii="Arial Narrow" w:hAnsi="Arial Narrow"/>
                <w:sz w:val="20"/>
                <w:szCs w:val="20"/>
                <w:lang w:eastAsia="en-NZ"/>
              </w:rPr>
              <w:t>2.2</w:t>
            </w:r>
            <w:r w:rsidRPr="00BF6A69">
              <w:rPr>
                <w:rFonts w:ascii="Arial Narrow" w:hAnsi="Arial Narrow"/>
                <w:sz w:val="20"/>
                <w:szCs w:val="20"/>
                <w:lang w:eastAsia="en-NZ"/>
              </w:rPr>
              <w:br/>
              <w:t>0.6 - 3.9</w:t>
            </w:r>
          </w:p>
        </w:tc>
        <w:tc>
          <w:tcPr>
            <w:tcW w:w="856" w:type="dxa"/>
            <w:tcBorders>
              <w:top w:val="nil"/>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sidRPr="00313E33">
              <w:rPr>
                <w:rFonts w:ascii="Arial Narrow" w:hAnsi="Arial Narrow"/>
                <w:sz w:val="20"/>
                <w:szCs w:val="20"/>
                <w:lang w:eastAsia="en-NZ"/>
              </w:rPr>
              <w:t>few or none</w:t>
            </w:r>
          </w:p>
        </w:tc>
        <w:tc>
          <w:tcPr>
            <w:tcW w:w="1097" w:type="dxa"/>
            <w:tcBorders>
              <w:top w:val="single" w:sz="4" w:space="0" w:color="auto"/>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w:t>
            </w:r>
          </w:p>
        </w:tc>
      </w:tr>
    </w:tbl>
    <w:p w:rsidR="00043311" w:rsidRDefault="00043311" w:rsidP="0042130F"/>
    <w:p w:rsidR="00043311" w:rsidRDefault="00043311" w:rsidP="0042130F">
      <w:pPr>
        <w:pStyle w:val="Heading3"/>
      </w:pPr>
      <w:bookmarkStart w:id="113" w:name="_Toc354147232"/>
      <w:bookmarkStart w:id="114" w:name="_Toc367284424"/>
      <w:r>
        <w:lastRenderedPageBreak/>
        <w:t>Time and money spent gambling - c</w:t>
      </w:r>
      <w:r w:rsidRPr="00E3310E">
        <w:t xml:space="preserve">omparison </w:t>
      </w:r>
      <w:bookmarkEnd w:id="113"/>
      <w:r>
        <w:t>of Youth’07 and Youth’12</w:t>
      </w:r>
      <w:bookmarkEnd w:id="114"/>
    </w:p>
    <w:p w:rsidR="00740B76" w:rsidRDefault="00043311" w:rsidP="0042130F">
      <w:pPr>
        <w:pStyle w:val="BodyText"/>
      </w:pPr>
      <w:r>
        <w:t>Small, but s</w:t>
      </w:r>
      <w:r w:rsidRPr="007E0161">
        <w:t>tatistically significant</w:t>
      </w:r>
      <w:r>
        <w:t>,</w:t>
      </w:r>
      <w:r w:rsidRPr="007E0161">
        <w:t xml:space="preserve"> decreases</w:t>
      </w:r>
      <w:r>
        <w:t xml:space="preserve"> were observed</w:t>
      </w:r>
      <w:r w:rsidRPr="007E0161">
        <w:t xml:space="preserve"> in the amount of time and money that students spent on gambling from 2007 to 2012. </w:t>
      </w:r>
      <w:r>
        <w:t>In particular, t</w:t>
      </w:r>
      <w:r w:rsidRPr="007E0161">
        <w:t xml:space="preserve">he percentage of students who spent “$20 or more per week” on gambling decreased from 5% in 2007 to </w:t>
      </w:r>
      <w:r w:rsidR="00F73A6B">
        <w:t>3.6</w:t>
      </w:r>
      <w:r w:rsidRPr="007E0161">
        <w:t>% in 2012 (p=0.0005).  Similarly, a smaller proportion of students spent “30 minutes or more per day” on gambling in 2012 (2.3%) compared with 2007 (4.5%) (p=0.0028)</w:t>
      </w:r>
      <w:r>
        <w:rPr>
          <w:rStyle w:val="FootnoteReference"/>
        </w:rPr>
        <w:footnoteReference w:id="16"/>
      </w:r>
      <w:r>
        <w:t xml:space="preserve"> </w:t>
      </w:r>
      <w:r w:rsidRPr="007E0161">
        <w:t xml:space="preserve">(see </w:t>
      </w:r>
      <w:r w:rsidR="00720A6C">
        <w:t>Table 9</w:t>
      </w:r>
      <w:r w:rsidRPr="007E0161">
        <w:t>).</w:t>
      </w:r>
    </w:p>
    <w:p w:rsidR="00043311" w:rsidRPr="00740B76" w:rsidRDefault="00740B76" w:rsidP="00740B76">
      <w:pPr>
        <w:pStyle w:val="Caption"/>
        <w:spacing w:line="240" w:lineRule="auto"/>
        <w:ind w:left="993" w:hanging="993"/>
        <w:rPr>
          <w:rFonts w:asciiTheme="minorHAnsi" w:hAnsiTheme="minorHAnsi"/>
          <w:i/>
        </w:rPr>
      </w:pPr>
      <w:bookmarkStart w:id="115" w:name="_Toc367285392"/>
      <w:r w:rsidRPr="00740B76">
        <w:rPr>
          <w:rFonts w:asciiTheme="minorHAnsi" w:hAnsiTheme="minorHAnsi"/>
          <w:i/>
        </w:rPr>
        <w:t xml:space="preserve">Table </w:t>
      </w:r>
      <w:r w:rsidR="007B447B" w:rsidRPr="00740B76">
        <w:rPr>
          <w:rFonts w:asciiTheme="minorHAnsi" w:hAnsiTheme="minorHAnsi"/>
          <w:i/>
        </w:rPr>
        <w:fldChar w:fldCharType="begin"/>
      </w:r>
      <w:r w:rsidRPr="00740B76">
        <w:rPr>
          <w:rFonts w:asciiTheme="minorHAnsi" w:hAnsiTheme="minorHAnsi"/>
          <w:i/>
        </w:rPr>
        <w:instrText xml:space="preserve"> SEQ Table \* ARABIC </w:instrText>
      </w:r>
      <w:r w:rsidR="007B447B" w:rsidRPr="00740B76">
        <w:rPr>
          <w:rFonts w:asciiTheme="minorHAnsi" w:hAnsiTheme="minorHAnsi"/>
          <w:i/>
        </w:rPr>
        <w:fldChar w:fldCharType="separate"/>
      </w:r>
      <w:r w:rsidR="009E3D1C">
        <w:rPr>
          <w:rFonts w:asciiTheme="minorHAnsi" w:hAnsiTheme="minorHAnsi"/>
          <w:i/>
          <w:noProof/>
        </w:rPr>
        <w:t>9</w:t>
      </w:r>
      <w:r w:rsidR="007B447B" w:rsidRPr="00740B76">
        <w:rPr>
          <w:rFonts w:asciiTheme="minorHAnsi" w:hAnsiTheme="minorHAnsi"/>
          <w:i/>
        </w:rPr>
        <w:fldChar w:fldCharType="end"/>
      </w:r>
      <w:r w:rsidRPr="00740B76">
        <w:rPr>
          <w:rFonts w:asciiTheme="minorHAnsi" w:hAnsiTheme="minorHAnsi"/>
          <w:i/>
        </w:rPr>
        <w:t xml:space="preserve">: </w:t>
      </w:r>
      <w:r w:rsidR="00043311" w:rsidRPr="00740B76">
        <w:rPr>
          <w:rFonts w:asciiTheme="minorHAnsi" w:hAnsiTheme="minorHAnsi"/>
          <w:i/>
        </w:rPr>
        <w:t xml:space="preserve"> </w:t>
      </w:r>
      <w:r w:rsidRPr="00740B76">
        <w:rPr>
          <w:rFonts w:asciiTheme="minorHAnsi" w:hAnsiTheme="minorHAnsi" w:cstheme="minorHAnsi"/>
          <w:i/>
        </w:rPr>
        <w:t>Time and money spent on gambling activities – comparison of Youth’07 and Youth’12 (among students who have gambled in the past 12 months)</w:t>
      </w:r>
      <w:bookmarkEnd w:id="115"/>
    </w:p>
    <w:tbl>
      <w:tblPr>
        <w:tblW w:w="8220" w:type="dxa"/>
        <w:jc w:val="center"/>
        <w:tblInd w:w="-2191" w:type="dxa"/>
        <w:tblLook w:val="04A0" w:firstRow="1" w:lastRow="0" w:firstColumn="1" w:lastColumn="0" w:noHBand="0" w:noVBand="1"/>
      </w:tblPr>
      <w:tblGrid>
        <w:gridCol w:w="4283"/>
        <w:gridCol w:w="936"/>
        <w:gridCol w:w="1048"/>
        <w:gridCol w:w="856"/>
        <w:gridCol w:w="1097"/>
      </w:tblGrid>
      <w:tr w:rsidR="00043311" w:rsidRPr="00BF6A69" w:rsidTr="0042130F">
        <w:trPr>
          <w:trHeight w:val="300"/>
          <w:jc w:val="center"/>
        </w:trPr>
        <w:tc>
          <w:tcPr>
            <w:tcW w:w="4283" w:type="dxa"/>
            <w:vMerge w:val="restart"/>
            <w:tcBorders>
              <w:top w:val="single" w:sz="4" w:space="0" w:color="auto"/>
              <w:left w:val="single" w:sz="4" w:space="0" w:color="auto"/>
              <w:bottom w:val="single" w:sz="4" w:space="0" w:color="000000"/>
              <w:right w:val="single" w:sz="4" w:space="0" w:color="000000"/>
            </w:tcBorders>
            <w:shd w:val="clear" w:color="000000" w:fill="A6A6A6"/>
            <w:noWrap/>
            <w:vAlign w:val="bottom"/>
            <w:hideMark/>
          </w:tcPr>
          <w:p w:rsidR="00043311" w:rsidRPr="00BF6A69" w:rsidRDefault="00043311" w:rsidP="0042130F">
            <w:pPr>
              <w:spacing w:before="0" w:line="240" w:lineRule="auto"/>
              <w:jc w:val="left"/>
              <w:rPr>
                <w:rFonts w:ascii="Calibri" w:hAnsi="Calibri"/>
                <w:color w:val="000000"/>
                <w:lang w:eastAsia="en-NZ"/>
              </w:rPr>
            </w:pPr>
            <w:r w:rsidRPr="00E3310E">
              <w:rPr>
                <w:rFonts w:asciiTheme="minorHAnsi" w:hAnsiTheme="minorHAnsi" w:cstheme="minorHAnsi"/>
              </w:rPr>
              <w:br w:type="page"/>
            </w:r>
            <w:r w:rsidRPr="00BF6A69">
              <w:rPr>
                <w:rFonts w:ascii="Calibri" w:hAnsi="Calibri"/>
                <w:color w:val="000000"/>
                <w:szCs w:val="22"/>
                <w:lang w:eastAsia="en-NZ"/>
              </w:rPr>
              <w:t> </w:t>
            </w:r>
          </w:p>
        </w:tc>
        <w:tc>
          <w:tcPr>
            <w:tcW w:w="1984" w:type="dxa"/>
            <w:gridSpan w:val="2"/>
            <w:vMerge w:val="restart"/>
            <w:tcBorders>
              <w:top w:val="single" w:sz="4" w:space="0" w:color="auto"/>
              <w:left w:val="single" w:sz="4" w:space="0" w:color="auto"/>
              <w:bottom w:val="single" w:sz="4" w:space="0" w:color="000000"/>
              <w:right w:val="single" w:sz="4" w:space="0" w:color="000000"/>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Pr>
                <w:rFonts w:ascii="Arial Narrow" w:hAnsi="Arial Narrow"/>
                <w:b/>
                <w:bCs/>
                <w:sz w:val="20"/>
                <w:szCs w:val="20"/>
                <w:lang w:eastAsia="en-NZ"/>
              </w:rPr>
              <w:t>Youth’07</w:t>
            </w:r>
          </w:p>
        </w:tc>
        <w:tc>
          <w:tcPr>
            <w:tcW w:w="1953" w:type="dxa"/>
            <w:gridSpan w:val="2"/>
            <w:vMerge w:val="restart"/>
            <w:tcBorders>
              <w:top w:val="single" w:sz="4" w:space="0" w:color="auto"/>
              <w:left w:val="nil"/>
              <w:bottom w:val="single" w:sz="4" w:space="0" w:color="000000"/>
              <w:right w:val="single" w:sz="4" w:space="0" w:color="000000"/>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Pr>
                <w:rFonts w:ascii="Arial Narrow" w:hAnsi="Arial Narrow"/>
                <w:b/>
                <w:bCs/>
                <w:sz w:val="20"/>
                <w:szCs w:val="20"/>
                <w:lang w:eastAsia="en-NZ"/>
              </w:rPr>
              <w:t>Youth’12</w:t>
            </w:r>
          </w:p>
        </w:tc>
      </w:tr>
      <w:tr w:rsidR="00043311" w:rsidRPr="00BF6A69" w:rsidTr="0042130F">
        <w:trPr>
          <w:trHeight w:val="269"/>
          <w:jc w:val="center"/>
        </w:trPr>
        <w:tc>
          <w:tcPr>
            <w:tcW w:w="4283" w:type="dxa"/>
            <w:vMerge/>
            <w:tcBorders>
              <w:top w:val="single" w:sz="4" w:space="0" w:color="auto"/>
              <w:left w:val="single" w:sz="4" w:space="0" w:color="auto"/>
              <w:bottom w:val="single" w:sz="4" w:space="0" w:color="000000"/>
              <w:right w:val="single" w:sz="4" w:space="0" w:color="000000"/>
            </w:tcBorders>
            <w:vAlign w:val="center"/>
            <w:hideMark/>
          </w:tcPr>
          <w:p w:rsidR="00043311" w:rsidRPr="00BF6A69" w:rsidRDefault="00043311" w:rsidP="0042130F">
            <w:pPr>
              <w:spacing w:before="0" w:line="240" w:lineRule="auto"/>
              <w:jc w:val="left"/>
              <w:rPr>
                <w:rFonts w:ascii="Calibri" w:hAnsi="Calibri"/>
                <w:color w:val="000000"/>
                <w:lang w:eastAsia="en-NZ"/>
              </w:rPr>
            </w:pPr>
          </w:p>
        </w:tc>
        <w:tc>
          <w:tcPr>
            <w:tcW w:w="1984" w:type="dxa"/>
            <w:gridSpan w:val="2"/>
            <w:vMerge/>
            <w:tcBorders>
              <w:top w:val="single" w:sz="4" w:space="0" w:color="auto"/>
              <w:left w:val="single" w:sz="4" w:space="0" w:color="auto"/>
              <w:bottom w:val="single" w:sz="4" w:space="0" w:color="000000"/>
              <w:right w:val="single" w:sz="4" w:space="0" w:color="000000"/>
            </w:tcBorders>
            <w:vAlign w:val="center"/>
            <w:hideMark/>
          </w:tcPr>
          <w:p w:rsidR="00043311" w:rsidRPr="00BF6A69" w:rsidRDefault="00043311" w:rsidP="0042130F">
            <w:pPr>
              <w:spacing w:before="0" w:line="240" w:lineRule="auto"/>
              <w:jc w:val="left"/>
              <w:rPr>
                <w:rFonts w:ascii="Arial Narrow" w:hAnsi="Arial Narrow"/>
                <w:b/>
                <w:bCs/>
                <w:sz w:val="20"/>
                <w:szCs w:val="20"/>
                <w:lang w:eastAsia="en-NZ"/>
              </w:rPr>
            </w:pPr>
          </w:p>
        </w:tc>
        <w:tc>
          <w:tcPr>
            <w:tcW w:w="1953" w:type="dxa"/>
            <w:gridSpan w:val="2"/>
            <w:vMerge/>
            <w:tcBorders>
              <w:top w:val="single" w:sz="4" w:space="0" w:color="auto"/>
              <w:left w:val="nil"/>
              <w:bottom w:val="single" w:sz="4" w:space="0" w:color="000000"/>
              <w:right w:val="single" w:sz="4" w:space="0" w:color="000000"/>
            </w:tcBorders>
            <w:vAlign w:val="center"/>
            <w:hideMark/>
          </w:tcPr>
          <w:p w:rsidR="00043311" w:rsidRPr="00BF6A69" w:rsidRDefault="00043311" w:rsidP="0042130F">
            <w:pPr>
              <w:spacing w:before="0" w:line="240" w:lineRule="auto"/>
              <w:jc w:val="left"/>
              <w:rPr>
                <w:rFonts w:ascii="Arial Narrow" w:hAnsi="Arial Narrow"/>
                <w:b/>
                <w:bCs/>
                <w:sz w:val="20"/>
                <w:szCs w:val="20"/>
                <w:lang w:eastAsia="en-NZ"/>
              </w:rPr>
            </w:pPr>
          </w:p>
        </w:tc>
      </w:tr>
      <w:tr w:rsidR="00043311" w:rsidRPr="00BF6A69" w:rsidTr="0042130F">
        <w:trPr>
          <w:trHeight w:val="510"/>
          <w:jc w:val="center"/>
        </w:trPr>
        <w:tc>
          <w:tcPr>
            <w:tcW w:w="4283" w:type="dxa"/>
            <w:vMerge/>
            <w:tcBorders>
              <w:top w:val="single" w:sz="4" w:space="0" w:color="auto"/>
              <w:left w:val="single" w:sz="4" w:space="0" w:color="auto"/>
              <w:bottom w:val="single" w:sz="4" w:space="0" w:color="auto"/>
              <w:right w:val="single" w:sz="4" w:space="0" w:color="000000"/>
            </w:tcBorders>
            <w:vAlign w:val="center"/>
            <w:hideMark/>
          </w:tcPr>
          <w:p w:rsidR="00043311" w:rsidRPr="00BF6A69" w:rsidRDefault="00043311" w:rsidP="0042130F">
            <w:pPr>
              <w:spacing w:before="0" w:line="240" w:lineRule="auto"/>
              <w:jc w:val="left"/>
              <w:rPr>
                <w:rFonts w:ascii="Calibri" w:hAnsi="Calibri"/>
                <w:color w:val="000000"/>
                <w:lang w:eastAsia="en-NZ"/>
              </w:rPr>
            </w:pPr>
          </w:p>
        </w:tc>
        <w:tc>
          <w:tcPr>
            <w:tcW w:w="936" w:type="dxa"/>
            <w:tcBorders>
              <w:top w:val="nil"/>
              <w:left w:val="nil"/>
              <w:bottom w:val="single" w:sz="4" w:space="0" w:color="auto"/>
              <w:right w:val="single" w:sz="4" w:space="0" w:color="auto"/>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sidRPr="00BF6A69">
              <w:rPr>
                <w:rFonts w:ascii="Arial Narrow" w:hAnsi="Arial Narrow"/>
                <w:b/>
                <w:bCs/>
                <w:sz w:val="20"/>
                <w:szCs w:val="20"/>
                <w:lang w:eastAsia="en-NZ"/>
              </w:rPr>
              <w:t>n</w:t>
            </w:r>
            <w:r w:rsidRPr="00BF6A69">
              <w:rPr>
                <w:rFonts w:ascii="Arial Narrow" w:hAnsi="Arial Narrow"/>
                <w:b/>
                <w:bCs/>
                <w:sz w:val="20"/>
                <w:szCs w:val="20"/>
                <w:lang w:eastAsia="en-NZ"/>
              </w:rPr>
              <w:br/>
              <w:t>(N)</w:t>
            </w:r>
          </w:p>
        </w:tc>
        <w:tc>
          <w:tcPr>
            <w:tcW w:w="1048" w:type="dxa"/>
            <w:tcBorders>
              <w:top w:val="nil"/>
              <w:left w:val="nil"/>
              <w:bottom w:val="single" w:sz="4" w:space="0" w:color="auto"/>
              <w:right w:val="single" w:sz="4" w:space="0" w:color="auto"/>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sidRPr="00BF6A69">
              <w:rPr>
                <w:rFonts w:ascii="Arial Narrow" w:hAnsi="Arial Narrow"/>
                <w:b/>
                <w:bCs/>
                <w:sz w:val="20"/>
                <w:szCs w:val="20"/>
                <w:lang w:eastAsia="en-NZ"/>
              </w:rPr>
              <w:t>%</w:t>
            </w:r>
            <w:r w:rsidRPr="00BF6A69">
              <w:rPr>
                <w:rFonts w:ascii="Arial Narrow" w:hAnsi="Arial Narrow"/>
                <w:b/>
                <w:bCs/>
                <w:sz w:val="20"/>
                <w:szCs w:val="20"/>
                <w:lang w:eastAsia="en-NZ"/>
              </w:rPr>
              <w:br/>
              <w:t>95% CI</w:t>
            </w:r>
          </w:p>
        </w:tc>
        <w:tc>
          <w:tcPr>
            <w:tcW w:w="856" w:type="dxa"/>
            <w:tcBorders>
              <w:top w:val="nil"/>
              <w:left w:val="nil"/>
              <w:bottom w:val="single" w:sz="4" w:space="0" w:color="auto"/>
              <w:right w:val="single" w:sz="4" w:space="0" w:color="auto"/>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sidRPr="00BF6A69">
              <w:rPr>
                <w:rFonts w:ascii="Arial Narrow" w:hAnsi="Arial Narrow"/>
                <w:b/>
                <w:bCs/>
                <w:sz w:val="20"/>
                <w:szCs w:val="20"/>
                <w:lang w:eastAsia="en-NZ"/>
              </w:rPr>
              <w:t>n</w:t>
            </w:r>
            <w:r w:rsidRPr="00BF6A69">
              <w:rPr>
                <w:rFonts w:ascii="Arial Narrow" w:hAnsi="Arial Narrow"/>
                <w:b/>
                <w:bCs/>
                <w:sz w:val="20"/>
                <w:szCs w:val="20"/>
                <w:lang w:eastAsia="en-NZ"/>
              </w:rPr>
              <w:br/>
              <w:t>(N)</w:t>
            </w:r>
          </w:p>
        </w:tc>
        <w:tc>
          <w:tcPr>
            <w:tcW w:w="1097" w:type="dxa"/>
            <w:tcBorders>
              <w:top w:val="nil"/>
              <w:left w:val="nil"/>
              <w:bottom w:val="single" w:sz="4" w:space="0" w:color="auto"/>
              <w:right w:val="single" w:sz="4" w:space="0" w:color="auto"/>
            </w:tcBorders>
            <w:shd w:val="clear" w:color="000000" w:fill="A6A6A6"/>
            <w:vAlign w:val="center"/>
            <w:hideMark/>
          </w:tcPr>
          <w:p w:rsidR="00043311" w:rsidRPr="00BF6A69" w:rsidRDefault="00043311" w:rsidP="0042130F">
            <w:pPr>
              <w:spacing w:before="0" w:line="240" w:lineRule="auto"/>
              <w:jc w:val="center"/>
              <w:rPr>
                <w:rFonts w:ascii="Arial Narrow" w:hAnsi="Arial Narrow"/>
                <w:b/>
                <w:bCs/>
                <w:sz w:val="20"/>
                <w:szCs w:val="20"/>
                <w:lang w:eastAsia="en-NZ"/>
              </w:rPr>
            </w:pPr>
            <w:r w:rsidRPr="00BF6A69">
              <w:rPr>
                <w:rFonts w:ascii="Arial Narrow" w:hAnsi="Arial Narrow"/>
                <w:b/>
                <w:bCs/>
                <w:sz w:val="20"/>
                <w:szCs w:val="20"/>
                <w:lang w:eastAsia="en-NZ"/>
              </w:rPr>
              <w:t>%</w:t>
            </w:r>
            <w:r w:rsidRPr="00BF6A69">
              <w:rPr>
                <w:rFonts w:ascii="Arial Narrow" w:hAnsi="Arial Narrow"/>
                <w:b/>
                <w:bCs/>
                <w:sz w:val="20"/>
                <w:szCs w:val="20"/>
                <w:lang w:eastAsia="en-NZ"/>
              </w:rPr>
              <w:br/>
              <w:t>95% CI</w:t>
            </w:r>
          </w:p>
        </w:tc>
      </w:tr>
      <w:tr w:rsidR="00043311" w:rsidRPr="00BF6A69" w:rsidTr="0042130F">
        <w:trPr>
          <w:trHeight w:val="510"/>
          <w:jc w:val="center"/>
        </w:trPr>
        <w:tc>
          <w:tcPr>
            <w:tcW w:w="4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left"/>
              <w:rPr>
                <w:rFonts w:ascii="Arial Narrow" w:hAnsi="Arial Narrow"/>
                <w:sz w:val="20"/>
                <w:szCs w:val="20"/>
                <w:lang w:eastAsia="en-NZ"/>
              </w:rPr>
            </w:pPr>
            <w:r>
              <w:rPr>
                <w:rFonts w:ascii="Arial Narrow" w:hAnsi="Arial Narrow"/>
                <w:sz w:val="20"/>
                <w:szCs w:val="20"/>
                <w:lang w:eastAsia="en-NZ"/>
              </w:rPr>
              <w:t>Usually spend $20 or more per week on gambling</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111</w:t>
            </w:r>
            <w:r>
              <w:rPr>
                <w:rFonts w:ascii="Arial Narrow" w:hAnsi="Arial Narrow"/>
                <w:sz w:val="20"/>
                <w:szCs w:val="20"/>
                <w:lang w:eastAsia="en-NZ"/>
              </w:rPr>
              <w:br/>
              <w:t>(2238</w:t>
            </w:r>
            <w:r w:rsidRPr="00BF6A69">
              <w:rPr>
                <w:rFonts w:ascii="Arial Narrow" w:hAnsi="Arial Narrow"/>
                <w:sz w:val="20"/>
                <w:szCs w:val="20"/>
                <w:lang w:eastAsia="en-NZ"/>
              </w:rPr>
              <w:t>)</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5.0</w:t>
            </w:r>
            <w:r>
              <w:rPr>
                <w:rFonts w:ascii="Arial Narrow" w:hAnsi="Arial Narrow"/>
                <w:sz w:val="20"/>
                <w:szCs w:val="20"/>
                <w:lang w:eastAsia="en-NZ"/>
              </w:rPr>
              <w:br/>
              <w:t>4</w:t>
            </w:r>
            <w:r w:rsidRPr="00BF6A69">
              <w:rPr>
                <w:rFonts w:ascii="Arial Narrow" w:hAnsi="Arial Narrow"/>
                <w:sz w:val="20"/>
                <w:szCs w:val="20"/>
                <w:lang w:eastAsia="en-NZ"/>
              </w:rPr>
              <w:t>.</w:t>
            </w:r>
            <w:r>
              <w:rPr>
                <w:rFonts w:ascii="Arial Narrow" w:hAnsi="Arial Narrow"/>
                <w:sz w:val="20"/>
                <w:szCs w:val="20"/>
                <w:lang w:eastAsia="en-NZ"/>
              </w:rPr>
              <w:t>0</w:t>
            </w:r>
            <w:r w:rsidRPr="00BF6A69">
              <w:rPr>
                <w:rFonts w:ascii="Arial Narrow" w:hAnsi="Arial Narrow"/>
                <w:sz w:val="20"/>
                <w:szCs w:val="20"/>
                <w:lang w:eastAsia="en-NZ"/>
              </w:rPr>
              <w:t xml:space="preserve"> - 6.</w:t>
            </w:r>
            <w:r>
              <w:rPr>
                <w:rFonts w:ascii="Arial Narrow" w:hAnsi="Arial Narrow"/>
                <w:sz w:val="20"/>
                <w:szCs w:val="20"/>
                <w:lang w:eastAsia="en-NZ"/>
              </w:rPr>
              <w:t>0</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67</w:t>
            </w:r>
            <w:r w:rsidRPr="00BF6A69">
              <w:rPr>
                <w:rFonts w:ascii="Arial Narrow" w:hAnsi="Arial Narrow"/>
                <w:sz w:val="20"/>
                <w:szCs w:val="20"/>
                <w:lang w:eastAsia="en-NZ"/>
              </w:rPr>
              <w:br/>
              <w:t>(</w:t>
            </w:r>
            <w:r>
              <w:rPr>
                <w:rFonts w:ascii="Arial Narrow" w:hAnsi="Arial Narrow"/>
                <w:sz w:val="20"/>
                <w:szCs w:val="20"/>
                <w:lang w:eastAsia="en-NZ"/>
              </w:rPr>
              <w:t>1882</w:t>
            </w:r>
            <w:r w:rsidRPr="00BF6A69">
              <w:rPr>
                <w:rFonts w:ascii="Arial Narrow" w:hAnsi="Arial Narrow"/>
                <w:sz w:val="20"/>
                <w:szCs w:val="20"/>
                <w:lang w:eastAsia="en-NZ"/>
              </w:rPr>
              <w:t>)</w:t>
            </w:r>
          </w:p>
        </w:tc>
        <w:tc>
          <w:tcPr>
            <w:tcW w:w="1097" w:type="dxa"/>
            <w:tcBorders>
              <w:top w:val="single" w:sz="4" w:space="0" w:color="auto"/>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3.6</w:t>
            </w:r>
            <w:r w:rsidRPr="00BF6A69">
              <w:rPr>
                <w:rFonts w:ascii="Arial Narrow" w:hAnsi="Arial Narrow"/>
                <w:sz w:val="20"/>
                <w:szCs w:val="20"/>
                <w:lang w:eastAsia="en-NZ"/>
              </w:rPr>
              <w:br/>
            </w:r>
            <w:r>
              <w:rPr>
                <w:rFonts w:ascii="Arial Narrow" w:hAnsi="Arial Narrow"/>
                <w:sz w:val="20"/>
                <w:szCs w:val="20"/>
                <w:lang w:eastAsia="en-NZ"/>
              </w:rPr>
              <w:t>2.7</w:t>
            </w:r>
            <w:r w:rsidRPr="00BF6A69">
              <w:rPr>
                <w:rFonts w:ascii="Arial Narrow" w:hAnsi="Arial Narrow"/>
                <w:sz w:val="20"/>
                <w:szCs w:val="20"/>
                <w:lang w:eastAsia="en-NZ"/>
              </w:rPr>
              <w:t xml:space="preserve"> </w:t>
            </w:r>
            <w:r>
              <w:rPr>
                <w:rFonts w:ascii="Arial Narrow" w:hAnsi="Arial Narrow"/>
                <w:sz w:val="20"/>
                <w:szCs w:val="20"/>
                <w:lang w:eastAsia="en-NZ"/>
              </w:rPr>
              <w:t>–</w:t>
            </w:r>
            <w:r w:rsidRPr="00BF6A69">
              <w:rPr>
                <w:rFonts w:ascii="Arial Narrow" w:hAnsi="Arial Narrow"/>
                <w:sz w:val="20"/>
                <w:szCs w:val="20"/>
                <w:lang w:eastAsia="en-NZ"/>
              </w:rPr>
              <w:t xml:space="preserve"> </w:t>
            </w:r>
            <w:r>
              <w:rPr>
                <w:rFonts w:ascii="Arial Narrow" w:hAnsi="Arial Narrow"/>
                <w:sz w:val="20"/>
                <w:szCs w:val="20"/>
                <w:lang w:eastAsia="en-NZ"/>
              </w:rPr>
              <w:t>4.4</w:t>
            </w:r>
          </w:p>
        </w:tc>
      </w:tr>
      <w:tr w:rsidR="00043311" w:rsidRPr="00BF6A69" w:rsidTr="0042130F">
        <w:trPr>
          <w:trHeight w:val="510"/>
          <w:jc w:val="center"/>
        </w:trPr>
        <w:tc>
          <w:tcPr>
            <w:tcW w:w="4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left"/>
              <w:rPr>
                <w:rFonts w:ascii="Arial Narrow" w:hAnsi="Arial Narrow"/>
                <w:sz w:val="20"/>
                <w:szCs w:val="20"/>
                <w:lang w:eastAsia="en-NZ"/>
              </w:rPr>
            </w:pPr>
            <w:r>
              <w:rPr>
                <w:rFonts w:ascii="Arial Narrow" w:hAnsi="Arial Narrow"/>
                <w:sz w:val="20"/>
                <w:szCs w:val="20"/>
                <w:lang w:eastAsia="en-NZ"/>
              </w:rPr>
              <w:t>Usually spend 30 minutes or more per day on gambling</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99</w:t>
            </w:r>
            <w:r w:rsidRPr="00BF6A69">
              <w:rPr>
                <w:rFonts w:ascii="Arial Narrow" w:hAnsi="Arial Narrow"/>
                <w:sz w:val="20"/>
                <w:szCs w:val="20"/>
                <w:lang w:eastAsia="en-NZ"/>
              </w:rPr>
              <w:br/>
              <w:t>(</w:t>
            </w:r>
            <w:r>
              <w:rPr>
                <w:rFonts w:ascii="Arial Narrow" w:hAnsi="Arial Narrow"/>
                <w:sz w:val="20"/>
                <w:szCs w:val="20"/>
                <w:lang w:eastAsia="en-NZ"/>
              </w:rPr>
              <w:t>2233</w:t>
            </w:r>
            <w:r w:rsidRPr="00BF6A69">
              <w:rPr>
                <w:rFonts w:ascii="Arial Narrow" w:hAnsi="Arial Narrow"/>
                <w:sz w:val="20"/>
                <w:szCs w:val="20"/>
                <w:lang w:eastAsia="en-NZ"/>
              </w:rPr>
              <w:t>)</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4.5</w:t>
            </w:r>
            <w:r w:rsidRPr="00BF6A69">
              <w:rPr>
                <w:rFonts w:ascii="Arial Narrow" w:hAnsi="Arial Narrow"/>
                <w:sz w:val="20"/>
                <w:szCs w:val="20"/>
                <w:lang w:eastAsia="en-NZ"/>
              </w:rPr>
              <w:br/>
            </w:r>
            <w:r>
              <w:rPr>
                <w:rFonts w:ascii="Arial Narrow" w:hAnsi="Arial Narrow"/>
                <w:sz w:val="20"/>
                <w:szCs w:val="20"/>
                <w:lang w:eastAsia="en-NZ"/>
              </w:rPr>
              <w:t>3.4</w:t>
            </w:r>
            <w:r w:rsidRPr="00BF6A69">
              <w:rPr>
                <w:rFonts w:ascii="Arial Narrow" w:hAnsi="Arial Narrow"/>
                <w:sz w:val="20"/>
                <w:szCs w:val="20"/>
                <w:lang w:eastAsia="en-NZ"/>
              </w:rPr>
              <w:t xml:space="preserve"> </w:t>
            </w:r>
            <w:r>
              <w:rPr>
                <w:rFonts w:ascii="Arial Narrow" w:hAnsi="Arial Narrow"/>
                <w:sz w:val="20"/>
                <w:szCs w:val="20"/>
                <w:lang w:eastAsia="en-NZ"/>
              </w:rPr>
              <w:t>–</w:t>
            </w:r>
            <w:r w:rsidRPr="00BF6A69">
              <w:rPr>
                <w:rFonts w:ascii="Arial Narrow" w:hAnsi="Arial Narrow"/>
                <w:sz w:val="20"/>
                <w:szCs w:val="20"/>
                <w:lang w:eastAsia="en-NZ"/>
              </w:rPr>
              <w:t xml:space="preserve"> </w:t>
            </w:r>
            <w:r>
              <w:rPr>
                <w:rFonts w:ascii="Arial Narrow" w:hAnsi="Arial Narrow"/>
                <w:sz w:val="20"/>
                <w:szCs w:val="20"/>
                <w:lang w:eastAsia="en-NZ"/>
              </w:rPr>
              <w:t>5.5</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44</w:t>
            </w:r>
            <w:r w:rsidRPr="00BF6A69">
              <w:rPr>
                <w:rFonts w:ascii="Arial Narrow" w:hAnsi="Arial Narrow"/>
                <w:sz w:val="20"/>
                <w:szCs w:val="20"/>
                <w:lang w:eastAsia="en-NZ"/>
              </w:rPr>
              <w:br/>
              <w:t>(</w:t>
            </w:r>
            <w:r>
              <w:rPr>
                <w:rFonts w:ascii="Arial Narrow" w:hAnsi="Arial Narrow"/>
                <w:sz w:val="20"/>
                <w:szCs w:val="20"/>
                <w:lang w:eastAsia="en-NZ"/>
              </w:rPr>
              <w:t>1878</w:t>
            </w:r>
            <w:r w:rsidRPr="00BF6A69">
              <w:rPr>
                <w:rFonts w:ascii="Arial Narrow" w:hAnsi="Arial Narrow"/>
                <w:sz w:val="20"/>
                <w:szCs w:val="20"/>
                <w:lang w:eastAsia="en-NZ"/>
              </w:rPr>
              <w:t>)</w:t>
            </w:r>
          </w:p>
        </w:tc>
        <w:tc>
          <w:tcPr>
            <w:tcW w:w="1097" w:type="dxa"/>
            <w:tcBorders>
              <w:top w:val="single" w:sz="4" w:space="0" w:color="auto"/>
              <w:left w:val="nil"/>
              <w:bottom w:val="single" w:sz="4" w:space="0" w:color="auto"/>
              <w:right w:val="single" w:sz="4" w:space="0" w:color="auto"/>
            </w:tcBorders>
            <w:shd w:val="clear" w:color="000000" w:fill="FFFFFF"/>
            <w:vAlign w:val="center"/>
            <w:hideMark/>
          </w:tcPr>
          <w:p w:rsidR="00043311" w:rsidRPr="00BF6A69" w:rsidRDefault="00043311" w:rsidP="0042130F">
            <w:pPr>
              <w:spacing w:before="0" w:line="240" w:lineRule="auto"/>
              <w:jc w:val="center"/>
              <w:rPr>
                <w:rFonts w:ascii="Arial Narrow" w:hAnsi="Arial Narrow"/>
                <w:sz w:val="20"/>
                <w:szCs w:val="20"/>
                <w:lang w:eastAsia="en-NZ"/>
              </w:rPr>
            </w:pPr>
            <w:r>
              <w:rPr>
                <w:rFonts w:ascii="Arial Narrow" w:hAnsi="Arial Narrow"/>
                <w:sz w:val="20"/>
                <w:szCs w:val="20"/>
                <w:lang w:eastAsia="en-NZ"/>
              </w:rPr>
              <w:t>2.3</w:t>
            </w:r>
            <w:r w:rsidRPr="00BF6A69">
              <w:rPr>
                <w:rFonts w:ascii="Arial Narrow" w:hAnsi="Arial Narrow"/>
                <w:sz w:val="20"/>
                <w:szCs w:val="20"/>
                <w:lang w:eastAsia="en-NZ"/>
              </w:rPr>
              <w:br/>
            </w:r>
            <w:r>
              <w:rPr>
                <w:rFonts w:ascii="Arial Narrow" w:hAnsi="Arial Narrow"/>
                <w:sz w:val="20"/>
                <w:szCs w:val="20"/>
                <w:lang w:eastAsia="en-NZ"/>
              </w:rPr>
              <w:t>1.5</w:t>
            </w:r>
            <w:r w:rsidRPr="00BF6A69">
              <w:rPr>
                <w:rFonts w:ascii="Arial Narrow" w:hAnsi="Arial Narrow"/>
                <w:sz w:val="20"/>
                <w:szCs w:val="20"/>
                <w:lang w:eastAsia="en-NZ"/>
              </w:rPr>
              <w:t xml:space="preserve"> - 3.0</w:t>
            </w:r>
          </w:p>
        </w:tc>
      </w:tr>
    </w:tbl>
    <w:p w:rsidR="00043311" w:rsidRDefault="00043311" w:rsidP="0042130F">
      <w:pPr>
        <w:jc w:val="left"/>
      </w:pPr>
    </w:p>
    <w:p w:rsidR="00043311" w:rsidRPr="00E3310E" w:rsidRDefault="00043311" w:rsidP="0042130F">
      <w:pPr>
        <w:pStyle w:val="Heading2"/>
      </w:pPr>
      <w:bookmarkStart w:id="116" w:name="_Toc367284425"/>
      <w:r w:rsidRPr="00E3310E">
        <w:t>Social context of gambling</w:t>
      </w:r>
      <w:bookmarkEnd w:id="116"/>
      <w:r w:rsidRPr="00E3310E">
        <w:t xml:space="preserve"> </w:t>
      </w:r>
    </w:p>
    <w:p w:rsidR="00043311" w:rsidRPr="00E3310E" w:rsidRDefault="00043311" w:rsidP="0042130F">
      <w:pPr>
        <w:spacing w:line="360" w:lineRule="auto"/>
        <w:rPr>
          <w:rFonts w:asciiTheme="minorHAnsi" w:hAnsiTheme="minorHAnsi" w:cstheme="minorHAnsi"/>
        </w:rPr>
      </w:pPr>
      <w:r w:rsidRPr="001A2437">
        <w:rPr>
          <w:rFonts w:asciiTheme="minorHAnsi" w:hAnsiTheme="minorHAnsi" w:cstheme="minorHAnsi"/>
        </w:rPr>
        <w:t>Students who had gambled in the past 12 months (N=1,975) were asked “When you do these activities</w:t>
      </w:r>
      <w:r w:rsidRPr="00E3310E">
        <w:rPr>
          <w:rFonts w:asciiTheme="minorHAnsi" w:hAnsiTheme="minorHAnsi" w:cstheme="minorHAnsi"/>
        </w:rPr>
        <w:t xml:space="preserve"> or gamble, who do you usually do it with?”</w:t>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Most students who had gambled indicated that they usually did so with “friends” (67%) or with “family” (60%). Very few</w:t>
      </w:r>
      <w:r>
        <w:rPr>
          <w:rFonts w:asciiTheme="minorHAnsi" w:hAnsiTheme="minorHAnsi" w:cstheme="minorHAnsi"/>
        </w:rPr>
        <w:t xml:space="preserve"> (</w:t>
      </w:r>
      <w:r w:rsidRPr="00E3310E">
        <w:rPr>
          <w:rFonts w:asciiTheme="minorHAnsi" w:hAnsiTheme="minorHAnsi" w:cstheme="minorHAnsi"/>
        </w:rPr>
        <w:t xml:space="preserve">less than </w:t>
      </w:r>
      <w:r>
        <w:rPr>
          <w:rFonts w:asciiTheme="minorHAnsi" w:hAnsiTheme="minorHAnsi" w:cstheme="minorHAnsi"/>
        </w:rPr>
        <w:t>10%),</w:t>
      </w:r>
      <w:r w:rsidRPr="00E3310E">
        <w:rPr>
          <w:rFonts w:asciiTheme="minorHAnsi" w:hAnsiTheme="minorHAnsi" w:cstheme="minorHAnsi"/>
        </w:rPr>
        <w:t xml:space="preserve"> said that they usually gambled with “other people I know”</w:t>
      </w:r>
      <w:r>
        <w:rPr>
          <w:rFonts w:asciiTheme="minorHAnsi" w:hAnsiTheme="minorHAnsi" w:cstheme="minorHAnsi"/>
        </w:rPr>
        <w:t xml:space="preserve"> (5%)</w:t>
      </w:r>
      <w:r w:rsidRPr="00E3310E">
        <w:rPr>
          <w:rFonts w:asciiTheme="minorHAnsi" w:hAnsiTheme="minorHAnsi" w:cstheme="minorHAnsi"/>
        </w:rPr>
        <w:t>, “other people I don’t know (e.g. people online</w:t>
      </w:r>
      <w:r>
        <w:rPr>
          <w:rFonts w:asciiTheme="minorHAnsi" w:hAnsiTheme="minorHAnsi" w:cstheme="minorHAnsi"/>
        </w:rPr>
        <w:t>)</w:t>
      </w:r>
      <w:r w:rsidRPr="00E3310E">
        <w:rPr>
          <w:rFonts w:asciiTheme="minorHAnsi" w:hAnsiTheme="minorHAnsi" w:cstheme="minorHAnsi"/>
        </w:rPr>
        <w:t>”</w:t>
      </w:r>
      <w:r>
        <w:rPr>
          <w:rFonts w:asciiTheme="minorHAnsi" w:hAnsiTheme="minorHAnsi" w:cstheme="minorHAnsi"/>
        </w:rPr>
        <w:t xml:space="preserve"> (2%)</w:t>
      </w:r>
      <w:r w:rsidRPr="00E3310E">
        <w:rPr>
          <w:rFonts w:asciiTheme="minorHAnsi" w:hAnsiTheme="minorHAnsi" w:cstheme="minorHAnsi"/>
        </w:rPr>
        <w:t>, or “by myself”</w:t>
      </w:r>
      <w:r>
        <w:rPr>
          <w:rFonts w:asciiTheme="minorHAnsi" w:hAnsiTheme="minorHAnsi" w:cstheme="minorHAnsi"/>
        </w:rPr>
        <w:t xml:space="preserve"> (9%)</w:t>
      </w:r>
      <w:r w:rsidRPr="00E3310E">
        <w:rPr>
          <w:rFonts w:asciiTheme="minorHAnsi" w:hAnsiTheme="minorHAnsi" w:cstheme="minorHAnsi"/>
        </w:rPr>
        <w:t xml:space="preserve"> </w:t>
      </w:r>
      <w:r>
        <w:rPr>
          <w:rFonts w:asciiTheme="minorHAnsi" w:hAnsiTheme="minorHAnsi" w:cstheme="minorHAnsi"/>
        </w:rPr>
        <w:t>(</w:t>
      </w:r>
      <w:r w:rsidRPr="00E3310E">
        <w:rPr>
          <w:rFonts w:asciiTheme="minorHAnsi" w:hAnsiTheme="minorHAnsi" w:cstheme="minorHAnsi"/>
        </w:rPr>
        <w:t xml:space="preserve">see </w:t>
      </w:r>
      <w:r w:rsidR="00082F17">
        <w:fldChar w:fldCharType="begin"/>
      </w:r>
      <w:r w:rsidR="00082F17">
        <w:instrText xml:space="preserve"> REF _Ref346184071 \h  \* MERGEFORMAT </w:instrText>
      </w:r>
      <w:r w:rsidR="00082F17">
        <w:fldChar w:fldCharType="separate"/>
      </w:r>
      <w:r w:rsidR="009E3D1C" w:rsidRPr="00BC4F94">
        <w:rPr>
          <w:rFonts w:asciiTheme="minorHAnsi" w:hAnsiTheme="minorHAnsi" w:cstheme="minorHAnsi"/>
        </w:rPr>
        <w:t>Figure 3</w:t>
      </w:r>
      <w:r w:rsidR="00082F17">
        <w:fldChar w:fldCharType="end"/>
      </w:r>
      <w:r>
        <w:t>)</w:t>
      </w:r>
      <w:r w:rsidRPr="00E3310E">
        <w:rPr>
          <w:rFonts w:asciiTheme="minorHAnsi" w:hAnsiTheme="minorHAnsi" w:cstheme="minorHAnsi"/>
        </w:rPr>
        <w:t xml:space="preserve">. </w:t>
      </w:r>
    </w:p>
    <w:p w:rsidR="00043311" w:rsidRDefault="00043311" w:rsidP="0042130F">
      <w:pPr>
        <w:spacing w:line="360" w:lineRule="auto"/>
        <w:rPr>
          <w:rFonts w:asciiTheme="minorHAnsi" w:hAnsiTheme="minorHAnsi" w:cstheme="minorHAnsi"/>
        </w:rPr>
      </w:pPr>
      <w:r w:rsidRPr="00E3310E">
        <w:rPr>
          <w:rFonts w:asciiTheme="minorHAnsi" w:hAnsiTheme="minorHAnsi" w:cstheme="minorHAnsi"/>
        </w:rPr>
        <w:t xml:space="preserve">There was a trend for the proportion of students who gamble with family members to decrease </w:t>
      </w:r>
      <w:r>
        <w:rPr>
          <w:rFonts w:asciiTheme="minorHAnsi" w:hAnsiTheme="minorHAnsi" w:cstheme="minorHAnsi"/>
        </w:rPr>
        <w:t>by</w:t>
      </w:r>
      <w:r w:rsidRPr="00E3310E">
        <w:rPr>
          <w:rFonts w:asciiTheme="minorHAnsi" w:hAnsiTheme="minorHAnsi" w:cstheme="minorHAnsi"/>
        </w:rPr>
        <w:t xml:space="preserve"> age (e.g. 65% of those aged 13 and under</w:t>
      </w:r>
      <w:r>
        <w:rPr>
          <w:rFonts w:asciiTheme="minorHAnsi" w:hAnsiTheme="minorHAnsi" w:cstheme="minorHAnsi"/>
        </w:rPr>
        <w:t xml:space="preserve"> gambled with a family member</w:t>
      </w:r>
      <w:r w:rsidRPr="00E3310E">
        <w:rPr>
          <w:rFonts w:asciiTheme="minorHAnsi" w:hAnsiTheme="minorHAnsi" w:cstheme="minorHAnsi"/>
        </w:rPr>
        <w:t>, compared with 51% of those aged 17 and over). Female students were more likely than their male counterparts to indicate that they usually gamble with family members (65% and 55% respectively).</w:t>
      </w:r>
      <w:r>
        <w:rPr>
          <w:rFonts w:asciiTheme="minorHAnsi" w:hAnsiTheme="minorHAnsi" w:cstheme="minorHAnsi"/>
        </w:rPr>
        <w:t xml:space="preserve"> </w:t>
      </w:r>
    </w:p>
    <w:p w:rsidR="00043311" w:rsidRPr="00E3310E" w:rsidRDefault="00043311" w:rsidP="0042130F">
      <w:pPr>
        <w:spacing w:line="360" w:lineRule="auto"/>
        <w:rPr>
          <w:rFonts w:asciiTheme="minorHAnsi" w:hAnsiTheme="minorHAnsi" w:cstheme="minorHAnsi"/>
        </w:rPr>
      </w:pPr>
      <w:r>
        <w:rPr>
          <w:rFonts w:asciiTheme="minorHAnsi" w:hAnsiTheme="minorHAnsi" w:cstheme="minorHAnsi"/>
        </w:rPr>
        <w:t xml:space="preserve">No meaningful differences in relation to the social context of gambling were reported by level of neighbourhood deprivation or </w:t>
      </w:r>
      <w:r w:rsidRPr="005B0F93">
        <w:rPr>
          <w:rFonts w:asciiTheme="minorHAnsi" w:hAnsiTheme="minorHAnsi" w:cstheme="minorHAnsi"/>
        </w:rPr>
        <w:t xml:space="preserve">urban/rural setting. </w:t>
      </w:r>
      <w:r>
        <w:rPr>
          <w:rFonts w:asciiTheme="minorHAnsi" w:hAnsiTheme="minorHAnsi" w:cstheme="minorHAnsi"/>
        </w:rPr>
        <w:t xml:space="preserve">See </w:t>
      </w:r>
      <w:r w:rsidR="007B447B">
        <w:rPr>
          <w:rFonts w:asciiTheme="minorHAnsi" w:hAnsiTheme="minorHAnsi" w:cstheme="minorHAnsi"/>
        </w:rPr>
        <w:fldChar w:fldCharType="begin"/>
      </w:r>
      <w:r>
        <w:rPr>
          <w:rFonts w:asciiTheme="minorHAnsi" w:hAnsiTheme="minorHAnsi" w:cstheme="minorHAnsi"/>
        </w:rPr>
        <w:instrText xml:space="preserve"> REF _Ref354056055 \r \h </w:instrText>
      </w:r>
      <w:r w:rsidR="007B447B">
        <w:rPr>
          <w:rFonts w:asciiTheme="minorHAnsi" w:hAnsiTheme="minorHAnsi" w:cstheme="minorHAnsi"/>
        </w:rPr>
      </w:r>
      <w:r w:rsidR="007B447B">
        <w:rPr>
          <w:rFonts w:asciiTheme="minorHAnsi" w:hAnsiTheme="minorHAnsi" w:cstheme="minorHAnsi"/>
        </w:rPr>
        <w:fldChar w:fldCharType="separate"/>
      </w:r>
      <w:r w:rsidR="009E3D1C">
        <w:rPr>
          <w:rFonts w:asciiTheme="minorHAnsi" w:hAnsiTheme="minorHAnsi" w:cstheme="minorHAnsi"/>
        </w:rPr>
        <w:t>Appendix D</w:t>
      </w:r>
      <w:r w:rsidR="007B447B">
        <w:rPr>
          <w:rFonts w:asciiTheme="minorHAnsi" w:hAnsiTheme="minorHAnsi" w:cstheme="minorHAnsi"/>
        </w:rPr>
        <w:fldChar w:fldCharType="end"/>
      </w:r>
      <w:r>
        <w:rPr>
          <w:rFonts w:asciiTheme="minorHAnsi" w:hAnsiTheme="minorHAnsi" w:cstheme="minorHAnsi"/>
        </w:rPr>
        <w:t xml:space="preserve"> for further details on this item. </w:t>
      </w:r>
    </w:p>
    <w:p w:rsidR="00043311" w:rsidRPr="00E3310E" w:rsidRDefault="00043311" w:rsidP="0042130F">
      <w:pPr>
        <w:pStyle w:val="Caption"/>
        <w:keepNext/>
        <w:spacing w:line="276" w:lineRule="auto"/>
        <w:ind w:left="993" w:hanging="993"/>
        <w:rPr>
          <w:rFonts w:asciiTheme="minorHAnsi" w:hAnsiTheme="minorHAnsi" w:cstheme="minorHAnsi"/>
          <w:i/>
        </w:rPr>
      </w:pPr>
      <w:bookmarkStart w:id="117" w:name="_Ref346184071"/>
      <w:bookmarkStart w:id="118" w:name="_Toc367285519"/>
      <w:r w:rsidRPr="001A2437">
        <w:rPr>
          <w:rFonts w:asciiTheme="minorHAnsi" w:hAnsiTheme="minorHAnsi" w:cstheme="minorHAnsi"/>
          <w:i/>
        </w:rPr>
        <w:lastRenderedPageBreak/>
        <w:t xml:space="preserve">Figure </w:t>
      </w:r>
      <w:r w:rsidR="007B447B" w:rsidRPr="001A2437">
        <w:rPr>
          <w:rFonts w:asciiTheme="minorHAnsi" w:hAnsiTheme="minorHAnsi" w:cstheme="minorHAnsi"/>
          <w:i/>
        </w:rPr>
        <w:fldChar w:fldCharType="begin"/>
      </w:r>
      <w:r w:rsidRPr="001A2437">
        <w:rPr>
          <w:rFonts w:asciiTheme="minorHAnsi" w:hAnsiTheme="minorHAnsi" w:cstheme="minorHAnsi"/>
          <w:i/>
        </w:rPr>
        <w:instrText xml:space="preserve"> SEQ Figure \* ARABIC </w:instrText>
      </w:r>
      <w:r w:rsidR="007B447B" w:rsidRPr="001A2437">
        <w:rPr>
          <w:rFonts w:asciiTheme="minorHAnsi" w:hAnsiTheme="minorHAnsi" w:cstheme="minorHAnsi"/>
          <w:i/>
        </w:rPr>
        <w:fldChar w:fldCharType="separate"/>
      </w:r>
      <w:r w:rsidR="009E3D1C">
        <w:rPr>
          <w:rFonts w:asciiTheme="minorHAnsi" w:hAnsiTheme="minorHAnsi" w:cstheme="minorHAnsi"/>
          <w:i/>
          <w:noProof/>
        </w:rPr>
        <w:t>3</w:t>
      </w:r>
      <w:r w:rsidR="007B447B" w:rsidRPr="001A2437">
        <w:rPr>
          <w:rFonts w:asciiTheme="minorHAnsi" w:hAnsiTheme="minorHAnsi" w:cstheme="minorHAnsi"/>
          <w:i/>
        </w:rPr>
        <w:fldChar w:fldCharType="end"/>
      </w:r>
      <w:bookmarkEnd w:id="117"/>
      <w:r w:rsidRPr="001A2437">
        <w:rPr>
          <w:rFonts w:asciiTheme="minorHAnsi" w:hAnsiTheme="minorHAnsi" w:cstheme="minorHAnsi"/>
          <w:i/>
        </w:rPr>
        <w:t>: When you do these activities or gamble, who do you usually do it with? (among students who have gambled in the past 12 months</w:t>
      </w:r>
      <w:r>
        <w:rPr>
          <w:rFonts w:asciiTheme="minorHAnsi" w:hAnsiTheme="minorHAnsi" w:cstheme="minorHAnsi"/>
          <w:i/>
        </w:rPr>
        <w:t>; N=1,975</w:t>
      </w:r>
      <w:r w:rsidRPr="001A2437">
        <w:rPr>
          <w:rFonts w:asciiTheme="minorHAnsi" w:hAnsiTheme="minorHAnsi" w:cstheme="minorHAnsi"/>
          <w:i/>
        </w:rPr>
        <w:t>)</w:t>
      </w:r>
      <w:r w:rsidRPr="00E3310E">
        <w:rPr>
          <w:rFonts w:asciiTheme="minorHAnsi" w:hAnsiTheme="minorHAnsi" w:cstheme="minorHAnsi"/>
          <w:i/>
        </w:rPr>
        <w:t xml:space="preserve"> </w:t>
      </w:r>
      <w:r w:rsidRPr="00F3614B">
        <w:rPr>
          <w:rFonts w:asciiTheme="minorHAnsi" w:hAnsiTheme="minorHAnsi" w:cstheme="minorHAnsi"/>
          <w:i/>
          <w:vertAlign w:val="superscript"/>
        </w:rPr>
        <w:t>1</w:t>
      </w:r>
      <w:bookmarkEnd w:id="118"/>
    </w:p>
    <w:p w:rsidR="00043311" w:rsidRDefault="00043311" w:rsidP="00740B76">
      <w:pPr>
        <w:spacing w:line="240" w:lineRule="auto"/>
        <w:jc w:val="center"/>
        <w:rPr>
          <w:rFonts w:asciiTheme="minorHAnsi" w:hAnsiTheme="minorHAnsi" w:cstheme="minorHAnsi"/>
        </w:rPr>
      </w:pPr>
      <w:r w:rsidRPr="00E3310E">
        <w:rPr>
          <w:rFonts w:asciiTheme="minorHAnsi" w:hAnsiTheme="minorHAnsi" w:cstheme="minorHAnsi"/>
          <w:noProof/>
          <w:lang w:eastAsia="en-NZ"/>
        </w:rPr>
        <w:drawing>
          <wp:inline distT="0" distB="0" distL="0" distR="0" wp14:anchorId="7AAEA29F" wp14:editId="18A1BA68">
            <wp:extent cx="5533696" cy="3090041"/>
            <wp:effectExtent l="0" t="0" r="1016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43311" w:rsidRPr="0055372F" w:rsidRDefault="00043311" w:rsidP="0042130F">
      <w:pPr>
        <w:spacing w:before="0" w:line="240" w:lineRule="auto"/>
        <w:ind w:left="993"/>
        <w:rPr>
          <w:rFonts w:asciiTheme="minorHAnsi" w:hAnsiTheme="minorHAnsi" w:cstheme="minorHAnsi"/>
          <w:sz w:val="18"/>
        </w:rPr>
      </w:pPr>
      <w:r w:rsidRPr="0055372F">
        <w:rPr>
          <w:rFonts w:asciiTheme="minorHAnsi" w:hAnsiTheme="minorHAnsi" w:cstheme="minorHAnsi"/>
          <w:sz w:val="18"/>
        </w:rPr>
        <w:t>Note:</w:t>
      </w:r>
    </w:p>
    <w:p w:rsidR="00043311" w:rsidRDefault="00043311" w:rsidP="00043311">
      <w:pPr>
        <w:pStyle w:val="ListParagraph"/>
        <w:numPr>
          <w:ilvl w:val="0"/>
          <w:numId w:val="42"/>
        </w:numPr>
        <w:spacing w:line="240" w:lineRule="auto"/>
        <w:rPr>
          <w:rFonts w:asciiTheme="minorHAnsi" w:hAnsiTheme="minorHAnsi" w:cstheme="minorHAnsi"/>
          <w:sz w:val="18"/>
        </w:rPr>
      </w:pPr>
      <w:r w:rsidRPr="00785601">
        <w:rPr>
          <w:rFonts w:asciiTheme="minorHAnsi" w:hAnsiTheme="minorHAnsi" w:cstheme="minorHAnsi"/>
          <w:sz w:val="18"/>
        </w:rPr>
        <w:t xml:space="preserve">Students could choose more than one response option. </w:t>
      </w:r>
    </w:p>
    <w:p w:rsidR="00740B76" w:rsidRPr="00740B76" w:rsidRDefault="00740B76" w:rsidP="00740B76">
      <w:pPr>
        <w:spacing w:line="240" w:lineRule="auto"/>
        <w:rPr>
          <w:rFonts w:asciiTheme="minorHAnsi" w:hAnsiTheme="minorHAnsi" w:cstheme="minorHAnsi"/>
          <w:sz w:val="18"/>
        </w:rPr>
      </w:pPr>
    </w:p>
    <w:p w:rsidR="00BC4F94" w:rsidRDefault="00BC4F94">
      <w:pPr>
        <w:spacing w:before="0" w:after="200" w:line="276" w:lineRule="auto"/>
        <w:jc w:val="left"/>
        <w:rPr>
          <w:rFonts w:asciiTheme="minorHAnsi" w:hAnsiTheme="minorHAnsi" w:cstheme="minorHAnsi"/>
          <w:b/>
          <w:bCs/>
          <w:iCs/>
          <w:color w:val="1F497D"/>
          <w:szCs w:val="22"/>
        </w:rPr>
      </w:pPr>
      <w:bookmarkStart w:id="119" w:name="_Toc367284426"/>
      <w:r>
        <w:br w:type="page"/>
      </w:r>
    </w:p>
    <w:p w:rsidR="00043311" w:rsidRPr="00E3310E" w:rsidRDefault="00043311" w:rsidP="0042130F">
      <w:pPr>
        <w:pStyle w:val="Heading2"/>
      </w:pPr>
      <w:r>
        <w:lastRenderedPageBreak/>
        <w:t>Summary: Students and their own gambling</w:t>
      </w:r>
      <w:bookmarkEnd w:id="119"/>
    </w:p>
    <w:p w:rsidR="00043311" w:rsidRDefault="00082F17" w:rsidP="0042130F">
      <w:pPr>
        <w:spacing w:before="0" w:line="240" w:lineRule="auto"/>
        <w:jc w:val="left"/>
        <w:rPr>
          <w:rFonts w:asciiTheme="minorHAnsi" w:hAnsiTheme="minorHAnsi" w:cstheme="minorHAnsi"/>
        </w:rPr>
      </w:pPr>
      <w:r>
        <w:rPr>
          <w:rFonts w:asciiTheme="minorHAnsi" w:hAnsiTheme="minorHAnsi" w:cstheme="minorHAnsi"/>
          <w:noProof/>
          <w:lang w:eastAsia="en-NZ"/>
        </w:rPr>
      </w:r>
      <w:r>
        <w:rPr>
          <w:rFonts w:asciiTheme="minorHAnsi" w:hAnsiTheme="minorHAnsi" w:cstheme="minorHAnsi"/>
          <w:noProof/>
          <w:lang w:eastAsia="en-NZ"/>
        </w:rPr>
        <w:pict>
          <v:shapetype id="_x0000_t202" coordsize="21600,21600" o:spt="202" path="m,l,21600r21600,l21600,xe">
            <v:stroke joinstyle="miter"/>
            <v:path gradientshapeok="t" o:connecttype="rect"/>
          </v:shapetype>
          <v:shape id="Text Box 2" o:spid="_x0000_s1046" type="#_x0000_t202" style="width:525.75pt;height:1in;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" fillcolor="#c6d9f1 [671]" stroked="f">
            <v:textbox style="mso-fit-shape-to-text:t">
              <w:txbxContent>
                <w:p w:rsidR="00B45826" w:rsidRPr="00A3483B" w:rsidRDefault="00B45826" w:rsidP="0042130F">
                  <w:pPr>
                    <w:spacing w:line="276" w:lineRule="auto"/>
                    <w:rPr>
                      <w:rFonts w:asciiTheme="minorHAnsi" w:hAnsiTheme="minorHAnsi" w:cstheme="minorHAnsi"/>
                      <w:b/>
                    </w:rPr>
                  </w:pPr>
                  <w:r>
                    <w:rPr>
                      <w:rFonts w:asciiTheme="minorHAnsi" w:hAnsiTheme="minorHAnsi" w:cstheme="minorHAnsi"/>
                      <w:b/>
                    </w:rPr>
                    <w:t>KEY POINTS</w:t>
                  </w:r>
                  <w:r w:rsidRPr="00A3483B">
                    <w:rPr>
                      <w:rFonts w:asciiTheme="minorHAnsi" w:hAnsiTheme="minorHAnsi" w:cstheme="minorHAnsi"/>
                      <w:b/>
                    </w:rPr>
                    <w:t>:</w:t>
                  </w:r>
                </w:p>
                <w:p w:rsidR="00B45826" w:rsidRPr="00F5480E" w:rsidRDefault="00B45826" w:rsidP="0042130F">
                  <w:pPr>
                    <w:pStyle w:val="ListParagraph"/>
                    <w:numPr>
                      <w:ilvl w:val="0"/>
                      <w:numId w:val="10"/>
                    </w:numPr>
                    <w:spacing w:line="276" w:lineRule="auto"/>
                    <w:ind w:left="426"/>
                    <w:rPr>
                      <w:rFonts w:asciiTheme="minorHAnsi" w:hAnsiTheme="minorHAnsi" w:cstheme="minorHAnsi"/>
                    </w:rPr>
                  </w:pPr>
                  <w:r w:rsidRPr="00F5480E">
                    <w:rPr>
                      <w:rFonts w:asciiTheme="minorHAnsi" w:hAnsiTheme="minorHAnsi" w:cstheme="minorHAnsi"/>
                    </w:rPr>
                    <w:t xml:space="preserve">Approximately 10% of students had gambled in the last four weeks and 24% had gambled in the last 12 months. Greater proportions of males than females had gambled. </w:t>
                  </w:r>
                </w:p>
                <w:p w:rsidR="00B45826" w:rsidRPr="00690F13" w:rsidRDefault="00B45826" w:rsidP="0042130F">
                  <w:pPr>
                    <w:pStyle w:val="ListParagraph"/>
                    <w:numPr>
                      <w:ilvl w:val="0"/>
                      <w:numId w:val="10"/>
                    </w:numPr>
                    <w:spacing w:line="276" w:lineRule="auto"/>
                    <w:ind w:left="426"/>
                    <w:rPr>
                      <w:rFonts w:asciiTheme="minorHAnsi" w:hAnsiTheme="minorHAnsi" w:cstheme="minorHAnsi"/>
                      <w:b/>
                      <w:u w:val="single"/>
                    </w:rPr>
                  </w:pPr>
                  <w:r w:rsidRPr="003F4F44">
                    <w:rPr>
                      <w:rFonts w:asciiTheme="minorHAnsi" w:hAnsiTheme="minorHAnsi" w:cstheme="minorHAnsi"/>
                    </w:rPr>
                    <w:t xml:space="preserve">Among students who have gambled in the past 12 months, very few reported that they usually spend ‘$20 or more per week’ or ‘30 minutes or more per day’ on gambling activities (4% and 2% respectively).  </w:t>
                  </w:r>
                </w:p>
                <w:p w:rsidR="00B45826" w:rsidRPr="00D0539C" w:rsidRDefault="00B45826" w:rsidP="0042130F">
                  <w:pPr>
                    <w:pStyle w:val="ListParagraph"/>
                    <w:numPr>
                      <w:ilvl w:val="0"/>
                      <w:numId w:val="10"/>
                    </w:numPr>
                    <w:spacing w:line="276" w:lineRule="auto"/>
                    <w:ind w:left="426"/>
                    <w:rPr>
                      <w:rFonts w:asciiTheme="minorHAnsi" w:hAnsiTheme="minorHAnsi" w:cstheme="minorHAnsi"/>
                      <w:b/>
                      <w:u w:val="single"/>
                    </w:rPr>
                  </w:pPr>
                  <w:r>
                    <w:rPr>
                      <w:rFonts w:asciiTheme="minorHAnsi" w:hAnsiTheme="minorHAnsi" w:cstheme="minorHAnsi"/>
                    </w:rPr>
                    <w:t>Fourteen percent</w:t>
                  </w:r>
                  <w:r w:rsidRPr="008B5D01">
                    <w:rPr>
                      <w:rFonts w:asciiTheme="minorHAnsi" w:hAnsiTheme="minorHAnsi" w:cstheme="minorHAnsi"/>
                    </w:rPr>
                    <w:t xml:space="preserve"> of </w:t>
                  </w:r>
                  <w:r>
                    <w:rPr>
                      <w:rFonts w:asciiTheme="minorHAnsi" w:hAnsiTheme="minorHAnsi" w:cstheme="minorHAnsi"/>
                    </w:rPr>
                    <w:t xml:space="preserve">all </w:t>
                  </w:r>
                  <w:r w:rsidRPr="008B5D01">
                    <w:rPr>
                      <w:rFonts w:asciiTheme="minorHAnsi" w:hAnsiTheme="minorHAnsi" w:cstheme="minorHAnsi"/>
                    </w:rPr>
                    <w:t xml:space="preserve">students had gambled on just one type of </w:t>
                  </w:r>
                  <w:r>
                    <w:rPr>
                      <w:rFonts w:asciiTheme="minorHAnsi" w:hAnsiTheme="minorHAnsi" w:cstheme="minorHAnsi"/>
                    </w:rPr>
                    <w:t xml:space="preserve">gambling </w:t>
                  </w:r>
                  <w:r w:rsidRPr="008B5D01">
                    <w:rPr>
                      <w:rFonts w:asciiTheme="minorHAnsi" w:hAnsiTheme="minorHAnsi" w:cstheme="minorHAnsi"/>
                    </w:rPr>
                    <w:t>activity over the past</w:t>
                  </w:r>
                  <w:r>
                    <w:rPr>
                      <w:rFonts w:asciiTheme="minorHAnsi" w:hAnsiTheme="minorHAnsi" w:cstheme="minorHAnsi"/>
                    </w:rPr>
                    <w:t xml:space="preserve"> 12 months, 8% had gambled on 2 to </w:t>
                  </w:r>
                  <w:r w:rsidRPr="008B5D01">
                    <w:rPr>
                      <w:rFonts w:asciiTheme="minorHAnsi" w:hAnsiTheme="minorHAnsi" w:cstheme="minorHAnsi"/>
                    </w:rPr>
                    <w:t xml:space="preserve">3 activities and very few (2%) had gambled on 4 or more activities. </w:t>
                  </w:r>
                </w:p>
                <w:p w:rsidR="00B45826" w:rsidRPr="008B5D01" w:rsidRDefault="00B45826" w:rsidP="0042130F">
                  <w:pPr>
                    <w:pStyle w:val="ListParagraph"/>
                    <w:spacing w:line="276" w:lineRule="auto"/>
                    <w:ind w:left="426"/>
                    <w:rPr>
                      <w:rFonts w:asciiTheme="minorHAnsi" w:hAnsiTheme="minorHAnsi" w:cstheme="minorHAnsi"/>
                      <w:b/>
                      <w:u w:val="single"/>
                    </w:rPr>
                  </w:pPr>
                </w:p>
                <w:p w:rsidR="00B45826" w:rsidRPr="00D0539C" w:rsidRDefault="00B45826" w:rsidP="0042130F">
                  <w:pPr>
                    <w:pStyle w:val="ListParagraph"/>
                    <w:numPr>
                      <w:ilvl w:val="0"/>
                      <w:numId w:val="10"/>
                    </w:numPr>
                    <w:spacing w:line="276" w:lineRule="auto"/>
                    <w:ind w:left="426"/>
                    <w:rPr>
                      <w:rFonts w:asciiTheme="minorHAnsi" w:hAnsiTheme="minorHAnsi" w:cstheme="minorHAnsi"/>
                      <w:b/>
                      <w:u w:val="single"/>
                    </w:rPr>
                  </w:pPr>
                  <w:r w:rsidRPr="00E4639C">
                    <w:rPr>
                      <w:rFonts w:asciiTheme="minorHAnsi" w:hAnsiTheme="minorHAnsi" w:cstheme="minorHAnsi"/>
                    </w:rPr>
                    <w:t xml:space="preserve">Most students’ who gamble usually did so with friends or with family </w:t>
                  </w:r>
                  <w:r>
                    <w:rPr>
                      <w:rFonts w:asciiTheme="minorHAnsi" w:hAnsiTheme="minorHAnsi" w:cstheme="minorHAnsi"/>
                    </w:rPr>
                    <w:t>members (especially younger students).</w:t>
                  </w:r>
                </w:p>
                <w:p w:rsidR="00B45826" w:rsidRPr="004632F4" w:rsidRDefault="00B45826" w:rsidP="0042130F">
                  <w:pPr>
                    <w:pStyle w:val="ListParagraph"/>
                    <w:numPr>
                      <w:ilvl w:val="0"/>
                      <w:numId w:val="10"/>
                    </w:numPr>
                    <w:spacing w:line="276" w:lineRule="auto"/>
                    <w:ind w:left="426"/>
                    <w:rPr>
                      <w:rFonts w:asciiTheme="minorHAnsi" w:hAnsiTheme="minorHAnsi" w:cstheme="minorHAnsi"/>
                      <w:b/>
                      <w:u w:val="single"/>
                    </w:rPr>
                  </w:pPr>
                  <w:r w:rsidRPr="004632F4">
                    <w:rPr>
                      <w:rFonts w:asciiTheme="minorHAnsi" w:hAnsiTheme="minorHAnsi" w:cstheme="minorHAnsi"/>
                    </w:rPr>
                    <w:t xml:space="preserve">“Bets with friends or family”, “Instant Kiwi (scratchies)”, and “Cards or coin games (e.g. poker)” were the types of gambling that students most frequently reported participating in. </w:t>
                  </w:r>
                </w:p>
                <w:p w:rsidR="00B45826" w:rsidRPr="00943531" w:rsidRDefault="00B45826" w:rsidP="0042130F">
                  <w:pPr>
                    <w:pStyle w:val="ListParagraph"/>
                    <w:numPr>
                      <w:ilvl w:val="0"/>
                      <w:numId w:val="10"/>
                    </w:numPr>
                    <w:spacing w:line="276" w:lineRule="auto"/>
                    <w:ind w:left="426"/>
                    <w:rPr>
                      <w:rFonts w:asciiTheme="minorHAnsi" w:hAnsiTheme="minorHAnsi" w:cstheme="minorHAnsi"/>
                      <w:b/>
                      <w:u w:val="single"/>
                    </w:rPr>
                  </w:pPr>
                  <w:r w:rsidRPr="004632F4">
                    <w:rPr>
                      <w:rFonts w:asciiTheme="minorHAnsi" w:hAnsiTheme="minorHAnsi" w:cstheme="minorHAnsi"/>
                    </w:rPr>
                    <w:t>Gambling in a casino, on cell-phones, over the Internet, bets with friends/family, and card/coin games were more popular amongst males than females.</w:t>
                  </w:r>
                </w:p>
                <w:p w:rsidR="00B45826" w:rsidRPr="00C62DF3" w:rsidRDefault="00B45826" w:rsidP="002A2574">
                  <w:pPr>
                    <w:pStyle w:val="ListParagraph"/>
                    <w:numPr>
                      <w:ilvl w:val="0"/>
                      <w:numId w:val="10"/>
                    </w:numPr>
                    <w:spacing w:line="276" w:lineRule="auto"/>
                    <w:ind w:left="426"/>
                    <w:rPr>
                      <w:rFonts w:asciiTheme="minorHAnsi" w:hAnsiTheme="minorHAnsi" w:cstheme="minorHAnsi"/>
                    </w:rPr>
                  </w:pPr>
                  <w:r w:rsidRPr="00C62DF3">
                    <w:rPr>
                      <w:rFonts w:asciiTheme="minorHAnsi" w:hAnsiTheme="minorHAnsi" w:cstheme="minorHAnsi"/>
                    </w:rPr>
                    <w:t>Despite age restrictions on certain modes of gambling</w:t>
                  </w:r>
                  <w:r w:rsidRPr="002A2574">
                    <w:rPr>
                      <w:rFonts w:cstheme="minorHAnsi"/>
                      <w:vertAlign w:val="superscript"/>
                    </w:rPr>
                    <w:footnoteRef/>
                  </w:r>
                  <w:r w:rsidRPr="00C62DF3">
                    <w:rPr>
                      <w:rFonts w:asciiTheme="minorHAnsi" w:hAnsiTheme="minorHAnsi" w:cstheme="minorHAnsi"/>
                    </w:rPr>
                    <w:t>, some students participated in activities that are illegal for their age group. For example, a number of students aged 16 or less</w:t>
                  </w:r>
                  <w:r w:rsidRPr="002A2574">
                    <w:rPr>
                      <w:rFonts w:cstheme="minorHAnsi"/>
                      <w:vertAlign w:val="superscript"/>
                    </w:rPr>
                    <w:t>2</w:t>
                  </w:r>
                  <w:r w:rsidRPr="00C62DF3">
                    <w:rPr>
                      <w:rFonts w:asciiTheme="minorHAnsi" w:hAnsiTheme="minorHAnsi" w:cstheme="minorHAnsi"/>
                    </w:rPr>
                    <w:t xml:space="preserve"> reported gambling on the following modes over the past year: Instant Kiwi (n=529 students);  Pub/club pokies (n=73 students); Casino tables/machines (n=57 students); TAB betting (n=138 students). </w:t>
                  </w:r>
                </w:p>
                <w:p w:rsidR="00B45826" w:rsidRPr="00160EE6" w:rsidRDefault="00B45826" w:rsidP="0042130F">
                  <w:pPr>
                    <w:pStyle w:val="ListParagraph"/>
                    <w:numPr>
                      <w:ilvl w:val="0"/>
                      <w:numId w:val="10"/>
                    </w:numPr>
                    <w:spacing w:line="276" w:lineRule="auto"/>
                    <w:ind w:left="426"/>
                    <w:rPr>
                      <w:rFonts w:asciiTheme="minorHAnsi" w:hAnsiTheme="minorHAnsi" w:cstheme="minorHAnsi"/>
                      <w:b/>
                      <w:u w:val="single"/>
                    </w:rPr>
                  </w:pPr>
                  <w:r>
                    <w:rPr>
                      <w:rFonts w:asciiTheme="minorHAnsi" w:hAnsiTheme="minorHAnsi" w:cstheme="minorHAnsi"/>
                    </w:rPr>
                    <w:t>Small but s</w:t>
                  </w:r>
                  <w:r w:rsidRPr="003F4F44">
                    <w:rPr>
                      <w:rFonts w:asciiTheme="minorHAnsi" w:hAnsiTheme="minorHAnsi" w:cstheme="minorHAnsi"/>
                    </w:rPr>
                    <w:t xml:space="preserve">tatistically significant decreases were observed in the </w:t>
                  </w:r>
                  <w:r>
                    <w:rPr>
                      <w:rFonts w:asciiTheme="minorHAnsi" w:hAnsiTheme="minorHAnsi" w:cstheme="minorHAnsi"/>
                    </w:rPr>
                    <w:t xml:space="preserve">overall </w:t>
                  </w:r>
                  <w:r w:rsidRPr="003F4F44">
                    <w:rPr>
                      <w:rFonts w:asciiTheme="minorHAnsi" w:hAnsiTheme="minorHAnsi" w:cstheme="minorHAnsi"/>
                    </w:rPr>
                    <w:t>amount of time and money that students spent on gambling from 2007 to 2012.</w:t>
                  </w:r>
                  <w:r w:rsidRPr="00160EE6">
                    <w:rPr>
                      <w:rFonts w:asciiTheme="minorHAnsi" w:hAnsiTheme="minorHAnsi" w:cstheme="minorHAnsi"/>
                    </w:rPr>
                    <w:t xml:space="preserve"> </w:t>
                  </w:r>
                </w:p>
              </w:txbxContent>
            </v:textbox>
            <w10:wrap type="none"/>
            <w10:anchorlock/>
          </v:shape>
        </w:pict>
      </w:r>
    </w:p>
    <w:p w:rsidR="008A11DC" w:rsidRPr="001055C9" w:rsidRDefault="008A11DC" w:rsidP="008A11DC">
      <w:pPr>
        <w:keepNext/>
        <w:spacing w:before="0" w:line="240" w:lineRule="auto"/>
        <w:jc w:val="left"/>
        <w:rPr>
          <w:rFonts w:asciiTheme="minorHAnsi" w:hAnsiTheme="minorHAnsi" w:cstheme="minorHAnsi"/>
          <w:sz w:val="20"/>
          <w:szCs w:val="20"/>
        </w:rPr>
      </w:pPr>
      <w:r w:rsidRPr="001055C9">
        <w:rPr>
          <w:rFonts w:asciiTheme="minorHAnsi" w:hAnsiTheme="minorHAnsi" w:cstheme="minorHAnsi"/>
          <w:sz w:val="20"/>
          <w:szCs w:val="20"/>
        </w:rPr>
        <w:t>Note</w:t>
      </w:r>
      <w:r w:rsidR="00F6040A" w:rsidRPr="001055C9">
        <w:rPr>
          <w:rFonts w:asciiTheme="minorHAnsi" w:hAnsiTheme="minorHAnsi" w:cstheme="minorHAnsi"/>
          <w:sz w:val="20"/>
          <w:szCs w:val="20"/>
        </w:rPr>
        <w:t>s</w:t>
      </w:r>
      <w:r w:rsidRPr="001055C9">
        <w:rPr>
          <w:rFonts w:asciiTheme="minorHAnsi" w:hAnsiTheme="minorHAnsi" w:cstheme="minorHAnsi"/>
          <w:sz w:val="20"/>
          <w:szCs w:val="20"/>
        </w:rPr>
        <w:t>:</w:t>
      </w:r>
    </w:p>
    <w:p w:rsidR="002A2574" w:rsidRPr="001055C9" w:rsidRDefault="002A2574" w:rsidP="000A52D4">
      <w:pPr>
        <w:spacing w:line="276" w:lineRule="auto"/>
        <w:ind w:left="284" w:hanging="284"/>
        <w:rPr>
          <w:rFonts w:asciiTheme="minorHAnsi" w:hAnsiTheme="minorHAnsi"/>
          <w:sz w:val="20"/>
          <w:szCs w:val="20"/>
        </w:rPr>
      </w:pPr>
      <w:r w:rsidRPr="001055C9">
        <w:rPr>
          <w:rFonts w:asciiTheme="minorHAnsi" w:hAnsiTheme="minorHAnsi" w:cstheme="minorHAnsi"/>
          <w:sz w:val="20"/>
          <w:szCs w:val="20"/>
        </w:rPr>
        <w:t xml:space="preserve">1. The </w:t>
      </w:r>
      <w:r w:rsidRPr="001055C9">
        <w:rPr>
          <w:rStyle w:val="FootnoteReference"/>
          <w:rFonts w:asciiTheme="minorHAnsi" w:hAnsiTheme="minorHAnsi"/>
          <w:sz w:val="20"/>
          <w:szCs w:val="20"/>
          <w:vertAlign w:val="baseline"/>
        </w:rPr>
        <w:t xml:space="preserve">legal age for gambling in New Zealand varies according to the specific activity: Instant Kiwi – 18 years of age; Casino  - 20 years of age; TAB betting – 18 years of age; Pub/Club gambling machines - 18 years of age. </w:t>
      </w:r>
    </w:p>
    <w:p w:rsidR="00D66E9F" w:rsidRPr="001055C9" w:rsidRDefault="002A2574" w:rsidP="000A52D4">
      <w:pPr>
        <w:spacing w:before="0" w:line="240" w:lineRule="auto"/>
        <w:ind w:left="284" w:hanging="284"/>
        <w:rPr>
          <w:rFonts w:asciiTheme="minorHAnsi" w:hAnsiTheme="minorHAnsi" w:cstheme="minorHAnsi"/>
          <w:sz w:val="20"/>
          <w:szCs w:val="20"/>
        </w:rPr>
      </w:pPr>
      <w:r w:rsidRPr="001055C9">
        <w:rPr>
          <w:rFonts w:asciiTheme="minorHAnsi" w:hAnsiTheme="minorHAnsi" w:cstheme="minorHAnsi"/>
          <w:sz w:val="20"/>
          <w:szCs w:val="20"/>
        </w:rPr>
        <w:t xml:space="preserve">2.  Students aged ’17 or older’ have not been included in these figures as </w:t>
      </w:r>
      <w:r w:rsidR="00BB3055" w:rsidRPr="001055C9">
        <w:rPr>
          <w:rFonts w:asciiTheme="minorHAnsi" w:hAnsiTheme="minorHAnsi" w:cstheme="minorHAnsi"/>
          <w:sz w:val="20"/>
          <w:szCs w:val="20"/>
        </w:rPr>
        <w:t xml:space="preserve">some </w:t>
      </w:r>
      <w:r w:rsidRPr="001055C9">
        <w:rPr>
          <w:rFonts w:asciiTheme="minorHAnsi" w:hAnsiTheme="minorHAnsi" w:cstheme="minorHAnsi"/>
          <w:sz w:val="20"/>
          <w:szCs w:val="20"/>
        </w:rPr>
        <w:t>of them may be of a legal age to gamble on these modes. As such, the figures reported above may underestimate the actual numbers of minors illegally participating in each activity.</w:t>
      </w:r>
    </w:p>
    <w:p w:rsidR="00043311" w:rsidRPr="00E3310E" w:rsidRDefault="00043311" w:rsidP="0042130F">
      <w:pPr>
        <w:pStyle w:val="Heading1"/>
        <w:rPr>
          <w:rFonts w:asciiTheme="minorHAnsi" w:hAnsiTheme="minorHAnsi" w:cstheme="minorHAnsi"/>
        </w:rPr>
      </w:pPr>
      <w:bookmarkStart w:id="120" w:name="_Toc367284427"/>
      <w:r>
        <w:rPr>
          <w:rFonts w:asciiTheme="minorHAnsi" w:hAnsiTheme="minorHAnsi" w:cstheme="minorHAnsi"/>
          <w:caps w:val="0"/>
        </w:rPr>
        <w:lastRenderedPageBreak/>
        <w:t>UNHEALTHY GAMBLING AMONGST STUDENTS</w:t>
      </w:r>
      <w:bookmarkEnd w:id="120"/>
    </w:p>
    <w:p w:rsidR="00043311" w:rsidRPr="00E3310E" w:rsidRDefault="00043311" w:rsidP="0042130F">
      <w:pPr>
        <w:pStyle w:val="BodyText"/>
      </w:pPr>
      <w:r>
        <w:t xml:space="preserve">Youth’12 gathered data on a number of issues that may be indicative of unhealthy gambling behaviour, including </w:t>
      </w:r>
      <w:r w:rsidRPr="00E3310E">
        <w:t xml:space="preserve">whether or not students’ had concerns about the amount of time or money that they had spent on gambling, and whether or not students had attempted to cut down or reduce their gambling. Students were also asked about their preferences when seeking help </w:t>
      </w:r>
      <w:r>
        <w:t>in regards to</w:t>
      </w:r>
      <w:r w:rsidRPr="00E3310E">
        <w:t xml:space="preserve"> gambling-related issues. Results for each of these items are discussed in the following section. </w:t>
      </w:r>
    </w:p>
    <w:p w:rsidR="00043311" w:rsidRPr="00E3310E" w:rsidRDefault="00043311" w:rsidP="00043311">
      <w:pPr>
        <w:pStyle w:val="Heading2"/>
        <w:numPr>
          <w:ilvl w:val="1"/>
          <w:numId w:val="30"/>
        </w:numPr>
      </w:pPr>
      <w:bookmarkStart w:id="121" w:name="_Toc367284428"/>
      <w:r w:rsidRPr="00E3310E">
        <w:t xml:space="preserve">Worried about </w:t>
      </w:r>
      <w:r>
        <w:t xml:space="preserve">or tried to cut down on </w:t>
      </w:r>
      <w:r w:rsidRPr="00E3310E">
        <w:t>the amount of time or money spent on gambling</w:t>
      </w:r>
      <w:bookmarkEnd w:id="121"/>
      <w:r w:rsidRPr="00E3310E">
        <w:t xml:space="preserve">  </w:t>
      </w:r>
    </w:p>
    <w:p w:rsidR="00043311" w:rsidRPr="00E3310E" w:rsidRDefault="00043311" w:rsidP="0042130F">
      <w:pPr>
        <w:spacing w:line="360" w:lineRule="auto"/>
        <w:rPr>
          <w:rFonts w:asciiTheme="minorHAnsi" w:hAnsiTheme="minorHAnsi" w:cstheme="minorHAnsi"/>
        </w:rPr>
      </w:pPr>
      <w:r w:rsidRPr="001A2437">
        <w:rPr>
          <w:rFonts w:asciiTheme="minorHAnsi" w:hAnsiTheme="minorHAnsi" w:cstheme="minorHAnsi"/>
        </w:rPr>
        <w:t>Students who had gambled in the last 12 months (N=2,077) were asked “Are you worried about how</w:t>
      </w:r>
      <w:r w:rsidRPr="00E3310E">
        <w:rPr>
          <w:rFonts w:asciiTheme="minorHAnsi" w:hAnsiTheme="minorHAnsi" w:cstheme="minorHAnsi"/>
        </w:rPr>
        <w:t xml:space="preserve"> much time or money you spend on these activities or gambling?” While the majority (85%) of these students we</w:t>
      </w:r>
      <w:r>
        <w:rPr>
          <w:rFonts w:asciiTheme="minorHAnsi" w:hAnsiTheme="minorHAnsi" w:cstheme="minorHAnsi"/>
        </w:rPr>
        <w:t>re not worried, approximately 1</w:t>
      </w:r>
      <w:r w:rsidR="00F73A6B">
        <w:rPr>
          <w:rFonts w:asciiTheme="minorHAnsi" w:hAnsiTheme="minorHAnsi" w:cstheme="minorHAnsi"/>
        </w:rPr>
        <w:t>5</w:t>
      </w:r>
      <w:r w:rsidRPr="00E3310E">
        <w:rPr>
          <w:rFonts w:asciiTheme="minorHAnsi" w:hAnsiTheme="minorHAnsi" w:cstheme="minorHAnsi"/>
        </w:rPr>
        <w:t xml:space="preserve">% </w:t>
      </w:r>
      <w:r>
        <w:rPr>
          <w:rFonts w:asciiTheme="minorHAnsi" w:hAnsiTheme="minorHAnsi" w:cstheme="minorHAnsi"/>
        </w:rPr>
        <w:t xml:space="preserve">(n=318) </w:t>
      </w:r>
      <w:r w:rsidRPr="00E3310E">
        <w:rPr>
          <w:rFonts w:asciiTheme="minorHAnsi" w:hAnsiTheme="minorHAnsi" w:cstheme="minorHAnsi"/>
        </w:rPr>
        <w:t>indicated that they were worried about the amount of time or money that they had spent on these activities</w:t>
      </w:r>
      <w:r>
        <w:rPr>
          <w:rFonts w:asciiTheme="minorHAnsi" w:hAnsiTheme="minorHAnsi" w:cstheme="minorHAnsi"/>
        </w:rPr>
        <w:t xml:space="preserve"> (5% said they worried about this “a lot”, 5% “some” and 6% “a little”)</w:t>
      </w:r>
      <w:r w:rsidRPr="00E3310E">
        <w:rPr>
          <w:rFonts w:asciiTheme="minorHAnsi" w:hAnsiTheme="minorHAnsi" w:cstheme="minorHAnsi"/>
        </w:rPr>
        <w:t>. A greater proportion of male than female students said they were worried (19% and 11% respectively) and it was more common for younger students to be worried about their gambling, for example, 22% of those aged ‘13 and under’ compared to 12% of those aged ‘17 and over’</w:t>
      </w:r>
      <w:r>
        <w:rPr>
          <w:rFonts w:asciiTheme="minorHAnsi" w:hAnsiTheme="minorHAnsi" w:cstheme="minorHAnsi"/>
        </w:rPr>
        <w:t xml:space="preserve"> were worried about their gambling</w:t>
      </w:r>
      <w:r w:rsidRPr="00E3310E">
        <w:rPr>
          <w:rFonts w:asciiTheme="minorHAnsi" w:hAnsiTheme="minorHAnsi" w:cstheme="minorHAnsi"/>
        </w:rPr>
        <w:t xml:space="preserve">. Greater proportions of students from neighbourhoods with higher levels of deprivation (see </w:t>
      </w:r>
      <w:r w:rsidR="00082F17">
        <w:fldChar w:fldCharType="begin"/>
      </w:r>
      <w:r w:rsidR="00082F17">
        <w:instrText xml:space="preserve"> REF _Ref347403943 \h  \* MERGEFORMAT </w:instrText>
      </w:r>
      <w:r w:rsidR="00082F17">
        <w:fldChar w:fldCharType="separate"/>
      </w:r>
      <w:r w:rsidR="009E3D1C" w:rsidRPr="00BC4F94">
        <w:rPr>
          <w:rFonts w:asciiTheme="minorHAnsi" w:hAnsiTheme="minorHAnsi" w:cstheme="minorHAnsi"/>
        </w:rPr>
        <w:t>Figure 4</w:t>
      </w:r>
      <w:r w:rsidR="00082F17">
        <w:fldChar w:fldCharType="end"/>
      </w:r>
      <w:r w:rsidRPr="00E3310E">
        <w:rPr>
          <w:rFonts w:asciiTheme="minorHAnsi" w:hAnsiTheme="minorHAnsi" w:cstheme="minorHAnsi"/>
        </w:rPr>
        <w:t xml:space="preserve">) and </w:t>
      </w:r>
      <w:r>
        <w:rPr>
          <w:rFonts w:asciiTheme="minorHAnsi" w:hAnsiTheme="minorHAnsi" w:cstheme="minorHAnsi"/>
        </w:rPr>
        <w:t xml:space="preserve">those </w:t>
      </w:r>
      <w:r w:rsidRPr="00E3310E">
        <w:rPr>
          <w:rFonts w:asciiTheme="minorHAnsi" w:hAnsiTheme="minorHAnsi" w:cstheme="minorHAnsi"/>
        </w:rPr>
        <w:t xml:space="preserve">living in urban settings were worried about the money or time they spent gambling. </w:t>
      </w:r>
      <w:r w:rsidR="007B447B">
        <w:rPr>
          <w:rFonts w:asciiTheme="minorHAnsi" w:hAnsiTheme="minorHAnsi" w:cstheme="minorHAnsi"/>
        </w:rPr>
        <w:fldChar w:fldCharType="begin"/>
      </w:r>
      <w:r>
        <w:rPr>
          <w:rFonts w:asciiTheme="minorHAnsi" w:hAnsiTheme="minorHAnsi" w:cstheme="minorHAnsi"/>
        </w:rPr>
        <w:instrText xml:space="preserve"> REF _Ref354056181 \r \h </w:instrText>
      </w:r>
      <w:r w:rsidR="007B447B">
        <w:rPr>
          <w:rFonts w:asciiTheme="minorHAnsi" w:hAnsiTheme="minorHAnsi" w:cstheme="minorHAnsi"/>
        </w:rPr>
      </w:r>
      <w:r w:rsidR="007B447B">
        <w:rPr>
          <w:rFonts w:asciiTheme="minorHAnsi" w:hAnsiTheme="minorHAnsi" w:cstheme="minorHAnsi"/>
        </w:rPr>
        <w:fldChar w:fldCharType="separate"/>
      </w:r>
      <w:r w:rsidR="009E3D1C">
        <w:rPr>
          <w:rFonts w:asciiTheme="minorHAnsi" w:hAnsiTheme="minorHAnsi" w:cstheme="minorHAnsi"/>
        </w:rPr>
        <w:t>Appendix K</w:t>
      </w:r>
      <w:r w:rsidR="007B447B">
        <w:rPr>
          <w:rFonts w:asciiTheme="minorHAnsi" w:hAnsiTheme="minorHAnsi" w:cstheme="minorHAnsi"/>
        </w:rPr>
        <w:fldChar w:fldCharType="end"/>
      </w:r>
      <w:r w:rsidRPr="00E3310E">
        <w:rPr>
          <w:rFonts w:asciiTheme="minorHAnsi" w:hAnsiTheme="minorHAnsi" w:cstheme="minorHAnsi"/>
        </w:rPr>
        <w:t xml:space="preserve"> provides a full breakdown of this i</w:t>
      </w:r>
      <w:r>
        <w:rPr>
          <w:rFonts w:asciiTheme="minorHAnsi" w:hAnsiTheme="minorHAnsi" w:cstheme="minorHAnsi"/>
        </w:rPr>
        <w:t>tem by demographic variables.</w:t>
      </w:r>
    </w:p>
    <w:p w:rsidR="00043311" w:rsidRDefault="00043311" w:rsidP="0042130F">
      <w:pPr>
        <w:spacing w:line="360" w:lineRule="auto"/>
        <w:rPr>
          <w:rFonts w:asciiTheme="minorHAnsi" w:hAnsiTheme="minorHAnsi" w:cstheme="minorHAnsi"/>
        </w:rPr>
      </w:pPr>
      <w:r>
        <w:rPr>
          <w:rFonts w:asciiTheme="minorHAnsi" w:hAnsiTheme="minorHAnsi" w:cstheme="minorHAnsi"/>
        </w:rPr>
        <w:t>Fourteen percent of</w:t>
      </w:r>
      <w:r w:rsidRPr="001A2437">
        <w:rPr>
          <w:rFonts w:asciiTheme="minorHAnsi" w:hAnsiTheme="minorHAnsi" w:cstheme="minorHAnsi"/>
        </w:rPr>
        <w:t xml:space="preserve"> students </w:t>
      </w:r>
      <w:r>
        <w:rPr>
          <w:rFonts w:asciiTheme="minorHAnsi" w:hAnsiTheme="minorHAnsi" w:cstheme="minorHAnsi"/>
        </w:rPr>
        <w:t xml:space="preserve">(n=293) </w:t>
      </w:r>
      <w:r w:rsidRPr="001A2437">
        <w:rPr>
          <w:rFonts w:asciiTheme="minorHAnsi" w:hAnsiTheme="minorHAnsi" w:cstheme="minorHAnsi"/>
        </w:rPr>
        <w:t>who had gambled i</w:t>
      </w:r>
      <w:r>
        <w:rPr>
          <w:rFonts w:asciiTheme="minorHAnsi" w:hAnsiTheme="minorHAnsi" w:cstheme="minorHAnsi"/>
        </w:rPr>
        <w:t xml:space="preserve">n the past 12 months (N=2,069) </w:t>
      </w:r>
      <w:r w:rsidRPr="001A2437">
        <w:rPr>
          <w:rFonts w:asciiTheme="minorHAnsi" w:hAnsiTheme="minorHAnsi" w:cstheme="minorHAnsi"/>
        </w:rPr>
        <w:t>reported that they had tried</w:t>
      </w:r>
      <w:r w:rsidRPr="00E3310E">
        <w:rPr>
          <w:rFonts w:asciiTheme="minorHAnsi" w:hAnsiTheme="minorHAnsi" w:cstheme="minorHAnsi"/>
        </w:rPr>
        <w:t xml:space="preserve"> to cut down or give up gambling. While there were no </w:t>
      </w:r>
      <w:r>
        <w:rPr>
          <w:rFonts w:asciiTheme="minorHAnsi" w:hAnsiTheme="minorHAnsi" w:cstheme="minorHAnsi"/>
        </w:rPr>
        <w:t xml:space="preserve">meaningful </w:t>
      </w:r>
      <w:r w:rsidRPr="00E3310E">
        <w:rPr>
          <w:rFonts w:asciiTheme="minorHAnsi" w:hAnsiTheme="minorHAnsi" w:cstheme="minorHAnsi"/>
        </w:rPr>
        <w:t>differences between the proportions of males and females who had tried to cut down, the following differences were observed: younger students were more likely to have tried to give up than older students; a greater proportion of students from neighbourhoods with higher levels of</w:t>
      </w:r>
      <w:r>
        <w:rPr>
          <w:rFonts w:asciiTheme="minorHAnsi" w:hAnsiTheme="minorHAnsi" w:cstheme="minorHAnsi"/>
        </w:rPr>
        <w:t xml:space="preserve"> socio-economic</w:t>
      </w:r>
      <w:r w:rsidRPr="00E3310E">
        <w:rPr>
          <w:rFonts w:asciiTheme="minorHAnsi" w:hAnsiTheme="minorHAnsi" w:cstheme="minorHAnsi"/>
        </w:rPr>
        <w:t xml:space="preserve"> deprivation had tried to cut down on gambling (see </w:t>
      </w:r>
      <w:r w:rsidR="00082F17">
        <w:fldChar w:fldCharType="begin"/>
      </w:r>
      <w:r w:rsidR="00082F17">
        <w:instrText xml:space="preserve"> REF _Ref349137680 \h  \* MERGEFORMAT </w:instrText>
      </w:r>
      <w:r w:rsidR="00082F17">
        <w:fldChar w:fldCharType="separate"/>
      </w:r>
      <w:r w:rsidR="009E3D1C" w:rsidRPr="00BC4F94">
        <w:rPr>
          <w:rFonts w:asciiTheme="minorHAnsi" w:hAnsiTheme="minorHAnsi" w:cstheme="minorHAnsi"/>
        </w:rPr>
        <w:t>Figure 5</w:t>
      </w:r>
      <w:r w:rsidR="00082F17">
        <w:fldChar w:fldCharType="end"/>
      </w:r>
      <w:r w:rsidRPr="00E3310E">
        <w:rPr>
          <w:rFonts w:asciiTheme="minorHAnsi" w:hAnsiTheme="minorHAnsi" w:cstheme="minorHAnsi"/>
        </w:rPr>
        <w:t xml:space="preserve">); and, students living in urban settings were more likely to have tried to give up gambling than their rural peers (15% and 6% respectively). </w:t>
      </w:r>
      <w:r>
        <w:rPr>
          <w:rFonts w:asciiTheme="minorHAnsi" w:hAnsiTheme="minorHAnsi" w:cstheme="minorHAnsi"/>
        </w:rPr>
        <w:t>Further</w:t>
      </w:r>
      <w:r w:rsidRPr="00E3310E">
        <w:rPr>
          <w:rFonts w:asciiTheme="minorHAnsi" w:hAnsiTheme="minorHAnsi" w:cstheme="minorHAnsi"/>
        </w:rPr>
        <w:t xml:space="preserve"> details </w:t>
      </w:r>
      <w:r>
        <w:rPr>
          <w:rFonts w:asciiTheme="minorHAnsi" w:hAnsiTheme="minorHAnsi" w:cstheme="minorHAnsi"/>
        </w:rPr>
        <w:t>are provided</w:t>
      </w:r>
      <w:r w:rsidRPr="00E3310E">
        <w:rPr>
          <w:rFonts w:asciiTheme="minorHAnsi" w:hAnsiTheme="minorHAnsi" w:cstheme="minorHAnsi"/>
        </w:rPr>
        <w:t xml:space="preserve"> in</w:t>
      </w:r>
      <w:r>
        <w:rPr>
          <w:rFonts w:asciiTheme="minorHAnsi" w:hAnsiTheme="minorHAnsi" w:cstheme="minorHAnsi"/>
        </w:rPr>
        <w:t xml:space="preserve"> </w:t>
      </w:r>
      <w:r w:rsidR="007B447B">
        <w:rPr>
          <w:rFonts w:asciiTheme="minorHAnsi" w:hAnsiTheme="minorHAnsi" w:cstheme="minorHAnsi"/>
        </w:rPr>
        <w:fldChar w:fldCharType="begin"/>
      </w:r>
      <w:r>
        <w:rPr>
          <w:rFonts w:asciiTheme="minorHAnsi" w:hAnsiTheme="minorHAnsi" w:cstheme="minorHAnsi"/>
        </w:rPr>
        <w:instrText xml:space="preserve"> REF _Ref351643248 \r \h </w:instrText>
      </w:r>
      <w:r w:rsidR="007B447B">
        <w:rPr>
          <w:rFonts w:asciiTheme="minorHAnsi" w:hAnsiTheme="minorHAnsi" w:cstheme="minorHAnsi"/>
        </w:rPr>
      </w:r>
      <w:r w:rsidR="007B447B">
        <w:rPr>
          <w:rFonts w:asciiTheme="minorHAnsi" w:hAnsiTheme="minorHAnsi" w:cstheme="minorHAnsi"/>
        </w:rPr>
        <w:fldChar w:fldCharType="separate"/>
      </w:r>
      <w:r w:rsidR="009E3D1C">
        <w:rPr>
          <w:rFonts w:asciiTheme="minorHAnsi" w:hAnsiTheme="minorHAnsi" w:cstheme="minorHAnsi"/>
        </w:rPr>
        <w:t>Appendix K</w:t>
      </w:r>
      <w:r w:rsidR="007B447B">
        <w:rPr>
          <w:rFonts w:asciiTheme="minorHAnsi" w:hAnsiTheme="minorHAnsi" w:cstheme="minorHAnsi"/>
        </w:rPr>
        <w:fldChar w:fldCharType="end"/>
      </w:r>
      <w:r w:rsidRPr="00E3310E">
        <w:rPr>
          <w:rFonts w:asciiTheme="minorHAnsi" w:hAnsiTheme="minorHAnsi" w:cstheme="minorHAnsi"/>
        </w:rPr>
        <w:t xml:space="preserve">. </w:t>
      </w:r>
    </w:p>
    <w:p w:rsidR="00043311" w:rsidRDefault="00043311" w:rsidP="0042130F">
      <w:pPr>
        <w:pStyle w:val="Caption"/>
        <w:keepNext/>
        <w:spacing w:line="360" w:lineRule="auto"/>
        <w:ind w:left="992" w:hanging="992"/>
        <w:rPr>
          <w:rFonts w:asciiTheme="minorHAnsi" w:hAnsiTheme="minorHAnsi" w:cstheme="minorHAnsi"/>
          <w:i/>
          <w:lang w:eastAsia="en-NZ"/>
        </w:rPr>
      </w:pPr>
      <w:bookmarkStart w:id="122" w:name="_Ref347403943"/>
      <w:bookmarkStart w:id="123" w:name="_Toc367285520"/>
      <w:r w:rsidRPr="001A2437">
        <w:rPr>
          <w:rFonts w:asciiTheme="minorHAnsi" w:hAnsiTheme="minorHAnsi" w:cstheme="minorHAnsi"/>
          <w:i/>
        </w:rPr>
        <w:lastRenderedPageBreak/>
        <w:t xml:space="preserve">Figure </w:t>
      </w:r>
      <w:r w:rsidR="007B447B" w:rsidRPr="001A2437">
        <w:rPr>
          <w:rFonts w:asciiTheme="minorHAnsi" w:hAnsiTheme="minorHAnsi" w:cstheme="minorHAnsi"/>
          <w:i/>
        </w:rPr>
        <w:fldChar w:fldCharType="begin"/>
      </w:r>
      <w:r w:rsidRPr="001A2437">
        <w:rPr>
          <w:rFonts w:asciiTheme="minorHAnsi" w:hAnsiTheme="minorHAnsi" w:cstheme="minorHAnsi"/>
          <w:i/>
        </w:rPr>
        <w:instrText xml:space="preserve"> SEQ Figure \* ARABIC </w:instrText>
      </w:r>
      <w:r w:rsidR="007B447B" w:rsidRPr="001A2437">
        <w:rPr>
          <w:rFonts w:asciiTheme="minorHAnsi" w:hAnsiTheme="minorHAnsi" w:cstheme="minorHAnsi"/>
          <w:i/>
        </w:rPr>
        <w:fldChar w:fldCharType="separate"/>
      </w:r>
      <w:r w:rsidR="009E3D1C">
        <w:rPr>
          <w:rFonts w:asciiTheme="minorHAnsi" w:hAnsiTheme="minorHAnsi" w:cstheme="minorHAnsi"/>
          <w:i/>
          <w:noProof/>
        </w:rPr>
        <w:t>4</w:t>
      </w:r>
      <w:r w:rsidR="007B447B" w:rsidRPr="001A2437">
        <w:rPr>
          <w:rFonts w:asciiTheme="minorHAnsi" w:hAnsiTheme="minorHAnsi" w:cstheme="minorHAnsi"/>
          <w:i/>
        </w:rPr>
        <w:fldChar w:fldCharType="end"/>
      </w:r>
      <w:bookmarkEnd w:id="122"/>
      <w:r w:rsidRPr="001A2437">
        <w:rPr>
          <w:rFonts w:asciiTheme="minorHAnsi" w:hAnsiTheme="minorHAnsi" w:cstheme="minorHAnsi"/>
          <w:i/>
        </w:rPr>
        <w:t>: Worried about the amount of time or money spent gambling by neighbourhood deprivation (</w:t>
      </w:r>
      <w:r w:rsidRPr="001A2437">
        <w:rPr>
          <w:rFonts w:asciiTheme="minorHAnsi" w:hAnsiTheme="minorHAnsi" w:cstheme="minorHAnsi"/>
          <w:i/>
          <w:lang w:eastAsia="en-NZ"/>
        </w:rPr>
        <w:t xml:space="preserve">among students who have gambled in </w:t>
      </w:r>
      <w:r>
        <w:rPr>
          <w:rFonts w:asciiTheme="minorHAnsi" w:hAnsiTheme="minorHAnsi" w:cstheme="minorHAnsi"/>
          <w:i/>
          <w:lang w:eastAsia="en-NZ"/>
        </w:rPr>
        <w:t xml:space="preserve">the </w:t>
      </w:r>
      <w:r w:rsidRPr="001A2437">
        <w:rPr>
          <w:rFonts w:asciiTheme="minorHAnsi" w:hAnsiTheme="minorHAnsi" w:cstheme="minorHAnsi"/>
          <w:i/>
          <w:lang w:eastAsia="en-NZ"/>
        </w:rPr>
        <w:t>last 12 months</w:t>
      </w:r>
      <w:r>
        <w:rPr>
          <w:rFonts w:asciiTheme="minorHAnsi" w:hAnsiTheme="minorHAnsi" w:cstheme="minorHAnsi"/>
          <w:i/>
          <w:lang w:eastAsia="en-NZ"/>
        </w:rPr>
        <w:t>; N=2077</w:t>
      </w:r>
      <w:r w:rsidRPr="001A2437">
        <w:rPr>
          <w:rFonts w:asciiTheme="minorHAnsi" w:hAnsiTheme="minorHAnsi" w:cstheme="minorHAnsi"/>
          <w:i/>
          <w:lang w:eastAsia="en-NZ"/>
        </w:rPr>
        <w:t>)</w:t>
      </w:r>
      <w:bookmarkEnd w:id="123"/>
    </w:p>
    <w:p w:rsidR="00043311" w:rsidRPr="00E3310E" w:rsidRDefault="00043311" w:rsidP="0042130F">
      <w:pPr>
        <w:jc w:val="center"/>
        <w:rPr>
          <w:rFonts w:asciiTheme="minorHAnsi" w:hAnsiTheme="minorHAnsi" w:cstheme="minorHAnsi"/>
        </w:rPr>
      </w:pPr>
      <w:r w:rsidRPr="00E3310E">
        <w:rPr>
          <w:rFonts w:asciiTheme="minorHAnsi" w:hAnsiTheme="minorHAnsi" w:cstheme="minorHAnsi"/>
          <w:noProof/>
          <w:lang w:eastAsia="en-NZ"/>
        </w:rPr>
        <w:drawing>
          <wp:inline distT="0" distB="0" distL="0" distR="0" wp14:anchorId="0F78D903" wp14:editId="2A2A0888">
            <wp:extent cx="5712178" cy="2912533"/>
            <wp:effectExtent l="0" t="0" r="22225" b="2159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43311" w:rsidRPr="00E3310E" w:rsidRDefault="00043311" w:rsidP="0042130F">
      <w:pPr>
        <w:pStyle w:val="Caption"/>
        <w:keepNext/>
        <w:spacing w:line="360" w:lineRule="auto"/>
        <w:ind w:left="992" w:hanging="992"/>
        <w:rPr>
          <w:rFonts w:asciiTheme="minorHAnsi" w:hAnsiTheme="minorHAnsi" w:cstheme="minorHAnsi"/>
        </w:rPr>
      </w:pPr>
      <w:bookmarkStart w:id="124" w:name="_Ref349137680"/>
      <w:bookmarkStart w:id="125" w:name="_Toc367285521"/>
      <w:r w:rsidRPr="001A2437">
        <w:rPr>
          <w:rFonts w:asciiTheme="minorHAnsi" w:hAnsiTheme="minorHAnsi" w:cstheme="minorHAnsi"/>
          <w:i/>
        </w:rPr>
        <w:t xml:space="preserve">Figure </w:t>
      </w:r>
      <w:r w:rsidR="007B447B" w:rsidRPr="001A2437">
        <w:rPr>
          <w:rFonts w:asciiTheme="minorHAnsi" w:hAnsiTheme="minorHAnsi" w:cstheme="minorHAnsi"/>
          <w:i/>
        </w:rPr>
        <w:fldChar w:fldCharType="begin"/>
      </w:r>
      <w:r w:rsidRPr="001A2437">
        <w:rPr>
          <w:rFonts w:asciiTheme="minorHAnsi" w:hAnsiTheme="minorHAnsi" w:cstheme="minorHAnsi"/>
          <w:i/>
        </w:rPr>
        <w:instrText xml:space="preserve"> SEQ Figure \* ARABIC </w:instrText>
      </w:r>
      <w:r w:rsidR="007B447B" w:rsidRPr="001A2437">
        <w:rPr>
          <w:rFonts w:asciiTheme="minorHAnsi" w:hAnsiTheme="minorHAnsi" w:cstheme="minorHAnsi"/>
          <w:i/>
        </w:rPr>
        <w:fldChar w:fldCharType="separate"/>
      </w:r>
      <w:r w:rsidR="009E3D1C">
        <w:rPr>
          <w:rFonts w:asciiTheme="minorHAnsi" w:hAnsiTheme="minorHAnsi" w:cstheme="minorHAnsi"/>
          <w:i/>
          <w:noProof/>
        </w:rPr>
        <w:t>5</w:t>
      </w:r>
      <w:r w:rsidR="007B447B" w:rsidRPr="001A2437">
        <w:rPr>
          <w:rFonts w:asciiTheme="minorHAnsi" w:hAnsiTheme="minorHAnsi" w:cstheme="minorHAnsi"/>
          <w:i/>
        </w:rPr>
        <w:fldChar w:fldCharType="end"/>
      </w:r>
      <w:bookmarkEnd w:id="124"/>
      <w:r w:rsidRPr="001A2437">
        <w:rPr>
          <w:rFonts w:asciiTheme="minorHAnsi" w:hAnsiTheme="minorHAnsi" w:cstheme="minorHAnsi"/>
          <w:i/>
        </w:rPr>
        <w:t>: Have tried to cut down or give up gambling by neighbourhood deprivation (</w:t>
      </w:r>
      <w:r w:rsidRPr="001A2437">
        <w:rPr>
          <w:rFonts w:asciiTheme="minorHAnsi" w:hAnsiTheme="minorHAnsi" w:cstheme="minorHAnsi"/>
          <w:i/>
          <w:lang w:eastAsia="en-NZ"/>
        </w:rPr>
        <w:t xml:space="preserve">among students who have gambled in </w:t>
      </w:r>
      <w:r>
        <w:rPr>
          <w:rFonts w:asciiTheme="minorHAnsi" w:hAnsiTheme="minorHAnsi" w:cstheme="minorHAnsi"/>
          <w:i/>
          <w:lang w:eastAsia="en-NZ"/>
        </w:rPr>
        <w:t xml:space="preserve">the </w:t>
      </w:r>
      <w:r w:rsidRPr="001A2437">
        <w:rPr>
          <w:rFonts w:asciiTheme="minorHAnsi" w:hAnsiTheme="minorHAnsi" w:cstheme="minorHAnsi"/>
          <w:i/>
          <w:lang w:eastAsia="en-NZ"/>
        </w:rPr>
        <w:t>last 12 months</w:t>
      </w:r>
      <w:r>
        <w:rPr>
          <w:rFonts w:asciiTheme="minorHAnsi" w:hAnsiTheme="minorHAnsi" w:cstheme="minorHAnsi"/>
          <w:i/>
          <w:lang w:eastAsia="en-NZ"/>
        </w:rPr>
        <w:t>; N=2069</w:t>
      </w:r>
      <w:r w:rsidRPr="001A2437">
        <w:rPr>
          <w:rFonts w:asciiTheme="minorHAnsi" w:hAnsiTheme="minorHAnsi" w:cstheme="minorHAnsi"/>
          <w:i/>
          <w:lang w:eastAsia="en-NZ"/>
        </w:rPr>
        <w:t>)</w:t>
      </w:r>
      <w:bookmarkEnd w:id="125"/>
    </w:p>
    <w:p w:rsidR="00043311" w:rsidRPr="00E3310E" w:rsidRDefault="00043311" w:rsidP="0042130F">
      <w:pPr>
        <w:jc w:val="center"/>
        <w:rPr>
          <w:rFonts w:asciiTheme="minorHAnsi" w:hAnsiTheme="minorHAnsi" w:cstheme="minorHAnsi"/>
        </w:rPr>
      </w:pPr>
      <w:r w:rsidRPr="00E3310E">
        <w:rPr>
          <w:rFonts w:asciiTheme="minorHAnsi" w:hAnsiTheme="minorHAnsi" w:cstheme="minorHAnsi"/>
          <w:noProof/>
          <w:lang w:eastAsia="en-NZ"/>
        </w:rPr>
        <w:drawing>
          <wp:inline distT="0" distB="0" distL="0" distR="0" wp14:anchorId="299604FA" wp14:editId="7B49ADCE">
            <wp:extent cx="5688281" cy="3206338"/>
            <wp:effectExtent l="0" t="0" r="27305" b="133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43311" w:rsidRDefault="00043311">
      <w:pPr>
        <w:spacing w:before="0" w:line="240" w:lineRule="auto"/>
        <w:jc w:val="left"/>
        <w:rPr>
          <w:rFonts w:asciiTheme="minorHAnsi" w:hAnsiTheme="minorHAnsi" w:cstheme="minorHAnsi"/>
          <w:b/>
          <w:iCs/>
          <w:color w:val="1F497D"/>
          <w:szCs w:val="26"/>
        </w:rPr>
      </w:pPr>
      <w:r>
        <w:br w:type="page"/>
      </w:r>
    </w:p>
    <w:p w:rsidR="00043311" w:rsidRPr="00E3310E" w:rsidRDefault="00043311" w:rsidP="0042130F">
      <w:pPr>
        <w:pStyle w:val="Heading3"/>
      </w:pPr>
      <w:bookmarkStart w:id="126" w:name="_Toc367284429"/>
      <w:r w:rsidRPr="00E3310E">
        <w:lastRenderedPageBreak/>
        <w:t>Comparison with other risky behaviours</w:t>
      </w:r>
      <w:bookmarkEnd w:id="126"/>
      <w:r w:rsidRPr="00E3310E">
        <w:t xml:space="preserve">  </w:t>
      </w:r>
    </w:p>
    <w:p w:rsidR="00043311" w:rsidRDefault="00082F17" w:rsidP="0042130F">
      <w:pPr>
        <w:spacing w:line="360" w:lineRule="auto"/>
        <w:rPr>
          <w:rFonts w:asciiTheme="minorHAnsi" w:hAnsiTheme="minorHAnsi" w:cstheme="minorHAnsi"/>
        </w:rPr>
      </w:pPr>
      <w:r>
        <w:fldChar w:fldCharType="begin"/>
      </w:r>
      <w:r>
        <w:instrText xml:space="preserve"> REF _Ref363722427 \h  \* MERGEFORMAT </w:instrText>
      </w:r>
      <w:r>
        <w:fldChar w:fldCharType="separate"/>
      </w:r>
      <w:r w:rsidR="009E3D1C" w:rsidRPr="00BC4F94">
        <w:rPr>
          <w:rFonts w:asciiTheme="minorHAnsi" w:hAnsiTheme="minorHAnsi" w:cstheme="minorHAnsi"/>
        </w:rPr>
        <w:t>Figure 6</w:t>
      </w:r>
      <w:r>
        <w:fldChar w:fldCharType="end"/>
      </w:r>
      <w:r w:rsidR="00043311" w:rsidRPr="00815A04">
        <w:rPr>
          <w:rFonts w:asciiTheme="minorHAnsi" w:hAnsiTheme="minorHAnsi" w:cstheme="minorHAnsi"/>
        </w:rPr>
        <w:t xml:space="preserve"> illustrates</w:t>
      </w:r>
      <w:r w:rsidR="00043311">
        <w:rPr>
          <w:rFonts w:asciiTheme="minorHAnsi" w:hAnsiTheme="minorHAnsi" w:cstheme="minorHAnsi"/>
        </w:rPr>
        <w:t xml:space="preserve"> the proportions of students who have worried about or tried to cut down on their gambling, use of alcohol, and use of marijuana. The rates portrayed in Figure 6 (and discussed in the following text) relate to a proportion of students who have engaged in each activity (i.e. 6.6% </w:t>
      </w:r>
      <w:r w:rsidR="00043311" w:rsidRPr="006A1AC8">
        <w:rPr>
          <w:rFonts w:asciiTheme="minorHAnsi" w:hAnsiTheme="minorHAnsi" w:cstheme="minorHAnsi"/>
        </w:rPr>
        <w:t>of students who have gambled over the past 12 months</w:t>
      </w:r>
      <w:r w:rsidR="00043311">
        <w:rPr>
          <w:rFonts w:asciiTheme="minorHAnsi" w:hAnsiTheme="minorHAnsi" w:cstheme="minorHAnsi"/>
        </w:rPr>
        <w:t xml:space="preserve"> were worried about their gambling </w:t>
      </w:r>
      <w:r w:rsidR="00043311" w:rsidRPr="006A1AC8">
        <w:rPr>
          <w:rFonts w:asciiTheme="minorHAnsi" w:hAnsiTheme="minorHAnsi" w:cstheme="minorHAnsi"/>
        </w:rPr>
        <w:t>and 8.3% of students who had drunk alcohol over the past 12 months were worried about their drinking</w:t>
      </w:r>
      <w:r w:rsidR="00043311">
        <w:rPr>
          <w:rFonts w:asciiTheme="minorHAnsi" w:hAnsiTheme="minorHAnsi" w:cstheme="minorHAnsi"/>
        </w:rPr>
        <w:t xml:space="preserve">). While similar proportions of students who had engaged in gambling and alcohol were worried about these behaviours (6.6% and 8.3% respectively) a greater proportion had worried about their use of marijuana (13.8%). A similar, although more noticeable trend was observed with regard to students trying to cut down on these behaviours: 33.5% of students who had used marijuana in the past 12 months had tried to cut down, compared with 13.2% for alcohol and 6.2% for gambling. </w:t>
      </w:r>
    </w:p>
    <w:p w:rsidR="00043311" w:rsidRPr="00E3310E" w:rsidRDefault="00043311" w:rsidP="0042130F">
      <w:pPr>
        <w:pStyle w:val="Caption"/>
        <w:keepNext/>
        <w:spacing w:line="360" w:lineRule="auto"/>
        <w:ind w:left="992" w:hanging="992"/>
        <w:rPr>
          <w:rFonts w:asciiTheme="minorHAnsi" w:hAnsiTheme="minorHAnsi" w:cstheme="minorHAnsi"/>
          <w:lang w:eastAsia="en-NZ"/>
        </w:rPr>
      </w:pPr>
      <w:bookmarkStart w:id="127" w:name="_Ref363722427"/>
      <w:bookmarkStart w:id="128" w:name="_Toc367285522"/>
      <w:r w:rsidRPr="006540FF">
        <w:rPr>
          <w:rFonts w:asciiTheme="minorHAnsi" w:hAnsiTheme="minorHAnsi" w:cstheme="minorHAnsi"/>
          <w:i/>
        </w:rPr>
        <w:t xml:space="preserve">Figure </w:t>
      </w:r>
      <w:r w:rsidR="007B447B" w:rsidRPr="006540FF">
        <w:rPr>
          <w:rFonts w:asciiTheme="minorHAnsi" w:hAnsiTheme="minorHAnsi" w:cstheme="minorHAnsi"/>
          <w:i/>
        </w:rPr>
        <w:fldChar w:fldCharType="begin"/>
      </w:r>
      <w:r w:rsidRPr="006540FF">
        <w:rPr>
          <w:rFonts w:asciiTheme="minorHAnsi" w:hAnsiTheme="minorHAnsi" w:cstheme="minorHAnsi"/>
          <w:i/>
        </w:rPr>
        <w:instrText xml:space="preserve"> SEQ Figure \* ARABIC </w:instrText>
      </w:r>
      <w:r w:rsidR="007B447B" w:rsidRPr="006540FF">
        <w:rPr>
          <w:rFonts w:asciiTheme="minorHAnsi" w:hAnsiTheme="minorHAnsi" w:cstheme="minorHAnsi"/>
          <w:i/>
        </w:rPr>
        <w:fldChar w:fldCharType="separate"/>
      </w:r>
      <w:r w:rsidR="009E3D1C">
        <w:rPr>
          <w:rFonts w:asciiTheme="minorHAnsi" w:hAnsiTheme="minorHAnsi" w:cstheme="minorHAnsi"/>
          <w:i/>
          <w:noProof/>
        </w:rPr>
        <w:t>6</w:t>
      </w:r>
      <w:r w:rsidR="007B447B" w:rsidRPr="006540FF">
        <w:rPr>
          <w:rFonts w:asciiTheme="minorHAnsi" w:hAnsiTheme="minorHAnsi" w:cstheme="minorHAnsi"/>
          <w:i/>
        </w:rPr>
        <w:fldChar w:fldCharType="end"/>
      </w:r>
      <w:bookmarkEnd w:id="127"/>
      <w:r w:rsidRPr="006540FF">
        <w:rPr>
          <w:rFonts w:asciiTheme="minorHAnsi" w:hAnsiTheme="minorHAnsi" w:cstheme="minorHAnsi"/>
          <w:i/>
        </w:rPr>
        <w:t xml:space="preserve">:  </w:t>
      </w:r>
      <w:r>
        <w:rPr>
          <w:rFonts w:asciiTheme="minorHAnsi" w:hAnsiTheme="minorHAnsi" w:cstheme="minorHAnsi"/>
          <w:i/>
        </w:rPr>
        <w:t>Comparison of rates of s</w:t>
      </w:r>
      <w:r w:rsidRPr="006540FF">
        <w:rPr>
          <w:rFonts w:asciiTheme="minorHAnsi" w:hAnsiTheme="minorHAnsi" w:cstheme="minorHAnsi"/>
          <w:i/>
        </w:rPr>
        <w:t xml:space="preserve">tudents who are worried about </w:t>
      </w:r>
      <w:r>
        <w:rPr>
          <w:rFonts w:asciiTheme="minorHAnsi" w:hAnsiTheme="minorHAnsi" w:cstheme="minorHAnsi"/>
          <w:i/>
        </w:rPr>
        <w:t>/</w:t>
      </w:r>
      <w:r w:rsidRPr="006540FF">
        <w:rPr>
          <w:rFonts w:asciiTheme="minorHAnsi" w:hAnsiTheme="minorHAnsi" w:cstheme="minorHAnsi"/>
          <w:i/>
        </w:rPr>
        <w:t xml:space="preserve"> have tried to cut down </w:t>
      </w:r>
      <w:r>
        <w:rPr>
          <w:rFonts w:asciiTheme="minorHAnsi" w:hAnsiTheme="minorHAnsi" w:cstheme="minorHAnsi"/>
          <w:i/>
        </w:rPr>
        <w:t xml:space="preserve">on </w:t>
      </w:r>
      <w:r w:rsidRPr="006540FF">
        <w:rPr>
          <w:rFonts w:asciiTheme="minorHAnsi" w:hAnsiTheme="minorHAnsi" w:cstheme="minorHAnsi"/>
          <w:i/>
        </w:rPr>
        <w:t>activities (</w:t>
      </w:r>
      <w:r>
        <w:rPr>
          <w:rFonts w:asciiTheme="minorHAnsi" w:hAnsiTheme="minorHAnsi" w:cstheme="minorHAnsi"/>
          <w:i/>
        </w:rPr>
        <w:t xml:space="preserve">among students who have participated in each activity in the last 12 months </w:t>
      </w:r>
      <w:r w:rsidRPr="00542B32">
        <w:rPr>
          <w:rFonts w:asciiTheme="minorHAnsi" w:hAnsiTheme="minorHAnsi" w:cstheme="minorHAnsi"/>
          <w:i/>
          <w:vertAlign w:val="superscript"/>
        </w:rPr>
        <w:t>1</w:t>
      </w:r>
      <w:r>
        <w:rPr>
          <w:rFonts w:asciiTheme="minorHAnsi" w:hAnsiTheme="minorHAnsi" w:cstheme="minorHAnsi"/>
          <w:i/>
          <w:vertAlign w:val="superscript"/>
        </w:rPr>
        <w:t>, 2</w:t>
      </w:r>
      <w:r w:rsidRPr="006540FF">
        <w:rPr>
          <w:rFonts w:asciiTheme="minorHAnsi" w:hAnsiTheme="minorHAnsi" w:cstheme="minorHAnsi"/>
          <w:i/>
        </w:rPr>
        <w:t>)</w:t>
      </w:r>
      <w:bookmarkEnd w:id="128"/>
    </w:p>
    <w:p w:rsidR="00043311" w:rsidRDefault="00043311" w:rsidP="0042130F">
      <w:pPr>
        <w:spacing w:line="276" w:lineRule="auto"/>
        <w:jc w:val="center"/>
        <w:rPr>
          <w:rFonts w:asciiTheme="minorHAnsi" w:hAnsiTheme="minorHAnsi" w:cstheme="minorHAnsi"/>
        </w:rPr>
      </w:pPr>
      <w:r w:rsidRPr="00E3310E">
        <w:rPr>
          <w:rFonts w:asciiTheme="minorHAnsi" w:hAnsiTheme="minorHAnsi" w:cstheme="minorHAnsi"/>
          <w:noProof/>
          <w:lang w:eastAsia="en-NZ"/>
        </w:rPr>
        <w:drawing>
          <wp:inline distT="0" distB="0" distL="0" distR="0" wp14:anchorId="549DA083" wp14:editId="3E2391FD">
            <wp:extent cx="5633155" cy="3285066"/>
            <wp:effectExtent l="0" t="0" r="24765" b="1079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43311" w:rsidRPr="0055372F" w:rsidRDefault="00043311" w:rsidP="0042130F">
      <w:pPr>
        <w:spacing w:before="0" w:line="240" w:lineRule="auto"/>
        <w:ind w:left="993"/>
        <w:rPr>
          <w:rFonts w:asciiTheme="minorHAnsi" w:hAnsiTheme="minorHAnsi" w:cstheme="minorHAnsi"/>
          <w:sz w:val="18"/>
        </w:rPr>
      </w:pPr>
      <w:r w:rsidRPr="0055372F">
        <w:rPr>
          <w:rFonts w:asciiTheme="minorHAnsi" w:hAnsiTheme="minorHAnsi" w:cstheme="minorHAnsi"/>
          <w:sz w:val="18"/>
        </w:rPr>
        <w:t>Note</w:t>
      </w:r>
      <w:r w:rsidR="00410534">
        <w:rPr>
          <w:rFonts w:asciiTheme="minorHAnsi" w:hAnsiTheme="minorHAnsi" w:cstheme="minorHAnsi"/>
          <w:sz w:val="18"/>
        </w:rPr>
        <w:t>s</w:t>
      </w:r>
      <w:r w:rsidRPr="0055372F">
        <w:rPr>
          <w:rFonts w:asciiTheme="minorHAnsi" w:hAnsiTheme="minorHAnsi" w:cstheme="minorHAnsi"/>
          <w:sz w:val="18"/>
        </w:rPr>
        <w:t>:</w:t>
      </w:r>
    </w:p>
    <w:p w:rsidR="00043311" w:rsidRPr="00410534" w:rsidRDefault="00410534" w:rsidP="005B4E65">
      <w:pPr>
        <w:spacing w:line="240" w:lineRule="auto"/>
        <w:ind w:left="993" w:right="1133"/>
        <w:rPr>
          <w:rFonts w:asciiTheme="minorHAnsi" w:hAnsiTheme="minorHAnsi" w:cstheme="minorHAnsi"/>
          <w:sz w:val="18"/>
        </w:rPr>
      </w:pPr>
      <w:r>
        <w:rPr>
          <w:rFonts w:asciiTheme="minorHAnsi" w:hAnsiTheme="minorHAnsi" w:cstheme="minorHAnsi"/>
          <w:sz w:val="18"/>
        </w:rPr>
        <w:t xml:space="preserve">1. </w:t>
      </w:r>
      <w:r w:rsidR="00043311" w:rsidRPr="00410534">
        <w:rPr>
          <w:rFonts w:asciiTheme="minorHAnsi" w:hAnsiTheme="minorHAnsi" w:cstheme="minorHAnsi"/>
          <w:sz w:val="18"/>
        </w:rPr>
        <w:t xml:space="preserve">The percentages reported in this figure have been calculated as proportions of the students engaging in each behaviour over the past 12 months. </w:t>
      </w:r>
    </w:p>
    <w:p w:rsidR="00043311" w:rsidRPr="00410534" w:rsidRDefault="00734D8D" w:rsidP="005B4E65">
      <w:pPr>
        <w:spacing w:line="240" w:lineRule="auto"/>
        <w:ind w:left="993" w:right="1133"/>
        <w:rPr>
          <w:rFonts w:asciiTheme="minorHAnsi" w:hAnsiTheme="minorHAnsi" w:cstheme="minorHAnsi"/>
          <w:sz w:val="18"/>
        </w:rPr>
      </w:pPr>
      <w:r w:rsidRPr="005B4E65">
        <w:rPr>
          <w:rFonts w:asciiTheme="minorHAnsi" w:hAnsiTheme="minorHAnsi" w:cstheme="minorHAnsi"/>
          <w:sz w:val="18"/>
        </w:rPr>
        <w:t>2.</w:t>
      </w:r>
      <w:r w:rsidRPr="00410534">
        <w:rPr>
          <w:rFonts w:asciiTheme="minorHAnsi" w:hAnsiTheme="minorHAnsi" w:cstheme="minorHAnsi"/>
          <w:i/>
          <w:sz w:val="18"/>
        </w:rPr>
        <w:t xml:space="preserve"> Worried</w:t>
      </w:r>
      <w:r w:rsidR="00043311" w:rsidRPr="00410534">
        <w:rPr>
          <w:rFonts w:asciiTheme="minorHAnsi" w:hAnsiTheme="minorHAnsi" w:cstheme="minorHAnsi"/>
          <w:i/>
          <w:sz w:val="18"/>
        </w:rPr>
        <w:t xml:space="preserve"> about their:</w:t>
      </w:r>
      <w:r w:rsidR="00043311" w:rsidRPr="00410534">
        <w:rPr>
          <w:rFonts w:asciiTheme="minorHAnsi" w:hAnsiTheme="minorHAnsi" w:cstheme="minorHAnsi"/>
          <w:sz w:val="18"/>
        </w:rPr>
        <w:t xml:space="preserve"> gambling (n=318), alcohol (n=307), marijuana (n=143); and, </w:t>
      </w:r>
      <w:r w:rsidR="00043311" w:rsidRPr="00410534">
        <w:rPr>
          <w:rFonts w:asciiTheme="minorHAnsi" w:hAnsiTheme="minorHAnsi" w:cstheme="minorHAnsi"/>
          <w:i/>
          <w:sz w:val="18"/>
        </w:rPr>
        <w:t>Tried to cut down on their:</w:t>
      </w:r>
      <w:r w:rsidR="00043311" w:rsidRPr="00410534">
        <w:rPr>
          <w:rFonts w:asciiTheme="minorHAnsi" w:hAnsiTheme="minorHAnsi" w:cstheme="minorHAnsi"/>
          <w:sz w:val="18"/>
        </w:rPr>
        <w:t xml:space="preserve"> gambling (n=293), alcohol (n=486), marijuana (n=347).</w:t>
      </w:r>
    </w:p>
    <w:p w:rsidR="00043311" w:rsidRDefault="00043311">
      <w:pPr>
        <w:spacing w:before="0" w:line="240" w:lineRule="auto"/>
        <w:jc w:val="left"/>
        <w:rPr>
          <w:rFonts w:asciiTheme="minorHAnsi" w:hAnsiTheme="minorHAnsi" w:cstheme="minorHAnsi"/>
          <w:b/>
          <w:bCs/>
          <w:iCs/>
          <w:color w:val="1F497D"/>
          <w:szCs w:val="22"/>
        </w:rPr>
      </w:pPr>
      <w:r>
        <w:br w:type="page"/>
      </w:r>
    </w:p>
    <w:p w:rsidR="00043311" w:rsidRPr="00E3310E" w:rsidRDefault="00043311" w:rsidP="0042130F">
      <w:pPr>
        <w:pStyle w:val="Heading2"/>
      </w:pPr>
      <w:bookmarkStart w:id="129" w:name="_Toc367284430"/>
      <w:r w:rsidRPr="00E3310E">
        <w:lastRenderedPageBreak/>
        <w:t>Help-seeking behaviour</w:t>
      </w:r>
      <w:bookmarkEnd w:id="129"/>
      <w:r w:rsidRPr="00E3310E">
        <w:t xml:space="preserve">  </w:t>
      </w:r>
    </w:p>
    <w:p w:rsidR="00043311" w:rsidRPr="00E3310E" w:rsidRDefault="00043311" w:rsidP="0042130F">
      <w:pPr>
        <w:spacing w:line="360" w:lineRule="auto"/>
        <w:rPr>
          <w:rFonts w:asciiTheme="minorHAnsi" w:hAnsiTheme="minorHAnsi" w:cstheme="minorHAnsi"/>
        </w:rPr>
      </w:pPr>
      <w:r w:rsidRPr="001A2437">
        <w:rPr>
          <w:rFonts w:asciiTheme="minorHAnsi" w:hAnsiTheme="minorHAnsi" w:cstheme="minorHAnsi"/>
        </w:rPr>
        <w:t>Students who had gambled in the past 12 months (N=2,012) were asked the following question about</w:t>
      </w:r>
      <w:r w:rsidRPr="00E3310E">
        <w:rPr>
          <w:rFonts w:asciiTheme="minorHAnsi" w:hAnsiTheme="minorHAnsi" w:cstheme="minorHAnsi"/>
        </w:rPr>
        <w:t xml:space="preserve"> help-seeking: “If you had problems or concerns because of your gambling, who would you go to for help? (you may choose as many as you need)”.</w:t>
      </w:r>
      <w:r>
        <w:rPr>
          <w:rFonts w:asciiTheme="minorHAnsi" w:hAnsiTheme="minorHAnsi" w:cstheme="minorHAnsi"/>
        </w:rPr>
        <w:t xml:space="preserve"> </w:t>
      </w:r>
      <w:r w:rsidRPr="00E3310E">
        <w:rPr>
          <w:rFonts w:asciiTheme="minorHAnsi" w:hAnsiTheme="minorHAnsi" w:cstheme="minorHAnsi"/>
        </w:rPr>
        <w:t xml:space="preserve">Of the 11 options listed, the five most popular sources </w:t>
      </w:r>
      <w:r>
        <w:rPr>
          <w:rFonts w:asciiTheme="minorHAnsi" w:hAnsiTheme="minorHAnsi" w:cstheme="minorHAnsi"/>
        </w:rPr>
        <w:t>of</w:t>
      </w:r>
      <w:r w:rsidRPr="00E3310E">
        <w:rPr>
          <w:rFonts w:asciiTheme="minorHAnsi" w:hAnsiTheme="minorHAnsi" w:cstheme="minorHAnsi"/>
        </w:rPr>
        <w:t xml:space="preserve"> help were: “Parents” (57%); “Friends” (50%); “School guidance counsellor” (29%); “Other family members (e.g. grandparent, aunts, uncles, cousins)” (21%); and, “G</w:t>
      </w:r>
      <w:r>
        <w:rPr>
          <w:rFonts w:asciiTheme="minorHAnsi" w:hAnsiTheme="minorHAnsi" w:cstheme="minorHAnsi"/>
        </w:rPr>
        <w:t xml:space="preserve">ambling helpline” (20%). Of </w:t>
      </w:r>
      <w:r w:rsidRPr="00E3310E">
        <w:rPr>
          <w:rFonts w:asciiTheme="minorHAnsi" w:hAnsiTheme="minorHAnsi" w:cstheme="minorHAnsi"/>
        </w:rPr>
        <w:t>note</w:t>
      </w:r>
      <w:r>
        <w:rPr>
          <w:rFonts w:asciiTheme="minorHAnsi" w:hAnsiTheme="minorHAnsi" w:cstheme="minorHAnsi"/>
        </w:rPr>
        <w:t>,</w:t>
      </w:r>
      <w:r w:rsidRPr="00E3310E">
        <w:rPr>
          <w:rFonts w:asciiTheme="minorHAnsi" w:hAnsiTheme="minorHAnsi" w:cstheme="minorHAnsi"/>
        </w:rPr>
        <w:t xml:space="preserve"> 17% of these students selected “I wouldn’t look for help”. </w:t>
      </w:r>
      <w:r w:rsidR="00082F17">
        <w:fldChar w:fldCharType="begin"/>
      </w:r>
      <w:r w:rsidR="00082F17">
        <w:instrText xml:space="preserve"> REF _Ref346810917 \h  \* MERGEFORMAT </w:instrText>
      </w:r>
      <w:r w:rsidR="00082F17">
        <w:fldChar w:fldCharType="separate"/>
      </w:r>
      <w:r w:rsidR="009E3D1C" w:rsidRPr="00BC4F94">
        <w:rPr>
          <w:rFonts w:asciiTheme="minorHAnsi" w:hAnsiTheme="minorHAnsi" w:cstheme="minorHAnsi"/>
        </w:rPr>
        <w:t>Figure 7</w:t>
      </w:r>
      <w:r w:rsidR="00082F17">
        <w:fldChar w:fldCharType="end"/>
      </w:r>
      <w:r w:rsidRPr="00E3310E">
        <w:rPr>
          <w:rFonts w:asciiTheme="minorHAnsi" w:hAnsiTheme="minorHAnsi" w:cstheme="minorHAnsi"/>
        </w:rPr>
        <w:t xml:space="preserve"> illustrates response rates for each of the 11 available options for males and females. While a greater proportion of females (54%) than males (45%) said they would seek help from their friends, males (14%) </w:t>
      </w:r>
      <w:r>
        <w:rPr>
          <w:rFonts w:asciiTheme="minorHAnsi" w:hAnsiTheme="minorHAnsi" w:cstheme="minorHAnsi"/>
        </w:rPr>
        <w:t>appeared</w:t>
      </w:r>
      <w:r w:rsidRPr="00E3310E">
        <w:rPr>
          <w:rFonts w:asciiTheme="minorHAnsi" w:hAnsiTheme="minorHAnsi" w:cstheme="minorHAnsi"/>
        </w:rPr>
        <w:t xml:space="preserve"> more likely than females (9%) to say they would seek help from teachers. </w:t>
      </w:r>
    </w:p>
    <w:p w:rsidR="00043311" w:rsidRPr="00E3310E" w:rsidRDefault="00043311" w:rsidP="0042130F">
      <w:pPr>
        <w:pStyle w:val="Caption"/>
        <w:keepNext/>
        <w:spacing w:line="360" w:lineRule="auto"/>
        <w:ind w:left="992" w:hanging="992"/>
        <w:rPr>
          <w:rFonts w:asciiTheme="minorHAnsi" w:hAnsiTheme="minorHAnsi" w:cstheme="minorHAnsi"/>
          <w:lang w:eastAsia="en-NZ"/>
        </w:rPr>
      </w:pPr>
      <w:bookmarkStart w:id="130" w:name="_Ref346810917"/>
      <w:bookmarkStart w:id="131" w:name="_Toc367285523"/>
      <w:r w:rsidRPr="001A2437">
        <w:rPr>
          <w:rFonts w:asciiTheme="minorHAnsi" w:hAnsiTheme="minorHAnsi" w:cstheme="minorHAnsi"/>
          <w:i/>
        </w:rPr>
        <w:t xml:space="preserve">Figure </w:t>
      </w:r>
      <w:r w:rsidR="007B447B" w:rsidRPr="001A2437">
        <w:rPr>
          <w:rFonts w:asciiTheme="minorHAnsi" w:hAnsiTheme="minorHAnsi" w:cstheme="minorHAnsi"/>
          <w:i/>
        </w:rPr>
        <w:fldChar w:fldCharType="begin"/>
      </w:r>
      <w:r w:rsidRPr="001A2437">
        <w:rPr>
          <w:rFonts w:asciiTheme="minorHAnsi" w:hAnsiTheme="minorHAnsi" w:cstheme="minorHAnsi"/>
          <w:i/>
        </w:rPr>
        <w:instrText xml:space="preserve"> SEQ Figure \* ARABIC </w:instrText>
      </w:r>
      <w:r w:rsidR="007B447B" w:rsidRPr="001A2437">
        <w:rPr>
          <w:rFonts w:asciiTheme="minorHAnsi" w:hAnsiTheme="minorHAnsi" w:cstheme="minorHAnsi"/>
          <w:i/>
        </w:rPr>
        <w:fldChar w:fldCharType="separate"/>
      </w:r>
      <w:r w:rsidR="009E3D1C">
        <w:rPr>
          <w:rFonts w:asciiTheme="minorHAnsi" w:hAnsiTheme="minorHAnsi" w:cstheme="minorHAnsi"/>
          <w:i/>
          <w:noProof/>
        </w:rPr>
        <w:t>7</w:t>
      </w:r>
      <w:r w:rsidR="007B447B" w:rsidRPr="001A2437">
        <w:rPr>
          <w:rFonts w:asciiTheme="minorHAnsi" w:hAnsiTheme="minorHAnsi" w:cstheme="minorHAnsi"/>
          <w:i/>
        </w:rPr>
        <w:fldChar w:fldCharType="end"/>
      </w:r>
      <w:bookmarkEnd w:id="130"/>
      <w:r w:rsidRPr="001A2437">
        <w:rPr>
          <w:rFonts w:asciiTheme="minorHAnsi" w:hAnsiTheme="minorHAnsi" w:cstheme="minorHAnsi"/>
          <w:i/>
        </w:rPr>
        <w:t xml:space="preserve">: If you had problems or concerns because of your gambling, who would you go to for help? (among </w:t>
      </w:r>
      <w:r>
        <w:rPr>
          <w:rFonts w:asciiTheme="minorHAnsi" w:hAnsiTheme="minorHAnsi" w:cstheme="minorHAnsi"/>
          <w:i/>
        </w:rPr>
        <w:t>students</w:t>
      </w:r>
      <w:r w:rsidRPr="001A2437">
        <w:rPr>
          <w:rFonts w:asciiTheme="minorHAnsi" w:hAnsiTheme="minorHAnsi" w:cstheme="minorHAnsi"/>
          <w:i/>
        </w:rPr>
        <w:t xml:space="preserve"> who have gambled in the last 12 months</w:t>
      </w:r>
      <w:r>
        <w:rPr>
          <w:rFonts w:asciiTheme="minorHAnsi" w:hAnsiTheme="minorHAnsi" w:cstheme="minorHAnsi"/>
          <w:i/>
        </w:rPr>
        <w:t>; N=2012</w:t>
      </w:r>
      <w:r w:rsidRPr="001A2437">
        <w:rPr>
          <w:rFonts w:asciiTheme="minorHAnsi" w:hAnsiTheme="minorHAnsi" w:cstheme="minorHAnsi"/>
          <w:i/>
        </w:rPr>
        <w:t>)</w:t>
      </w:r>
      <w:r>
        <w:rPr>
          <w:rFonts w:asciiTheme="minorHAnsi" w:hAnsiTheme="minorHAnsi" w:cstheme="minorHAnsi"/>
          <w:i/>
        </w:rPr>
        <w:t xml:space="preserve"> </w:t>
      </w:r>
      <w:r w:rsidRPr="00E34347">
        <w:rPr>
          <w:rFonts w:asciiTheme="minorHAnsi" w:hAnsiTheme="minorHAnsi" w:cstheme="minorHAnsi"/>
          <w:i/>
          <w:vertAlign w:val="superscript"/>
        </w:rPr>
        <w:t>1</w:t>
      </w:r>
      <w:bookmarkEnd w:id="131"/>
    </w:p>
    <w:p w:rsidR="00043311" w:rsidRDefault="00043311" w:rsidP="0042130F">
      <w:pPr>
        <w:spacing w:line="240" w:lineRule="auto"/>
        <w:jc w:val="center"/>
        <w:rPr>
          <w:rFonts w:asciiTheme="minorHAnsi" w:hAnsiTheme="minorHAnsi" w:cstheme="minorHAnsi"/>
        </w:rPr>
      </w:pPr>
      <w:r w:rsidRPr="00A073CA">
        <w:rPr>
          <w:rFonts w:asciiTheme="minorHAnsi" w:hAnsiTheme="minorHAnsi" w:cstheme="minorHAnsi"/>
          <w:noProof/>
          <w:sz w:val="16"/>
          <w:lang w:eastAsia="en-NZ"/>
        </w:rPr>
        <w:drawing>
          <wp:inline distT="0" distB="0" distL="0" distR="0" wp14:anchorId="75A46CED" wp14:editId="3FF3AE05">
            <wp:extent cx="5949245" cy="4413956"/>
            <wp:effectExtent l="0" t="0" r="13970" b="247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3311" w:rsidRPr="0055372F" w:rsidRDefault="00043311" w:rsidP="0042130F">
      <w:pPr>
        <w:spacing w:before="0" w:line="240" w:lineRule="auto"/>
        <w:ind w:left="284" w:firstLine="436"/>
        <w:rPr>
          <w:rFonts w:asciiTheme="minorHAnsi" w:hAnsiTheme="minorHAnsi" w:cstheme="minorHAnsi"/>
          <w:sz w:val="18"/>
        </w:rPr>
      </w:pPr>
      <w:r w:rsidRPr="0055372F">
        <w:rPr>
          <w:rFonts w:asciiTheme="minorHAnsi" w:hAnsiTheme="minorHAnsi" w:cstheme="minorHAnsi"/>
          <w:sz w:val="18"/>
        </w:rPr>
        <w:t>Note:</w:t>
      </w:r>
    </w:p>
    <w:p w:rsidR="00043311" w:rsidRPr="0055372F" w:rsidRDefault="00043311" w:rsidP="0042130F">
      <w:pPr>
        <w:spacing w:before="0" w:line="240" w:lineRule="auto"/>
        <w:ind w:left="284" w:firstLine="436"/>
        <w:rPr>
          <w:rFonts w:asciiTheme="minorHAnsi" w:hAnsiTheme="minorHAnsi" w:cstheme="minorHAnsi"/>
          <w:sz w:val="18"/>
        </w:rPr>
      </w:pPr>
      <w:r>
        <w:rPr>
          <w:rFonts w:asciiTheme="minorHAnsi" w:hAnsiTheme="minorHAnsi" w:cstheme="minorHAnsi"/>
          <w:sz w:val="18"/>
        </w:rPr>
        <w:t xml:space="preserve">1. Students could choose more than one response option. </w:t>
      </w:r>
    </w:p>
    <w:p w:rsidR="00043311" w:rsidRDefault="00043311" w:rsidP="0042130F">
      <w:pPr>
        <w:spacing w:line="360" w:lineRule="auto"/>
        <w:rPr>
          <w:rFonts w:asciiTheme="minorHAnsi" w:hAnsiTheme="minorHAnsi" w:cstheme="minorHAnsi"/>
        </w:rPr>
      </w:pPr>
    </w:p>
    <w:p w:rsidR="00043311" w:rsidRDefault="00043311" w:rsidP="0042130F">
      <w:pPr>
        <w:spacing w:line="360" w:lineRule="auto"/>
        <w:rPr>
          <w:rFonts w:asciiTheme="minorHAnsi" w:hAnsiTheme="minorHAnsi" w:cstheme="minorHAnsi"/>
        </w:rPr>
      </w:pPr>
      <w:r w:rsidRPr="00E3310E">
        <w:rPr>
          <w:rFonts w:asciiTheme="minorHAnsi" w:hAnsiTheme="minorHAnsi" w:cstheme="minorHAnsi"/>
        </w:rPr>
        <w:lastRenderedPageBreak/>
        <w:t xml:space="preserve">While younger students </w:t>
      </w:r>
      <w:r>
        <w:rPr>
          <w:rFonts w:asciiTheme="minorHAnsi" w:hAnsiTheme="minorHAnsi" w:cstheme="minorHAnsi"/>
        </w:rPr>
        <w:t>appeared</w:t>
      </w:r>
      <w:r w:rsidRPr="00E3310E">
        <w:rPr>
          <w:rFonts w:asciiTheme="minorHAnsi" w:hAnsiTheme="minorHAnsi" w:cstheme="minorHAnsi"/>
        </w:rPr>
        <w:t xml:space="preserve"> more likely to see teachers and parents as potential sources of help, a greater proportion of older students indicated that they would seek help from a gambling helpline. Students from neighbourhoods with high</w:t>
      </w:r>
      <w:r>
        <w:rPr>
          <w:rFonts w:asciiTheme="minorHAnsi" w:hAnsiTheme="minorHAnsi" w:cstheme="minorHAnsi"/>
        </w:rPr>
        <w:t>er</w:t>
      </w:r>
      <w:r w:rsidRPr="00E3310E">
        <w:rPr>
          <w:rFonts w:asciiTheme="minorHAnsi" w:hAnsiTheme="minorHAnsi" w:cstheme="minorHAnsi"/>
        </w:rPr>
        <w:t xml:space="preserve"> levels of </w:t>
      </w:r>
      <w:r>
        <w:rPr>
          <w:rFonts w:asciiTheme="minorHAnsi" w:hAnsiTheme="minorHAnsi" w:cstheme="minorHAnsi"/>
        </w:rPr>
        <w:t xml:space="preserve">socio-economic </w:t>
      </w:r>
      <w:r w:rsidRPr="00E3310E">
        <w:rPr>
          <w:rFonts w:asciiTheme="minorHAnsi" w:hAnsiTheme="minorHAnsi" w:cstheme="minorHAnsi"/>
        </w:rPr>
        <w:t xml:space="preserve">deprivation were more likely to seek help from teachers and less likely to seek help from a gambling helpline </w:t>
      </w:r>
      <w:r>
        <w:rPr>
          <w:rFonts w:asciiTheme="minorHAnsi" w:hAnsiTheme="minorHAnsi" w:cstheme="minorHAnsi"/>
        </w:rPr>
        <w:t>(</w:t>
      </w:r>
      <w:r w:rsidRPr="00E3310E">
        <w:rPr>
          <w:rFonts w:asciiTheme="minorHAnsi" w:hAnsiTheme="minorHAnsi" w:cstheme="minorHAnsi"/>
        </w:rPr>
        <w:t>when compared to their peers</w:t>
      </w:r>
      <w:r>
        <w:rPr>
          <w:rFonts w:asciiTheme="minorHAnsi" w:hAnsiTheme="minorHAnsi" w:cstheme="minorHAnsi"/>
        </w:rPr>
        <w:t xml:space="preserve"> from neighbourhoods with lower levels of socio-economic hardship)</w:t>
      </w:r>
      <w:r w:rsidRPr="00E3310E">
        <w:rPr>
          <w:rFonts w:asciiTheme="minorHAnsi" w:hAnsiTheme="minorHAnsi" w:cstheme="minorHAnsi"/>
        </w:rPr>
        <w:t xml:space="preserve">. </w:t>
      </w:r>
      <w:r w:rsidR="00082F17">
        <w:fldChar w:fldCharType="begin"/>
      </w:r>
      <w:r w:rsidR="00082F17">
        <w:instrText xml:space="preserve"> REF _Ref346809393 \r \h  \* MERGEFORMAT </w:instrText>
      </w:r>
      <w:r w:rsidR="00082F17">
        <w:fldChar w:fldCharType="separate"/>
      </w:r>
      <w:r w:rsidR="009E3D1C" w:rsidRPr="00BC4F94">
        <w:rPr>
          <w:rFonts w:asciiTheme="minorHAnsi" w:hAnsiTheme="minorHAnsi" w:cstheme="minorHAnsi"/>
        </w:rPr>
        <w:t>Appendix L</w:t>
      </w:r>
      <w:r w:rsidR="00082F17">
        <w:fldChar w:fldCharType="end"/>
      </w:r>
      <w:r w:rsidRPr="00E3310E">
        <w:rPr>
          <w:rFonts w:asciiTheme="minorHAnsi" w:hAnsiTheme="minorHAnsi" w:cstheme="minorHAnsi"/>
        </w:rPr>
        <w:t xml:space="preserve"> provides a full breakdown of help-seeking behaviour</w:t>
      </w:r>
      <w:r>
        <w:rPr>
          <w:rFonts w:asciiTheme="minorHAnsi" w:hAnsiTheme="minorHAnsi" w:cstheme="minorHAnsi"/>
        </w:rPr>
        <w:t xml:space="preserve"> and gambling</w:t>
      </w:r>
      <w:r w:rsidRPr="00E3310E">
        <w:rPr>
          <w:rFonts w:asciiTheme="minorHAnsi" w:hAnsiTheme="minorHAnsi" w:cstheme="minorHAnsi"/>
        </w:rPr>
        <w:t xml:space="preserve"> by demographic variables. </w:t>
      </w:r>
    </w:p>
    <w:p w:rsidR="00043311" w:rsidRDefault="00043311" w:rsidP="0042130F">
      <w:pPr>
        <w:spacing w:line="360" w:lineRule="auto"/>
        <w:rPr>
          <w:rFonts w:asciiTheme="minorHAnsi" w:hAnsiTheme="minorHAnsi" w:cstheme="minorHAnsi"/>
        </w:rPr>
      </w:pPr>
    </w:p>
    <w:p w:rsidR="00043311" w:rsidRPr="00E3310E" w:rsidRDefault="00043311" w:rsidP="0042130F">
      <w:pPr>
        <w:pStyle w:val="Heading2"/>
      </w:pPr>
      <w:bookmarkStart w:id="132" w:name="_Toc367284431"/>
      <w:r>
        <w:t>Summary: Unhealthy gambling amongst students</w:t>
      </w:r>
      <w:bookmarkEnd w:id="132"/>
    </w:p>
    <w:p w:rsidR="00043311" w:rsidRPr="00E3310E" w:rsidRDefault="00082F17" w:rsidP="0042130F">
      <w:pPr>
        <w:tabs>
          <w:tab w:val="left" w:pos="8505"/>
        </w:tabs>
        <w:spacing w:before="0" w:line="240" w:lineRule="auto"/>
        <w:jc w:val="left"/>
        <w:rPr>
          <w:rFonts w:asciiTheme="minorHAnsi" w:hAnsiTheme="minorHAnsi" w:cstheme="minorHAnsi"/>
        </w:rPr>
      </w:pPr>
      <w:r>
        <w:rPr>
          <w:noProof/>
          <w:lang w:eastAsia="en-NZ"/>
        </w:rPr>
      </w:r>
      <w:r>
        <w:rPr>
          <w:noProof/>
          <w:lang w:eastAsia="en-NZ"/>
        </w:rPr>
        <w:pict>
          <v:shape id="Text Box 9" o:spid="_x0000_s1045" type="#_x0000_t202" style="width:524.85pt;height:175.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" fillcolor="#c6d9f1" stroked="f">
            <v:textbox style="mso-fit-shape-to-text:t">
              <w:txbxContent>
                <w:p w:rsidR="00B45826" w:rsidRPr="00675B9F" w:rsidRDefault="00B45826" w:rsidP="0042130F">
                  <w:pPr>
                    <w:spacing w:line="276" w:lineRule="auto"/>
                    <w:rPr>
                      <w:rFonts w:asciiTheme="minorHAnsi" w:hAnsiTheme="minorHAnsi" w:cstheme="minorHAnsi"/>
                      <w:b/>
                    </w:rPr>
                  </w:pPr>
                  <w:r>
                    <w:rPr>
                      <w:rFonts w:asciiTheme="minorHAnsi" w:hAnsiTheme="minorHAnsi" w:cstheme="minorHAnsi"/>
                      <w:b/>
                    </w:rPr>
                    <w:t>KEY POINTS</w:t>
                  </w:r>
                  <w:r w:rsidRPr="00675B9F">
                    <w:rPr>
                      <w:rFonts w:asciiTheme="minorHAnsi" w:hAnsiTheme="minorHAnsi" w:cstheme="minorHAnsi"/>
                      <w:b/>
                    </w:rPr>
                    <w:t>:</w:t>
                  </w:r>
                </w:p>
                <w:p w:rsidR="00B45826" w:rsidRPr="00255952" w:rsidRDefault="00B45826" w:rsidP="0042130F">
                  <w:pPr>
                    <w:pStyle w:val="ListParagraph"/>
                    <w:numPr>
                      <w:ilvl w:val="0"/>
                      <w:numId w:val="10"/>
                    </w:numPr>
                    <w:spacing w:line="276" w:lineRule="auto"/>
                    <w:ind w:left="426"/>
                    <w:rPr>
                      <w:rFonts w:asciiTheme="minorHAnsi" w:hAnsiTheme="minorHAnsi" w:cstheme="minorHAnsi"/>
                    </w:rPr>
                  </w:pPr>
                  <w:r>
                    <w:rPr>
                      <w:rFonts w:asciiTheme="minorHAnsi" w:hAnsiTheme="minorHAnsi" w:cstheme="minorHAnsi"/>
                    </w:rPr>
                    <w:t>Around one-quarter (24%) o</w:t>
                  </w:r>
                  <w:r w:rsidRPr="00255952">
                    <w:rPr>
                      <w:rFonts w:asciiTheme="minorHAnsi" w:hAnsiTheme="minorHAnsi" w:cstheme="minorHAnsi"/>
                    </w:rPr>
                    <w:t xml:space="preserve">f </w:t>
                  </w:r>
                  <w:r>
                    <w:rPr>
                      <w:rFonts w:asciiTheme="minorHAnsi" w:hAnsiTheme="minorHAnsi" w:cstheme="minorHAnsi"/>
                    </w:rPr>
                    <w:t xml:space="preserve">secondary school </w:t>
                  </w:r>
                  <w:r w:rsidRPr="00255952">
                    <w:rPr>
                      <w:rFonts w:asciiTheme="minorHAnsi" w:hAnsiTheme="minorHAnsi" w:cstheme="minorHAnsi"/>
                    </w:rPr>
                    <w:t>students indicated that they had gambled in the past year</w:t>
                  </w:r>
                  <w:r>
                    <w:rPr>
                      <w:rFonts w:asciiTheme="minorHAnsi" w:hAnsiTheme="minorHAnsi" w:cstheme="minorHAnsi"/>
                    </w:rPr>
                    <w:t>. Of these</w:t>
                  </w:r>
                  <w:r w:rsidRPr="00255952">
                    <w:rPr>
                      <w:rFonts w:asciiTheme="minorHAnsi" w:hAnsiTheme="minorHAnsi" w:cstheme="minorHAnsi"/>
                    </w:rPr>
                    <w:t>:</w:t>
                  </w:r>
                </w:p>
                <w:p w:rsidR="00B45826" w:rsidRPr="000D3A3E" w:rsidRDefault="00B45826" w:rsidP="0042130F">
                  <w:pPr>
                    <w:pStyle w:val="ListParagraph"/>
                    <w:numPr>
                      <w:ilvl w:val="1"/>
                      <w:numId w:val="10"/>
                    </w:numPr>
                    <w:spacing w:line="276" w:lineRule="auto"/>
                    <w:ind w:left="851"/>
                    <w:rPr>
                      <w:rFonts w:asciiTheme="minorHAnsi" w:hAnsiTheme="minorHAnsi" w:cstheme="minorHAnsi"/>
                    </w:rPr>
                  </w:pPr>
                  <w:r>
                    <w:rPr>
                      <w:rFonts w:asciiTheme="minorHAnsi" w:hAnsiTheme="minorHAnsi" w:cstheme="minorHAnsi"/>
                    </w:rPr>
                    <w:t xml:space="preserve">Sixteen percent (or approximately four percent of all secondary school students) reported being </w:t>
                  </w:r>
                  <w:r w:rsidRPr="000D3A3E">
                    <w:rPr>
                      <w:rFonts w:asciiTheme="minorHAnsi" w:hAnsiTheme="minorHAnsi" w:cstheme="minorHAnsi"/>
                    </w:rPr>
                    <w:t xml:space="preserve">worried about the amount of time or money that they spend on gambling. These students were more likely to be male, younger, </w:t>
                  </w:r>
                  <w:r>
                    <w:rPr>
                      <w:rFonts w:asciiTheme="minorHAnsi" w:hAnsiTheme="minorHAnsi" w:cstheme="minorHAnsi"/>
                    </w:rPr>
                    <w:t>residing in urban settings and</w:t>
                  </w:r>
                  <w:r w:rsidRPr="000D3A3E">
                    <w:rPr>
                      <w:rFonts w:asciiTheme="minorHAnsi" w:hAnsiTheme="minorHAnsi" w:cstheme="minorHAnsi"/>
                    </w:rPr>
                    <w:t xml:space="preserve"> living in hi</w:t>
                  </w:r>
                  <w:r>
                    <w:rPr>
                      <w:rFonts w:asciiTheme="minorHAnsi" w:hAnsiTheme="minorHAnsi" w:cstheme="minorHAnsi"/>
                    </w:rPr>
                    <w:t>gher deprivation neighbourhoods</w:t>
                  </w:r>
                  <w:r w:rsidRPr="000D3A3E">
                    <w:rPr>
                      <w:rFonts w:asciiTheme="minorHAnsi" w:hAnsiTheme="minorHAnsi" w:cstheme="minorHAnsi"/>
                    </w:rPr>
                    <w:t xml:space="preserve">. </w:t>
                  </w:r>
                </w:p>
                <w:p w:rsidR="00B45826" w:rsidRDefault="00B45826" w:rsidP="0042130F">
                  <w:pPr>
                    <w:pStyle w:val="ListParagraph"/>
                    <w:numPr>
                      <w:ilvl w:val="1"/>
                      <w:numId w:val="10"/>
                    </w:numPr>
                    <w:spacing w:line="276" w:lineRule="auto"/>
                    <w:ind w:left="851"/>
                    <w:rPr>
                      <w:rFonts w:asciiTheme="minorHAnsi" w:hAnsiTheme="minorHAnsi" w:cstheme="minorHAnsi"/>
                    </w:rPr>
                  </w:pPr>
                  <w:r w:rsidRPr="00C963F0">
                    <w:rPr>
                      <w:rFonts w:asciiTheme="minorHAnsi" w:hAnsiTheme="minorHAnsi" w:cstheme="minorHAnsi"/>
                    </w:rPr>
                    <w:t xml:space="preserve">Fourteen percent </w:t>
                  </w:r>
                  <w:r>
                    <w:rPr>
                      <w:rFonts w:asciiTheme="minorHAnsi" w:hAnsiTheme="minorHAnsi" w:cstheme="minorHAnsi"/>
                    </w:rPr>
                    <w:t xml:space="preserve">(or approximately four percent of all secondary school students) </w:t>
                  </w:r>
                  <w:r w:rsidRPr="00C963F0">
                    <w:rPr>
                      <w:rFonts w:asciiTheme="minorHAnsi" w:hAnsiTheme="minorHAnsi" w:cstheme="minorHAnsi"/>
                    </w:rPr>
                    <w:t xml:space="preserve">had tried to cut down or give up gambling. These students were more likely to be younger, living in higher deprivation neighbourhoods, and living in urban settings. </w:t>
                  </w:r>
                </w:p>
                <w:p w:rsidR="00B45826" w:rsidRDefault="00B45826" w:rsidP="0042130F">
                  <w:pPr>
                    <w:pStyle w:val="ListParagraph"/>
                    <w:spacing w:line="276" w:lineRule="auto"/>
                    <w:ind w:left="426"/>
                    <w:rPr>
                      <w:rFonts w:asciiTheme="minorHAnsi" w:hAnsiTheme="minorHAnsi" w:cstheme="minorHAnsi"/>
                    </w:rPr>
                  </w:pPr>
                </w:p>
                <w:p w:rsidR="00B45826" w:rsidRPr="005A0ABF" w:rsidRDefault="00B45826" w:rsidP="0042130F">
                  <w:pPr>
                    <w:pStyle w:val="ListParagraph"/>
                    <w:numPr>
                      <w:ilvl w:val="0"/>
                      <w:numId w:val="10"/>
                    </w:numPr>
                    <w:spacing w:line="276" w:lineRule="auto"/>
                    <w:ind w:left="426"/>
                    <w:rPr>
                      <w:rFonts w:asciiTheme="minorHAnsi" w:hAnsiTheme="minorHAnsi" w:cstheme="minorHAnsi"/>
                    </w:rPr>
                  </w:pPr>
                  <w:r w:rsidRPr="004C1371">
                    <w:rPr>
                      <w:rFonts w:asciiTheme="minorHAnsi" w:hAnsiTheme="minorHAnsi" w:cstheme="minorHAnsi"/>
                    </w:rPr>
                    <w:t xml:space="preserve">Students were asked to specify who they would seek help from if they were concerned about their gambling. The most popular </w:t>
                  </w:r>
                  <w:r>
                    <w:rPr>
                      <w:rFonts w:asciiTheme="minorHAnsi" w:hAnsiTheme="minorHAnsi" w:cstheme="minorHAnsi"/>
                    </w:rPr>
                    <w:t>responses</w:t>
                  </w:r>
                  <w:r w:rsidRPr="004C1371">
                    <w:rPr>
                      <w:rFonts w:asciiTheme="minorHAnsi" w:hAnsiTheme="minorHAnsi" w:cstheme="minorHAnsi"/>
                    </w:rPr>
                    <w:t xml:space="preserve"> were parents, followed by friends, school guidance counsellors, other family members, and, the gambling helpline.</w:t>
                  </w:r>
                  <w:r>
                    <w:rPr>
                      <w:rFonts w:asciiTheme="minorHAnsi" w:hAnsiTheme="minorHAnsi" w:cstheme="minorHAnsi"/>
                    </w:rPr>
                    <w:t xml:space="preserve"> A substantial proportion (17%) said they would not look for help. </w:t>
                  </w:r>
                </w:p>
              </w:txbxContent>
            </v:textbox>
            <w10:wrap type="none"/>
            <w10:anchorlock/>
          </v:shape>
        </w:pict>
      </w:r>
    </w:p>
    <w:p w:rsidR="00043311" w:rsidRPr="00E3310E" w:rsidRDefault="00043311" w:rsidP="0042130F">
      <w:pPr>
        <w:pStyle w:val="Heading1"/>
        <w:rPr>
          <w:rFonts w:asciiTheme="minorHAnsi" w:hAnsiTheme="minorHAnsi" w:cstheme="minorHAnsi"/>
        </w:rPr>
      </w:pPr>
      <w:bookmarkStart w:id="133" w:name="_Toc367284432"/>
      <w:r w:rsidRPr="00E3310E">
        <w:rPr>
          <w:rFonts w:asciiTheme="minorHAnsi" w:hAnsiTheme="minorHAnsi" w:cstheme="minorHAnsi"/>
          <w:caps w:val="0"/>
        </w:rPr>
        <w:lastRenderedPageBreak/>
        <w:t>ATTITUDES AND MOTIVATING FACTORS</w:t>
      </w:r>
      <w:r>
        <w:rPr>
          <w:rFonts w:asciiTheme="minorHAnsi" w:hAnsiTheme="minorHAnsi" w:cstheme="minorHAnsi"/>
          <w:caps w:val="0"/>
        </w:rPr>
        <w:t xml:space="preserve"> TOWARDS GAMBLING</w:t>
      </w:r>
      <w:bookmarkEnd w:id="133"/>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 xml:space="preserve">This section summarises the findings from the two questions that gathered information on students’ attitudes towards gambling and </w:t>
      </w:r>
      <w:r>
        <w:rPr>
          <w:rFonts w:asciiTheme="minorHAnsi" w:hAnsiTheme="minorHAnsi" w:cstheme="minorHAnsi"/>
        </w:rPr>
        <w:t>students</w:t>
      </w:r>
      <w:r w:rsidRPr="00E3310E">
        <w:rPr>
          <w:rFonts w:asciiTheme="minorHAnsi" w:hAnsiTheme="minorHAnsi" w:cstheme="minorHAnsi"/>
        </w:rPr>
        <w:t xml:space="preserve"> reasons for gambling. </w:t>
      </w:r>
    </w:p>
    <w:p w:rsidR="00043311" w:rsidRPr="00E3310E" w:rsidRDefault="00043311" w:rsidP="00043311">
      <w:pPr>
        <w:pStyle w:val="Heading2"/>
        <w:numPr>
          <w:ilvl w:val="1"/>
          <w:numId w:val="31"/>
        </w:numPr>
      </w:pPr>
      <w:bookmarkStart w:id="134" w:name="_Toc367284433"/>
      <w:r w:rsidRPr="00E3310E">
        <w:t>Acceptability of gambling activities</w:t>
      </w:r>
      <w:bookmarkEnd w:id="134"/>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All students were asked “Which of these do you think is okay for people your age to play or do regularly?” (N=8</w:t>
      </w:r>
      <w:r>
        <w:rPr>
          <w:rFonts w:asciiTheme="minorHAnsi" w:hAnsiTheme="minorHAnsi" w:cstheme="minorHAnsi"/>
        </w:rPr>
        <w:t>,</w:t>
      </w:r>
      <w:r w:rsidRPr="00E3310E">
        <w:rPr>
          <w:rFonts w:asciiTheme="minorHAnsi" w:hAnsiTheme="minorHAnsi" w:cstheme="minorHAnsi"/>
        </w:rPr>
        <w:t xml:space="preserve">027). Students could choose as many of the 12 listed gambling activities as they </w:t>
      </w:r>
      <w:r>
        <w:rPr>
          <w:rFonts w:asciiTheme="minorHAnsi" w:hAnsiTheme="minorHAnsi" w:cstheme="minorHAnsi"/>
        </w:rPr>
        <w:t>deemed necessary</w:t>
      </w:r>
      <w:r w:rsidRPr="00E3310E">
        <w:rPr>
          <w:rFonts w:asciiTheme="minorHAnsi" w:hAnsiTheme="minorHAnsi" w:cstheme="minorHAnsi"/>
        </w:rPr>
        <w:t xml:space="preserve">. Approximately half of the surveyed students thought that it was okay for people their own age to have “bets with friends or family” (49%). Other activities </w:t>
      </w:r>
      <w:r>
        <w:rPr>
          <w:rFonts w:asciiTheme="minorHAnsi" w:hAnsiTheme="minorHAnsi" w:cstheme="minorHAnsi"/>
        </w:rPr>
        <w:t>with high</w:t>
      </w:r>
      <w:r w:rsidRPr="00E3310E">
        <w:rPr>
          <w:rFonts w:asciiTheme="minorHAnsi" w:hAnsiTheme="minorHAnsi" w:cstheme="minorHAnsi"/>
        </w:rPr>
        <w:t xml:space="preserve"> rates of </w:t>
      </w:r>
      <w:r>
        <w:rPr>
          <w:rFonts w:asciiTheme="minorHAnsi" w:hAnsiTheme="minorHAnsi" w:cstheme="minorHAnsi"/>
        </w:rPr>
        <w:t xml:space="preserve">student </w:t>
      </w:r>
      <w:r w:rsidRPr="00E3310E">
        <w:rPr>
          <w:rFonts w:asciiTheme="minorHAnsi" w:hAnsiTheme="minorHAnsi" w:cstheme="minorHAnsi"/>
        </w:rPr>
        <w:t xml:space="preserve">endorsement included “Instant Kiwi (scratchies)” (38%), “cards or coin games (e.g. poker)” (26%), “Lotto (including Strike, Powerball and Big Wednesday)” (22%), and “bingo or housie” (17%). </w:t>
      </w:r>
      <w:r>
        <w:rPr>
          <w:rFonts w:asciiTheme="minorHAnsi" w:hAnsiTheme="minorHAnsi" w:cstheme="minorHAnsi"/>
        </w:rPr>
        <w:t>Of</w:t>
      </w:r>
      <w:r w:rsidRPr="00E3310E">
        <w:rPr>
          <w:rFonts w:asciiTheme="minorHAnsi" w:hAnsiTheme="minorHAnsi" w:cstheme="minorHAnsi"/>
        </w:rPr>
        <w:t xml:space="preserve"> note</w:t>
      </w:r>
      <w:r>
        <w:rPr>
          <w:rFonts w:asciiTheme="minorHAnsi" w:hAnsiTheme="minorHAnsi" w:cstheme="minorHAnsi"/>
        </w:rPr>
        <w:t>,</w:t>
      </w:r>
      <w:r w:rsidRPr="00E3310E">
        <w:rPr>
          <w:rFonts w:asciiTheme="minorHAnsi" w:hAnsiTheme="minorHAnsi" w:cstheme="minorHAnsi"/>
        </w:rPr>
        <w:t xml:space="preserve"> approximately one-third of students (31%) indicated that none of the listed activities were okay for people their age to play or do regularly. </w:t>
      </w:r>
    </w:p>
    <w:p w:rsidR="00043311" w:rsidRPr="00E3310E" w:rsidRDefault="00043311" w:rsidP="0042130F">
      <w:pPr>
        <w:pStyle w:val="Caption"/>
        <w:keepNext/>
        <w:spacing w:line="360" w:lineRule="auto"/>
        <w:rPr>
          <w:rFonts w:asciiTheme="minorHAnsi" w:hAnsiTheme="minorHAnsi" w:cstheme="minorHAnsi"/>
          <w:i/>
        </w:rPr>
      </w:pPr>
      <w:bookmarkStart w:id="135" w:name="_Toc367285524"/>
      <w:r w:rsidRPr="00E3310E">
        <w:rPr>
          <w:rFonts w:asciiTheme="minorHAnsi" w:hAnsiTheme="minorHAnsi" w:cstheme="minorHAnsi"/>
          <w:i/>
        </w:rPr>
        <w:t xml:space="preserve">Figure </w:t>
      </w:r>
      <w:r w:rsidR="007B447B" w:rsidRPr="00E3310E">
        <w:rPr>
          <w:rFonts w:asciiTheme="minorHAnsi" w:hAnsiTheme="minorHAnsi" w:cstheme="minorHAnsi"/>
          <w:i/>
        </w:rPr>
        <w:fldChar w:fldCharType="begin"/>
      </w:r>
      <w:r w:rsidRPr="00E3310E">
        <w:rPr>
          <w:rFonts w:asciiTheme="minorHAnsi" w:hAnsiTheme="minorHAnsi" w:cstheme="minorHAnsi"/>
          <w:i/>
        </w:rPr>
        <w:instrText xml:space="preserve"> SEQ Figure \* ARABIC </w:instrText>
      </w:r>
      <w:r w:rsidR="007B447B" w:rsidRPr="00E3310E">
        <w:rPr>
          <w:rFonts w:asciiTheme="minorHAnsi" w:hAnsiTheme="minorHAnsi" w:cstheme="minorHAnsi"/>
          <w:i/>
        </w:rPr>
        <w:fldChar w:fldCharType="separate"/>
      </w:r>
      <w:r w:rsidR="009E3D1C">
        <w:rPr>
          <w:rFonts w:asciiTheme="minorHAnsi" w:hAnsiTheme="minorHAnsi" w:cstheme="minorHAnsi"/>
          <w:i/>
          <w:noProof/>
        </w:rPr>
        <w:t>8</w:t>
      </w:r>
      <w:r w:rsidR="007B447B" w:rsidRPr="00E3310E">
        <w:rPr>
          <w:rFonts w:asciiTheme="minorHAnsi" w:hAnsiTheme="minorHAnsi" w:cstheme="minorHAnsi"/>
          <w:i/>
        </w:rPr>
        <w:fldChar w:fldCharType="end"/>
      </w:r>
      <w:r w:rsidRPr="00E3310E">
        <w:rPr>
          <w:rFonts w:asciiTheme="minorHAnsi" w:hAnsiTheme="minorHAnsi" w:cstheme="minorHAnsi"/>
          <w:i/>
        </w:rPr>
        <w:t>:  Which of these is it okay for people your age to play or do regularly? (</w:t>
      </w:r>
      <w:r>
        <w:rPr>
          <w:rFonts w:asciiTheme="minorHAnsi" w:hAnsiTheme="minorHAnsi" w:cstheme="minorHAnsi"/>
          <w:i/>
        </w:rPr>
        <w:t xml:space="preserve">among </w:t>
      </w:r>
      <w:r w:rsidRPr="00E3310E">
        <w:rPr>
          <w:rFonts w:asciiTheme="minorHAnsi" w:hAnsiTheme="minorHAnsi" w:cstheme="minorHAnsi"/>
          <w:i/>
        </w:rPr>
        <w:t>all students</w:t>
      </w:r>
      <w:r>
        <w:rPr>
          <w:rFonts w:asciiTheme="minorHAnsi" w:hAnsiTheme="minorHAnsi" w:cstheme="minorHAnsi"/>
          <w:i/>
        </w:rPr>
        <w:t>; N=8027</w:t>
      </w:r>
      <w:r w:rsidRPr="00E3310E">
        <w:rPr>
          <w:rFonts w:asciiTheme="minorHAnsi" w:hAnsiTheme="minorHAnsi" w:cstheme="minorHAnsi"/>
          <w:i/>
        </w:rPr>
        <w:t xml:space="preserve">) </w:t>
      </w:r>
      <w:r w:rsidRPr="00E34347">
        <w:rPr>
          <w:rFonts w:asciiTheme="minorHAnsi" w:hAnsiTheme="minorHAnsi" w:cstheme="minorHAnsi"/>
          <w:i/>
          <w:vertAlign w:val="superscript"/>
        </w:rPr>
        <w:t>1</w:t>
      </w:r>
      <w:bookmarkEnd w:id="135"/>
    </w:p>
    <w:p w:rsidR="00043311" w:rsidRDefault="00043311" w:rsidP="0042130F">
      <w:pPr>
        <w:spacing w:line="240" w:lineRule="auto"/>
        <w:ind w:left="-567"/>
        <w:jc w:val="center"/>
        <w:rPr>
          <w:rFonts w:asciiTheme="minorHAnsi" w:hAnsiTheme="minorHAnsi" w:cstheme="minorHAnsi"/>
        </w:rPr>
      </w:pPr>
      <w:r w:rsidRPr="00E3310E">
        <w:rPr>
          <w:rFonts w:asciiTheme="minorHAnsi" w:hAnsiTheme="minorHAnsi" w:cstheme="minorHAnsi"/>
          <w:noProof/>
          <w:lang w:eastAsia="en-NZ"/>
        </w:rPr>
        <w:drawing>
          <wp:inline distT="0" distB="0" distL="0" distR="0" wp14:anchorId="0267BB47" wp14:editId="608854E1">
            <wp:extent cx="6911439" cy="3883231"/>
            <wp:effectExtent l="0" t="0" r="22860" b="222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43311" w:rsidRPr="0055372F" w:rsidRDefault="00043311" w:rsidP="0042130F">
      <w:pPr>
        <w:spacing w:before="0" w:line="240" w:lineRule="auto"/>
        <w:ind w:left="284"/>
        <w:rPr>
          <w:rFonts w:asciiTheme="minorHAnsi" w:hAnsiTheme="minorHAnsi" w:cstheme="minorHAnsi"/>
          <w:sz w:val="18"/>
        </w:rPr>
      </w:pPr>
      <w:r w:rsidRPr="0055372F">
        <w:rPr>
          <w:rFonts w:asciiTheme="minorHAnsi" w:hAnsiTheme="minorHAnsi" w:cstheme="minorHAnsi"/>
          <w:sz w:val="18"/>
        </w:rPr>
        <w:t>Note:</w:t>
      </w:r>
    </w:p>
    <w:p w:rsidR="00043311" w:rsidRPr="0055372F" w:rsidRDefault="00043311" w:rsidP="0042130F">
      <w:pPr>
        <w:spacing w:before="0" w:line="240" w:lineRule="auto"/>
        <w:ind w:left="284"/>
        <w:rPr>
          <w:rFonts w:asciiTheme="minorHAnsi" w:hAnsiTheme="minorHAnsi" w:cstheme="minorHAnsi"/>
          <w:sz w:val="18"/>
        </w:rPr>
      </w:pPr>
      <w:r>
        <w:rPr>
          <w:rFonts w:asciiTheme="minorHAnsi" w:hAnsiTheme="minorHAnsi" w:cstheme="minorHAnsi"/>
          <w:sz w:val="18"/>
        </w:rPr>
        <w:t xml:space="preserve">1. Students could choose more than one response option. </w:t>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lastRenderedPageBreak/>
        <w:t>Female students were more likely to think that “bets with friends or family” were okay (52%) compared with male students (45%), while male students were more likely than female</w:t>
      </w:r>
      <w:r>
        <w:rPr>
          <w:rFonts w:asciiTheme="minorHAnsi" w:hAnsiTheme="minorHAnsi" w:cstheme="minorHAnsi"/>
        </w:rPr>
        <w:t xml:space="preserve"> student</w:t>
      </w:r>
      <w:r w:rsidRPr="00E3310E">
        <w:rPr>
          <w:rFonts w:asciiTheme="minorHAnsi" w:hAnsiTheme="minorHAnsi" w:cstheme="minorHAnsi"/>
        </w:rPr>
        <w:t xml:space="preserve">s to think that the following were okay: “pub or club (pokies)” (males 5%; females 3%), “a casino (e.g. roulette, pokies)” (males 3%; females 1%), “TAB betting (e.g. on track racing or sports)” (males 7%; females 4%), and “gambling on the Internet for money or prizes (e.g. Internet casinos or poker)” (males 5%; females 2%). </w:t>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Greater proportions of older students thought that the following were okay for people their age to gamble on: “Instant Kiwi”, “Lotto (including Strike, Powerball and Big Wednesday</w:t>
      </w:r>
      <w:r>
        <w:rPr>
          <w:rFonts w:asciiTheme="minorHAnsi" w:hAnsiTheme="minorHAnsi" w:cstheme="minorHAnsi"/>
        </w:rPr>
        <w:t>)</w:t>
      </w:r>
      <w:r w:rsidRPr="00E3310E">
        <w:rPr>
          <w:rFonts w:asciiTheme="minorHAnsi" w:hAnsiTheme="minorHAnsi" w:cstheme="minorHAnsi"/>
        </w:rPr>
        <w:t xml:space="preserve">”, “pub or club (pokies)”, “TAB betting (e.g. on track racing or sports)”, and “cards or coin games (e.g. poker)”. </w:t>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 xml:space="preserve">While “bets with friends or family” and “Instant Kiwi” were more acceptable to students from neighbourhoods with lower levels of deprivation, gambling via a mobile phone and “none of these” were endorsed by greater proportions of students from higher deprivation neighbourhoods. </w:t>
      </w:r>
    </w:p>
    <w:p w:rsidR="00043311" w:rsidRPr="00E3310E" w:rsidRDefault="00082F17" w:rsidP="0042130F">
      <w:pPr>
        <w:spacing w:line="360" w:lineRule="auto"/>
        <w:rPr>
          <w:rFonts w:asciiTheme="minorHAnsi" w:hAnsiTheme="minorHAnsi" w:cstheme="minorHAnsi"/>
        </w:rPr>
      </w:pPr>
      <w:r>
        <w:fldChar w:fldCharType="begin"/>
      </w:r>
      <w:r>
        <w:instrText xml:space="preserve"> REF _Ref347309648 \r \h  \* MERG</w:instrText>
      </w:r>
      <w:r>
        <w:instrText xml:space="preserve">EFORMAT </w:instrText>
      </w:r>
      <w:r>
        <w:fldChar w:fldCharType="separate"/>
      </w:r>
      <w:r w:rsidR="009E3D1C" w:rsidRPr="00BC4F94">
        <w:rPr>
          <w:rFonts w:asciiTheme="minorHAnsi" w:hAnsiTheme="minorHAnsi" w:cstheme="minorHAnsi"/>
        </w:rPr>
        <w:t>Appendix E</w:t>
      </w:r>
      <w:r>
        <w:fldChar w:fldCharType="end"/>
      </w:r>
      <w:r w:rsidR="00043311" w:rsidRPr="00E3310E">
        <w:rPr>
          <w:rFonts w:asciiTheme="minorHAnsi" w:hAnsiTheme="minorHAnsi" w:cstheme="minorHAnsi"/>
        </w:rPr>
        <w:t xml:space="preserve"> provides further details on </w:t>
      </w:r>
      <w:r w:rsidR="00043311">
        <w:rPr>
          <w:rFonts w:asciiTheme="minorHAnsi" w:hAnsiTheme="minorHAnsi" w:cstheme="minorHAnsi"/>
        </w:rPr>
        <w:t>the acceptability of gambling activities,</w:t>
      </w:r>
      <w:r w:rsidR="00043311" w:rsidRPr="00E3310E">
        <w:rPr>
          <w:rFonts w:asciiTheme="minorHAnsi" w:hAnsiTheme="minorHAnsi" w:cstheme="minorHAnsi"/>
        </w:rPr>
        <w:t xml:space="preserve"> including a breakdown by demographic variables.  </w:t>
      </w:r>
    </w:p>
    <w:p w:rsidR="00043311" w:rsidRPr="00E3310E" w:rsidRDefault="00043311" w:rsidP="0042130F">
      <w:pPr>
        <w:pStyle w:val="Heading2"/>
      </w:pPr>
      <w:bookmarkStart w:id="136" w:name="_Toc367284434"/>
      <w:r>
        <w:t xml:space="preserve">Reasons for </w:t>
      </w:r>
      <w:r w:rsidRPr="00E3310E">
        <w:t>gambl</w:t>
      </w:r>
      <w:r>
        <w:t>ing</w:t>
      </w:r>
      <w:bookmarkEnd w:id="136"/>
    </w:p>
    <w:p w:rsidR="00043311" w:rsidRPr="00E3310E" w:rsidRDefault="00043311" w:rsidP="0042130F">
      <w:pPr>
        <w:spacing w:line="360" w:lineRule="auto"/>
        <w:rPr>
          <w:rFonts w:asciiTheme="minorHAnsi" w:hAnsiTheme="minorHAnsi" w:cstheme="minorHAnsi"/>
        </w:rPr>
      </w:pPr>
      <w:r w:rsidRPr="00234F53">
        <w:rPr>
          <w:rFonts w:asciiTheme="minorHAnsi" w:hAnsiTheme="minorHAnsi" w:cstheme="minorHAnsi"/>
        </w:rPr>
        <w:t>Students who had gambled in the last 12 months (N=2,091) were asked “Why do you participate in</w:t>
      </w:r>
      <w:r w:rsidRPr="00E3310E">
        <w:rPr>
          <w:rFonts w:asciiTheme="minorHAnsi" w:hAnsiTheme="minorHAnsi" w:cstheme="minorHAnsi"/>
        </w:rPr>
        <w:t xml:space="preserve"> gambling or bet for money?” Thirteen options were listed and students could </w:t>
      </w:r>
      <w:r>
        <w:rPr>
          <w:rFonts w:asciiTheme="minorHAnsi" w:hAnsiTheme="minorHAnsi" w:cstheme="minorHAnsi"/>
        </w:rPr>
        <w:t>endorse</w:t>
      </w:r>
      <w:r w:rsidRPr="00E3310E">
        <w:rPr>
          <w:rFonts w:asciiTheme="minorHAnsi" w:hAnsiTheme="minorHAnsi" w:cstheme="minorHAnsi"/>
        </w:rPr>
        <w:t xml:space="preserve"> as many as they thought appropriate</w:t>
      </w:r>
      <w:r>
        <w:rPr>
          <w:rFonts w:asciiTheme="minorHAnsi" w:hAnsiTheme="minorHAnsi" w:cstheme="minorHAnsi"/>
        </w:rPr>
        <w:t>;</w:t>
      </w:r>
      <w:r w:rsidRPr="00E3310E">
        <w:rPr>
          <w:rFonts w:asciiTheme="minorHAnsi" w:hAnsiTheme="minorHAnsi" w:cstheme="minorHAnsi"/>
        </w:rPr>
        <w:t xml:space="preserve"> the most frequently selected </w:t>
      </w:r>
      <w:r>
        <w:rPr>
          <w:rFonts w:asciiTheme="minorHAnsi" w:hAnsiTheme="minorHAnsi" w:cstheme="minorHAnsi"/>
        </w:rPr>
        <w:t>responses were</w:t>
      </w:r>
      <w:r w:rsidRPr="00E3310E">
        <w:rPr>
          <w:rFonts w:asciiTheme="minorHAnsi" w:hAnsiTheme="minorHAnsi" w:cstheme="minorHAnsi"/>
        </w:rPr>
        <w:t xml:space="preserve">: “to have fun” (60%), “to win money” (32%), “for a challenge” (20%), and “because I am bored” (18%). </w:t>
      </w:r>
      <w:r>
        <w:rPr>
          <w:rFonts w:asciiTheme="minorHAnsi" w:hAnsiTheme="minorHAnsi" w:cstheme="minorHAnsi"/>
        </w:rPr>
        <w:t xml:space="preserve">Of note, 27% of students who had gambled responded </w:t>
      </w:r>
      <w:r w:rsidRPr="00E3310E">
        <w:rPr>
          <w:rFonts w:asciiTheme="minorHAnsi" w:hAnsiTheme="minorHAnsi" w:cstheme="minorHAnsi"/>
        </w:rPr>
        <w:t>“none of these</w:t>
      </w:r>
      <w:r>
        <w:rPr>
          <w:rFonts w:asciiTheme="minorHAnsi" w:hAnsiTheme="minorHAnsi" w:cstheme="minorHAnsi"/>
        </w:rPr>
        <w:t>”.</w:t>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 xml:space="preserve">While a greater proportion of females indicated that they gamble “because my family does”, males seemed more likely to gamble for the following reasons: “to win money”, “to relax”, “to feel better about myself”, and “for a challenge”. </w:t>
      </w:r>
      <w:r w:rsidR="00082F17">
        <w:fldChar w:fldCharType="begin"/>
      </w:r>
      <w:r w:rsidR="00082F17">
        <w:instrText xml:space="preserve"> REF _Ref348953176 \h  \* MERGEFORMAT </w:instrText>
      </w:r>
      <w:r w:rsidR="00082F17">
        <w:fldChar w:fldCharType="separate"/>
      </w:r>
      <w:r w:rsidR="009E3D1C" w:rsidRPr="00BC4F94">
        <w:rPr>
          <w:rFonts w:asciiTheme="minorHAnsi" w:hAnsiTheme="minorHAnsi" w:cstheme="minorHAnsi"/>
        </w:rPr>
        <w:t>Figure 9</w:t>
      </w:r>
      <w:r w:rsidR="00082F17">
        <w:fldChar w:fldCharType="end"/>
      </w:r>
      <w:r w:rsidRPr="00E3310E">
        <w:rPr>
          <w:rFonts w:asciiTheme="minorHAnsi" w:hAnsiTheme="minorHAnsi" w:cstheme="minorHAnsi"/>
        </w:rPr>
        <w:t xml:space="preserve"> illustrates students’ reasons for gambling according to sex. </w:t>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 xml:space="preserve">There was an overall trend for older students to gamble to “win money”. No </w:t>
      </w:r>
      <w:r>
        <w:rPr>
          <w:rFonts w:asciiTheme="minorHAnsi" w:hAnsiTheme="minorHAnsi" w:cstheme="minorHAnsi"/>
        </w:rPr>
        <w:t>meaningful</w:t>
      </w:r>
      <w:r w:rsidRPr="00E3310E">
        <w:rPr>
          <w:rFonts w:asciiTheme="minorHAnsi" w:hAnsiTheme="minorHAnsi" w:cstheme="minorHAnsi"/>
        </w:rPr>
        <w:t xml:space="preserve"> differences were observed according </w:t>
      </w:r>
      <w:r>
        <w:rPr>
          <w:rFonts w:asciiTheme="minorHAnsi" w:hAnsiTheme="minorHAnsi" w:cstheme="minorHAnsi"/>
        </w:rPr>
        <w:t xml:space="preserve">reasons why students gamble and </w:t>
      </w:r>
      <w:r w:rsidRPr="00E3310E">
        <w:rPr>
          <w:rFonts w:asciiTheme="minorHAnsi" w:hAnsiTheme="minorHAnsi" w:cstheme="minorHAnsi"/>
        </w:rPr>
        <w:t xml:space="preserve">level of neighbourhood </w:t>
      </w:r>
      <w:r>
        <w:rPr>
          <w:rFonts w:asciiTheme="minorHAnsi" w:hAnsiTheme="minorHAnsi" w:cstheme="minorHAnsi"/>
        </w:rPr>
        <w:t xml:space="preserve">socio-economic </w:t>
      </w:r>
      <w:r w:rsidRPr="00E3310E">
        <w:rPr>
          <w:rFonts w:asciiTheme="minorHAnsi" w:hAnsiTheme="minorHAnsi" w:cstheme="minorHAnsi"/>
        </w:rPr>
        <w:t>deprivation or geography (</w:t>
      </w:r>
      <w:r>
        <w:rPr>
          <w:rFonts w:asciiTheme="minorHAnsi" w:hAnsiTheme="minorHAnsi" w:cstheme="minorHAnsi"/>
        </w:rPr>
        <w:t xml:space="preserve">i.e. </w:t>
      </w:r>
      <w:r w:rsidRPr="00E3310E">
        <w:rPr>
          <w:rFonts w:asciiTheme="minorHAnsi" w:hAnsiTheme="minorHAnsi" w:cstheme="minorHAnsi"/>
        </w:rPr>
        <w:t xml:space="preserve">living in an urban/rural setting). </w:t>
      </w:r>
    </w:p>
    <w:p w:rsidR="00043311" w:rsidRPr="00E3310E" w:rsidRDefault="00082F17" w:rsidP="0042130F">
      <w:pPr>
        <w:spacing w:line="360" w:lineRule="auto"/>
        <w:rPr>
          <w:rFonts w:asciiTheme="minorHAnsi" w:hAnsiTheme="minorHAnsi" w:cstheme="minorHAnsi"/>
        </w:rPr>
      </w:pPr>
      <w:r>
        <w:fldChar w:fldCharType="begin"/>
      </w:r>
      <w:r>
        <w:instrText xml:space="preserve"> REF _Ref346019835 \r \h  \* MERGEFORMAT </w:instrText>
      </w:r>
      <w:r>
        <w:fldChar w:fldCharType="separate"/>
      </w:r>
      <w:r w:rsidR="009E3D1C" w:rsidRPr="00BC4F94">
        <w:rPr>
          <w:rFonts w:asciiTheme="minorHAnsi" w:hAnsiTheme="minorHAnsi" w:cstheme="minorHAnsi"/>
        </w:rPr>
        <w:t>Appendix F</w:t>
      </w:r>
      <w:r>
        <w:fldChar w:fldCharType="end"/>
      </w:r>
      <w:r w:rsidR="00043311" w:rsidRPr="00E3310E">
        <w:rPr>
          <w:rFonts w:asciiTheme="minorHAnsi" w:hAnsiTheme="minorHAnsi" w:cstheme="minorHAnsi"/>
        </w:rPr>
        <w:t xml:space="preserve"> provides further details on these analyses.  </w:t>
      </w:r>
    </w:p>
    <w:p w:rsidR="00043311" w:rsidRPr="00E3310E" w:rsidRDefault="00043311" w:rsidP="0042130F">
      <w:pPr>
        <w:pStyle w:val="Caption"/>
        <w:keepNext/>
        <w:spacing w:line="360" w:lineRule="auto"/>
        <w:rPr>
          <w:rFonts w:asciiTheme="minorHAnsi" w:hAnsiTheme="minorHAnsi" w:cstheme="minorHAnsi"/>
          <w:i/>
        </w:rPr>
      </w:pPr>
      <w:bookmarkStart w:id="137" w:name="_Ref348953176"/>
      <w:bookmarkStart w:id="138" w:name="_Toc367285525"/>
      <w:r w:rsidRPr="00234F53">
        <w:rPr>
          <w:rFonts w:asciiTheme="minorHAnsi" w:hAnsiTheme="minorHAnsi" w:cstheme="minorHAnsi"/>
          <w:i/>
        </w:rPr>
        <w:lastRenderedPageBreak/>
        <w:t xml:space="preserve">Figure </w:t>
      </w:r>
      <w:r w:rsidR="007B447B" w:rsidRPr="00234F53">
        <w:rPr>
          <w:rFonts w:asciiTheme="minorHAnsi" w:hAnsiTheme="minorHAnsi" w:cstheme="minorHAnsi"/>
          <w:i/>
        </w:rPr>
        <w:fldChar w:fldCharType="begin"/>
      </w:r>
      <w:r w:rsidRPr="00234F53">
        <w:rPr>
          <w:rFonts w:asciiTheme="minorHAnsi" w:hAnsiTheme="minorHAnsi" w:cstheme="minorHAnsi"/>
          <w:i/>
        </w:rPr>
        <w:instrText xml:space="preserve"> SEQ Figure \* ARABIC </w:instrText>
      </w:r>
      <w:r w:rsidR="007B447B" w:rsidRPr="00234F53">
        <w:rPr>
          <w:rFonts w:asciiTheme="minorHAnsi" w:hAnsiTheme="minorHAnsi" w:cstheme="minorHAnsi"/>
          <w:i/>
        </w:rPr>
        <w:fldChar w:fldCharType="separate"/>
      </w:r>
      <w:r w:rsidR="009E3D1C">
        <w:rPr>
          <w:rFonts w:asciiTheme="minorHAnsi" w:hAnsiTheme="minorHAnsi" w:cstheme="minorHAnsi"/>
          <w:i/>
          <w:noProof/>
        </w:rPr>
        <w:t>9</w:t>
      </w:r>
      <w:r w:rsidR="007B447B" w:rsidRPr="00234F53">
        <w:rPr>
          <w:rFonts w:asciiTheme="minorHAnsi" w:hAnsiTheme="minorHAnsi" w:cstheme="minorHAnsi"/>
          <w:i/>
        </w:rPr>
        <w:fldChar w:fldCharType="end"/>
      </w:r>
      <w:bookmarkEnd w:id="137"/>
      <w:r w:rsidRPr="00234F53">
        <w:rPr>
          <w:rFonts w:asciiTheme="minorHAnsi" w:hAnsiTheme="minorHAnsi" w:cstheme="minorHAnsi"/>
          <w:i/>
        </w:rPr>
        <w:t xml:space="preserve">:  Reasons for gambling (among students who have gambled in </w:t>
      </w:r>
      <w:r>
        <w:rPr>
          <w:rFonts w:asciiTheme="minorHAnsi" w:hAnsiTheme="minorHAnsi" w:cstheme="minorHAnsi"/>
          <w:i/>
        </w:rPr>
        <w:t xml:space="preserve">the </w:t>
      </w:r>
      <w:r w:rsidRPr="00234F53">
        <w:rPr>
          <w:rFonts w:asciiTheme="minorHAnsi" w:hAnsiTheme="minorHAnsi" w:cstheme="minorHAnsi"/>
          <w:i/>
        </w:rPr>
        <w:t>last 12 months</w:t>
      </w:r>
      <w:r>
        <w:rPr>
          <w:rFonts w:asciiTheme="minorHAnsi" w:hAnsiTheme="minorHAnsi" w:cstheme="minorHAnsi"/>
          <w:i/>
        </w:rPr>
        <w:t>; N=2091</w:t>
      </w:r>
      <w:r w:rsidRPr="00234F53">
        <w:rPr>
          <w:rFonts w:asciiTheme="minorHAnsi" w:hAnsiTheme="minorHAnsi" w:cstheme="minorHAnsi"/>
          <w:i/>
        </w:rPr>
        <w:t>)</w:t>
      </w:r>
      <w:r w:rsidRPr="00E3310E">
        <w:rPr>
          <w:rFonts w:asciiTheme="minorHAnsi" w:hAnsiTheme="minorHAnsi" w:cstheme="minorHAnsi"/>
          <w:i/>
        </w:rPr>
        <w:t xml:space="preserve"> </w:t>
      </w:r>
      <w:r w:rsidRPr="00E620C6">
        <w:rPr>
          <w:rFonts w:asciiTheme="minorHAnsi" w:hAnsiTheme="minorHAnsi" w:cstheme="minorHAnsi"/>
          <w:i/>
          <w:vertAlign w:val="superscript"/>
        </w:rPr>
        <w:t>1</w:t>
      </w:r>
      <w:bookmarkEnd w:id="138"/>
      <w:r w:rsidRPr="00E3310E">
        <w:rPr>
          <w:rFonts w:asciiTheme="minorHAnsi" w:hAnsiTheme="minorHAnsi" w:cstheme="minorHAnsi"/>
          <w:i/>
        </w:rPr>
        <w:t xml:space="preserve"> </w:t>
      </w:r>
    </w:p>
    <w:p w:rsidR="00043311" w:rsidRDefault="00043311" w:rsidP="0042130F">
      <w:pPr>
        <w:spacing w:line="240" w:lineRule="auto"/>
        <w:jc w:val="center"/>
        <w:rPr>
          <w:rFonts w:asciiTheme="minorHAnsi" w:hAnsiTheme="minorHAnsi" w:cstheme="minorHAnsi"/>
        </w:rPr>
      </w:pPr>
      <w:r w:rsidRPr="00E3310E">
        <w:rPr>
          <w:rFonts w:asciiTheme="minorHAnsi" w:hAnsiTheme="minorHAnsi" w:cstheme="minorHAnsi"/>
          <w:noProof/>
          <w:lang w:eastAsia="en-NZ"/>
        </w:rPr>
        <w:drawing>
          <wp:inline distT="0" distB="0" distL="0" distR="0" wp14:anchorId="692D1D85" wp14:editId="02D269BC">
            <wp:extent cx="5857875" cy="49911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43311" w:rsidRPr="0055372F" w:rsidRDefault="00043311" w:rsidP="0042130F">
      <w:pPr>
        <w:spacing w:before="0" w:line="240" w:lineRule="auto"/>
        <w:ind w:left="851"/>
        <w:rPr>
          <w:rFonts w:asciiTheme="minorHAnsi" w:hAnsiTheme="minorHAnsi" w:cstheme="minorHAnsi"/>
          <w:sz w:val="18"/>
        </w:rPr>
      </w:pPr>
      <w:r w:rsidRPr="0055372F">
        <w:rPr>
          <w:rFonts w:asciiTheme="minorHAnsi" w:hAnsiTheme="minorHAnsi" w:cstheme="minorHAnsi"/>
          <w:sz w:val="18"/>
        </w:rPr>
        <w:t>Note:</w:t>
      </w:r>
    </w:p>
    <w:p w:rsidR="00043311" w:rsidRPr="0055372F" w:rsidRDefault="00043311" w:rsidP="0042130F">
      <w:pPr>
        <w:spacing w:before="0" w:line="240" w:lineRule="auto"/>
        <w:ind w:left="851"/>
        <w:rPr>
          <w:rFonts w:asciiTheme="minorHAnsi" w:hAnsiTheme="minorHAnsi" w:cstheme="minorHAnsi"/>
          <w:sz w:val="18"/>
        </w:rPr>
      </w:pPr>
      <w:r>
        <w:rPr>
          <w:rFonts w:asciiTheme="minorHAnsi" w:hAnsiTheme="minorHAnsi" w:cstheme="minorHAnsi"/>
          <w:sz w:val="18"/>
        </w:rPr>
        <w:t xml:space="preserve">1. Students could choose more than one response option. </w:t>
      </w:r>
    </w:p>
    <w:p w:rsidR="00043311" w:rsidRDefault="00043311" w:rsidP="0042130F">
      <w:pPr>
        <w:jc w:val="center"/>
        <w:rPr>
          <w:rFonts w:asciiTheme="minorHAnsi" w:hAnsiTheme="minorHAnsi" w:cstheme="minorHAnsi"/>
        </w:rPr>
      </w:pPr>
    </w:p>
    <w:p w:rsidR="00043311" w:rsidRDefault="00043311">
      <w:pPr>
        <w:spacing w:before="0" w:line="240" w:lineRule="auto"/>
        <w:jc w:val="left"/>
        <w:rPr>
          <w:rFonts w:asciiTheme="minorHAnsi" w:hAnsiTheme="minorHAnsi" w:cstheme="minorHAnsi"/>
          <w:b/>
          <w:iCs/>
          <w:color w:val="1F497D"/>
          <w:szCs w:val="26"/>
        </w:rPr>
      </w:pPr>
      <w:r>
        <w:br w:type="page"/>
      </w:r>
    </w:p>
    <w:p w:rsidR="00043311" w:rsidRPr="00E3310E" w:rsidRDefault="00043311" w:rsidP="0042130F">
      <w:pPr>
        <w:pStyle w:val="Heading3"/>
      </w:pPr>
      <w:bookmarkStart w:id="139" w:name="_Toc367284435"/>
      <w:r>
        <w:lastRenderedPageBreak/>
        <w:t>Reasons for gambling - c</w:t>
      </w:r>
      <w:r w:rsidRPr="00E3310E">
        <w:t xml:space="preserve">omparison </w:t>
      </w:r>
      <w:r>
        <w:t>of Youth’07 and Youth’12</w:t>
      </w:r>
      <w:bookmarkEnd w:id="139"/>
      <w:r w:rsidRPr="00E3310E">
        <w:t xml:space="preserve">  </w:t>
      </w:r>
    </w:p>
    <w:p w:rsidR="00043311" w:rsidRDefault="00720A6C" w:rsidP="0042130F">
      <w:pPr>
        <w:spacing w:line="360" w:lineRule="auto"/>
        <w:rPr>
          <w:rFonts w:asciiTheme="minorHAnsi" w:hAnsiTheme="minorHAnsi" w:cstheme="minorHAnsi"/>
        </w:rPr>
      </w:pPr>
      <w:r w:rsidRPr="00720A6C">
        <w:rPr>
          <w:rFonts w:asciiTheme="minorHAnsi" w:hAnsiTheme="minorHAnsi" w:cstheme="minorHAnsi"/>
        </w:rPr>
        <w:t>Table 10</w:t>
      </w:r>
      <w:r w:rsidR="00043311">
        <w:rPr>
          <w:rFonts w:asciiTheme="minorHAnsi" w:hAnsiTheme="minorHAnsi" w:cstheme="minorHAnsi"/>
        </w:rPr>
        <w:t xml:space="preserve"> provides a comparison of the reasons for gambling that were reported by students in Youth’07 (N=2,196) and Youth’12 (N=2,091). The reasons selected by students were largely comparable across each wave of the survey. However, there appears to have been a decrease in the proportions of students who said that they gamble “to win money” (53% in 2007 and 32% in 2012) and “to get a buzz” (12% in 2007 and 4% in 2012)</w:t>
      </w:r>
      <w:r w:rsidR="00043311">
        <w:rPr>
          <w:rStyle w:val="FootnoteReference"/>
          <w:rFonts w:asciiTheme="minorHAnsi" w:hAnsiTheme="minorHAnsi"/>
        </w:rPr>
        <w:footnoteReference w:id="17"/>
      </w:r>
      <w:r w:rsidR="00043311">
        <w:rPr>
          <w:rFonts w:asciiTheme="minorHAnsi" w:hAnsiTheme="minorHAnsi" w:cstheme="minorHAnsi"/>
        </w:rPr>
        <w:t xml:space="preserve">. </w:t>
      </w:r>
    </w:p>
    <w:p w:rsidR="00740B76" w:rsidRPr="00740B76" w:rsidRDefault="00740B76" w:rsidP="00740B76">
      <w:pPr>
        <w:pStyle w:val="Caption"/>
        <w:spacing w:line="240" w:lineRule="auto"/>
        <w:ind w:left="993" w:hanging="993"/>
        <w:rPr>
          <w:rFonts w:asciiTheme="minorHAnsi" w:hAnsiTheme="minorHAnsi" w:cstheme="minorHAnsi"/>
          <w:i/>
        </w:rPr>
      </w:pPr>
      <w:bookmarkStart w:id="140" w:name="_Toc367285393"/>
      <w:r w:rsidRPr="00740B76">
        <w:rPr>
          <w:rFonts w:asciiTheme="minorHAnsi" w:hAnsiTheme="minorHAnsi"/>
          <w:i/>
        </w:rPr>
        <w:t xml:space="preserve">Table </w:t>
      </w:r>
      <w:r w:rsidR="007B447B" w:rsidRPr="00740B76">
        <w:rPr>
          <w:rFonts w:asciiTheme="minorHAnsi" w:hAnsiTheme="minorHAnsi"/>
          <w:i/>
        </w:rPr>
        <w:fldChar w:fldCharType="begin"/>
      </w:r>
      <w:r w:rsidRPr="00740B76">
        <w:rPr>
          <w:rFonts w:asciiTheme="minorHAnsi" w:hAnsiTheme="minorHAnsi"/>
          <w:i/>
        </w:rPr>
        <w:instrText xml:space="preserve"> SEQ Table \* ARABIC </w:instrText>
      </w:r>
      <w:r w:rsidR="007B447B" w:rsidRPr="00740B76">
        <w:rPr>
          <w:rFonts w:asciiTheme="minorHAnsi" w:hAnsiTheme="minorHAnsi"/>
          <w:i/>
        </w:rPr>
        <w:fldChar w:fldCharType="separate"/>
      </w:r>
      <w:r w:rsidR="009E3D1C">
        <w:rPr>
          <w:rFonts w:asciiTheme="minorHAnsi" w:hAnsiTheme="minorHAnsi"/>
          <w:i/>
          <w:noProof/>
        </w:rPr>
        <w:t>10</w:t>
      </w:r>
      <w:r w:rsidR="007B447B" w:rsidRPr="00740B76">
        <w:rPr>
          <w:rFonts w:asciiTheme="minorHAnsi" w:hAnsiTheme="minorHAnsi"/>
          <w:i/>
        </w:rPr>
        <w:fldChar w:fldCharType="end"/>
      </w:r>
      <w:r w:rsidRPr="00740B76">
        <w:rPr>
          <w:rFonts w:asciiTheme="minorHAnsi" w:hAnsiTheme="minorHAnsi"/>
          <w:i/>
        </w:rPr>
        <w:t xml:space="preserve">: </w:t>
      </w:r>
      <w:r w:rsidRPr="00740B76">
        <w:rPr>
          <w:rFonts w:asciiTheme="minorHAnsi" w:hAnsiTheme="minorHAnsi" w:cstheme="minorHAnsi"/>
          <w:i/>
        </w:rPr>
        <w:t>Reasons for gambling - comparison of Youth’07 and Youth’12 (among students who have gambled in the last 12 months)</w:t>
      </w:r>
      <w:bookmarkEnd w:id="140"/>
    </w:p>
    <w:p w:rsidR="00043311" w:rsidRDefault="00043311" w:rsidP="0042130F">
      <w:pPr>
        <w:spacing w:line="360" w:lineRule="auto"/>
        <w:jc w:val="center"/>
        <w:rPr>
          <w:rFonts w:asciiTheme="minorHAnsi" w:hAnsiTheme="minorHAnsi" w:cstheme="minorHAnsi"/>
        </w:rPr>
      </w:pPr>
      <w:r w:rsidRPr="00057BC6">
        <w:rPr>
          <w:noProof/>
          <w:lang w:eastAsia="en-NZ"/>
        </w:rPr>
        <w:drawing>
          <wp:inline distT="0" distB="0" distL="0" distR="0" wp14:anchorId="5D2F12C8" wp14:editId="71F0796B">
            <wp:extent cx="3950250" cy="46706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0072" cy="4670400"/>
                    </a:xfrm>
                    <a:prstGeom prst="rect">
                      <a:avLst/>
                    </a:prstGeom>
                    <a:noFill/>
                    <a:ln>
                      <a:noFill/>
                    </a:ln>
                  </pic:spPr>
                </pic:pic>
              </a:graphicData>
            </a:graphic>
          </wp:inline>
        </w:drawing>
      </w:r>
    </w:p>
    <w:p w:rsidR="00043311" w:rsidRPr="00E3310E" w:rsidRDefault="00043311" w:rsidP="0042130F">
      <w:pPr>
        <w:pStyle w:val="Heading2"/>
      </w:pPr>
      <w:bookmarkStart w:id="141" w:name="_Toc367284436"/>
      <w:r>
        <w:lastRenderedPageBreak/>
        <w:t>Summary: Attitudes and motivating factors towards gambling</w:t>
      </w:r>
      <w:bookmarkEnd w:id="141"/>
    </w:p>
    <w:p w:rsidR="00043311" w:rsidRPr="00E3310E" w:rsidRDefault="00082F17" w:rsidP="0042130F">
      <w:pPr>
        <w:tabs>
          <w:tab w:val="left" w:pos="1965"/>
        </w:tabs>
        <w:rPr>
          <w:rFonts w:asciiTheme="minorHAnsi" w:hAnsiTheme="minorHAnsi" w:cstheme="minorHAnsi"/>
        </w:rPr>
      </w:pPr>
      <w:r>
        <w:rPr>
          <w:rFonts w:asciiTheme="minorHAnsi" w:hAnsiTheme="minorHAnsi" w:cstheme="minorHAnsi"/>
          <w:noProof/>
          <w:lang w:eastAsia="en-NZ"/>
        </w:rPr>
      </w:r>
      <w:r>
        <w:rPr>
          <w:rFonts w:asciiTheme="minorHAnsi" w:hAnsiTheme="minorHAnsi" w:cstheme="minorHAnsi"/>
          <w:noProof/>
          <w:lang w:eastAsia="en-NZ"/>
        </w:rPr>
        <w:pict>
          <v:shape id="_x0000_s1044" type="#_x0000_t202" style="width:525.75pt;height:1in;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" fillcolor="#c6d9f1 [671]" stroked="f">
            <v:textbox style="mso-fit-shape-to-text:t">
              <w:txbxContent>
                <w:p w:rsidR="00B45826" w:rsidRPr="006C12EE" w:rsidRDefault="00B45826" w:rsidP="0042130F">
                  <w:pPr>
                    <w:spacing w:line="276" w:lineRule="auto"/>
                    <w:rPr>
                      <w:rFonts w:asciiTheme="minorHAnsi" w:hAnsiTheme="minorHAnsi" w:cstheme="minorHAnsi"/>
                      <w:b/>
                    </w:rPr>
                  </w:pPr>
                  <w:r>
                    <w:rPr>
                      <w:rFonts w:asciiTheme="minorHAnsi" w:hAnsiTheme="minorHAnsi" w:cstheme="minorHAnsi"/>
                      <w:b/>
                    </w:rPr>
                    <w:t>KEY POINTS</w:t>
                  </w:r>
                  <w:r w:rsidRPr="006C12EE">
                    <w:rPr>
                      <w:rFonts w:asciiTheme="minorHAnsi" w:hAnsiTheme="minorHAnsi" w:cstheme="minorHAnsi"/>
                      <w:b/>
                    </w:rPr>
                    <w:t>:</w:t>
                  </w:r>
                </w:p>
                <w:p w:rsidR="00B45826" w:rsidRPr="00A15AFC" w:rsidRDefault="00B45826" w:rsidP="0042130F">
                  <w:pPr>
                    <w:spacing w:line="276" w:lineRule="auto"/>
                    <w:rPr>
                      <w:rFonts w:asciiTheme="minorHAnsi" w:hAnsiTheme="minorHAnsi" w:cstheme="minorHAnsi"/>
                    </w:rPr>
                  </w:pPr>
                  <w:r w:rsidRPr="00A15AFC">
                    <w:rPr>
                      <w:rFonts w:asciiTheme="minorHAnsi" w:hAnsiTheme="minorHAnsi" w:cstheme="minorHAnsi"/>
                    </w:rPr>
                    <w:t xml:space="preserve">Students who had gambled in the last 12 months were asked a series of questions about their views on gambling. </w:t>
                  </w:r>
                </w:p>
                <w:p w:rsidR="00B45826" w:rsidRDefault="00B45826" w:rsidP="0042130F">
                  <w:pPr>
                    <w:pStyle w:val="ListParagraph"/>
                    <w:numPr>
                      <w:ilvl w:val="0"/>
                      <w:numId w:val="10"/>
                    </w:numPr>
                    <w:spacing w:line="276" w:lineRule="auto"/>
                    <w:ind w:left="426"/>
                    <w:rPr>
                      <w:rFonts w:asciiTheme="minorHAnsi" w:hAnsiTheme="minorHAnsi" w:cstheme="minorHAnsi"/>
                    </w:rPr>
                  </w:pPr>
                  <w:r>
                    <w:rPr>
                      <w:rFonts w:asciiTheme="minorHAnsi" w:hAnsiTheme="minorHAnsi" w:cstheme="minorHAnsi"/>
                    </w:rPr>
                    <w:t>Participants had mixed views about the acceptability of gambling:</w:t>
                  </w:r>
                </w:p>
                <w:p w:rsidR="00B45826" w:rsidRDefault="00B45826" w:rsidP="0042130F">
                  <w:pPr>
                    <w:pStyle w:val="ListParagraph"/>
                    <w:numPr>
                      <w:ilvl w:val="1"/>
                      <w:numId w:val="10"/>
                    </w:numPr>
                    <w:spacing w:line="276" w:lineRule="auto"/>
                    <w:ind w:left="851"/>
                    <w:rPr>
                      <w:rFonts w:asciiTheme="minorHAnsi" w:hAnsiTheme="minorHAnsi" w:cstheme="minorHAnsi"/>
                    </w:rPr>
                  </w:pPr>
                  <w:r w:rsidRPr="00E4639C">
                    <w:rPr>
                      <w:rFonts w:asciiTheme="minorHAnsi" w:hAnsiTheme="minorHAnsi" w:cstheme="minorHAnsi"/>
                    </w:rPr>
                    <w:t xml:space="preserve">Approximately one-third of students </w:t>
                  </w:r>
                  <w:r>
                    <w:rPr>
                      <w:rFonts w:asciiTheme="minorHAnsi" w:hAnsiTheme="minorHAnsi" w:cstheme="minorHAnsi"/>
                    </w:rPr>
                    <w:t xml:space="preserve">who had gambled </w:t>
                  </w:r>
                  <w:r w:rsidRPr="00E4639C">
                    <w:rPr>
                      <w:rFonts w:asciiTheme="minorHAnsi" w:hAnsiTheme="minorHAnsi" w:cstheme="minorHAnsi"/>
                    </w:rPr>
                    <w:t xml:space="preserve">(31%) indicated that </w:t>
                  </w:r>
                  <w:r>
                    <w:rPr>
                      <w:rFonts w:asciiTheme="minorHAnsi" w:hAnsiTheme="minorHAnsi" w:cstheme="minorHAnsi"/>
                    </w:rPr>
                    <w:t>gambling was</w:t>
                  </w:r>
                  <w:r w:rsidRPr="00E4639C">
                    <w:rPr>
                      <w:rFonts w:asciiTheme="minorHAnsi" w:hAnsiTheme="minorHAnsi" w:cstheme="minorHAnsi"/>
                    </w:rPr>
                    <w:t xml:space="preserve"> </w:t>
                  </w:r>
                  <w:r>
                    <w:rPr>
                      <w:rFonts w:asciiTheme="minorHAnsi" w:hAnsiTheme="minorHAnsi" w:cstheme="minorHAnsi"/>
                    </w:rPr>
                    <w:t xml:space="preserve">not </w:t>
                  </w:r>
                  <w:r w:rsidRPr="00E4639C">
                    <w:rPr>
                      <w:rFonts w:asciiTheme="minorHAnsi" w:hAnsiTheme="minorHAnsi" w:cstheme="minorHAnsi"/>
                    </w:rPr>
                    <w:t>okay for people their age</w:t>
                  </w:r>
                  <w:r>
                    <w:rPr>
                      <w:rFonts w:asciiTheme="minorHAnsi" w:hAnsiTheme="minorHAnsi" w:cstheme="minorHAnsi"/>
                    </w:rPr>
                    <w:t>.</w:t>
                  </w:r>
                  <w:r w:rsidRPr="00E4639C">
                    <w:rPr>
                      <w:rFonts w:asciiTheme="minorHAnsi" w:hAnsiTheme="minorHAnsi" w:cstheme="minorHAnsi"/>
                    </w:rPr>
                    <w:t xml:space="preserve"> </w:t>
                  </w:r>
                </w:p>
                <w:p w:rsidR="00B45826" w:rsidRPr="00A15AFC" w:rsidRDefault="00B45826" w:rsidP="0042130F">
                  <w:pPr>
                    <w:pStyle w:val="ListParagraph"/>
                    <w:numPr>
                      <w:ilvl w:val="1"/>
                      <w:numId w:val="10"/>
                    </w:numPr>
                    <w:spacing w:line="276" w:lineRule="auto"/>
                    <w:ind w:left="851"/>
                    <w:rPr>
                      <w:rFonts w:asciiTheme="minorHAnsi" w:hAnsiTheme="minorHAnsi" w:cstheme="minorHAnsi"/>
                    </w:rPr>
                  </w:pPr>
                  <w:r w:rsidRPr="00A15AFC">
                    <w:rPr>
                      <w:rFonts w:asciiTheme="minorHAnsi" w:hAnsiTheme="minorHAnsi" w:cstheme="minorHAnsi"/>
                    </w:rPr>
                    <w:t>Gambling activities that were most likely to be endorsed as being okay for people their own age to engage in were bets with friends/family; Instant Kiwi; playing cards or coin games; Lotto; and, bingo/housie. I</w:t>
                  </w:r>
                  <w:r>
                    <w:rPr>
                      <w:rFonts w:asciiTheme="minorHAnsi" w:hAnsiTheme="minorHAnsi" w:cstheme="minorHAnsi"/>
                    </w:rPr>
                    <w:t>n</w:t>
                  </w:r>
                  <w:r w:rsidRPr="00A15AFC">
                    <w:rPr>
                      <w:rFonts w:asciiTheme="minorHAnsi" w:hAnsiTheme="minorHAnsi" w:cstheme="minorHAnsi"/>
                    </w:rPr>
                    <w:t xml:space="preserve"> contrast, </w:t>
                  </w:r>
                  <w:r>
                    <w:rPr>
                      <w:rFonts w:asciiTheme="minorHAnsi" w:hAnsiTheme="minorHAnsi" w:cstheme="minorHAnsi"/>
                    </w:rPr>
                    <w:t>pub/club EGMs, casino EGMS and tables, TAB betting, gambling over the internet or mobile phones, and 0900 phone games</w:t>
                  </w:r>
                  <w:r w:rsidRPr="00A15AFC">
                    <w:rPr>
                      <w:rFonts w:asciiTheme="minorHAnsi" w:hAnsiTheme="minorHAnsi" w:cstheme="minorHAnsi"/>
                    </w:rPr>
                    <w:t xml:space="preserve"> were less likely to be seen as okay.</w:t>
                  </w:r>
                </w:p>
                <w:p w:rsidR="00B45826" w:rsidRPr="00A15AFC" w:rsidRDefault="00B45826" w:rsidP="0042130F">
                  <w:pPr>
                    <w:spacing w:line="276" w:lineRule="auto"/>
                    <w:rPr>
                      <w:rFonts w:asciiTheme="minorHAnsi" w:hAnsiTheme="minorHAnsi" w:cstheme="minorHAnsi"/>
                    </w:rPr>
                  </w:pPr>
                </w:p>
                <w:p w:rsidR="00B45826" w:rsidRDefault="00B45826" w:rsidP="0042130F">
                  <w:pPr>
                    <w:pStyle w:val="ListParagraph"/>
                    <w:numPr>
                      <w:ilvl w:val="0"/>
                      <w:numId w:val="10"/>
                    </w:numPr>
                    <w:spacing w:line="276" w:lineRule="auto"/>
                    <w:ind w:left="426"/>
                    <w:rPr>
                      <w:rFonts w:asciiTheme="minorHAnsi" w:hAnsiTheme="minorHAnsi" w:cstheme="minorHAnsi"/>
                    </w:rPr>
                  </w:pPr>
                  <w:r>
                    <w:rPr>
                      <w:rFonts w:asciiTheme="minorHAnsi" w:hAnsiTheme="minorHAnsi" w:cstheme="minorHAnsi"/>
                    </w:rPr>
                    <w:t>Participants reported diverse reasons for gambling:</w:t>
                  </w:r>
                </w:p>
                <w:p w:rsidR="00B45826" w:rsidRDefault="00B45826" w:rsidP="0042130F">
                  <w:pPr>
                    <w:pStyle w:val="ListParagraph"/>
                    <w:numPr>
                      <w:ilvl w:val="1"/>
                      <w:numId w:val="10"/>
                    </w:numPr>
                    <w:spacing w:line="276" w:lineRule="auto"/>
                    <w:ind w:left="851"/>
                    <w:rPr>
                      <w:rFonts w:asciiTheme="minorHAnsi" w:hAnsiTheme="minorHAnsi" w:cstheme="minorHAnsi"/>
                    </w:rPr>
                  </w:pPr>
                  <w:r>
                    <w:rPr>
                      <w:rFonts w:asciiTheme="minorHAnsi" w:hAnsiTheme="minorHAnsi" w:cstheme="minorHAnsi"/>
                    </w:rPr>
                    <w:t>Students choose to gamble in order t</w:t>
                  </w:r>
                  <w:r w:rsidRPr="00E4639C">
                    <w:rPr>
                      <w:rFonts w:asciiTheme="minorHAnsi" w:hAnsiTheme="minorHAnsi" w:cstheme="minorHAnsi"/>
                    </w:rPr>
                    <w:t>o have fun</w:t>
                  </w:r>
                  <w:r>
                    <w:rPr>
                      <w:rFonts w:asciiTheme="minorHAnsi" w:hAnsiTheme="minorHAnsi" w:cstheme="minorHAnsi"/>
                    </w:rPr>
                    <w:t>,</w:t>
                  </w:r>
                  <w:r w:rsidRPr="00E4639C">
                    <w:rPr>
                      <w:rFonts w:asciiTheme="minorHAnsi" w:hAnsiTheme="minorHAnsi" w:cstheme="minorHAnsi"/>
                    </w:rPr>
                    <w:t xml:space="preserve"> to win money</w:t>
                  </w:r>
                  <w:r>
                    <w:rPr>
                      <w:rFonts w:asciiTheme="minorHAnsi" w:hAnsiTheme="minorHAnsi" w:cstheme="minorHAnsi"/>
                    </w:rPr>
                    <w:t>,</w:t>
                  </w:r>
                  <w:r w:rsidRPr="00E4639C">
                    <w:rPr>
                      <w:rFonts w:asciiTheme="minorHAnsi" w:hAnsiTheme="minorHAnsi" w:cstheme="minorHAnsi"/>
                    </w:rPr>
                    <w:t xml:space="preserve"> for a challenge</w:t>
                  </w:r>
                  <w:r>
                    <w:rPr>
                      <w:rFonts w:asciiTheme="minorHAnsi" w:hAnsiTheme="minorHAnsi" w:cstheme="minorHAnsi"/>
                    </w:rPr>
                    <w:t>,</w:t>
                  </w:r>
                  <w:r w:rsidRPr="00E4639C">
                    <w:rPr>
                      <w:rFonts w:asciiTheme="minorHAnsi" w:hAnsiTheme="minorHAnsi" w:cstheme="minorHAnsi"/>
                    </w:rPr>
                    <w:t xml:space="preserve"> because </w:t>
                  </w:r>
                  <w:r>
                    <w:rPr>
                      <w:rFonts w:asciiTheme="minorHAnsi" w:hAnsiTheme="minorHAnsi" w:cstheme="minorHAnsi"/>
                    </w:rPr>
                    <w:t>they were</w:t>
                  </w:r>
                  <w:r w:rsidRPr="00E4639C">
                    <w:rPr>
                      <w:rFonts w:asciiTheme="minorHAnsi" w:hAnsiTheme="minorHAnsi" w:cstheme="minorHAnsi"/>
                    </w:rPr>
                    <w:t xml:space="preserve"> bored</w:t>
                  </w:r>
                  <w:r>
                    <w:rPr>
                      <w:rFonts w:asciiTheme="minorHAnsi" w:hAnsiTheme="minorHAnsi" w:cstheme="minorHAnsi"/>
                    </w:rPr>
                    <w:t xml:space="preserve">, and for no particular reason (i.e. ‘none of these responses’). </w:t>
                  </w:r>
                </w:p>
                <w:p w:rsidR="00B45826" w:rsidRPr="003E34A8" w:rsidRDefault="00B45826" w:rsidP="0042130F">
                  <w:pPr>
                    <w:pStyle w:val="ListParagraph"/>
                    <w:numPr>
                      <w:ilvl w:val="1"/>
                      <w:numId w:val="10"/>
                    </w:numPr>
                    <w:spacing w:line="276" w:lineRule="auto"/>
                    <w:ind w:left="851"/>
                    <w:rPr>
                      <w:rFonts w:asciiTheme="minorHAnsi" w:hAnsiTheme="minorHAnsi" w:cstheme="minorHAnsi"/>
                    </w:rPr>
                  </w:pPr>
                  <w:r>
                    <w:rPr>
                      <w:rFonts w:asciiTheme="minorHAnsi" w:hAnsiTheme="minorHAnsi" w:cstheme="minorHAnsi"/>
                    </w:rPr>
                    <w:t>When comparing the results from Youth’07 and Youth’12, students’ reasons for gambling were largely comparable across each wave of the survey. However, there appears to have been a decrease in the proportions of students who said that they gamble “to win money” (53% in 2007 and 32% in 2012) and “to get a buzz” (12% in 2007 and 4% in 2012).</w:t>
                  </w:r>
                </w:p>
              </w:txbxContent>
            </v:textbox>
            <w10:wrap type="none"/>
            <w10:anchorlock/>
          </v:shape>
        </w:pict>
      </w:r>
      <w:r w:rsidR="00043311" w:rsidRPr="00E3310E">
        <w:rPr>
          <w:rFonts w:asciiTheme="minorHAnsi" w:hAnsiTheme="minorHAnsi" w:cstheme="minorHAnsi"/>
        </w:rPr>
        <w:tab/>
      </w:r>
    </w:p>
    <w:p w:rsidR="00043311" w:rsidRPr="00E3310E" w:rsidRDefault="00043311" w:rsidP="0042130F">
      <w:pPr>
        <w:pStyle w:val="BodyText"/>
        <w:rPr>
          <w:lang w:val="en-NZ"/>
        </w:rPr>
      </w:pPr>
    </w:p>
    <w:p w:rsidR="00043311" w:rsidRPr="00E3310E" w:rsidRDefault="00043311" w:rsidP="0042130F">
      <w:pPr>
        <w:pStyle w:val="Heading1"/>
        <w:rPr>
          <w:rFonts w:asciiTheme="minorHAnsi" w:hAnsiTheme="minorHAnsi" w:cstheme="minorHAnsi"/>
        </w:rPr>
      </w:pPr>
      <w:bookmarkStart w:id="142" w:name="_Toc367284437"/>
      <w:r w:rsidRPr="00E3310E">
        <w:rPr>
          <w:rFonts w:asciiTheme="minorHAnsi" w:hAnsiTheme="minorHAnsi" w:cstheme="minorHAnsi"/>
          <w:caps w:val="0"/>
        </w:rPr>
        <w:lastRenderedPageBreak/>
        <w:t>THE IMPACTS OF OTHERS’ GAMBLING ON STUDENTS</w:t>
      </w:r>
      <w:bookmarkEnd w:id="142"/>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 xml:space="preserve">Data were gathered in relation to </w:t>
      </w:r>
      <w:r>
        <w:rPr>
          <w:rFonts w:asciiTheme="minorHAnsi" w:hAnsiTheme="minorHAnsi" w:cstheme="minorHAnsi"/>
        </w:rPr>
        <w:t xml:space="preserve">student gambling and </w:t>
      </w:r>
      <w:r w:rsidRPr="00E3310E">
        <w:rPr>
          <w:rFonts w:asciiTheme="minorHAnsi" w:hAnsiTheme="minorHAnsi" w:cstheme="minorHAnsi"/>
        </w:rPr>
        <w:t>a variety of social and ecological factors</w:t>
      </w:r>
      <w:r>
        <w:rPr>
          <w:rFonts w:asciiTheme="minorHAnsi" w:hAnsiTheme="minorHAnsi" w:cstheme="minorHAnsi"/>
        </w:rPr>
        <w:t xml:space="preserve">. In particular, students were asked about the type of </w:t>
      </w:r>
      <w:r w:rsidRPr="00E3310E">
        <w:rPr>
          <w:rFonts w:asciiTheme="minorHAnsi" w:hAnsiTheme="minorHAnsi" w:cstheme="minorHAnsi"/>
        </w:rPr>
        <w:t xml:space="preserve">gambling that </w:t>
      </w:r>
      <w:r>
        <w:rPr>
          <w:rFonts w:asciiTheme="minorHAnsi" w:hAnsiTheme="minorHAnsi" w:cstheme="minorHAnsi"/>
        </w:rPr>
        <w:t xml:space="preserve">their </w:t>
      </w:r>
      <w:r w:rsidRPr="00E3310E">
        <w:rPr>
          <w:rFonts w:asciiTheme="minorHAnsi" w:hAnsiTheme="minorHAnsi" w:cstheme="minorHAnsi"/>
        </w:rPr>
        <w:t>parents and friends participate</w:t>
      </w:r>
      <w:r>
        <w:rPr>
          <w:rFonts w:asciiTheme="minorHAnsi" w:hAnsiTheme="minorHAnsi" w:cstheme="minorHAnsi"/>
        </w:rPr>
        <w:t>d</w:t>
      </w:r>
      <w:r w:rsidRPr="00E3310E">
        <w:rPr>
          <w:rFonts w:asciiTheme="minorHAnsi" w:hAnsiTheme="minorHAnsi" w:cstheme="minorHAnsi"/>
        </w:rPr>
        <w:t xml:space="preserve"> in and </w:t>
      </w:r>
      <w:r>
        <w:rPr>
          <w:rFonts w:asciiTheme="minorHAnsi" w:hAnsiTheme="minorHAnsi" w:cstheme="minorHAnsi"/>
        </w:rPr>
        <w:t>about t</w:t>
      </w:r>
      <w:r w:rsidRPr="00E3310E">
        <w:rPr>
          <w:rFonts w:asciiTheme="minorHAnsi" w:hAnsiTheme="minorHAnsi" w:cstheme="minorHAnsi"/>
        </w:rPr>
        <w:t>he im</w:t>
      </w:r>
      <w:r>
        <w:rPr>
          <w:rFonts w:asciiTheme="minorHAnsi" w:hAnsiTheme="minorHAnsi" w:cstheme="minorHAnsi"/>
        </w:rPr>
        <w:t>pact</w:t>
      </w:r>
      <w:r w:rsidRPr="00E3310E">
        <w:rPr>
          <w:rFonts w:asciiTheme="minorHAnsi" w:hAnsiTheme="minorHAnsi" w:cstheme="minorHAnsi"/>
        </w:rPr>
        <w:t xml:space="preserve"> of other</w:t>
      </w:r>
      <w:r>
        <w:rPr>
          <w:rFonts w:asciiTheme="minorHAnsi" w:hAnsiTheme="minorHAnsi" w:cstheme="minorHAnsi"/>
        </w:rPr>
        <w:t>s’ ga</w:t>
      </w:r>
      <w:r w:rsidRPr="00E3310E">
        <w:rPr>
          <w:rFonts w:asciiTheme="minorHAnsi" w:hAnsiTheme="minorHAnsi" w:cstheme="minorHAnsi"/>
        </w:rPr>
        <w:t>mbling</w:t>
      </w:r>
      <w:r>
        <w:rPr>
          <w:rFonts w:asciiTheme="minorHAnsi" w:hAnsiTheme="minorHAnsi" w:cstheme="minorHAnsi"/>
        </w:rPr>
        <w:t xml:space="preserve"> on them. </w:t>
      </w:r>
      <w:r w:rsidRPr="00E3310E">
        <w:rPr>
          <w:rFonts w:asciiTheme="minorHAnsi" w:hAnsiTheme="minorHAnsi" w:cstheme="minorHAnsi"/>
        </w:rPr>
        <w:t xml:space="preserve">The following </w:t>
      </w:r>
      <w:r>
        <w:rPr>
          <w:rFonts w:asciiTheme="minorHAnsi" w:hAnsiTheme="minorHAnsi" w:cstheme="minorHAnsi"/>
        </w:rPr>
        <w:t>section outlines results for thi</w:t>
      </w:r>
      <w:r w:rsidRPr="00E3310E">
        <w:rPr>
          <w:rFonts w:asciiTheme="minorHAnsi" w:hAnsiTheme="minorHAnsi" w:cstheme="minorHAnsi"/>
        </w:rPr>
        <w:t>s</w:t>
      </w:r>
      <w:r>
        <w:rPr>
          <w:rFonts w:asciiTheme="minorHAnsi" w:hAnsiTheme="minorHAnsi" w:cstheme="minorHAnsi"/>
        </w:rPr>
        <w:t xml:space="preserve"> set of</w:t>
      </w:r>
      <w:r w:rsidRPr="00E3310E">
        <w:rPr>
          <w:rFonts w:asciiTheme="minorHAnsi" w:hAnsiTheme="minorHAnsi" w:cstheme="minorHAnsi"/>
        </w:rPr>
        <w:t xml:space="preserve"> questions. </w:t>
      </w:r>
    </w:p>
    <w:p w:rsidR="00043311" w:rsidRPr="00E3310E" w:rsidRDefault="00043311" w:rsidP="00043311">
      <w:pPr>
        <w:pStyle w:val="Heading2"/>
        <w:numPr>
          <w:ilvl w:val="1"/>
          <w:numId w:val="32"/>
        </w:numPr>
      </w:pPr>
      <w:bookmarkStart w:id="143" w:name="_Toc367284438"/>
      <w:r>
        <w:t xml:space="preserve">Activities that friends and parents </w:t>
      </w:r>
      <w:r w:rsidRPr="00E3310E">
        <w:t>gambl</w:t>
      </w:r>
      <w:r>
        <w:t>e on</w:t>
      </w:r>
      <w:bookmarkEnd w:id="143"/>
    </w:p>
    <w:p w:rsidR="00043311" w:rsidRDefault="00043311" w:rsidP="0042130F">
      <w:pPr>
        <w:spacing w:line="360" w:lineRule="auto"/>
        <w:rPr>
          <w:rFonts w:asciiTheme="minorHAnsi" w:hAnsiTheme="minorHAnsi" w:cstheme="minorHAnsi"/>
        </w:rPr>
      </w:pPr>
      <w:r w:rsidRPr="00E3310E">
        <w:rPr>
          <w:rFonts w:asciiTheme="minorHAnsi" w:hAnsiTheme="minorHAnsi" w:cstheme="minorHAnsi"/>
        </w:rPr>
        <w:t xml:space="preserve">All students </w:t>
      </w:r>
      <w:r>
        <w:rPr>
          <w:rFonts w:asciiTheme="minorHAnsi" w:hAnsiTheme="minorHAnsi" w:cstheme="minorHAnsi"/>
        </w:rPr>
        <w:t xml:space="preserve">in Youth’12 </w:t>
      </w:r>
      <w:r w:rsidRPr="00E3310E">
        <w:rPr>
          <w:rFonts w:asciiTheme="minorHAnsi" w:hAnsiTheme="minorHAnsi" w:cstheme="minorHAnsi"/>
        </w:rPr>
        <w:t xml:space="preserve">were </w:t>
      </w:r>
      <w:r>
        <w:rPr>
          <w:rFonts w:asciiTheme="minorHAnsi" w:hAnsiTheme="minorHAnsi" w:cstheme="minorHAnsi"/>
        </w:rPr>
        <w:t xml:space="preserve">asked “Which of the following activities do your friends play or do?” Twelve options were listed and students were able to endorse as many as they felt were appropriate. The same question was then asked in relation to </w:t>
      </w:r>
      <w:r w:rsidRPr="00E3310E">
        <w:rPr>
          <w:rFonts w:asciiTheme="minorHAnsi" w:hAnsiTheme="minorHAnsi" w:cstheme="minorHAnsi"/>
        </w:rPr>
        <w:t>parents/caregivers</w:t>
      </w:r>
      <w:r>
        <w:rPr>
          <w:rFonts w:asciiTheme="minorHAnsi" w:hAnsiTheme="minorHAnsi" w:cstheme="minorHAnsi"/>
        </w:rPr>
        <w:t>.</w:t>
      </w:r>
    </w:p>
    <w:p w:rsidR="00043311" w:rsidRDefault="00043311" w:rsidP="0042130F">
      <w:pPr>
        <w:spacing w:line="360" w:lineRule="auto"/>
        <w:rPr>
          <w:rFonts w:asciiTheme="minorHAnsi" w:hAnsiTheme="minorHAnsi" w:cstheme="minorHAnsi"/>
        </w:rPr>
      </w:pPr>
      <w:r>
        <w:rPr>
          <w:rFonts w:asciiTheme="minorHAnsi" w:hAnsiTheme="minorHAnsi" w:cstheme="minorHAnsi"/>
        </w:rPr>
        <w:t>Whilst a greater proportion of students (69%) indicated that their parents/caregivers had gambled on at least one of the listed activities, half of all students (50%) reported that they have friends who gamble on at least one of the modes of gambling.</w:t>
      </w:r>
    </w:p>
    <w:p w:rsidR="00043311" w:rsidRDefault="00043311" w:rsidP="0042130F">
      <w:pPr>
        <w:spacing w:line="360" w:lineRule="auto"/>
        <w:rPr>
          <w:rFonts w:asciiTheme="minorHAnsi" w:hAnsiTheme="minorHAnsi" w:cstheme="minorHAnsi"/>
        </w:rPr>
      </w:pPr>
      <w:r w:rsidRPr="00E3310E">
        <w:rPr>
          <w:rFonts w:asciiTheme="minorHAnsi" w:hAnsiTheme="minorHAnsi" w:cstheme="minorHAnsi"/>
        </w:rPr>
        <w:t>The five</w:t>
      </w:r>
      <w:r>
        <w:rPr>
          <w:rFonts w:asciiTheme="minorHAnsi" w:hAnsiTheme="minorHAnsi" w:cstheme="minorHAnsi"/>
        </w:rPr>
        <w:t xml:space="preserve"> most frequently endorsed</w:t>
      </w:r>
      <w:r w:rsidRPr="00E3310E">
        <w:rPr>
          <w:rFonts w:asciiTheme="minorHAnsi" w:hAnsiTheme="minorHAnsi" w:cstheme="minorHAnsi"/>
        </w:rPr>
        <w:t xml:space="preserve"> </w:t>
      </w:r>
      <w:r>
        <w:rPr>
          <w:rFonts w:asciiTheme="minorHAnsi" w:hAnsiTheme="minorHAnsi" w:cstheme="minorHAnsi"/>
        </w:rPr>
        <w:t xml:space="preserve">gambling activities </w:t>
      </w:r>
      <w:r w:rsidRPr="00E3310E">
        <w:rPr>
          <w:rFonts w:asciiTheme="minorHAnsi" w:hAnsiTheme="minorHAnsi" w:cstheme="minorHAnsi"/>
        </w:rPr>
        <w:t xml:space="preserve">in relation to both parents/caregivers and friends were: “Instant Kiwi (scratchies)”; “Lotto (including Strike, Powerball and Big Wednesday)”; “bets with friends or family”; “cards or coin games (e.g. poker)”; and “none of these”. However, as </w:t>
      </w:r>
      <w:r>
        <w:rPr>
          <w:rFonts w:asciiTheme="minorHAnsi" w:hAnsiTheme="minorHAnsi" w:cstheme="minorHAnsi"/>
        </w:rPr>
        <w:t>indicated</w:t>
      </w:r>
      <w:r w:rsidRPr="00E3310E">
        <w:rPr>
          <w:rFonts w:asciiTheme="minorHAnsi" w:hAnsiTheme="minorHAnsi" w:cstheme="minorHAnsi"/>
        </w:rPr>
        <w:t xml:space="preserve"> in </w:t>
      </w:r>
      <w:r w:rsidR="00082F17">
        <w:fldChar w:fldCharType="begin"/>
      </w:r>
      <w:r w:rsidR="00082F17">
        <w:instrText xml:space="preserve"> REF _Ref346029062 \h  \* MERGEFORMAT </w:instrText>
      </w:r>
      <w:r w:rsidR="00082F17">
        <w:fldChar w:fldCharType="separate"/>
      </w:r>
      <w:r w:rsidR="009E3D1C" w:rsidRPr="00BC4F94">
        <w:rPr>
          <w:rFonts w:asciiTheme="minorHAnsi" w:hAnsiTheme="minorHAnsi" w:cstheme="minorHAnsi"/>
        </w:rPr>
        <w:t xml:space="preserve">Figure </w:t>
      </w:r>
      <w:r w:rsidR="009E3D1C" w:rsidRPr="00BC4F94">
        <w:rPr>
          <w:rFonts w:asciiTheme="minorHAnsi" w:hAnsiTheme="minorHAnsi" w:cstheme="minorHAnsi"/>
          <w:noProof/>
        </w:rPr>
        <w:t>10</w:t>
      </w:r>
      <w:r w:rsidR="00082F17">
        <w:fldChar w:fldCharType="end"/>
      </w:r>
      <w:r>
        <w:t>,</w:t>
      </w:r>
      <w:r w:rsidRPr="00E3310E">
        <w:rPr>
          <w:rFonts w:asciiTheme="minorHAnsi" w:hAnsiTheme="minorHAnsi" w:cstheme="minorHAnsi"/>
        </w:rPr>
        <w:t xml:space="preserve"> the prevalence of these activities differed according to whether students were responding in relation to friends (</w:t>
      </w:r>
      <w:r>
        <w:rPr>
          <w:rFonts w:asciiTheme="minorHAnsi" w:hAnsiTheme="minorHAnsi" w:cstheme="minorHAnsi"/>
        </w:rPr>
        <w:t xml:space="preserve">e.g. </w:t>
      </w:r>
      <w:r w:rsidRPr="00E3310E">
        <w:rPr>
          <w:rFonts w:asciiTheme="minorHAnsi" w:hAnsiTheme="minorHAnsi" w:cstheme="minorHAnsi"/>
        </w:rPr>
        <w:t xml:space="preserve">the most </w:t>
      </w:r>
      <w:r>
        <w:rPr>
          <w:rFonts w:asciiTheme="minorHAnsi" w:hAnsiTheme="minorHAnsi" w:cstheme="minorHAnsi"/>
        </w:rPr>
        <w:t>frequent</w:t>
      </w:r>
      <w:r w:rsidRPr="00E3310E">
        <w:rPr>
          <w:rFonts w:asciiTheme="minorHAnsi" w:hAnsiTheme="minorHAnsi" w:cstheme="minorHAnsi"/>
        </w:rPr>
        <w:t xml:space="preserve"> response being “none of these”) or parents/caregivers (</w:t>
      </w:r>
      <w:r>
        <w:rPr>
          <w:rFonts w:asciiTheme="minorHAnsi" w:hAnsiTheme="minorHAnsi" w:cstheme="minorHAnsi"/>
        </w:rPr>
        <w:t xml:space="preserve">e.g. </w:t>
      </w:r>
      <w:r w:rsidRPr="00E3310E">
        <w:rPr>
          <w:rFonts w:asciiTheme="minorHAnsi" w:hAnsiTheme="minorHAnsi" w:cstheme="minorHAnsi"/>
        </w:rPr>
        <w:t xml:space="preserve">the most frequent response being </w:t>
      </w:r>
      <w:r>
        <w:rPr>
          <w:rFonts w:asciiTheme="minorHAnsi" w:hAnsiTheme="minorHAnsi" w:cstheme="minorHAnsi"/>
        </w:rPr>
        <w:t>“</w:t>
      </w:r>
      <w:r w:rsidRPr="00E3310E">
        <w:rPr>
          <w:rFonts w:asciiTheme="minorHAnsi" w:hAnsiTheme="minorHAnsi" w:cstheme="minorHAnsi"/>
        </w:rPr>
        <w:t>Lotto</w:t>
      </w:r>
      <w:r>
        <w:rPr>
          <w:rFonts w:asciiTheme="minorHAnsi" w:hAnsiTheme="minorHAnsi" w:cstheme="minorHAnsi"/>
        </w:rPr>
        <w:t>”</w:t>
      </w:r>
      <w:r w:rsidRPr="00E3310E">
        <w:rPr>
          <w:rFonts w:asciiTheme="minorHAnsi" w:hAnsiTheme="minorHAnsi" w:cstheme="minorHAnsi"/>
        </w:rPr>
        <w:t xml:space="preserve">). </w:t>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 xml:space="preserve">There was an overall trend for older students to say that their friends gambled on Lotto, pub/club pokies, casino pokies/tables, TAB betting, and cards/coin games (e.g. poker) (see </w:t>
      </w:r>
      <w:r w:rsidR="00082F17">
        <w:fldChar w:fldCharType="begin"/>
      </w:r>
      <w:r w:rsidR="00082F17">
        <w:instrText xml:space="preserve"> REF _Ref347327638 \r \h  \* MERGEFORMAT </w:instrText>
      </w:r>
      <w:r w:rsidR="00082F17">
        <w:fldChar w:fldCharType="separate"/>
      </w:r>
      <w:r w:rsidR="009E3D1C" w:rsidRPr="00BC4F94">
        <w:rPr>
          <w:rFonts w:asciiTheme="minorHAnsi" w:hAnsiTheme="minorHAnsi" w:cstheme="minorHAnsi"/>
        </w:rPr>
        <w:t>Appendix H</w:t>
      </w:r>
      <w:r w:rsidR="00082F17">
        <w:fldChar w:fldCharType="end"/>
      </w:r>
      <w:r w:rsidRPr="00E3310E">
        <w:rPr>
          <w:rFonts w:asciiTheme="minorHAnsi" w:hAnsiTheme="minorHAnsi" w:cstheme="minorHAnsi"/>
        </w:rPr>
        <w:t>).</w:t>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Students living in neighbourhoods with higher levels of deprivation were more likel</w:t>
      </w:r>
      <w:r>
        <w:rPr>
          <w:rFonts w:asciiTheme="minorHAnsi" w:hAnsiTheme="minorHAnsi" w:cstheme="minorHAnsi"/>
        </w:rPr>
        <w:t xml:space="preserve">y to say that their friends and </w:t>
      </w:r>
      <w:r w:rsidRPr="00E3310E">
        <w:rPr>
          <w:rFonts w:asciiTheme="minorHAnsi" w:hAnsiTheme="minorHAnsi" w:cstheme="minorHAnsi"/>
        </w:rPr>
        <w:t xml:space="preserve">parents/caregivers gamble on: bingo/housie; casino pokies/tables; games/gambling on a mobile phone; 0900 phone games; pub/club pokies; and, </w:t>
      </w:r>
      <w:r>
        <w:rPr>
          <w:rFonts w:asciiTheme="minorHAnsi" w:hAnsiTheme="minorHAnsi" w:cstheme="minorHAnsi"/>
        </w:rPr>
        <w:t xml:space="preserve">gambling on </w:t>
      </w:r>
      <w:r w:rsidRPr="00E3310E">
        <w:rPr>
          <w:rFonts w:asciiTheme="minorHAnsi" w:hAnsiTheme="minorHAnsi" w:cstheme="minorHAnsi"/>
        </w:rPr>
        <w:t>the Internet.</w:t>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 xml:space="preserve">Detailed results for these items (including further analyses according to demographic variables) can be found in </w:t>
      </w:r>
      <w:r w:rsidR="00082F17">
        <w:fldChar w:fldCharType="begin"/>
      </w:r>
      <w:r w:rsidR="00082F17">
        <w:instrText xml:space="preserve"> REF _Ref347327664 \r \h  \* MERGEFORMAT </w:instrText>
      </w:r>
      <w:r w:rsidR="00082F17">
        <w:fldChar w:fldCharType="separate"/>
      </w:r>
      <w:r w:rsidR="009E3D1C" w:rsidRPr="00BC4F94">
        <w:rPr>
          <w:rFonts w:asciiTheme="minorHAnsi" w:hAnsiTheme="minorHAnsi" w:cstheme="minorHAnsi"/>
        </w:rPr>
        <w:t>Appendix G</w:t>
      </w:r>
      <w:r w:rsidR="00082F17">
        <w:fldChar w:fldCharType="end"/>
      </w:r>
      <w:r w:rsidRPr="00E3310E">
        <w:rPr>
          <w:rFonts w:asciiTheme="minorHAnsi" w:hAnsiTheme="minorHAnsi" w:cstheme="minorHAnsi"/>
        </w:rPr>
        <w:t xml:space="preserve"> and </w:t>
      </w:r>
      <w:r w:rsidR="00082F17">
        <w:fldChar w:fldCharType="begin"/>
      </w:r>
      <w:r w:rsidR="00082F17">
        <w:instrText xml:space="preserve"> REF _Ref347327658 \r \h  \* MERGEFORMAT </w:instrText>
      </w:r>
      <w:r w:rsidR="00082F17">
        <w:fldChar w:fldCharType="separate"/>
      </w:r>
      <w:r w:rsidR="009E3D1C" w:rsidRPr="00BC4F94">
        <w:rPr>
          <w:rFonts w:asciiTheme="minorHAnsi" w:hAnsiTheme="minorHAnsi" w:cstheme="minorHAnsi"/>
        </w:rPr>
        <w:t>Appendix H</w:t>
      </w:r>
      <w:r w:rsidR="00082F17">
        <w:fldChar w:fldCharType="end"/>
      </w:r>
      <w:r w:rsidRPr="00E3310E">
        <w:rPr>
          <w:rFonts w:asciiTheme="minorHAnsi" w:hAnsiTheme="minorHAnsi" w:cstheme="minorHAnsi"/>
        </w:rPr>
        <w:t xml:space="preserve">. </w:t>
      </w:r>
    </w:p>
    <w:p w:rsidR="00043311" w:rsidRPr="00E3310E" w:rsidRDefault="00043311" w:rsidP="0042130F">
      <w:pPr>
        <w:spacing w:line="360" w:lineRule="auto"/>
        <w:rPr>
          <w:rFonts w:asciiTheme="minorHAnsi" w:hAnsiTheme="minorHAnsi" w:cstheme="minorHAnsi"/>
        </w:rPr>
      </w:pPr>
    </w:p>
    <w:p w:rsidR="00043311" w:rsidRPr="00E3310E" w:rsidRDefault="00043311" w:rsidP="0042130F">
      <w:pPr>
        <w:pStyle w:val="Caption"/>
        <w:keepNext/>
        <w:spacing w:line="360" w:lineRule="auto"/>
        <w:rPr>
          <w:rFonts w:asciiTheme="minorHAnsi" w:hAnsiTheme="minorHAnsi" w:cstheme="minorHAnsi"/>
          <w:i/>
        </w:rPr>
      </w:pPr>
      <w:bookmarkStart w:id="144" w:name="_Ref346029062"/>
      <w:bookmarkStart w:id="145" w:name="_Toc367285526"/>
      <w:r w:rsidRPr="00E3310E">
        <w:rPr>
          <w:rFonts w:asciiTheme="minorHAnsi" w:hAnsiTheme="minorHAnsi" w:cstheme="minorHAnsi"/>
          <w:i/>
        </w:rPr>
        <w:lastRenderedPageBreak/>
        <w:t xml:space="preserve">Figure </w:t>
      </w:r>
      <w:r w:rsidR="007B447B" w:rsidRPr="00E3310E">
        <w:rPr>
          <w:rFonts w:asciiTheme="minorHAnsi" w:hAnsiTheme="minorHAnsi" w:cstheme="minorHAnsi"/>
          <w:i/>
        </w:rPr>
        <w:fldChar w:fldCharType="begin"/>
      </w:r>
      <w:r w:rsidRPr="00E3310E">
        <w:rPr>
          <w:rFonts w:asciiTheme="minorHAnsi" w:hAnsiTheme="minorHAnsi" w:cstheme="minorHAnsi"/>
          <w:i/>
        </w:rPr>
        <w:instrText xml:space="preserve"> SEQ Figure \* ARABIC </w:instrText>
      </w:r>
      <w:r w:rsidR="007B447B" w:rsidRPr="00E3310E">
        <w:rPr>
          <w:rFonts w:asciiTheme="minorHAnsi" w:hAnsiTheme="minorHAnsi" w:cstheme="minorHAnsi"/>
          <w:i/>
        </w:rPr>
        <w:fldChar w:fldCharType="separate"/>
      </w:r>
      <w:r w:rsidR="009E3D1C">
        <w:rPr>
          <w:rFonts w:asciiTheme="minorHAnsi" w:hAnsiTheme="minorHAnsi" w:cstheme="minorHAnsi"/>
          <w:i/>
          <w:noProof/>
        </w:rPr>
        <w:t>10</w:t>
      </w:r>
      <w:r w:rsidR="007B447B" w:rsidRPr="00E3310E">
        <w:rPr>
          <w:rFonts w:asciiTheme="minorHAnsi" w:hAnsiTheme="minorHAnsi" w:cstheme="minorHAnsi"/>
          <w:i/>
        </w:rPr>
        <w:fldChar w:fldCharType="end"/>
      </w:r>
      <w:bookmarkEnd w:id="144"/>
      <w:r w:rsidRPr="00E3310E">
        <w:rPr>
          <w:rFonts w:asciiTheme="minorHAnsi" w:hAnsiTheme="minorHAnsi" w:cstheme="minorHAnsi"/>
          <w:i/>
        </w:rPr>
        <w:t xml:space="preserve">: </w:t>
      </w:r>
      <w:r>
        <w:rPr>
          <w:rFonts w:asciiTheme="minorHAnsi" w:hAnsiTheme="minorHAnsi" w:cstheme="minorHAnsi"/>
          <w:i/>
        </w:rPr>
        <w:t>Activities that students’ friends</w:t>
      </w:r>
      <w:r w:rsidRPr="00E3310E">
        <w:rPr>
          <w:rFonts w:asciiTheme="minorHAnsi" w:hAnsiTheme="minorHAnsi" w:cstheme="minorHAnsi"/>
          <w:i/>
        </w:rPr>
        <w:t xml:space="preserve"> and </w:t>
      </w:r>
      <w:r>
        <w:rPr>
          <w:rFonts w:asciiTheme="minorHAnsi" w:hAnsiTheme="minorHAnsi" w:cstheme="minorHAnsi"/>
          <w:i/>
        </w:rPr>
        <w:t>p</w:t>
      </w:r>
      <w:r w:rsidRPr="00E3310E">
        <w:rPr>
          <w:rFonts w:asciiTheme="minorHAnsi" w:hAnsiTheme="minorHAnsi" w:cstheme="minorHAnsi"/>
          <w:i/>
        </w:rPr>
        <w:t>arent</w:t>
      </w:r>
      <w:r>
        <w:rPr>
          <w:rFonts w:asciiTheme="minorHAnsi" w:hAnsiTheme="minorHAnsi" w:cstheme="minorHAnsi"/>
          <w:i/>
        </w:rPr>
        <w:t>s</w:t>
      </w:r>
      <w:r w:rsidRPr="00E3310E">
        <w:rPr>
          <w:rFonts w:asciiTheme="minorHAnsi" w:hAnsiTheme="minorHAnsi" w:cstheme="minorHAnsi"/>
          <w:i/>
        </w:rPr>
        <w:t xml:space="preserve"> gambl</w:t>
      </w:r>
      <w:r>
        <w:rPr>
          <w:rFonts w:asciiTheme="minorHAnsi" w:hAnsiTheme="minorHAnsi" w:cstheme="minorHAnsi"/>
          <w:i/>
        </w:rPr>
        <w:t>e on</w:t>
      </w:r>
      <w:r w:rsidRPr="00E3310E">
        <w:rPr>
          <w:rFonts w:asciiTheme="minorHAnsi" w:hAnsiTheme="minorHAnsi" w:cstheme="minorHAnsi"/>
          <w:i/>
        </w:rPr>
        <w:t xml:space="preserve"> (</w:t>
      </w:r>
      <w:r>
        <w:rPr>
          <w:rFonts w:asciiTheme="minorHAnsi" w:hAnsiTheme="minorHAnsi" w:cstheme="minorHAnsi"/>
          <w:i/>
        </w:rPr>
        <w:t xml:space="preserve">among </w:t>
      </w:r>
      <w:r w:rsidRPr="00E3310E">
        <w:rPr>
          <w:rFonts w:asciiTheme="minorHAnsi" w:hAnsiTheme="minorHAnsi" w:cstheme="minorHAnsi"/>
          <w:i/>
        </w:rPr>
        <w:t>all students</w:t>
      </w:r>
      <w:r>
        <w:rPr>
          <w:rFonts w:asciiTheme="minorHAnsi" w:hAnsiTheme="minorHAnsi" w:cstheme="minorHAnsi"/>
          <w:i/>
        </w:rPr>
        <w:t>; friends gambling N=7934, parents gambling N=8029</w:t>
      </w:r>
      <w:r w:rsidRPr="00E3310E">
        <w:rPr>
          <w:rFonts w:asciiTheme="minorHAnsi" w:hAnsiTheme="minorHAnsi" w:cstheme="minorHAnsi"/>
          <w:i/>
        </w:rPr>
        <w:t>)</w:t>
      </w:r>
      <w:r>
        <w:rPr>
          <w:rFonts w:asciiTheme="minorHAnsi" w:hAnsiTheme="minorHAnsi" w:cstheme="minorHAnsi"/>
          <w:i/>
        </w:rPr>
        <w:t xml:space="preserve"> </w:t>
      </w:r>
      <w:r w:rsidRPr="00622FA3">
        <w:rPr>
          <w:rFonts w:asciiTheme="minorHAnsi" w:hAnsiTheme="minorHAnsi" w:cstheme="minorHAnsi"/>
          <w:i/>
          <w:vertAlign w:val="superscript"/>
        </w:rPr>
        <w:t>1</w:t>
      </w:r>
      <w:bookmarkEnd w:id="145"/>
    </w:p>
    <w:p w:rsidR="00043311" w:rsidRDefault="00043311" w:rsidP="0042130F">
      <w:pPr>
        <w:spacing w:line="276" w:lineRule="auto"/>
        <w:ind w:left="-567"/>
        <w:jc w:val="center"/>
        <w:rPr>
          <w:rFonts w:asciiTheme="minorHAnsi" w:hAnsiTheme="minorHAnsi" w:cstheme="minorHAnsi"/>
        </w:rPr>
      </w:pPr>
      <w:r w:rsidRPr="00E3310E">
        <w:rPr>
          <w:rFonts w:asciiTheme="minorHAnsi" w:hAnsiTheme="minorHAnsi" w:cstheme="minorHAnsi"/>
          <w:noProof/>
          <w:lang w:eastAsia="en-NZ"/>
        </w:rPr>
        <w:drawing>
          <wp:inline distT="0" distB="0" distL="0" distR="0" wp14:anchorId="316EEAE5" wp14:editId="073611C3">
            <wp:extent cx="6558844" cy="3578578"/>
            <wp:effectExtent l="0" t="0" r="13970" b="222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43311" w:rsidRPr="0055372F" w:rsidRDefault="00043311" w:rsidP="0042130F">
      <w:pPr>
        <w:spacing w:before="0" w:line="240" w:lineRule="auto"/>
        <w:ind w:left="284"/>
        <w:rPr>
          <w:rFonts w:asciiTheme="minorHAnsi" w:hAnsiTheme="minorHAnsi" w:cstheme="minorHAnsi"/>
          <w:sz w:val="18"/>
        </w:rPr>
      </w:pPr>
      <w:r w:rsidRPr="0055372F">
        <w:rPr>
          <w:rFonts w:asciiTheme="minorHAnsi" w:hAnsiTheme="minorHAnsi" w:cstheme="minorHAnsi"/>
          <w:sz w:val="18"/>
        </w:rPr>
        <w:t>Note:</w:t>
      </w:r>
    </w:p>
    <w:p w:rsidR="00043311" w:rsidRPr="0055372F" w:rsidRDefault="00043311" w:rsidP="0042130F">
      <w:pPr>
        <w:spacing w:before="0" w:line="240" w:lineRule="auto"/>
        <w:ind w:left="284"/>
        <w:rPr>
          <w:rFonts w:asciiTheme="minorHAnsi" w:hAnsiTheme="minorHAnsi" w:cstheme="minorHAnsi"/>
          <w:sz w:val="18"/>
        </w:rPr>
      </w:pPr>
      <w:r>
        <w:rPr>
          <w:rFonts w:asciiTheme="minorHAnsi" w:hAnsiTheme="minorHAnsi" w:cstheme="minorHAnsi"/>
          <w:sz w:val="18"/>
        </w:rPr>
        <w:t xml:space="preserve">1. Students could choose more than one response option. </w:t>
      </w:r>
    </w:p>
    <w:p w:rsidR="00043311" w:rsidRPr="00E3310E" w:rsidRDefault="00043311" w:rsidP="0042130F">
      <w:pPr>
        <w:ind w:left="-567"/>
        <w:rPr>
          <w:rFonts w:asciiTheme="minorHAnsi" w:hAnsiTheme="minorHAnsi" w:cstheme="minorHAnsi"/>
        </w:rPr>
      </w:pPr>
    </w:p>
    <w:p w:rsidR="00043311" w:rsidRPr="00E3310E" w:rsidRDefault="00043311" w:rsidP="0042130F">
      <w:pPr>
        <w:pStyle w:val="Heading2"/>
      </w:pPr>
      <w:bookmarkStart w:id="146" w:name="_Toc367284439"/>
      <w:r>
        <w:t>Students’ concerns</w:t>
      </w:r>
      <w:r w:rsidRPr="00E3310E">
        <w:t xml:space="preserve"> about</w:t>
      </w:r>
      <w:r w:rsidRPr="00DC297C">
        <w:t xml:space="preserve"> </w:t>
      </w:r>
      <w:r>
        <w:t>parental gambling</w:t>
      </w:r>
      <w:bookmarkEnd w:id="146"/>
      <w:r w:rsidRPr="00E3310E">
        <w:t xml:space="preserve">  </w:t>
      </w:r>
    </w:p>
    <w:p w:rsidR="00043311" w:rsidRPr="00234F53" w:rsidRDefault="00043311" w:rsidP="0042130F">
      <w:pPr>
        <w:spacing w:line="360" w:lineRule="auto"/>
        <w:rPr>
          <w:rFonts w:asciiTheme="minorHAnsi" w:hAnsiTheme="minorHAnsi" w:cstheme="minorHAnsi"/>
        </w:rPr>
      </w:pPr>
      <w:r w:rsidRPr="00234F53">
        <w:rPr>
          <w:rFonts w:asciiTheme="minorHAnsi" w:hAnsiTheme="minorHAnsi" w:cstheme="minorHAnsi"/>
        </w:rPr>
        <w:t>Students who had gambled in the past 12 months were asked “Do you ever worry or feel anxious about how much money or time other people you live with (parents and family), spend on gambling or any of these activities?” (N=2,072). Approximately 10% (n=220) reported that they have worried about the amount of money or time that other people they live with (</w:t>
      </w:r>
      <w:r>
        <w:rPr>
          <w:rFonts w:asciiTheme="minorHAnsi" w:hAnsiTheme="minorHAnsi" w:cstheme="minorHAnsi"/>
        </w:rPr>
        <w:t xml:space="preserve">e.g. </w:t>
      </w:r>
      <w:r w:rsidRPr="00234F53">
        <w:rPr>
          <w:rFonts w:asciiTheme="minorHAnsi" w:hAnsiTheme="minorHAnsi" w:cstheme="minorHAnsi"/>
        </w:rPr>
        <w:t xml:space="preserve">parents and family) spend on gambling (see </w:t>
      </w:r>
      <w:r w:rsidR="00082F17">
        <w:fldChar w:fldCharType="begin"/>
      </w:r>
      <w:r w:rsidR="00082F17">
        <w:instrText xml:space="preserve"> REF _Ref346198329 \h  \* MERGEFORMAT </w:instrText>
      </w:r>
      <w:r w:rsidR="00082F17">
        <w:fldChar w:fldCharType="separate"/>
      </w:r>
      <w:r w:rsidR="009E3D1C" w:rsidRPr="00BC4F94">
        <w:rPr>
          <w:rFonts w:asciiTheme="minorHAnsi" w:hAnsiTheme="minorHAnsi" w:cstheme="minorHAnsi"/>
        </w:rPr>
        <w:t xml:space="preserve">Figure </w:t>
      </w:r>
      <w:r w:rsidR="009E3D1C" w:rsidRPr="00BC4F94">
        <w:rPr>
          <w:rFonts w:asciiTheme="minorHAnsi" w:hAnsiTheme="minorHAnsi" w:cstheme="minorHAnsi"/>
          <w:noProof/>
        </w:rPr>
        <w:t>11</w:t>
      </w:r>
      <w:r w:rsidR="00082F17">
        <w:fldChar w:fldCharType="end"/>
      </w:r>
      <w:r w:rsidRPr="00234F53">
        <w:rPr>
          <w:rFonts w:asciiTheme="minorHAnsi" w:hAnsiTheme="minorHAnsi" w:cstheme="minorHAnsi"/>
        </w:rPr>
        <w:t xml:space="preserve">). </w:t>
      </w:r>
    </w:p>
    <w:p w:rsidR="00043311" w:rsidRPr="00E3310E" w:rsidRDefault="00043311" w:rsidP="0042130F">
      <w:pPr>
        <w:pStyle w:val="Caption"/>
        <w:keepNext/>
        <w:spacing w:line="360" w:lineRule="auto"/>
        <w:ind w:left="993" w:hanging="993"/>
        <w:rPr>
          <w:rFonts w:asciiTheme="minorHAnsi" w:hAnsiTheme="minorHAnsi" w:cstheme="minorHAnsi"/>
          <w:i/>
        </w:rPr>
      </w:pPr>
      <w:bookmarkStart w:id="147" w:name="_Ref346198329"/>
      <w:bookmarkStart w:id="148" w:name="_Toc367285527"/>
      <w:r w:rsidRPr="00234F53">
        <w:rPr>
          <w:rFonts w:asciiTheme="minorHAnsi" w:hAnsiTheme="minorHAnsi" w:cstheme="minorHAnsi"/>
          <w:i/>
        </w:rPr>
        <w:lastRenderedPageBreak/>
        <w:t xml:space="preserve">Figure </w:t>
      </w:r>
      <w:r w:rsidR="007B447B" w:rsidRPr="00234F53">
        <w:rPr>
          <w:rFonts w:asciiTheme="minorHAnsi" w:hAnsiTheme="minorHAnsi" w:cstheme="minorHAnsi"/>
          <w:i/>
        </w:rPr>
        <w:fldChar w:fldCharType="begin"/>
      </w:r>
      <w:r w:rsidRPr="00234F53">
        <w:rPr>
          <w:rFonts w:asciiTheme="minorHAnsi" w:hAnsiTheme="minorHAnsi" w:cstheme="minorHAnsi"/>
          <w:i/>
        </w:rPr>
        <w:instrText xml:space="preserve"> SEQ Figure \* ARABIC </w:instrText>
      </w:r>
      <w:r w:rsidR="007B447B" w:rsidRPr="00234F53">
        <w:rPr>
          <w:rFonts w:asciiTheme="minorHAnsi" w:hAnsiTheme="minorHAnsi" w:cstheme="minorHAnsi"/>
          <w:i/>
        </w:rPr>
        <w:fldChar w:fldCharType="separate"/>
      </w:r>
      <w:r w:rsidR="009E3D1C">
        <w:rPr>
          <w:rFonts w:asciiTheme="minorHAnsi" w:hAnsiTheme="minorHAnsi" w:cstheme="minorHAnsi"/>
          <w:i/>
          <w:noProof/>
        </w:rPr>
        <w:t>11</w:t>
      </w:r>
      <w:r w:rsidR="007B447B" w:rsidRPr="00234F53">
        <w:rPr>
          <w:rFonts w:asciiTheme="minorHAnsi" w:hAnsiTheme="minorHAnsi" w:cstheme="minorHAnsi"/>
          <w:i/>
        </w:rPr>
        <w:fldChar w:fldCharType="end"/>
      </w:r>
      <w:bookmarkEnd w:id="147"/>
      <w:r w:rsidRPr="00234F53">
        <w:rPr>
          <w:rFonts w:asciiTheme="minorHAnsi" w:hAnsiTheme="minorHAnsi" w:cstheme="minorHAnsi"/>
          <w:i/>
        </w:rPr>
        <w:t xml:space="preserve">: </w:t>
      </w:r>
      <w:r w:rsidRPr="00234F53">
        <w:rPr>
          <w:rFonts w:asciiTheme="minorHAnsi" w:hAnsiTheme="minorHAnsi" w:cstheme="minorHAnsi"/>
          <w:i/>
          <w:lang w:eastAsia="en-NZ"/>
        </w:rPr>
        <w:t xml:space="preserve">Ever worry or feel anxious about how much money or time </w:t>
      </w:r>
      <w:r w:rsidRPr="005617C2">
        <w:rPr>
          <w:rFonts w:asciiTheme="minorHAnsi" w:hAnsiTheme="minorHAnsi" w:cstheme="minorHAnsi"/>
          <w:i/>
          <w:u w:val="single"/>
          <w:lang w:eastAsia="en-NZ"/>
        </w:rPr>
        <w:t>other people you live with</w:t>
      </w:r>
      <w:r w:rsidRPr="00234F53">
        <w:rPr>
          <w:rFonts w:asciiTheme="minorHAnsi" w:hAnsiTheme="minorHAnsi" w:cstheme="minorHAnsi"/>
          <w:i/>
          <w:lang w:eastAsia="en-NZ"/>
        </w:rPr>
        <w:t xml:space="preserve"> spend gambling? (among students who have gambled </w:t>
      </w:r>
      <w:r>
        <w:rPr>
          <w:rFonts w:asciiTheme="minorHAnsi" w:hAnsiTheme="minorHAnsi" w:cstheme="minorHAnsi"/>
          <w:i/>
          <w:lang w:eastAsia="en-NZ"/>
        </w:rPr>
        <w:t>in the</w:t>
      </w:r>
      <w:r w:rsidRPr="00234F53">
        <w:rPr>
          <w:rFonts w:asciiTheme="minorHAnsi" w:hAnsiTheme="minorHAnsi" w:cstheme="minorHAnsi"/>
          <w:i/>
          <w:lang w:eastAsia="en-NZ"/>
        </w:rPr>
        <w:t xml:space="preserve"> last 12 months</w:t>
      </w:r>
      <w:r>
        <w:rPr>
          <w:rFonts w:asciiTheme="minorHAnsi" w:hAnsiTheme="minorHAnsi" w:cstheme="minorHAnsi"/>
          <w:i/>
          <w:lang w:eastAsia="en-NZ"/>
        </w:rPr>
        <w:t>; N=2072</w:t>
      </w:r>
      <w:r w:rsidRPr="00234F53">
        <w:rPr>
          <w:rFonts w:asciiTheme="minorHAnsi" w:hAnsiTheme="minorHAnsi" w:cstheme="minorHAnsi"/>
          <w:i/>
          <w:lang w:eastAsia="en-NZ"/>
        </w:rPr>
        <w:t>)</w:t>
      </w:r>
      <w:bookmarkEnd w:id="148"/>
    </w:p>
    <w:p w:rsidR="00043311" w:rsidRPr="00E3310E" w:rsidRDefault="00043311" w:rsidP="0042130F">
      <w:pPr>
        <w:jc w:val="center"/>
        <w:rPr>
          <w:rFonts w:asciiTheme="minorHAnsi" w:hAnsiTheme="minorHAnsi" w:cstheme="minorHAnsi"/>
        </w:rPr>
      </w:pPr>
      <w:r w:rsidRPr="00E3310E">
        <w:rPr>
          <w:rFonts w:asciiTheme="minorHAnsi" w:hAnsiTheme="minorHAnsi" w:cstheme="minorHAnsi"/>
          <w:noProof/>
          <w:lang w:eastAsia="en-NZ"/>
        </w:rPr>
        <w:drawing>
          <wp:inline distT="0" distB="0" distL="0" distR="0" wp14:anchorId="40540CA7" wp14:editId="73763FF3">
            <wp:extent cx="5192888" cy="2573866"/>
            <wp:effectExtent l="0" t="0" r="27305" b="171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43311" w:rsidRPr="00E3310E" w:rsidRDefault="00043311" w:rsidP="0042130F">
      <w:pPr>
        <w:spacing w:line="360" w:lineRule="auto"/>
        <w:rPr>
          <w:rFonts w:asciiTheme="minorHAnsi" w:hAnsiTheme="minorHAnsi" w:cstheme="minorHAnsi"/>
        </w:rPr>
      </w:pPr>
      <w:r>
        <w:rPr>
          <w:rFonts w:asciiTheme="minorHAnsi" w:hAnsiTheme="minorHAnsi" w:cstheme="minorHAnsi"/>
        </w:rPr>
        <w:t>A relationship was observed between the level of neighbourhood socio-economic deprivation and the proportion of students who were worried about the gambling behaviour of their parents/family. In particular, s</w:t>
      </w:r>
      <w:r w:rsidRPr="00E3310E">
        <w:rPr>
          <w:rFonts w:asciiTheme="minorHAnsi" w:hAnsiTheme="minorHAnsi" w:cstheme="minorHAnsi"/>
        </w:rPr>
        <w:t xml:space="preserve">tudents from neighbourhoods </w:t>
      </w:r>
      <w:r>
        <w:rPr>
          <w:rFonts w:asciiTheme="minorHAnsi" w:hAnsiTheme="minorHAnsi" w:cstheme="minorHAnsi"/>
        </w:rPr>
        <w:t xml:space="preserve">with </w:t>
      </w:r>
      <w:r w:rsidRPr="00E3310E">
        <w:rPr>
          <w:rFonts w:asciiTheme="minorHAnsi" w:hAnsiTheme="minorHAnsi" w:cstheme="minorHAnsi"/>
        </w:rPr>
        <w:t>higher</w:t>
      </w:r>
      <w:r>
        <w:rPr>
          <w:rFonts w:asciiTheme="minorHAnsi" w:hAnsiTheme="minorHAnsi" w:cstheme="minorHAnsi"/>
        </w:rPr>
        <w:t xml:space="preserve"> levels of</w:t>
      </w:r>
      <w:r w:rsidRPr="00E3310E">
        <w:rPr>
          <w:rFonts w:asciiTheme="minorHAnsi" w:hAnsiTheme="minorHAnsi" w:cstheme="minorHAnsi"/>
        </w:rPr>
        <w:t xml:space="preserve"> deprivation were more likely than t</w:t>
      </w:r>
      <w:r>
        <w:rPr>
          <w:rFonts w:asciiTheme="minorHAnsi" w:hAnsiTheme="minorHAnsi" w:cstheme="minorHAnsi"/>
        </w:rPr>
        <w:t>heir counterparts</w:t>
      </w:r>
      <w:r w:rsidRPr="00E3310E">
        <w:rPr>
          <w:rFonts w:asciiTheme="minorHAnsi" w:hAnsiTheme="minorHAnsi" w:cstheme="minorHAnsi"/>
        </w:rPr>
        <w:t xml:space="preserve"> to </w:t>
      </w:r>
      <w:r>
        <w:rPr>
          <w:rFonts w:asciiTheme="minorHAnsi" w:hAnsiTheme="minorHAnsi" w:cstheme="minorHAnsi"/>
        </w:rPr>
        <w:t>be con</w:t>
      </w:r>
      <w:r w:rsidRPr="00E3310E">
        <w:rPr>
          <w:rFonts w:asciiTheme="minorHAnsi" w:hAnsiTheme="minorHAnsi" w:cstheme="minorHAnsi"/>
        </w:rPr>
        <w:t>cerned about the amount of money or time that someone they live with spent on gambling (</w:t>
      </w:r>
      <w:r w:rsidR="00082F17">
        <w:fldChar w:fldCharType="begin"/>
      </w:r>
      <w:r w:rsidR="00082F17">
        <w:instrText xml:space="preserve"> REF _Ref346201076 \h  \* MERGEFORMAT </w:instrText>
      </w:r>
      <w:r w:rsidR="00082F17">
        <w:fldChar w:fldCharType="separate"/>
      </w:r>
      <w:r w:rsidR="009E3D1C" w:rsidRPr="00E97D23">
        <w:rPr>
          <w:rFonts w:asciiTheme="minorHAnsi" w:hAnsiTheme="minorHAnsi" w:cstheme="minorHAnsi"/>
        </w:rPr>
        <w:t xml:space="preserve">Figure </w:t>
      </w:r>
      <w:r w:rsidR="009E3D1C" w:rsidRPr="00E97D23">
        <w:rPr>
          <w:rFonts w:asciiTheme="minorHAnsi" w:hAnsiTheme="minorHAnsi" w:cstheme="minorHAnsi"/>
          <w:noProof/>
        </w:rPr>
        <w:t>12</w:t>
      </w:r>
      <w:r w:rsidR="00082F17">
        <w:fldChar w:fldCharType="end"/>
      </w:r>
      <w:r w:rsidRPr="00E3310E">
        <w:rPr>
          <w:rFonts w:asciiTheme="minorHAnsi" w:hAnsiTheme="minorHAnsi" w:cstheme="minorHAnsi"/>
        </w:rPr>
        <w:t xml:space="preserve">). </w:t>
      </w:r>
    </w:p>
    <w:p w:rsidR="00043311" w:rsidRPr="00E3310E" w:rsidRDefault="00043311" w:rsidP="0042130F">
      <w:pPr>
        <w:pStyle w:val="Caption"/>
        <w:keepNext/>
        <w:spacing w:after="0" w:line="360" w:lineRule="auto"/>
        <w:ind w:left="992" w:hanging="992"/>
        <w:rPr>
          <w:rFonts w:asciiTheme="minorHAnsi" w:hAnsiTheme="minorHAnsi" w:cstheme="minorHAnsi"/>
        </w:rPr>
      </w:pPr>
      <w:bookmarkStart w:id="149" w:name="_Ref346201076"/>
      <w:bookmarkStart w:id="150" w:name="_Toc367285528"/>
      <w:r w:rsidRPr="00E3310E">
        <w:rPr>
          <w:rFonts w:asciiTheme="minorHAnsi" w:hAnsiTheme="minorHAnsi" w:cstheme="minorHAnsi"/>
          <w:i/>
        </w:rPr>
        <w:t xml:space="preserve">Figure </w:t>
      </w:r>
      <w:r w:rsidR="007B447B" w:rsidRPr="00E3310E">
        <w:rPr>
          <w:rFonts w:asciiTheme="minorHAnsi" w:hAnsiTheme="minorHAnsi" w:cstheme="minorHAnsi"/>
          <w:i/>
        </w:rPr>
        <w:fldChar w:fldCharType="begin"/>
      </w:r>
      <w:r w:rsidRPr="00E3310E">
        <w:rPr>
          <w:rFonts w:asciiTheme="minorHAnsi" w:hAnsiTheme="minorHAnsi" w:cstheme="minorHAnsi"/>
          <w:i/>
        </w:rPr>
        <w:instrText xml:space="preserve"> SEQ Figure \* ARABIC </w:instrText>
      </w:r>
      <w:r w:rsidR="007B447B" w:rsidRPr="00E3310E">
        <w:rPr>
          <w:rFonts w:asciiTheme="minorHAnsi" w:hAnsiTheme="minorHAnsi" w:cstheme="minorHAnsi"/>
          <w:i/>
        </w:rPr>
        <w:fldChar w:fldCharType="separate"/>
      </w:r>
      <w:r w:rsidR="009E3D1C">
        <w:rPr>
          <w:rFonts w:asciiTheme="minorHAnsi" w:hAnsiTheme="minorHAnsi" w:cstheme="minorHAnsi"/>
          <w:i/>
          <w:noProof/>
        </w:rPr>
        <w:t>12</w:t>
      </w:r>
      <w:r w:rsidR="007B447B" w:rsidRPr="00E3310E">
        <w:rPr>
          <w:rFonts w:asciiTheme="minorHAnsi" w:hAnsiTheme="minorHAnsi" w:cstheme="minorHAnsi"/>
          <w:i/>
        </w:rPr>
        <w:fldChar w:fldCharType="end"/>
      </w:r>
      <w:bookmarkEnd w:id="149"/>
      <w:r w:rsidRPr="00E3310E">
        <w:rPr>
          <w:rFonts w:asciiTheme="minorHAnsi" w:hAnsiTheme="minorHAnsi" w:cstheme="minorHAnsi"/>
          <w:i/>
        </w:rPr>
        <w:t xml:space="preserve">:  </w:t>
      </w:r>
      <w:r w:rsidRPr="00E3310E">
        <w:rPr>
          <w:rFonts w:asciiTheme="minorHAnsi" w:hAnsiTheme="minorHAnsi" w:cstheme="minorHAnsi"/>
          <w:i/>
          <w:lang w:eastAsia="en-NZ"/>
        </w:rPr>
        <w:t xml:space="preserve">Ever worry or feel anxious about how much money or time other people you live with spend gambling </w:t>
      </w:r>
      <w:r w:rsidRPr="00234F53">
        <w:rPr>
          <w:rFonts w:asciiTheme="minorHAnsi" w:hAnsiTheme="minorHAnsi" w:cstheme="minorHAnsi"/>
          <w:i/>
          <w:lang w:eastAsia="en-NZ"/>
        </w:rPr>
        <w:t xml:space="preserve">– by neighbourhood deprivation (among students who have gambled in </w:t>
      </w:r>
      <w:r>
        <w:rPr>
          <w:rFonts w:asciiTheme="minorHAnsi" w:hAnsiTheme="minorHAnsi" w:cstheme="minorHAnsi"/>
          <w:i/>
          <w:lang w:eastAsia="en-NZ"/>
        </w:rPr>
        <w:t xml:space="preserve">the </w:t>
      </w:r>
      <w:r w:rsidRPr="00234F53">
        <w:rPr>
          <w:rFonts w:asciiTheme="minorHAnsi" w:hAnsiTheme="minorHAnsi" w:cstheme="minorHAnsi"/>
          <w:i/>
          <w:lang w:eastAsia="en-NZ"/>
        </w:rPr>
        <w:t>last 12 months</w:t>
      </w:r>
      <w:r>
        <w:rPr>
          <w:rFonts w:asciiTheme="minorHAnsi" w:hAnsiTheme="minorHAnsi" w:cstheme="minorHAnsi"/>
          <w:i/>
          <w:lang w:eastAsia="en-NZ"/>
        </w:rPr>
        <w:t>; N=2072</w:t>
      </w:r>
      <w:r w:rsidRPr="00234F53">
        <w:rPr>
          <w:rFonts w:asciiTheme="minorHAnsi" w:hAnsiTheme="minorHAnsi" w:cstheme="minorHAnsi"/>
          <w:i/>
          <w:lang w:eastAsia="en-NZ"/>
        </w:rPr>
        <w:t>)</w:t>
      </w:r>
      <w:bookmarkEnd w:id="150"/>
    </w:p>
    <w:p w:rsidR="00043311" w:rsidRDefault="00043311" w:rsidP="0042130F">
      <w:pPr>
        <w:jc w:val="center"/>
        <w:rPr>
          <w:rFonts w:asciiTheme="minorHAnsi" w:hAnsiTheme="minorHAnsi" w:cstheme="minorHAnsi"/>
        </w:rPr>
      </w:pPr>
      <w:r w:rsidRPr="00E3310E">
        <w:rPr>
          <w:rFonts w:asciiTheme="minorHAnsi" w:hAnsiTheme="minorHAnsi" w:cstheme="minorHAnsi"/>
          <w:noProof/>
          <w:lang w:eastAsia="en-NZ"/>
        </w:rPr>
        <w:drawing>
          <wp:inline distT="0" distB="0" distL="0" distR="0" wp14:anchorId="1A8052F4" wp14:editId="47FB0FEA">
            <wp:extent cx="5695950" cy="30861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43311" w:rsidRDefault="00043311" w:rsidP="0042130F">
      <w:pPr>
        <w:spacing w:line="360" w:lineRule="auto"/>
        <w:rPr>
          <w:rFonts w:asciiTheme="minorHAnsi" w:hAnsiTheme="minorHAnsi" w:cstheme="minorHAnsi"/>
        </w:rPr>
      </w:pPr>
      <w:r>
        <w:rPr>
          <w:rFonts w:asciiTheme="minorHAnsi" w:hAnsiTheme="minorHAnsi" w:cstheme="minorHAnsi"/>
        </w:rPr>
        <w:lastRenderedPageBreak/>
        <w:t xml:space="preserve">Younger students appeared more likely to provide an </w:t>
      </w:r>
      <w:r w:rsidRPr="00E3310E">
        <w:rPr>
          <w:rFonts w:asciiTheme="minorHAnsi" w:hAnsiTheme="minorHAnsi" w:cstheme="minorHAnsi"/>
        </w:rPr>
        <w:t xml:space="preserve">“I don’t know” </w:t>
      </w:r>
      <w:r>
        <w:rPr>
          <w:rFonts w:asciiTheme="minorHAnsi" w:hAnsiTheme="minorHAnsi" w:cstheme="minorHAnsi"/>
        </w:rPr>
        <w:t>response to the questions pertaining to whether they worried about the gambling behaviour of their parents/family. For instance,</w:t>
      </w:r>
      <w:r w:rsidRPr="00E3310E">
        <w:rPr>
          <w:rFonts w:asciiTheme="minorHAnsi" w:hAnsiTheme="minorHAnsi" w:cstheme="minorHAnsi"/>
        </w:rPr>
        <w:t xml:space="preserve"> 25% of those aged 13 and under</w:t>
      </w:r>
      <w:r>
        <w:rPr>
          <w:rFonts w:asciiTheme="minorHAnsi" w:hAnsiTheme="minorHAnsi" w:cstheme="minorHAnsi"/>
        </w:rPr>
        <w:t>,</w:t>
      </w:r>
      <w:r w:rsidRPr="00E3310E">
        <w:rPr>
          <w:rFonts w:asciiTheme="minorHAnsi" w:hAnsiTheme="minorHAnsi" w:cstheme="minorHAnsi"/>
        </w:rPr>
        <w:t xml:space="preserve"> compared with 14% of those aged 17 and over</w:t>
      </w:r>
      <w:r>
        <w:rPr>
          <w:rFonts w:asciiTheme="minorHAnsi" w:hAnsiTheme="minorHAnsi" w:cstheme="minorHAnsi"/>
        </w:rPr>
        <w:t>, selected “I don’t know”</w:t>
      </w:r>
      <w:r w:rsidRPr="00E3310E">
        <w:rPr>
          <w:rFonts w:asciiTheme="minorHAnsi" w:hAnsiTheme="minorHAnsi" w:cstheme="minorHAnsi"/>
        </w:rPr>
        <w:t>.</w:t>
      </w:r>
      <w:r w:rsidRPr="00804C68">
        <w:rPr>
          <w:rFonts w:asciiTheme="minorHAnsi" w:hAnsiTheme="minorHAnsi" w:cstheme="minorHAnsi"/>
        </w:rPr>
        <w:t xml:space="preserve"> </w:t>
      </w:r>
      <w:r>
        <w:rPr>
          <w:rFonts w:asciiTheme="minorHAnsi" w:hAnsiTheme="minorHAnsi" w:cstheme="minorHAnsi"/>
        </w:rPr>
        <w:t xml:space="preserve">No meaningful differences were observed in relation to student’s sex or urban/rural setting. </w:t>
      </w:r>
      <w:r w:rsidR="00082F17">
        <w:fldChar w:fldCharType="begin"/>
      </w:r>
      <w:r w:rsidR="00082F17">
        <w:instrText xml:space="preserve"> REF _Ref348448138 \r \h  \* MERGEFORMAT </w:instrText>
      </w:r>
      <w:r w:rsidR="00082F17">
        <w:fldChar w:fldCharType="separate"/>
      </w:r>
      <w:r w:rsidR="009E3D1C" w:rsidRPr="00E97D23">
        <w:rPr>
          <w:rFonts w:asciiTheme="minorHAnsi" w:hAnsiTheme="minorHAnsi" w:cstheme="minorHAnsi"/>
        </w:rPr>
        <w:t>Appendix I</w:t>
      </w:r>
      <w:r w:rsidR="00082F17">
        <w:fldChar w:fldCharType="end"/>
      </w:r>
      <w:r w:rsidRPr="00E3310E">
        <w:rPr>
          <w:rFonts w:asciiTheme="minorHAnsi" w:hAnsiTheme="minorHAnsi" w:cstheme="minorHAnsi"/>
        </w:rPr>
        <w:t xml:space="preserve"> provides detailed information on this item, including a breakdown of responses according to demographic variables.</w:t>
      </w:r>
    </w:p>
    <w:p w:rsidR="00043311" w:rsidRPr="00E3310E" w:rsidRDefault="00043311" w:rsidP="0042130F">
      <w:pPr>
        <w:pStyle w:val="Heading2"/>
      </w:pPr>
      <w:bookmarkStart w:id="151" w:name="_Toc367284440"/>
      <w:r w:rsidRPr="00E3310E">
        <w:t>Impacts of gambling within student’s family over past 12 months</w:t>
      </w:r>
      <w:bookmarkEnd w:id="151"/>
      <w:r w:rsidRPr="00E3310E">
        <w:t xml:space="preserve"> </w:t>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All students were asked “How many times in the last 12 months have these things happened in your family because of someone else’s gambling</w:t>
      </w:r>
      <w:r>
        <w:rPr>
          <w:rFonts w:asciiTheme="minorHAnsi" w:hAnsiTheme="minorHAnsi" w:cstheme="minorHAnsi"/>
        </w:rPr>
        <w:t>:</w:t>
      </w:r>
    </w:p>
    <w:p w:rsidR="00043311" w:rsidRPr="00E3310E" w:rsidRDefault="00043311" w:rsidP="0042130F">
      <w:pPr>
        <w:pStyle w:val="ListParagraph"/>
        <w:numPr>
          <w:ilvl w:val="0"/>
          <w:numId w:val="9"/>
        </w:numPr>
        <w:spacing w:line="360" w:lineRule="auto"/>
        <w:ind w:left="567"/>
        <w:rPr>
          <w:rFonts w:asciiTheme="minorHAnsi" w:hAnsiTheme="minorHAnsi" w:cstheme="minorHAnsi"/>
        </w:rPr>
      </w:pPr>
      <w:r w:rsidRPr="00E3310E">
        <w:rPr>
          <w:rFonts w:asciiTheme="minorHAnsi" w:hAnsiTheme="minorHAnsi" w:cstheme="minorHAnsi"/>
        </w:rPr>
        <w:t>Had arguments or fights about time or money spent on betting or gambling;</w:t>
      </w:r>
    </w:p>
    <w:p w:rsidR="00043311" w:rsidRPr="00E3310E" w:rsidRDefault="00043311" w:rsidP="0042130F">
      <w:pPr>
        <w:pStyle w:val="ListParagraph"/>
        <w:numPr>
          <w:ilvl w:val="0"/>
          <w:numId w:val="9"/>
        </w:numPr>
        <w:spacing w:line="360" w:lineRule="auto"/>
        <w:ind w:left="567"/>
        <w:rPr>
          <w:rFonts w:asciiTheme="minorHAnsi" w:hAnsiTheme="minorHAnsi" w:cstheme="minorHAnsi"/>
        </w:rPr>
      </w:pPr>
      <w:r w:rsidRPr="00E3310E">
        <w:rPr>
          <w:rFonts w:asciiTheme="minorHAnsi" w:hAnsiTheme="minorHAnsi" w:cstheme="minorHAnsi"/>
        </w:rPr>
        <w:t>We had to go without something we needed (e.g. food) because too much money was spent on gambling or betting;</w:t>
      </w:r>
    </w:p>
    <w:p w:rsidR="00043311" w:rsidRPr="00E3310E" w:rsidRDefault="00043311" w:rsidP="0042130F">
      <w:pPr>
        <w:pStyle w:val="ListParagraph"/>
        <w:numPr>
          <w:ilvl w:val="0"/>
          <w:numId w:val="9"/>
        </w:numPr>
        <w:spacing w:line="360" w:lineRule="auto"/>
        <w:ind w:left="567"/>
        <w:rPr>
          <w:rFonts w:asciiTheme="minorHAnsi" w:hAnsiTheme="minorHAnsi" w:cstheme="minorHAnsi"/>
        </w:rPr>
      </w:pPr>
      <w:r w:rsidRPr="00E3310E">
        <w:rPr>
          <w:rFonts w:asciiTheme="minorHAnsi" w:hAnsiTheme="minorHAnsi" w:cstheme="minorHAnsi"/>
        </w:rPr>
        <w:t>Some bills weren’t paid because too much money was spent on gambling or betting; and,</w:t>
      </w:r>
    </w:p>
    <w:p w:rsidR="00043311" w:rsidRPr="00E3310E" w:rsidRDefault="00043311" w:rsidP="0042130F">
      <w:pPr>
        <w:pStyle w:val="ListParagraph"/>
        <w:numPr>
          <w:ilvl w:val="0"/>
          <w:numId w:val="9"/>
        </w:numPr>
        <w:spacing w:line="360" w:lineRule="auto"/>
        <w:ind w:left="567"/>
        <w:rPr>
          <w:rFonts w:asciiTheme="minorHAnsi" w:hAnsiTheme="minorHAnsi" w:cstheme="minorHAnsi"/>
        </w:rPr>
      </w:pPr>
      <w:r w:rsidRPr="00E3310E">
        <w:rPr>
          <w:rFonts w:asciiTheme="minorHAnsi" w:hAnsiTheme="minorHAnsi" w:cstheme="minorHAnsi"/>
        </w:rPr>
        <w:t>They did things that could have got them into serious trouble (e.g. stealing) because of gambling or these activities.”</w:t>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 xml:space="preserve">While the majority of students had </w:t>
      </w:r>
      <w:r>
        <w:rPr>
          <w:rFonts w:asciiTheme="minorHAnsi" w:hAnsiTheme="minorHAnsi" w:cstheme="minorHAnsi"/>
        </w:rPr>
        <w:t xml:space="preserve">never </w:t>
      </w:r>
      <w:r w:rsidRPr="00E3310E">
        <w:rPr>
          <w:rFonts w:asciiTheme="minorHAnsi" w:hAnsiTheme="minorHAnsi" w:cstheme="minorHAnsi"/>
        </w:rPr>
        <w:t xml:space="preserve">experienced these issues, a number indicated that the following issues </w:t>
      </w:r>
      <w:r>
        <w:rPr>
          <w:rFonts w:asciiTheme="minorHAnsi" w:hAnsiTheme="minorHAnsi" w:cstheme="minorHAnsi"/>
        </w:rPr>
        <w:t xml:space="preserve">or challenges </w:t>
      </w:r>
      <w:r w:rsidRPr="00E3310E">
        <w:rPr>
          <w:rFonts w:asciiTheme="minorHAnsi" w:hAnsiTheme="minorHAnsi" w:cstheme="minorHAnsi"/>
        </w:rPr>
        <w:t>had occurred in their family due to someone else’s gambling:</w:t>
      </w:r>
    </w:p>
    <w:p w:rsidR="00043311" w:rsidRPr="00E3310E" w:rsidRDefault="00043311" w:rsidP="0042130F">
      <w:pPr>
        <w:pStyle w:val="ListParagraph"/>
        <w:numPr>
          <w:ilvl w:val="0"/>
          <w:numId w:val="9"/>
        </w:numPr>
        <w:spacing w:line="360" w:lineRule="auto"/>
        <w:ind w:left="567"/>
        <w:rPr>
          <w:rFonts w:asciiTheme="minorHAnsi" w:hAnsiTheme="minorHAnsi" w:cstheme="minorHAnsi"/>
        </w:rPr>
      </w:pPr>
      <w:r w:rsidRPr="00E3310E">
        <w:rPr>
          <w:rFonts w:asciiTheme="minorHAnsi" w:hAnsiTheme="minorHAnsi" w:cstheme="minorHAnsi"/>
        </w:rPr>
        <w:t>429 students (6%</w:t>
      </w:r>
      <w:r>
        <w:rPr>
          <w:rFonts w:asciiTheme="minorHAnsi" w:hAnsiTheme="minorHAnsi" w:cstheme="minorHAnsi"/>
        </w:rPr>
        <w:t xml:space="preserve"> of all students</w:t>
      </w:r>
      <w:r w:rsidRPr="00E3310E">
        <w:rPr>
          <w:rFonts w:asciiTheme="minorHAnsi" w:hAnsiTheme="minorHAnsi" w:cstheme="minorHAnsi"/>
        </w:rPr>
        <w:t>) indicated that there had been arguments or fights about time or money spent on gambling;</w:t>
      </w:r>
    </w:p>
    <w:p w:rsidR="00043311" w:rsidRPr="00E3310E" w:rsidRDefault="00043311" w:rsidP="0042130F">
      <w:pPr>
        <w:pStyle w:val="ListParagraph"/>
        <w:numPr>
          <w:ilvl w:val="0"/>
          <w:numId w:val="9"/>
        </w:numPr>
        <w:spacing w:line="360" w:lineRule="auto"/>
        <w:ind w:left="567"/>
        <w:rPr>
          <w:rFonts w:asciiTheme="minorHAnsi" w:hAnsiTheme="minorHAnsi" w:cstheme="minorHAnsi"/>
        </w:rPr>
      </w:pPr>
      <w:r w:rsidRPr="00E3310E">
        <w:rPr>
          <w:rFonts w:asciiTheme="minorHAnsi" w:hAnsiTheme="minorHAnsi" w:cstheme="minorHAnsi"/>
        </w:rPr>
        <w:t>220 students (3%</w:t>
      </w:r>
      <w:r w:rsidRPr="006B2DFD">
        <w:rPr>
          <w:rFonts w:asciiTheme="minorHAnsi" w:hAnsiTheme="minorHAnsi" w:cstheme="minorHAnsi"/>
        </w:rPr>
        <w:t xml:space="preserve"> </w:t>
      </w:r>
      <w:r>
        <w:rPr>
          <w:rFonts w:asciiTheme="minorHAnsi" w:hAnsiTheme="minorHAnsi" w:cstheme="minorHAnsi"/>
        </w:rPr>
        <w:t>of all students</w:t>
      </w:r>
      <w:r w:rsidRPr="00E3310E">
        <w:rPr>
          <w:rFonts w:asciiTheme="minorHAnsi" w:hAnsiTheme="minorHAnsi" w:cstheme="minorHAnsi"/>
        </w:rPr>
        <w:t>) said their family had had to go without something that they needed;</w:t>
      </w:r>
    </w:p>
    <w:p w:rsidR="00043311" w:rsidRPr="00E3310E" w:rsidRDefault="00043311" w:rsidP="0042130F">
      <w:pPr>
        <w:pStyle w:val="ListParagraph"/>
        <w:numPr>
          <w:ilvl w:val="0"/>
          <w:numId w:val="9"/>
        </w:numPr>
        <w:spacing w:line="360" w:lineRule="auto"/>
        <w:ind w:left="567"/>
        <w:rPr>
          <w:rFonts w:asciiTheme="minorHAnsi" w:hAnsiTheme="minorHAnsi" w:cstheme="minorHAnsi"/>
        </w:rPr>
      </w:pPr>
      <w:r w:rsidRPr="00E3310E">
        <w:rPr>
          <w:rFonts w:asciiTheme="minorHAnsi" w:hAnsiTheme="minorHAnsi" w:cstheme="minorHAnsi"/>
        </w:rPr>
        <w:t>238 students (3%</w:t>
      </w:r>
      <w:r w:rsidRPr="006B2DFD">
        <w:rPr>
          <w:rFonts w:asciiTheme="minorHAnsi" w:hAnsiTheme="minorHAnsi" w:cstheme="minorHAnsi"/>
        </w:rPr>
        <w:t xml:space="preserve"> </w:t>
      </w:r>
      <w:r>
        <w:rPr>
          <w:rFonts w:asciiTheme="minorHAnsi" w:hAnsiTheme="minorHAnsi" w:cstheme="minorHAnsi"/>
        </w:rPr>
        <w:t>of all students</w:t>
      </w:r>
      <w:r w:rsidRPr="00E3310E">
        <w:rPr>
          <w:rFonts w:asciiTheme="minorHAnsi" w:hAnsiTheme="minorHAnsi" w:cstheme="minorHAnsi"/>
        </w:rPr>
        <w:t xml:space="preserve">) indicated that some bills were not paid; and,  </w:t>
      </w:r>
    </w:p>
    <w:p w:rsidR="00043311" w:rsidRPr="00E3310E" w:rsidRDefault="00043311" w:rsidP="0042130F">
      <w:pPr>
        <w:pStyle w:val="ListParagraph"/>
        <w:numPr>
          <w:ilvl w:val="0"/>
          <w:numId w:val="9"/>
        </w:numPr>
        <w:spacing w:line="360" w:lineRule="auto"/>
        <w:ind w:left="567"/>
        <w:rPr>
          <w:rFonts w:asciiTheme="minorHAnsi" w:hAnsiTheme="minorHAnsi" w:cstheme="minorHAnsi"/>
        </w:rPr>
      </w:pPr>
      <w:r w:rsidRPr="00E3310E">
        <w:rPr>
          <w:rFonts w:asciiTheme="minorHAnsi" w:hAnsiTheme="minorHAnsi" w:cstheme="minorHAnsi"/>
        </w:rPr>
        <w:t>135 students (2%</w:t>
      </w:r>
      <w:r w:rsidRPr="006B2DFD">
        <w:rPr>
          <w:rFonts w:asciiTheme="minorHAnsi" w:hAnsiTheme="minorHAnsi" w:cstheme="minorHAnsi"/>
        </w:rPr>
        <w:t xml:space="preserve"> </w:t>
      </w:r>
      <w:r>
        <w:rPr>
          <w:rFonts w:asciiTheme="minorHAnsi" w:hAnsiTheme="minorHAnsi" w:cstheme="minorHAnsi"/>
        </w:rPr>
        <w:t>of all students</w:t>
      </w:r>
      <w:r w:rsidRPr="00E3310E">
        <w:rPr>
          <w:rFonts w:asciiTheme="minorHAnsi" w:hAnsiTheme="minorHAnsi" w:cstheme="minorHAnsi"/>
        </w:rPr>
        <w:t>) said that people had done things that could have got them into serious trouble (e.g. stealing).</w:t>
      </w:r>
    </w:p>
    <w:p w:rsidR="00043311" w:rsidRPr="00E3310E" w:rsidRDefault="00082F17" w:rsidP="0042130F">
      <w:pPr>
        <w:spacing w:line="360" w:lineRule="auto"/>
        <w:rPr>
          <w:rFonts w:asciiTheme="minorHAnsi" w:hAnsiTheme="minorHAnsi" w:cstheme="minorHAnsi"/>
        </w:rPr>
      </w:pPr>
      <w:r>
        <w:fldChar w:fldCharType="begin"/>
      </w:r>
      <w:r>
        <w:instrText xml:space="preserve"> REF _Ref346698405 \h  \* MERGEFORMAT </w:instrText>
      </w:r>
      <w:r>
        <w:fldChar w:fldCharType="separate"/>
      </w:r>
      <w:r w:rsidR="009E3D1C" w:rsidRPr="00E97D23">
        <w:rPr>
          <w:rFonts w:asciiTheme="minorHAnsi" w:hAnsiTheme="minorHAnsi" w:cstheme="minorHAnsi"/>
        </w:rPr>
        <w:t xml:space="preserve">Figure </w:t>
      </w:r>
      <w:r w:rsidR="009E3D1C" w:rsidRPr="00E97D23">
        <w:rPr>
          <w:rFonts w:asciiTheme="minorHAnsi" w:hAnsiTheme="minorHAnsi" w:cstheme="minorHAnsi"/>
          <w:noProof/>
        </w:rPr>
        <w:t>13</w:t>
      </w:r>
      <w:r>
        <w:fldChar w:fldCharType="end"/>
      </w:r>
      <w:r w:rsidR="00043311" w:rsidRPr="00E3310E">
        <w:rPr>
          <w:rFonts w:asciiTheme="minorHAnsi" w:hAnsiTheme="minorHAnsi" w:cstheme="minorHAnsi"/>
        </w:rPr>
        <w:t xml:space="preserve"> provides a </w:t>
      </w:r>
      <w:r w:rsidR="00043311">
        <w:rPr>
          <w:rFonts w:asciiTheme="minorHAnsi" w:hAnsiTheme="minorHAnsi" w:cstheme="minorHAnsi"/>
        </w:rPr>
        <w:t xml:space="preserve">more </w:t>
      </w:r>
      <w:r w:rsidR="00043311" w:rsidRPr="00E3310E">
        <w:rPr>
          <w:rFonts w:asciiTheme="minorHAnsi" w:hAnsiTheme="minorHAnsi" w:cstheme="minorHAnsi"/>
        </w:rPr>
        <w:t xml:space="preserve">detailed breakdown of responses to these items. </w:t>
      </w:r>
    </w:p>
    <w:p w:rsidR="00043311" w:rsidRPr="00E3310E" w:rsidRDefault="00043311" w:rsidP="0042130F">
      <w:pPr>
        <w:pStyle w:val="Caption"/>
        <w:keepNext/>
        <w:spacing w:line="360" w:lineRule="auto"/>
        <w:ind w:left="992" w:hanging="992"/>
        <w:rPr>
          <w:rFonts w:asciiTheme="minorHAnsi" w:hAnsiTheme="minorHAnsi" w:cstheme="minorHAnsi"/>
          <w:i/>
        </w:rPr>
      </w:pPr>
      <w:bookmarkStart w:id="152" w:name="_Ref346698405"/>
      <w:bookmarkStart w:id="153" w:name="_Toc367285529"/>
      <w:r w:rsidRPr="00E3310E">
        <w:rPr>
          <w:rFonts w:asciiTheme="minorHAnsi" w:hAnsiTheme="minorHAnsi" w:cstheme="minorHAnsi"/>
          <w:i/>
        </w:rPr>
        <w:lastRenderedPageBreak/>
        <w:t xml:space="preserve">Figure </w:t>
      </w:r>
      <w:r w:rsidR="007B447B" w:rsidRPr="00E3310E">
        <w:rPr>
          <w:rFonts w:asciiTheme="minorHAnsi" w:hAnsiTheme="minorHAnsi" w:cstheme="minorHAnsi"/>
          <w:i/>
        </w:rPr>
        <w:fldChar w:fldCharType="begin"/>
      </w:r>
      <w:r w:rsidRPr="00E3310E">
        <w:rPr>
          <w:rFonts w:asciiTheme="minorHAnsi" w:hAnsiTheme="minorHAnsi" w:cstheme="minorHAnsi"/>
          <w:i/>
        </w:rPr>
        <w:instrText xml:space="preserve"> SEQ Figure \* ARABIC </w:instrText>
      </w:r>
      <w:r w:rsidR="007B447B" w:rsidRPr="00E3310E">
        <w:rPr>
          <w:rFonts w:asciiTheme="minorHAnsi" w:hAnsiTheme="minorHAnsi" w:cstheme="minorHAnsi"/>
          <w:i/>
        </w:rPr>
        <w:fldChar w:fldCharType="separate"/>
      </w:r>
      <w:r w:rsidR="009E3D1C">
        <w:rPr>
          <w:rFonts w:asciiTheme="minorHAnsi" w:hAnsiTheme="minorHAnsi" w:cstheme="minorHAnsi"/>
          <w:i/>
          <w:noProof/>
        </w:rPr>
        <w:t>13</w:t>
      </w:r>
      <w:r w:rsidR="007B447B" w:rsidRPr="00E3310E">
        <w:rPr>
          <w:rFonts w:asciiTheme="minorHAnsi" w:hAnsiTheme="minorHAnsi" w:cstheme="minorHAnsi"/>
          <w:i/>
        </w:rPr>
        <w:fldChar w:fldCharType="end"/>
      </w:r>
      <w:bookmarkEnd w:id="152"/>
      <w:r w:rsidRPr="00E3310E">
        <w:rPr>
          <w:rFonts w:asciiTheme="minorHAnsi" w:hAnsiTheme="minorHAnsi" w:cstheme="minorHAnsi"/>
          <w:i/>
        </w:rPr>
        <w:t>:  How many times in the past 12 months have these things happened in your family because of someone else’s gambling (</w:t>
      </w:r>
      <w:r>
        <w:rPr>
          <w:rFonts w:asciiTheme="minorHAnsi" w:hAnsiTheme="minorHAnsi" w:cstheme="minorHAnsi"/>
          <w:i/>
        </w:rPr>
        <w:t xml:space="preserve">among </w:t>
      </w:r>
      <w:r w:rsidRPr="00E3310E">
        <w:rPr>
          <w:rFonts w:asciiTheme="minorHAnsi" w:hAnsiTheme="minorHAnsi" w:cstheme="minorHAnsi"/>
          <w:i/>
        </w:rPr>
        <w:t>all students</w:t>
      </w:r>
      <w:r>
        <w:rPr>
          <w:rFonts w:asciiTheme="minorHAnsi" w:hAnsiTheme="minorHAnsi" w:cstheme="minorHAnsi"/>
          <w:i/>
        </w:rPr>
        <w:t>; N=7860</w:t>
      </w:r>
      <w:r w:rsidRPr="00E3310E">
        <w:rPr>
          <w:rFonts w:asciiTheme="minorHAnsi" w:hAnsiTheme="minorHAnsi" w:cstheme="minorHAnsi"/>
          <w:i/>
        </w:rPr>
        <w:t>)</w:t>
      </w:r>
      <w:bookmarkEnd w:id="153"/>
    </w:p>
    <w:p w:rsidR="00043311" w:rsidRPr="00E3310E" w:rsidRDefault="00043311" w:rsidP="0042130F">
      <w:pPr>
        <w:jc w:val="center"/>
        <w:rPr>
          <w:rFonts w:asciiTheme="minorHAnsi" w:hAnsiTheme="minorHAnsi" w:cstheme="minorHAnsi"/>
        </w:rPr>
      </w:pPr>
      <w:r w:rsidRPr="00E3310E">
        <w:rPr>
          <w:rFonts w:asciiTheme="minorHAnsi" w:hAnsiTheme="minorHAnsi" w:cstheme="minorHAnsi"/>
          <w:noProof/>
          <w:lang w:eastAsia="en-NZ"/>
        </w:rPr>
        <w:drawing>
          <wp:inline distT="0" distB="0" distL="0" distR="0" wp14:anchorId="059E6378" wp14:editId="285AB5CE">
            <wp:extent cx="5688281" cy="2731325"/>
            <wp:effectExtent l="0" t="0" r="27305"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43311" w:rsidRPr="00E3310E" w:rsidRDefault="00043311" w:rsidP="0042130F">
      <w:pPr>
        <w:spacing w:line="360" w:lineRule="auto"/>
        <w:rPr>
          <w:rFonts w:asciiTheme="minorHAnsi" w:hAnsiTheme="minorHAnsi" w:cstheme="minorHAnsi"/>
        </w:rPr>
      </w:pPr>
      <w:r w:rsidRPr="00E3310E">
        <w:rPr>
          <w:rFonts w:asciiTheme="minorHAnsi" w:hAnsiTheme="minorHAnsi" w:cstheme="minorHAnsi"/>
        </w:rPr>
        <w:t>All four of the items</w:t>
      </w:r>
      <w:r>
        <w:rPr>
          <w:rFonts w:asciiTheme="minorHAnsi" w:hAnsiTheme="minorHAnsi" w:cstheme="minorHAnsi"/>
        </w:rPr>
        <w:t xml:space="preserve"> above appeared to </w:t>
      </w:r>
      <w:r w:rsidRPr="00E3310E">
        <w:rPr>
          <w:rFonts w:asciiTheme="minorHAnsi" w:hAnsiTheme="minorHAnsi" w:cstheme="minorHAnsi"/>
        </w:rPr>
        <w:t>relate to neighbourhood</w:t>
      </w:r>
      <w:r>
        <w:rPr>
          <w:rFonts w:asciiTheme="minorHAnsi" w:hAnsiTheme="minorHAnsi" w:cstheme="minorHAnsi"/>
        </w:rPr>
        <w:t xml:space="preserve"> socio-economic</w:t>
      </w:r>
      <w:r w:rsidRPr="00E3310E">
        <w:rPr>
          <w:rFonts w:asciiTheme="minorHAnsi" w:hAnsiTheme="minorHAnsi" w:cstheme="minorHAnsi"/>
        </w:rPr>
        <w:t xml:space="preserve"> </w:t>
      </w:r>
      <w:r>
        <w:rPr>
          <w:rFonts w:asciiTheme="minorHAnsi" w:hAnsiTheme="minorHAnsi" w:cstheme="minorHAnsi"/>
        </w:rPr>
        <w:t>deprivation. For instance,</w:t>
      </w:r>
      <w:r w:rsidRPr="00E3310E">
        <w:rPr>
          <w:rFonts w:asciiTheme="minorHAnsi" w:hAnsiTheme="minorHAnsi" w:cstheme="minorHAnsi"/>
        </w:rPr>
        <w:t xml:space="preserve"> students living in neighbourhoods with higher levels of deprivation </w:t>
      </w:r>
      <w:r>
        <w:rPr>
          <w:rFonts w:asciiTheme="minorHAnsi" w:hAnsiTheme="minorHAnsi" w:cstheme="minorHAnsi"/>
        </w:rPr>
        <w:t>seemed</w:t>
      </w:r>
      <w:r w:rsidRPr="00E3310E">
        <w:rPr>
          <w:rFonts w:asciiTheme="minorHAnsi" w:hAnsiTheme="minorHAnsi" w:cstheme="minorHAnsi"/>
        </w:rPr>
        <w:t xml:space="preserve"> more likely to report issues had occurred in their family because of someone else’s gambling (see </w:t>
      </w:r>
      <w:r w:rsidR="00082F17">
        <w:fldChar w:fldCharType="begin"/>
      </w:r>
      <w:r w:rsidR="00082F17">
        <w:instrText xml:space="preserve"> REF _Ref346700987 \h  \* MERGEFORMAT </w:instrText>
      </w:r>
      <w:r w:rsidR="00082F17">
        <w:fldChar w:fldCharType="separate"/>
      </w:r>
      <w:r w:rsidR="009E3D1C" w:rsidRPr="00BC4F94">
        <w:rPr>
          <w:rFonts w:asciiTheme="minorHAnsi" w:hAnsiTheme="minorHAnsi" w:cstheme="minorHAnsi"/>
        </w:rPr>
        <w:t>Figure 14</w:t>
      </w:r>
      <w:r w:rsidR="00082F17">
        <w:fldChar w:fldCharType="end"/>
      </w:r>
      <w:r w:rsidRPr="00E3310E">
        <w:rPr>
          <w:rFonts w:asciiTheme="minorHAnsi" w:hAnsiTheme="minorHAnsi" w:cstheme="minorHAnsi"/>
        </w:rPr>
        <w:t xml:space="preserve">). </w:t>
      </w:r>
    </w:p>
    <w:p w:rsidR="00043311" w:rsidRDefault="00043311" w:rsidP="0042130F">
      <w:pPr>
        <w:pStyle w:val="Caption"/>
        <w:keepNext/>
        <w:spacing w:after="0" w:line="360" w:lineRule="auto"/>
        <w:ind w:left="992" w:hanging="992"/>
        <w:rPr>
          <w:rFonts w:asciiTheme="minorHAnsi" w:hAnsiTheme="minorHAnsi" w:cstheme="minorHAnsi"/>
          <w:i/>
        </w:rPr>
      </w:pPr>
      <w:bookmarkStart w:id="154" w:name="_Ref346700987"/>
      <w:bookmarkStart w:id="155" w:name="_Toc367285530"/>
      <w:r w:rsidRPr="00E3310E">
        <w:rPr>
          <w:rFonts w:asciiTheme="minorHAnsi" w:hAnsiTheme="minorHAnsi" w:cstheme="minorHAnsi"/>
          <w:i/>
        </w:rPr>
        <w:t xml:space="preserve">Figure </w:t>
      </w:r>
      <w:r w:rsidR="007B447B" w:rsidRPr="00E3310E">
        <w:rPr>
          <w:rFonts w:asciiTheme="minorHAnsi" w:hAnsiTheme="minorHAnsi" w:cstheme="minorHAnsi"/>
          <w:i/>
        </w:rPr>
        <w:fldChar w:fldCharType="begin"/>
      </w:r>
      <w:r w:rsidRPr="00E3310E">
        <w:rPr>
          <w:rFonts w:asciiTheme="minorHAnsi" w:hAnsiTheme="minorHAnsi" w:cstheme="minorHAnsi"/>
          <w:i/>
        </w:rPr>
        <w:instrText xml:space="preserve"> SEQ Figure \* ARABIC </w:instrText>
      </w:r>
      <w:r w:rsidR="007B447B" w:rsidRPr="00E3310E">
        <w:rPr>
          <w:rFonts w:asciiTheme="minorHAnsi" w:hAnsiTheme="minorHAnsi" w:cstheme="minorHAnsi"/>
          <w:i/>
        </w:rPr>
        <w:fldChar w:fldCharType="separate"/>
      </w:r>
      <w:r w:rsidR="009E3D1C">
        <w:rPr>
          <w:rFonts w:asciiTheme="minorHAnsi" w:hAnsiTheme="minorHAnsi" w:cstheme="minorHAnsi"/>
          <w:i/>
          <w:noProof/>
        </w:rPr>
        <w:t>14</w:t>
      </w:r>
      <w:r w:rsidR="007B447B" w:rsidRPr="00E3310E">
        <w:rPr>
          <w:rFonts w:asciiTheme="minorHAnsi" w:hAnsiTheme="minorHAnsi" w:cstheme="minorHAnsi"/>
          <w:i/>
        </w:rPr>
        <w:fldChar w:fldCharType="end"/>
      </w:r>
      <w:bookmarkEnd w:id="154"/>
      <w:r w:rsidRPr="00E3310E">
        <w:rPr>
          <w:rFonts w:asciiTheme="minorHAnsi" w:hAnsiTheme="minorHAnsi" w:cstheme="minorHAnsi"/>
          <w:i/>
        </w:rPr>
        <w:t>:  Impacts of someone else’s gambling by neighbourhood deprivation (</w:t>
      </w:r>
      <w:r>
        <w:rPr>
          <w:rFonts w:asciiTheme="minorHAnsi" w:hAnsiTheme="minorHAnsi" w:cstheme="minorHAnsi"/>
          <w:i/>
        </w:rPr>
        <w:t xml:space="preserve">among </w:t>
      </w:r>
      <w:r w:rsidRPr="00E3310E">
        <w:rPr>
          <w:rFonts w:asciiTheme="minorHAnsi" w:hAnsiTheme="minorHAnsi" w:cstheme="minorHAnsi"/>
          <w:i/>
        </w:rPr>
        <w:t>all students</w:t>
      </w:r>
      <w:r>
        <w:rPr>
          <w:rFonts w:asciiTheme="minorHAnsi" w:hAnsiTheme="minorHAnsi" w:cstheme="minorHAnsi"/>
          <w:i/>
        </w:rPr>
        <w:t>; N=7860</w:t>
      </w:r>
      <w:r w:rsidRPr="00E3310E">
        <w:rPr>
          <w:rFonts w:asciiTheme="minorHAnsi" w:hAnsiTheme="minorHAnsi" w:cstheme="minorHAnsi"/>
          <w:i/>
        </w:rPr>
        <w:t>)</w:t>
      </w:r>
      <w:bookmarkEnd w:id="155"/>
    </w:p>
    <w:p w:rsidR="00043311" w:rsidRPr="00E3310E" w:rsidRDefault="00043311" w:rsidP="0042130F">
      <w:pPr>
        <w:jc w:val="center"/>
        <w:rPr>
          <w:rFonts w:asciiTheme="minorHAnsi" w:hAnsiTheme="minorHAnsi" w:cstheme="minorHAnsi"/>
        </w:rPr>
      </w:pPr>
      <w:r w:rsidRPr="00E3310E">
        <w:rPr>
          <w:rFonts w:asciiTheme="minorHAnsi" w:hAnsiTheme="minorHAnsi" w:cstheme="minorHAnsi"/>
          <w:noProof/>
          <w:lang w:eastAsia="en-NZ"/>
        </w:rPr>
        <w:drawing>
          <wp:inline distT="0" distB="0" distL="0" distR="0" wp14:anchorId="3AFD770E" wp14:editId="28CD180C">
            <wp:extent cx="5700156" cy="3158837"/>
            <wp:effectExtent l="0" t="0" r="15240"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3311" w:rsidRDefault="00043311" w:rsidP="0042130F">
      <w:pPr>
        <w:spacing w:line="360" w:lineRule="auto"/>
        <w:rPr>
          <w:rFonts w:asciiTheme="minorHAnsi" w:hAnsiTheme="minorHAnsi" w:cstheme="minorHAnsi"/>
        </w:rPr>
      </w:pPr>
      <w:r w:rsidRPr="00E3310E">
        <w:rPr>
          <w:rFonts w:asciiTheme="minorHAnsi" w:hAnsiTheme="minorHAnsi" w:cstheme="minorHAnsi"/>
        </w:rPr>
        <w:lastRenderedPageBreak/>
        <w:t>Students living in an urban setting were more likely than their rural counterparts to say that they had to go without something they needed and that some bills were not paid because of gambling. No differences were observed by age or sex.</w:t>
      </w:r>
      <w:r>
        <w:rPr>
          <w:rFonts w:asciiTheme="minorHAnsi" w:hAnsiTheme="minorHAnsi" w:cstheme="minorHAnsi"/>
        </w:rPr>
        <w:t xml:space="preserve"> </w:t>
      </w:r>
      <w:r w:rsidR="00082F17">
        <w:fldChar w:fldCharType="begin"/>
      </w:r>
      <w:r w:rsidR="00082F17">
        <w:instrText xml:space="preserve"> REF _Ref352833676 \r \h  \* MERGEFORMAT </w:instrText>
      </w:r>
      <w:r w:rsidR="00082F17">
        <w:fldChar w:fldCharType="separate"/>
      </w:r>
      <w:r w:rsidR="009E3D1C">
        <w:rPr>
          <w:rFonts w:asciiTheme="minorHAnsi" w:hAnsiTheme="minorHAnsi" w:cstheme="minorHAnsi"/>
        </w:rPr>
        <w:t>Appendix J</w:t>
      </w:r>
      <w:r w:rsidR="00082F17">
        <w:fldChar w:fldCharType="end"/>
      </w:r>
      <w:r w:rsidRPr="00E3310E">
        <w:rPr>
          <w:rFonts w:asciiTheme="minorHAnsi" w:hAnsiTheme="minorHAnsi" w:cstheme="minorHAnsi"/>
        </w:rPr>
        <w:t xml:space="preserve"> provides details for each of these items including a breakdown by </w:t>
      </w:r>
      <w:r>
        <w:rPr>
          <w:rFonts w:asciiTheme="minorHAnsi" w:hAnsiTheme="minorHAnsi" w:cstheme="minorHAnsi"/>
        </w:rPr>
        <w:t xml:space="preserve">selected </w:t>
      </w:r>
      <w:r w:rsidRPr="00E3310E">
        <w:rPr>
          <w:rFonts w:asciiTheme="minorHAnsi" w:hAnsiTheme="minorHAnsi" w:cstheme="minorHAnsi"/>
        </w:rPr>
        <w:t xml:space="preserve">demographics. </w:t>
      </w:r>
    </w:p>
    <w:p w:rsidR="00043311" w:rsidRPr="00E3310E" w:rsidRDefault="00043311" w:rsidP="0042130F">
      <w:pPr>
        <w:pStyle w:val="Heading2"/>
      </w:pPr>
      <w:bookmarkStart w:id="156" w:name="_Toc367284441"/>
      <w:r>
        <w:t>Summary: The impacts of others’ gambling on students</w:t>
      </w:r>
      <w:bookmarkEnd w:id="156"/>
    </w:p>
    <w:p w:rsidR="00043311" w:rsidRDefault="00082F17" w:rsidP="0042130F">
      <w:pPr>
        <w:rPr>
          <w:rFonts w:asciiTheme="minorHAnsi" w:hAnsiTheme="minorHAnsi" w:cstheme="minorHAnsi"/>
          <w:b/>
        </w:rPr>
      </w:pPr>
      <w:r>
        <w:rPr>
          <w:rFonts w:asciiTheme="minorHAnsi" w:hAnsiTheme="minorHAnsi" w:cstheme="minorHAnsi"/>
          <w:noProof/>
          <w:lang w:eastAsia="en-NZ"/>
        </w:rPr>
      </w:r>
      <w:r>
        <w:rPr>
          <w:rFonts w:asciiTheme="minorHAnsi" w:hAnsiTheme="minorHAnsi" w:cstheme="minorHAnsi"/>
          <w:noProof/>
          <w:lang w:eastAsia="en-NZ"/>
        </w:rPr>
        <w:pict>
          <v:shape id="Text Box 3" o:spid="_x0000_s1043" type="#_x0000_t202" style="width:525pt;height:1in;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" fillcolor="#c6d9f1 [671]" stroked="f">
            <v:textbox style="mso-fit-shape-to-text:t">
              <w:txbxContent>
                <w:p w:rsidR="00B45826" w:rsidRPr="007B41B2" w:rsidRDefault="00B45826" w:rsidP="0042130F">
                  <w:pPr>
                    <w:spacing w:line="276" w:lineRule="auto"/>
                    <w:rPr>
                      <w:rFonts w:asciiTheme="minorHAnsi" w:hAnsiTheme="minorHAnsi" w:cstheme="minorHAnsi"/>
                      <w:b/>
                    </w:rPr>
                  </w:pPr>
                  <w:r>
                    <w:rPr>
                      <w:rFonts w:asciiTheme="minorHAnsi" w:hAnsiTheme="minorHAnsi" w:cstheme="minorHAnsi"/>
                      <w:b/>
                    </w:rPr>
                    <w:t>KEY POINTS</w:t>
                  </w:r>
                  <w:r w:rsidRPr="007B41B2">
                    <w:rPr>
                      <w:rFonts w:asciiTheme="minorHAnsi" w:hAnsiTheme="minorHAnsi" w:cstheme="minorHAnsi"/>
                      <w:b/>
                    </w:rPr>
                    <w:t>:</w:t>
                  </w:r>
                </w:p>
                <w:p w:rsidR="00B45826" w:rsidRDefault="00B45826" w:rsidP="0042130F">
                  <w:pPr>
                    <w:pStyle w:val="ListParagraph"/>
                    <w:numPr>
                      <w:ilvl w:val="0"/>
                      <w:numId w:val="10"/>
                    </w:numPr>
                    <w:spacing w:line="276" w:lineRule="auto"/>
                    <w:ind w:left="426"/>
                    <w:rPr>
                      <w:rFonts w:asciiTheme="minorHAnsi" w:hAnsiTheme="minorHAnsi" w:cstheme="minorHAnsi"/>
                    </w:rPr>
                  </w:pPr>
                  <w:r>
                    <w:rPr>
                      <w:rFonts w:asciiTheme="minorHAnsi" w:hAnsiTheme="minorHAnsi" w:cstheme="minorHAnsi"/>
                    </w:rPr>
                    <w:t>Students are exposed to gambling by others:</w:t>
                  </w:r>
                </w:p>
                <w:p w:rsidR="00B45826" w:rsidRDefault="00B45826" w:rsidP="0042130F">
                  <w:pPr>
                    <w:pStyle w:val="ListParagraph"/>
                    <w:numPr>
                      <w:ilvl w:val="1"/>
                      <w:numId w:val="10"/>
                    </w:numPr>
                    <w:spacing w:line="276" w:lineRule="auto"/>
                    <w:rPr>
                      <w:rFonts w:asciiTheme="minorHAnsi" w:hAnsiTheme="minorHAnsi" w:cstheme="minorHAnsi"/>
                    </w:rPr>
                  </w:pPr>
                  <w:r>
                    <w:rPr>
                      <w:rFonts w:asciiTheme="minorHAnsi" w:hAnsiTheme="minorHAnsi" w:cstheme="minorHAnsi"/>
                    </w:rPr>
                    <w:t>Most students (69%) in Youth’12 reported that their parents had gambled in the last year.</w:t>
                  </w:r>
                </w:p>
                <w:p w:rsidR="00B45826" w:rsidRDefault="00B45826" w:rsidP="0042130F">
                  <w:pPr>
                    <w:pStyle w:val="ListParagraph"/>
                    <w:numPr>
                      <w:ilvl w:val="1"/>
                      <w:numId w:val="10"/>
                    </w:numPr>
                    <w:spacing w:line="276" w:lineRule="auto"/>
                    <w:rPr>
                      <w:rFonts w:asciiTheme="minorHAnsi" w:hAnsiTheme="minorHAnsi" w:cstheme="minorHAnsi"/>
                    </w:rPr>
                  </w:pPr>
                  <w:r>
                    <w:rPr>
                      <w:rFonts w:asciiTheme="minorHAnsi" w:hAnsiTheme="minorHAnsi" w:cstheme="minorHAnsi"/>
                    </w:rPr>
                    <w:t>Despite only one-quarter (25%) of students having gambled in the past year, half of all students (50%) say that their friends have gambled in the last year.</w:t>
                  </w:r>
                </w:p>
                <w:p w:rsidR="00B45826" w:rsidRDefault="00B45826" w:rsidP="0042130F">
                  <w:pPr>
                    <w:pStyle w:val="ListParagraph"/>
                    <w:spacing w:line="276" w:lineRule="auto"/>
                    <w:ind w:left="1440"/>
                    <w:rPr>
                      <w:rFonts w:asciiTheme="minorHAnsi" w:hAnsiTheme="minorHAnsi" w:cstheme="minorHAnsi"/>
                    </w:rPr>
                  </w:pPr>
                </w:p>
                <w:p w:rsidR="00B45826" w:rsidRDefault="00B45826" w:rsidP="0042130F">
                  <w:pPr>
                    <w:pStyle w:val="ListParagraph"/>
                    <w:numPr>
                      <w:ilvl w:val="0"/>
                      <w:numId w:val="10"/>
                    </w:numPr>
                    <w:spacing w:line="276" w:lineRule="auto"/>
                    <w:ind w:left="426"/>
                    <w:rPr>
                      <w:rFonts w:asciiTheme="minorHAnsi" w:hAnsiTheme="minorHAnsi" w:cstheme="minorHAnsi"/>
                    </w:rPr>
                  </w:pPr>
                  <w:r w:rsidRPr="00EE1BD3">
                    <w:rPr>
                      <w:rFonts w:asciiTheme="minorHAnsi" w:hAnsiTheme="minorHAnsi" w:cstheme="minorHAnsi"/>
                    </w:rPr>
                    <w:t xml:space="preserve">The types of gambling </w:t>
                  </w:r>
                  <w:r>
                    <w:rPr>
                      <w:rFonts w:asciiTheme="minorHAnsi" w:hAnsiTheme="minorHAnsi" w:cstheme="minorHAnsi"/>
                    </w:rPr>
                    <w:t xml:space="preserve">that </w:t>
                  </w:r>
                  <w:r w:rsidRPr="00EE1BD3">
                    <w:rPr>
                      <w:rFonts w:asciiTheme="minorHAnsi" w:hAnsiTheme="minorHAnsi" w:cstheme="minorHAnsi"/>
                    </w:rPr>
                    <w:t>student’s friends and family</w:t>
                  </w:r>
                  <w:r>
                    <w:rPr>
                      <w:rFonts w:asciiTheme="minorHAnsi" w:hAnsiTheme="minorHAnsi" w:cstheme="minorHAnsi"/>
                    </w:rPr>
                    <w:t xml:space="preserve"> most often </w:t>
                  </w:r>
                  <w:r w:rsidRPr="00EE1BD3">
                    <w:rPr>
                      <w:rFonts w:asciiTheme="minorHAnsi" w:hAnsiTheme="minorHAnsi" w:cstheme="minorHAnsi"/>
                    </w:rPr>
                    <w:t>engaged in were: Lotto, Instant Kiwi, bets with friends or family,</w:t>
                  </w:r>
                  <w:r>
                    <w:rPr>
                      <w:rFonts w:asciiTheme="minorHAnsi" w:hAnsiTheme="minorHAnsi" w:cstheme="minorHAnsi"/>
                    </w:rPr>
                    <w:t xml:space="preserve"> and cards or coin games.  Howe</w:t>
                  </w:r>
                  <w:r w:rsidRPr="00EE1BD3">
                    <w:rPr>
                      <w:rFonts w:asciiTheme="minorHAnsi" w:hAnsiTheme="minorHAnsi" w:cstheme="minorHAnsi"/>
                    </w:rPr>
                    <w:t>ver there were some differences for different groups:</w:t>
                  </w:r>
                </w:p>
                <w:p w:rsidR="00B45826" w:rsidRDefault="00B45826" w:rsidP="00043311">
                  <w:pPr>
                    <w:pStyle w:val="ListParagraph"/>
                    <w:numPr>
                      <w:ilvl w:val="1"/>
                      <w:numId w:val="43"/>
                    </w:numPr>
                    <w:spacing w:line="276" w:lineRule="auto"/>
                    <w:rPr>
                      <w:rFonts w:asciiTheme="minorHAnsi" w:hAnsiTheme="minorHAnsi" w:cstheme="minorHAnsi"/>
                    </w:rPr>
                  </w:pPr>
                  <w:r w:rsidRPr="00EE1BD3">
                    <w:rPr>
                      <w:rFonts w:asciiTheme="minorHAnsi" w:hAnsiTheme="minorHAnsi" w:cstheme="minorHAnsi"/>
                    </w:rPr>
                    <w:t>There was an overall trend for older students to say that their friends gambled on Lotto, pub/club pokies, casino pokies/tables, TAB betting, and cards/coin games.</w:t>
                  </w:r>
                </w:p>
                <w:p w:rsidR="00B45826" w:rsidRPr="00EE1BD3" w:rsidRDefault="00B45826" w:rsidP="00043311">
                  <w:pPr>
                    <w:pStyle w:val="ListParagraph"/>
                    <w:numPr>
                      <w:ilvl w:val="1"/>
                      <w:numId w:val="43"/>
                    </w:numPr>
                    <w:spacing w:line="276" w:lineRule="auto"/>
                    <w:rPr>
                      <w:rFonts w:asciiTheme="minorHAnsi" w:hAnsiTheme="minorHAnsi" w:cstheme="minorHAnsi"/>
                    </w:rPr>
                  </w:pPr>
                  <w:r w:rsidRPr="00EE1BD3">
                    <w:rPr>
                      <w:rFonts w:asciiTheme="minorHAnsi" w:hAnsiTheme="minorHAnsi" w:cstheme="minorHAnsi"/>
                    </w:rPr>
                    <w:t>Students living in neighbourhoods with higher levels of deprivation were more likely to say that their friends and parents/caregivers gamble on: bingo/housie; casino pokies/tables; games/gambling on a mobile phone; 0900 phone games; pub/club pokies; and, the Internet.</w:t>
                  </w:r>
                </w:p>
                <w:p w:rsidR="00B45826" w:rsidRPr="00E3310E" w:rsidRDefault="00B45826" w:rsidP="0042130F">
                  <w:pPr>
                    <w:pStyle w:val="ListParagraph"/>
                    <w:spacing w:line="276" w:lineRule="auto"/>
                    <w:ind w:left="426"/>
                    <w:rPr>
                      <w:rFonts w:asciiTheme="minorHAnsi" w:hAnsiTheme="minorHAnsi" w:cstheme="minorHAnsi"/>
                    </w:rPr>
                  </w:pPr>
                </w:p>
                <w:p w:rsidR="00B45826" w:rsidRDefault="00B45826" w:rsidP="0042130F">
                  <w:pPr>
                    <w:pStyle w:val="ListParagraph"/>
                    <w:numPr>
                      <w:ilvl w:val="0"/>
                      <w:numId w:val="10"/>
                    </w:numPr>
                    <w:spacing w:line="276" w:lineRule="auto"/>
                    <w:ind w:left="426"/>
                    <w:rPr>
                      <w:rFonts w:asciiTheme="minorHAnsi" w:hAnsiTheme="minorHAnsi" w:cstheme="minorHAnsi"/>
                    </w:rPr>
                  </w:pPr>
                  <w:r w:rsidRPr="00D97C14">
                    <w:rPr>
                      <w:rFonts w:asciiTheme="minorHAnsi" w:hAnsiTheme="minorHAnsi" w:cstheme="minorHAnsi"/>
                    </w:rPr>
                    <w:t>Some students are</w:t>
                  </w:r>
                  <w:r>
                    <w:rPr>
                      <w:rFonts w:asciiTheme="minorHAnsi" w:hAnsiTheme="minorHAnsi" w:cstheme="minorHAnsi"/>
                    </w:rPr>
                    <w:t xml:space="preserve"> negatively impacted</w:t>
                  </w:r>
                  <w:r w:rsidRPr="00D97C14">
                    <w:rPr>
                      <w:rFonts w:asciiTheme="minorHAnsi" w:hAnsiTheme="minorHAnsi" w:cstheme="minorHAnsi"/>
                    </w:rPr>
                    <w:t xml:space="preserve"> by others</w:t>
                  </w:r>
                  <w:r>
                    <w:rPr>
                      <w:rFonts w:asciiTheme="minorHAnsi" w:hAnsiTheme="minorHAnsi" w:cstheme="minorHAnsi"/>
                    </w:rPr>
                    <w:t xml:space="preserve"> peoples’</w:t>
                  </w:r>
                  <w:r w:rsidRPr="00D97C14">
                    <w:rPr>
                      <w:rFonts w:asciiTheme="minorHAnsi" w:hAnsiTheme="minorHAnsi" w:cstheme="minorHAnsi"/>
                    </w:rPr>
                    <w:t xml:space="preserve"> gambling</w:t>
                  </w:r>
                  <w:r>
                    <w:rPr>
                      <w:rFonts w:asciiTheme="minorHAnsi" w:hAnsiTheme="minorHAnsi" w:cstheme="minorHAnsi"/>
                    </w:rPr>
                    <w:t>:</w:t>
                  </w:r>
                </w:p>
                <w:p w:rsidR="00B45826" w:rsidRDefault="00B45826" w:rsidP="0042130F">
                  <w:pPr>
                    <w:pStyle w:val="ListParagraph"/>
                    <w:numPr>
                      <w:ilvl w:val="1"/>
                      <w:numId w:val="10"/>
                    </w:numPr>
                    <w:spacing w:line="276" w:lineRule="auto"/>
                    <w:rPr>
                      <w:rFonts w:asciiTheme="minorHAnsi" w:hAnsiTheme="minorHAnsi" w:cstheme="minorHAnsi"/>
                    </w:rPr>
                  </w:pPr>
                  <w:r>
                    <w:rPr>
                      <w:rFonts w:asciiTheme="minorHAnsi" w:hAnsiTheme="minorHAnsi" w:cstheme="minorHAnsi"/>
                    </w:rPr>
                    <w:t>A</w:t>
                  </w:r>
                  <w:r w:rsidRPr="00D97C14">
                    <w:rPr>
                      <w:rFonts w:asciiTheme="minorHAnsi" w:hAnsiTheme="minorHAnsi" w:cstheme="minorHAnsi"/>
                    </w:rPr>
                    <w:t xml:space="preserve">pproximately 10% </w:t>
                  </w:r>
                  <w:r>
                    <w:rPr>
                      <w:rFonts w:asciiTheme="minorHAnsi" w:hAnsiTheme="minorHAnsi" w:cstheme="minorHAnsi"/>
                    </w:rPr>
                    <w:t>o</w:t>
                  </w:r>
                  <w:r w:rsidRPr="00D97C14">
                    <w:rPr>
                      <w:rFonts w:asciiTheme="minorHAnsi" w:hAnsiTheme="minorHAnsi" w:cstheme="minorHAnsi"/>
                    </w:rPr>
                    <w:t>f the students who had gambled in the past 12 months had worried or felt anxious about the amount of time or money that parent</w:t>
                  </w:r>
                  <w:r>
                    <w:rPr>
                      <w:rFonts w:asciiTheme="minorHAnsi" w:hAnsiTheme="minorHAnsi" w:cstheme="minorHAnsi"/>
                    </w:rPr>
                    <w:t xml:space="preserve">s or family spend on gambling. </w:t>
                  </w:r>
                  <w:r w:rsidRPr="001723AF">
                    <w:rPr>
                      <w:rFonts w:asciiTheme="minorHAnsi" w:hAnsiTheme="minorHAnsi" w:cstheme="minorHAnsi"/>
                    </w:rPr>
                    <w:t xml:space="preserve"> </w:t>
                  </w:r>
                  <w:r w:rsidRPr="00E4639C">
                    <w:rPr>
                      <w:rFonts w:asciiTheme="minorHAnsi" w:hAnsiTheme="minorHAnsi" w:cstheme="minorHAnsi"/>
                    </w:rPr>
                    <w:t xml:space="preserve">Students </w:t>
                  </w:r>
                  <w:r>
                    <w:rPr>
                      <w:rFonts w:asciiTheme="minorHAnsi" w:hAnsiTheme="minorHAnsi" w:cstheme="minorHAnsi"/>
                    </w:rPr>
                    <w:t xml:space="preserve">living in </w:t>
                  </w:r>
                  <w:r w:rsidRPr="00E4639C">
                    <w:rPr>
                      <w:rFonts w:asciiTheme="minorHAnsi" w:hAnsiTheme="minorHAnsi" w:cstheme="minorHAnsi"/>
                    </w:rPr>
                    <w:t>neighbourhoods</w:t>
                  </w:r>
                  <w:r>
                    <w:rPr>
                      <w:rFonts w:asciiTheme="minorHAnsi" w:hAnsiTheme="minorHAnsi" w:cstheme="minorHAnsi"/>
                    </w:rPr>
                    <w:t xml:space="preserve"> with </w:t>
                  </w:r>
                  <w:r w:rsidRPr="00E4639C">
                    <w:rPr>
                      <w:rFonts w:asciiTheme="minorHAnsi" w:hAnsiTheme="minorHAnsi" w:cstheme="minorHAnsi"/>
                    </w:rPr>
                    <w:t xml:space="preserve">higher </w:t>
                  </w:r>
                  <w:r>
                    <w:rPr>
                      <w:rFonts w:asciiTheme="minorHAnsi" w:hAnsiTheme="minorHAnsi" w:cstheme="minorHAnsi"/>
                    </w:rPr>
                    <w:t xml:space="preserve">levels of </w:t>
                  </w:r>
                  <w:r w:rsidRPr="00E4639C">
                    <w:rPr>
                      <w:rFonts w:asciiTheme="minorHAnsi" w:hAnsiTheme="minorHAnsi" w:cstheme="minorHAnsi"/>
                    </w:rPr>
                    <w:t xml:space="preserve">deprivation were </w:t>
                  </w:r>
                  <w:r>
                    <w:rPr>
                      <w:rFonts w:asciiTheme="minorHAnsi" w:hAnsiTheme="minorHAnsi" w:cstheme="minorHAnsi"/>
                    </w:rPr>
                    <w:t>more</w:t>
                  </w:r>
                  <w:r w:rsidRPr="00E4639C">
                    <w:rPr>
                      <w:rFonts w:asciiTheme="minorHAnsi" w:hAnsiTheme="minorHAnsi" w:cstheme="minorHAnsi"/>
                    </w:rPr>
                    <w:t xml:space="preserve"> likely to have worried or felt anxious about others’ gambling.</w:t>
                  </w:r>
                </w:p>
                <w:p w:rsidR="00B45826" w:rsidRPr="007C0F5E" w:rsidRDefault="00B45826" w:rsidP="0042130F">
                  <w:pPr>
                    <w:pStyle w:val="ListParagraph"/>
                    <w:numPr>
                      <w:ilvl w:val="1"/>
                      <w:numId w:val="10"/>
                    </w:numPr>
                    <w:spacing w:line="276" w:lineRule="auto"/>
                    <w:rPr>
                      <w:rFonts w:asciiTheme="minorHAnsi" w:hAnsiTheme="minorHAnsi" w:cstheme="minorHAnsi"/>
                    </w:rPr>
                  </w:pPr>
                  <w:r w:rsidRPr="007C0F5E">
                    <w:rPr>
                      <w:rFonts w:asciiTheme="minorHAnsi" w:hAnsiTheme="minorHAnsi" w:cstheme="minorHAnsi"/>
                    </w:rPr>
                    <w:t xml:space="preserve">Between two and six percent of all students indicated that various problems had occurred at home as a result of someone else’s gambling; the most common issue being arguments or fights about time or money spent on gambling (6%). Students living in neighbourhoods with higher levels of deprivation were more likely to report these </w:t>
                  </w:r>
                  <w:r>
                    <w:rPr>
                      <w:rFonts w:asciiTheme="minorHAnsi" w:hAnsiTheme="minorHAnsi" w:cstheme="minorHAnsi"/>
                    </w:rPr>
                    <w:t>issues</w:t>
                  </w:r>
                  <w:r w:rsidRPr="007C0F5E">
                    <w:rPr>
                      <w:rFonts w:asciiTheme="minorHAnsi" w:hAnsiTheme="minorHAnsi" w:cstheme="minorHAnsi"/>
                    </w:rPr>
                    <w:t xml:space="preserve">. </w:t>
                  </w:r>
                </w:p>
              </w:txbxContent>
            </v:textbox>
            <w10:wrap type="none"/>
            <w10:anchorlock/>
          </v:shape>
        </w:pict>
      </w:r>
    </w:p>
    <w:p w:rsidR="00043311" w:rsidRDefault="00043311" w:rsidP="0042130F">
      <w:pPr>
        <w:rPr>
          <w:rFonts w:asciiTheme="minorHAnsi" w:hAnsiTheme="minorHAnsi" w:cstheme="minorHAnsi"/>
          <w:b/>
        </w:rPr>
      </w:pPr>
    </w:p>
    <w:p w:rsidR="00043311" w:rsidRDefault="00043311" w:rsidP="0042130F">
      <w:pPr>
        <w:pStyle w:val="Heading1"/>
        <w:rPr>
          <w:rFonts w:asciiTheme="minorHAnsi" w:hAnsiTheme="minorHAnsi" w:cstheme="minorHAnsi"/>
          <w:caps w:val="0"/>
          <w:szCs w:val="22"/>
        </w:rPr>
      </w:pPr>
      <w:bookmarkStart w:id="157" w:name="_Toc367284442"/>
      <w:r>
        <w:rPr>
          <w:rFonts w:asciiTheme="minorHAnsi" w:hAnsiTheme="minorHAnsi" w:cstheme="minorHAnsi"/>
          <w:caps w:val="0"/>
          <w:szCs w:val="22"/>
        </w:rPr>
        <w:lastRenderedPageBreak/>
        <w:t>RISK AND PROTECTIVE FACTORS FOR STUDENT GAMBLING</w:t>
      </w:r>
      <w:bookmarkEnd w:id="157"/>
    </w:p>
    <w:p w:rsidR="00043311" w:rsidRPr="00EA13A8" w:rsidRDefault="00F32FFA" w:rsidP="007C53CC">
      <w:pPr>
        <w:spacing w:line="360" w:lineRule="auto"/>
        <w:rPr>
          <w:rFonts w:asciiTheme="minorHAnsi" w:hAnsiTheme="minorHAnsi" w:cstheme="minorHAnsi"/>
        </w:rPr>
      </w:pPr>
      <w:r>
        <w:rPr>
          <w:rFonts w:asciiTheme="minorHAnsi" w:hAnsiTheme="minorHAnsi" w:cstheme="minorHAnsi"/>
        </w:rPr>
        <w:t>As Youth’12 did not include a formal standardised measure of problem/pathological gambling (</w:t>
      </w:r>
      <w:r w:rsidR="003131B7">
        <w:rPr>
          <w:rFonts w:asciiTheme="minorHAnsi" w:hAnsiTheme="minorHAnsi" w:cstheme="minorHAnsi"/>
        </w:rPr>
        <w:t>u</w:t>
      </w:r>
      <w:r>
        <w:rPr>
          <w:rFonts w:asciiTheme="minorHAnsi" w:hAnsiTheme="minorHAnsi" w:cstheme="minorHAnsi"/>
        </w:rPr>
        <w:t xml:space="preserve">nlike many of the studies reviewed earlier in this report), a construct to </w:t>
      </w:r>
      <w:r w:rsidRPr="004302EA">
        <w:rPr>
          <w:rFonts w:asciiTheme="minorHAnsi" w:hAnsiTheme="minorHAnsi" w:cstheme="minorHAnsi"/>
        </w:rPr>
        <w:t>define unhealthy gambling behaviour</w:t>
      </w:r>
      <w:r>
        <w:rPr>
          <w:rFonts w:asciiTheme="minorHAnsi" w:hAnsiTheme="minorHAnsi" w:cstheme="minorHAnsi"/>
        </w:rPr>
        <w:t xml:space="preserve"> was developed. </w:t>
      </w:r>
      <w:r w:rsidR="00043311" w:rsidRPr="004302EA">
        <w:rPr>
          <w:rFonts w:asciiTheme="minorHAnsi" w:hAnsiTheme="minorHAnsi" w:cstheme="minorHAnsi"/>
        </w:rPr>
        <w:t xml:space="preserve">This section </w:t>
      </w:r>
      <w:r>
        <w:rPr>
          <w:rFonts w:asciiTheme="minorHAnsi" w:hAnsiTheme="minorHAnsi" w:cstheme="minorHAnsi"/>
        </w:rPr>
        <w:t>provides an overview of</w:t>
      </w:r>
      <w:r w:rsidR="00043311" w:rsidRPr="004302EA">
        <w:rPr>
          <w:rFonts w:asciiTheme="minorHAnsi" w:hAnsiTheme="minorHAnsi" w:cstheme="minorHAnsi"/>
        </w:rPr>
        <w:t xml:space="preserve"> the development of </w:t>
      </w:r>
      <w:r>
        <w:rPr>
          <w:rFonts w:asciiTheme="minorHAnsi" w:hAnsiTheme="minorHAnsi" w:cstheme="minorHAnsi"/>
        </w:rPr>
        <w:t>this</w:t>
      </w:r>
      <w:r w:rsidR="00043311" w:rsidRPr="004302EA">
        <w:rPr>
          <w:rFonts w:asciiTheme="minorHAnsi" w:hAnsiTheme="minorHAnsi" w:cstheme="minorHAnsi"/>
        </w:rPr>
        <w:t xml:space="preserve"> construct</w:t>
      </w:r>
      <w:r>
        <w:rPr>
          <w:rFonts w:asciiTheme="minorHAnsi" w:hAnsiTheme="minorHAnsi" w:cstheme="minorHAnsi"/>
        </w:rPr>
        <w:t>, and reports on its</w:t>
      </w:r>
      <w:r w:rsidR="00043311">
        <w:rPr>
          <w:rFonts w:asciiTheme="minorHAnsi" w:hAnsiTheme="minorHAnsi" w:cstheme="minorHAnsi"/>
        </w:rPr>
        <w:t xml:space="preserve"> distribution according to demographic factors. Analyses were also undertaken to explore </w:t>
      </w:r>
      <w:r w:rsidR="00043311" w:rsidRPr="00D817E3">
        <w:rPr>
          <w:rFonts w:asciiTheme="minorHAnsi" w:hAnsiTheme="minorHAnsi" w:cstheme="minorHAnsi"/>
        </w:rPr>
        <w:t xml:space="preserve">associations between </w:t>
      </w:r>
      <w:r w:rsidR="00043311">
        <w:rPr>
          <w:rFonts w:asciiTheme="minorHAnsi" w:hAnsiTheme="minorHAnsi" w:cstheme="minorHAnsi"/>
        </w:rPr>
        <w:t>‘</w:t>
      </w:r>
      <w:r w:rsidR="00043311" w:rsidRPr="00D817E3">
        <w:rPr>
          <w:rFonts w:asciiTheme="minorHAnsi" w:hAnsiTheme="minorHAnsi" w:cstheme="minorHAnsi"/>
        </w:rPr>
        <w:t>unhealthy gambling</w:t>
      </w:r>
      <w:r w:rsidR="00043311">
        <w:rPr>
          <w:rFonts w:asciiTheme="minorHAnsi" w:hAnsiTheme="minorHAnsi" w:cstheme="minorHAnsi"/>
        </w:rPr>
        <w:t>’</w:t>
      </w:r>
      <w:r w:rsidR="00043311" w:rsidRPr="00D817E3">
        <w:rPr>
          <w:rFonts w:asciiTheme="minorHAnsi" w:hAnsiTheme="minorHAnsi" w:cstheme="minorHAnsi"/>
        </w:rPr>
        <w:t xml:space="preserve"> behaviour and variables that may fulfil risk and/or protective functions</w:t>
      </w:r>
      <w:r w:rsidR="00043311">
        <w:rPr>
          <w:rFonts w:asciiTheme="minorHAnsi" w:hAnsiTheme="minorHAnsi" w:cstheme="minorHAnsi"/>
        </w:rPr>
        <w:t>.</w:t>
      </w:r>
      <w:r w:rsidRPr="00F32FFA">
        <w:rPr>
          <w:rFonts w:asciiTheme="minorHAnsi" w:hAnsiTheme="minorHAnsi" w:cstheme="minorHAnsi"/>
        </w:rPr>
        <w:t xml:space="preserve"> </w:t>
      </w:r>
    </w:p>
    <w:p w:rsidR="00043311" w:rsidRDefault="00043311" w:rsidP="00043311">
      <w:pPr>
        <w:pStyle w:val="Heading2"/>
        <w:numPr>
          <w:ilvl w:val="1"/>
          <w:numId w:val="33"/>
        </w:numPr>
      </w:pPr>
      <w:bookmarkStart w:id="158" w:name="_Toc367284443"/>
      <w:r>
        <w:t>Defining a construct of unhealthy gambling behaviour</w:t>
      </w:r>
      <w:bookmarkEnd w:id="158"/>
      <w:r>
        <w:t xml:space="preserve"> </w:t>
      </w:r>
    </w:p>
    <w:p w:rsidR="00043311" w:rsidRDefault="00043311" w:rsidP="007C53CC">
      <w:pPr>
        <w:spacing w:line="360" w:lineRule="auto"/>
        <w:rPr>
          <w:rFonts w:asciiTheme="minorHAnsi" w:hAnsiTheme="minorHAnsi" w:cstheme="minorHAnsi"/>
        </w:rPr>
      </w:pPr>
      <w:r>
        <w:rPr>
          <w:rFonts w:asciiTheme="minorHAnsi" w:hAnsiTheme="minorHAnsi" w:cstheme="minorHAnsi"/>
        </w:rPr>
        <w:t>In 2011, a secondary analysis of the Youth’07 gambling data (Rossen, et al., 2011) employed item response theory (IRT) to model the probability of gambling behaviours along a latent dimension of ‘less unhealthy’ to ‘more unhealthy’ gambling behaviours, thus allowing the development of a framework for evaluating which behaviours were more severe</w:t>
      </w:r>
      <w:r w:rsidRPr="006D4D86">
        <w:rPr>
          <w:rFonts w:asciiTheme="minorHAnsi" w:hAnsiTheme="minorHAnsi" w:cstheme="minorHAnsi"/>
          <w:vertAlign w:val="superscript"/>
        </w:rPr>
        <w:footnoteReference w:id="18"/>
      </w:r>
      <w:r>
        <w:rPr>
          <w:rFonts w:asciiTheme="minorHAnsi" w:hAnsiTheme="minorHAnsi" w:cstheme="minorHAnsi"/>
        </w:rPr>
        <w:t>.  The model utilised seven indicators of unhealthy gambling, including four reasons for gambling that are consistent with escapism and/or loss of control (I gamble to relax; I gamble to feel better about myself; I gamble to forget about things; I gamble because I can’t stop) and higher levels of expenditure on gambling (gambling ‘several times a week’ or ‘most days’; spending $20 or more per week on gambling; and, spending one or more hours per day on gambling activities)</w:t>
      </w:r>
      <w:r w:rsidRPr="00B45826">
        <w:rPr>
          <w:rFonts w:asciiTheme="minorHAnsi" w:hAnsiTheme="minorHAnsi" w:cstheme="minorHAnsi"/>
          <w:vertAlign w:val="superscript"/>
        </w:rPr>
        <w:footnoteReference w:id="19"/>
      </w:r>
      <w:r>
        <w:rPr>
          <w:rFonts w:asciiTheme="minorHAnsi" w:hAnsiTheme="minorHAnsi" w:cstheme="minorHAnsi"/>
        </w:rPr>
        <w:t>.  This model resulted in a factor that was conceptualised as an underlying continuum of ‘unhealthy’ gambling behaviour. E</w:t>
      </w:r>
      <w:r w:rsidRPr="00555ADF">
        <w:rPr>
          <w:rFonts w:asciiTheme="minorHAnsi" w:hAnsiTheme="minorHAnsi" w:cstheme="minorHAnsi"/>
        </w:rPr>
        <w:t>xploratory analyses</w:t>
      </w:r>
      <w:r>
        <w:rPr>
          <w:rFonts w:asciiTheme="minorHAnsi" w:hAnsiTheme="minorHAnsi" w:cstheme="minorHAnsi"/>
        </w:rPr>
        <w:t xml:space="preserve"> of Youth’12 data</w:t>
      </w:r>
      <w:r w:rsidRPr="00D550C9">
        <w:rPr>
          <w:rFonts w:asciiTheme="minorHAnsi" w:hAnsiTheme="minorHAnsi" w:cstheme="minorHAnsi"/>
        </w:rPr>
        <w:t xml:space="preserve"> </w:t>
      </w:r>
      <w:r>
        <w:rPr>
          <w:rFonts w:asciiTheme="minorHAnsi" w:hAnsiTheme="minorHAnsi" w:cstheme="minorHAnsi"/>
        </w:rPr>
        <w:t>and the c</w:t>
      </w:r>
      <w:r w:rsidRPr="00555ADF">
        <w:rPr>
          <w:rFonts w:asciiTheme="minorHAnsi" w:hAnsiTheme="minorHAnsi" w:cstheme="minorHAnsi"/>
        </w:rPr>
        <w:t xml:space="preserve">onsistency </w:t>
      </w:r>
      <w:r>
        <w:rPr>
          <w:rFonts w:asciiTheme="minorHAnsi" w:hAnsiTheme="minorHAnsi" w:cstheme="minorHAnsi"/>
        </w:rPr>
        <w:t xml:space="preserve">of the relevant questionnaire items (from Youth’07 to Youth’12) indicated that it would be appropriate to utilise this model to provide a measure of ‘unhealthy gambling’ for the Youth’12 gambling data. </w:t>
      </w:r>
    </w:p>
    <w:p w:rsidR="00043311" w:rsidRDefault="00043311" w:rsidP="007C53CC">
      <w:pPr>
        <w:spacing w:line="360" w:lineRule="auto"/>
        <w:rPr>
          <w:rFonts w:asciiTheme="minorHAnsi" w:hAnsiTheme="minorHAnsi" w:cstheme="minorHAnsi"/>
        </w:rPr>
      </w:pPr>
      <w:r>
        <w:rPr>
          <w:rFonts w:asciiTheme="minorHAnsi" w:hAnsiTheme="minorHAnsi" w:cstheme="minorHAnsi"/>
        </w:rPr>
        <w:t xml:space="preserve">The following pages outline the subsequent analyses that were undertaken with Youth’12 data in relation to the measure of ‘unhealthy gambling’; these include analyses to determine associations by population demographics (Section </w:t>
      </w:r>
      <w:r w:rsidR="00082F17">
        <w:fldChar w:fldCharType="begin"/>
      </w:r>
      <w:r w:rsidR="00082F17">
        <w:instrText xml:space="preserve"> REF _Ref356982973 \r \h  \* </w:instrText>
      </w:r>
      <w:r w:rsidR="00082F17">
        <w:instrText xml:space="preserve">MERGEFORMAT </w:instrText>
      </w:r>
      <w:r w:rsidR="00082F17">
        <w:fldChar w:fldCharType="separate"/>
      </w:r>
      <w:r w:rsidR="009E3D1C">
        <w:rPr>
          <w:rFonts w:asciiTheme="minorHAnsi" w:hAnsiTheme="minorHAnsi" w:cstheme="minorHAnsi"/>
        </w:rPr>
        <w:t>9.1.1</w:t>
      </w:r>
      <w:r w:rsidR="00082F17">
        <w:fldChar w:fldCharType="end"/>
      </w:r>
      <w:r>
        <w:rPr>
          <w:rFonts w:asciiTheme="minorHAnsi" w:hAnsiTheme="minorHAnsi" w:cstheme="minorHAnsi"/>
        </w:rPr>
        <w:t>) and variables that may fulfil risk and protective functions</w:t>
      </w:r>
      <w:r w:rsidR="003925A9">
        <w:rPr>
          <w:rFonts w:asciiTheme="minorHAnsi" w:hAnsiTheme="minorHAnsi" w:cstheme="minorHAnsi"/>
        </w:rPr>
        <w:t xml:space="preserve"> (Section</w:t>
      </w:r>
      <w:r>
        <w:rPr>
          <w:rFonts w:asciiTheme="minorHAnsi" w:hAnsiTheme="minorHAnsi" w:cstheme="minorHAnsi"/>
        </w:rPr>
        <w:t xml:space="preserve"> </w:t>
      </w:r>
      <w:r w:rsidR="003925A9">
        <w:rPr>
          <w:rFonts w:asciiTheme="minorHAnsi" w:hAnsiTheme="minorHAnsi" w:cstheme="minorHAnsi"/>
        </w:rPr>
        <w:fldChar w:fldCharType="begin"/>
      </w:r>
      <w:r w:rsidR="003925A9">
        <w:rPr>
          <w:rFonts w:asciiTheme="minorHAnsi" w:hAnsiTheme="minorHAnsi" w:cstheme="minorHAnsi"/>
        </w:rPr>
        <w:instrText xml:space="preserve"> REF _Ref378667725 \r \h </w:instrText>
      </w:r>
      <w:r w:rsidR="003925A9">
        <w:rPr>
          <w:rFonts w:asciiTheme="minorHAnsi" w:hAnsiTheme="minorHAnsi" w:cstheme="minorHAnsi"/>
        </w:rPr>
      </w:r>
      <w:r w:rsidR="003925A9">
        <w:rPr>
          <w:rFonts w:asciiTheme="minorHAnsi" w:hAnsiTheme="minorHAnsi" w:cstheme="minorHAnsi"/>
        </w:rPr>
        <w:fldChar w:fldCharType="separate"/>
      </w:r>
      <w:r w:rsidR="003925A9">
        <w:rPr>
          <w:rFonts w:asciiTheme="minorHAnsi" w:hAnsiTheme="minorHAnsi" w:cstheme="minorHAnsi"/>
        </w:rPr>
        <w:t>9.2</w:t>
      </w:r>
      <w:r w:rsidR="003925A9">
        <w:rPr>
          <w:rFonts w:asciiTheme="minorHAnsi" w:hAnsiTheme="minorHAnsi" w:cstheme="minorHAnsi"/>
        </w:rPr>
        <w:fldChar w:fldCharType="end"/>
      </w:r>
      <w:r>
        <w:rPr>
          <w:rFonts w:asciiTheme="minorHAnsi" w:hAnsiTheme="minorHAnsi" w:cstheme="minorHAnsi"/>
        </w:rPr>
        <w:t>). Only students from Youth’12 who had gambled within the past 12 months (N=1849) were included in these analyses and results have been categorised in relation to the number of ‘unhealthy gambling’ indicators that were reported by students (‘None’, ‘One’, and ‘Two or more’).</w:t>
      </w:r>
    </w:p>
    <w:p w:rsidR="00043311" w:rsidRDefault="00043311" w:rsidP="0042130F">
      <w:pPr>
        <w:pStyle w:val="Heading3"/>
      </w:pPr>
      <w:bookmarkStart w:id="159" w:name="_Ref356982973"/>
      <w:bookmarkStart w:id="160" w:name="_Toc367284444"/>
      <w:r>
        <w:lastRenderedPageBreak/>
        <w:t>Distribution of ‘unhealthy gambling’ by population demographics</w:t>
      </w:r>
      <w:bookmarkEnd w:id="159"/>
      <w:bookmarkEnd w:id="160"/>
    </w:p>
    <w:p w:rsidR="00E92127" w:rsidRDefault="00720A6C" w:rsidP="007C53CC">
      <w:pPr>
        <w:spacing w:line="360" w:lineRule="auto"/>
        <w:rPr>
          <w:rFonts w:asciiTheme="minorHAnsi" w:hAnsiTheme="minorHAnsi" w:cstheme="minorHAnsi"/>
        </w:rPr>
      </w:pPr>
      <w:r>
        <w:rPr>
          <w:rFonts w:asciiTheme="minorHAnsi" w:hAnsiTheme="minorHAnsi" w:cstheme="minorHAnsi"/>
        </w:rPr>
        <w:t xml:space="preserve">Table 11 </w:t>
      </w:r>
      <w:r w:rsidR="00043311">
        <w:rPr>
          <w:rFonts w:asciiTheme="minorHAnsi" w:hAnsiTheme="minorHAnsi" w:cstheme="minorHAnsi"/>
        </w:rPr>
        <w:t>provides an overview of the distribution of the number of</w:t>
      </w:r>
      <w:r w:rsidR="00043311" w:rsidRPr="00943F20">
        <w:rPr>
          <w:rFonts w:asciiTheme="minorHAnsi" w:hAnsiTheme="minorHAnsi" w:cstheme="minorHAnsi"/>
        </w:rPr>
        <w:t xml:space="preserve"> </w:t>
      </w:r>
      <w:r w:rsidR="00043311">
        <w:rPr>
          <w:rFonts w:asciiTheme="minorHAnsi" w:hAnsiTheme="minorHAnsi" w:cstheme="minorHAnsi"/>
        </w:rPr>
        <w:t>indicators for ‘unhealthy gambling’ that were reported by students and a breakdown of this distribution by demographic variables. While t</w:t>
      </w:r>
      <w:r w:rsidR="00043311" w:rsidRPr="00BB07F4">
        <w:rPr>
          <w:rFonts w:asciiTheme="minorHAnsi" w:hAnsiTheme="minorHAnsi" w:cstheme="minorHAnsi"/>
        </w:rPr>
        <w:t xml:space="preserve">he majority of students who had gambled in the last 12 months </w:t>
      </w:r>
      <w:r w:rsidR="00043311">
        <w:rPr>
          <w:rFonts w:asciiTheme="minorHAnsi" w:hAnsiTheme="minorHAnsi" w:cstheme="minorHAnsi"/>
        </w:rPr>
        <w:t xml:space="preserve">did not report any indicators of ‘unhealthy gambling’ (84%, n=1557), approximately one-tenth (11%, n=203) were noted to have one indicator and approximately five percent (n=89) reported two or more indicators of ‘unhealthy gambling’. Significant interactions were observed between the number of ‘unhealthy gambling’ indicators and </w:t>
      </w:r>
      <w:r w:rsidR="00E92127">
        <w:rPr>
          <w:rFonts w:asciiTheme="minorHAnsi" w:hAnsiTheme="minorHAnsi" w:cstheme="minorHAnsi"/>
        </w:rPr>
        <w:t xml:space="preserve">a number of demographic variables: </w:t>
      </w:r>
    </w:p>
    <w:p w:rsidR="00E92127" w:rsidRDefault="00E92127" w:rsidP="00E92127">
      <w:pPr>
        <w:pStyle w:val="ListParagraph"/>
        <w:numPr>
          <w:ilvl w:val="0"/>
          <w:numId w:val="9"/>
        </w:numPr>
        <w:spacing w:line="360" w:lineRule="auto"/>
        <w:rPr>
          <w:rFonts w:asciiTheme="minorHAnsi" w:hAnsiTheme="minorHAnsi" w:cstheme="minorHAnsi"/>
        </w:rPr>
      </w:pPr>
      <w:r w:rsidRPr="00D72395">
        <w:rPr>
          <w:rFonts w:asciiTheme="minorHAnsi" w:hAnsiTheme="minorHAnsi" w:cstheme="minorHAnsi"/>
          <w:i/>
        </w:rPr>
        <w:t>S</w:t>
      </w:r>
      <w:r w:rsidR="00043311" w:rsidRPr="00D72395">
        <w:rPr>
          <w:rFonts w:asciiTheme="minorHAnsi" w:hAnsiTheme="minorHAnsi" w:cstheme="minorHAnsi"/>
          <w:i/>
        </w:rPr>
        <w:t>ex</w:t>
      </w:r>
      <w:r>
        <w:rPr>
          <w:rFonts w:asciiTheme="minorHAnsi" w:hAnsiTheme="minorHAnsi" w:cstheme="minorHAnsi"/>
        </w:rPr>
        <w:t xml:space="preserve"> – greater proportions of males than females reported unhealthy gambling;</w:t>
      </w:r>
    </w:p>
    <w:p w:rsidR="00E92127" w:rsidRDefault="00E92127" w:rsidP="00E92127">
      <w:pPr>
        <w:pStyle w:val="ListParagraph"/>
        <w:numPr>
          <w:ilvl w:val="0"/>
          <w:numId w:val="9"/>
        </w:numPr>
        <w:spacing w:line="360" w:lineRule="auto"/>
        <w:rPr>
          <w:rFonts w:asciiTheme="minorHAnsi" w:hAnsiTheme="minorHAnsi" w:cstheme="minorHAnsi"/>
        </w:rPr>
      </w:pPr>
      <w:r w:rsidRPr="00D72395">
        <w:rPr>
          <w:rFonts w:asciiTheme="minorHAnsi" w:hAnsiTheme="minorHAnsi" w:cstheme="minorHAnsi"/>
          <w:i/>
        </w:rPr>
        <w:t>E</w:t>
      </w:r>
      <w:r w:rsidR="00043311" w:rsidRPr="00D72395">
        <w:rPr>
          <w:rFonts w:asciiTheme="minorHAnsi" w:hAnsiTheme="minorHAnsi" w:cstheme="minorHAnsi"/>
          <w:i/>
        </w:rPr>
        <w:t>thnicity</w:t>
      </w:r>
      <w:r>
        <w:rPr>
          <w:rFonts w:asciiTheme="minorHAnsi" w:hAnsiTheme="minorHAnsi" w:cstheme="minorHAnsi"/>
        </w:rPr>
        <w:t xml:space="preserve"> – significantly lower proportions of NZ European than Māori, Pacific and Asian students reported indicators of unhealthy gambling;</w:t>
      </w:r>
    </w:p>
    <w:p w:rsidR="00E92127" w:rsidRDefault="00E92127" w:rsidP="00E92127">
      <w:pPr>
        <w:pStyle w:val="ListParagraph"/>
        <w:numPr>
          <w:ilvl w:val="0"/>
          <w:numId w:val="9"/>
        </w:numPr>
        <w:spacing w:line="360" w:lineRule="auto"/>
        <w:rPr>
          <w:rFonts w:asciiTheme="minorHAnsi" w:hAnsiTheme="minorHAnsi" w:cstheme="minorHAnsi"/>
        </w:rPr>
      </w:pPr>
      <w:r w:rsidRPr="00D72395">
        <w:rPr>
          <w:rFonts w:asciiTheme="minorHAnsi" w:hAnsiTheme="minorHAnsi" w:cstheme="minorHAnsi"/>
          <w:i/>
        </w:rPr>
        <w:t>N</w:t>
      </w:r>
      <w:r w:rsidR="00043311" w:rsidRPr="00D72395">
        <w:rPr>
          <w:rFonts w:asciiTheme="minorHAnsi" w:hAnsiTheme="minorHAnsi" w:cstheme="minorHAnsi"/>
          <w:i/>
        </w:rPr>
        <w:t>eighbourhood deprivation</w:t>
      </w:r>
      <w:r>
        <w:rPr>
          <w:rFonts w:asciiTheme="minorHAnsi" w:hAnsiTheme="minorHAnsi" w:cstheme="minorHAnsi"/>
        </w:rPr>
        <w:t xml:space="preserve"> – students living in neighbourhoods with higher levels of deprivation were more likely than students living in lower deprivation neighbourhoods to report unhealthy gambling;</w:t>
      </w:r>
    </w:p>
    <w:p w:rsidR="00043311" w:rsidRPr="00E92127" w:rsidRDefault="00E92127" w:rsidP="00E92127">
      <w:pPr>
        <w:pStyle w:val="ListParagraph"/>
        <w:numPr>
          <w:ilvl w:val="0"/>
          <w:numId w:val="9"/>
        </w:numPr>
        <w:spacing w:line="360" w:lineRule="auto"/>
        <w:rPr>
          <w:rFonts w:asciiTheme="minorHAnsi" w:hAnsiTheme="minorHAnsi" w:cstheme="minorHAnsi"/>
        </w:rPr>
      </w:pPr>
      <w:r w:rsidRPr="00D72395">
        <w:rPr>
          <w:rFonts w:asciiTheme="minorHAnsi" w:hAnsiTheme="minorHAnsi" w:cstheme="minorHAnsi"/>
          <w:i/>
        </w:rPr>
        <w:t>G</w:t>
      </w:r>
      <w:r w:rsidR="00043311" w:rsidRPr="00D72395">
        <w:rPr>
          <w:rFonts w:asciiTheme="minorHAnsi" w:hAnsiTheme="minorHAnsi" w:cstheme="minorHAnsi"/>
          <w:i/>
        </w:rPr>
        <w:t>eography</w:t>
      </w:r>
      <w:r>
        <w:rPr>
          <w:rFonts w:asciiTheme="minorHAnsi" w:hAnsiTheme="minorHAnsi" w:cstheme="minorHAnsi"/>
        </w:rPr>
        <w:t xml:space="preserve"> – students residing in </w:t>
      </w:r>
      <w:r w:rsidR="00043311" w:rsidRPr="00E92127">
        <w:rPr>
          <w:rFonts w:asciiTheme="minorHAnsi" w:hAnsiTheme="minorHAnsi" w:cstheme="minorHAnsi"/>
        </w:rPr>
        <w:t>urban</w:t>
      </w:r>
      <w:r>
        <w:rPr>
          <w:rFonts w:asciiTheme="minorHAnsi" w:hAnsiTheme="minorHAnsi" w:cstheme="minorHAnsi"/>
        </w:rPr>
        <w:t xml:space="preserve"> neighbourhoods were more likely than students living in rural settings to report unhealthy gambling.</w:t>
      </w:r>
    </w:p>
    <w:p w:rsidR="00043311" w:rsidRDefault="00043311" w:rsidP="007C53CC">
      <w:pPr>
        <w:spacing w:line="360" w:lineRule="auto"/>
        <w:rPr>
          <w:rFonts w:asciiTheme="minorHAnsi" w:hAnsiTheme="minorHAnsi" w:cstheme="minorHAnsi"/>
        </w:rPr>
      </w:pPr>
    </w:p>
    <w:p w:rsidR="00043311" w:rsidRPr="00740B76" w:rsidRDefault="00740B76" w:rsidP="00740B76">
      <w:pPr>
        <w:pStyle w:val="Caption"/>
        <w:keepNext/>
        <w:spacing w:line="240" w:lineRule="auto"/>
        <w:ind w:left="992" w:hanging="992"/>
        <w:rPr>
          <w:rFonts w:asciiTheme="minorHAnsi" w:hAnsiTheme="minorHAnsi" w:cstheme="minorHAnsi"/>
          <w:i/>
        </w:rPr>
      </w:pPr>
      <w:bookmarkStart w:id="161" w:name="_Toc367285394"/>
      <w:r w:rsidRPr="00740B76">
        <w:rPr>
          <w:rFonts w:asciiTheme="minorHAnsi" w:hAnsiTheme="minorHAnsi"/>
          <w:i/>
        </w:rPr>
        <w:lastRenderedPageBreak/>
        <w:t xml:space="preserve">Table </w:t>
      </w:r>
      <w:r w:rsidR="007B447B" w:rsidRPr="00740B76">
        <w:rPr>
          <w:rFonts w:asciiTheme="minorHAnsi" w:hAnsiTheme="minorHAnsi"/>
          <w:i/>
        </w:rPr>
        <w:fldChar w:fldCharType="begin"/>
      </w:r>
      <w:r w:rsidRPr="00740B76">
        <w:rPr>
          <w:rFonts w:asciiTheme="minorHAnsi" w:hAnsiTheme="minorHAnsi"/>
          <w:i/>
        </w:rPr>
        <w:instrText xml:space="preserve"> SEQ Table \* ARABIC </w:instrText>
      </w:r>
      <w:r w:rsidR="007B447B" w:rsidRPr="00740B76">
        <w:rPr>
          <w:rFonts w:asciiTheme="minorHAnsi" w:hAnsiTheme="minorHAnsi"/>
          <w:i/>
        </w:rPr>
        <w:fldChar w:fldCharType="separate"/>
      </w:r>
      <w:r w:rsidR="009E3D1C">
        <w:rPr>
          <w:rFonts w:asciiTheme="minorHAnsi" w:hAnsiTheme="minorHAnsi"/>
          <w:i/>
          <w:noProof/>
        </w:rPr>
        <w:t>11</w:t>
      </w:r>
      <w:r w:rsidR="007B447B" w:rsidRPr="00740B76">
        <w:rPr>
          <w:rFonts w:asciiTheme="minorHAnsi" w:hAnsiTheme="minorHAnsi"/>
          <w:i/>
        </w:rPr>
        <w:fldChar w:fldCharType="end"/>
      </w:r>
      <w:r w:rsidRPr="00740B76">
        <w:rPr>
          <w:rFonts w:asciiTheme="minorHAnsi" w:hAnsiTheme="minorHAnsi"/>
          <w:i/>
        </w:rPr>
        <w:t xml:space="preserve">: </w:t>
      </w:r>
      <w:r w:rsidRPr="00740B76">
        <w:rPr>
          <w:rFonts w:asciiTheme="minorHAnsi" w:hAnsiTheme="minorHAnsi" w:cstheme="minorHAnsi"/>
          <w:i/>
        </w:rPr>
        <w:t>Indicators of ‘unhealthy gambling’ – distribution and demographics (among students who have gambled in the last 12 months; N=1849)</w:t>
      </w:r>
      <w:bookmarkEnd w:id="161"/>
    </w:p>
    <w:p w:rsidR="00043311" w:rsidRDefault="00043311" w:rsidP="0042130F">
      <w:pPr>
        <w:jc w:val="center"/>
      </w:pPr>
      <w:r w:rsidRPr="00B15288">
        <w:rPr>
          <w:noProof/>
          <w:lang w:eastAsia="en-NZ"/>
        </w:rPr>
        <w:drawing>
          <wp:inline distT="0" distB="0" distL="0" distR="0" wp14:anchorId="5F205488" wp14:editId="7657CCE1">
            <wp:extent cx="5469899" cy="593463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2181" cy="5937112"/>
                    </a:xfrm>
                    <a:prstGeom prst="rect">
                      <a:avLst/>
                    </a:prstGeom>
                    <a:noFill/>
                    <a:ln>
                      <a:noFill/>
                    </a:ln>
                  </pic:spPr>
                </pic:pic>
              </a:graphicData>
            </a:graphic>
          </wp:inline>
        </w:drawing>
      </w:r>
    </w:p>
    <w:p w:rsidR="00043311" w:rsidRDefault="00043311" w:rsidP="0042130F"/>
    <w:p w:rsidR="00043311" w:rsidRDefault="00043311">
      <w:pPr>
        <w:spacing w:before="0" w:line="240" w:lineRule="auto"/>
        <w:jc w:val="left"/>
        <w:rPr>
          <w:rFonts w:asciiTheme="minorHAnsi" w:hAnsiTheme="minorHAnsi" w:cstheme="minorHAnsi"/>
          <w:b/>
          <w:bCs/>
          <w:iCs/>
          <w:color w:val="1F497D"/>
          <w:szCs w:val="22"/>
        </w:rPr>
      </w:pPr>
      <w:bookmarkStart w:id="162" w:name="_Ref356906225"/>
      <w:r>
        <w:br w:type="page"/>
      </w:r>
    </w:p>
    <w:p w:rsidR="00043311" w:rsidRDefault="00043311" w:rsidP="0042130F">
      <w:pPr>
        <w:pStyle w:val="Heading2"/>
      </w:pPr>
      <w:bookmarkStart w:id="163" w:name="_Toc367284445"/>
      <w:bookmarkStart w:id="164" w:name="_Ref378667725"/>
      <w:r>
        <w:lastRenderedPageBreak/>
        <w:t>Identification of risk and protective factors</w:t>
      </w:r>
      <w:bookmarkEnd w:id="162"/>
      <w:r>
        <w:t xml:space="preserve"> for ‘unhealthy gambling’</w:t>
      </w:r>
      <w:bookmarkEnd w:id="163"/>
      <w:bookmarkEnd w:id="164"/>
      <w:r>
        <w:t xml:space="preserve"> </w:t>
      </w:r>
    </w:p>
    <w:p w:rsidR="00043311" w:rsidRPr="00D817E3" w:rsidRDefault="00043311" w:rsidP="007C53CC">
      <w:pPr>
        <w:spacing w:line="360" w:lineRule="auto"/>
        <w:rPr>
          <w:rFonts w:asciiTheme="minorHAnsi" w:hAnsiTheme="minorHAnsi" w:cstheme="minorHAnsi"/>
        </w:rPr>
      </w:pPr>
      <w:r w:rsidRPr="00D817E3">
        <w:rPr>
          <w:rFonts w:asciiTheme="minorHAnsi" w:hAnsiTheme="minorHAnsi" w:cstheme="minorHAnsi"/>
        </w:rPr>
        <w:t xml:space="preserve">This section outlines results from a series of logistic regressions (Phase One) and multiple logistic regressions (Phases Two and Three) that were carried out to explore associations between </w:t>
      </w:r>
      <w:r>
        <w:rPr>
          <w:rFonts w:asciiTheme="minorHAnsi" w:hAnsiTheme="minorHAnsi" w:cstheme="minorHAnsi"/>
        </w:rPr>
        <w:t>‘</w:t>
      </w:r>
      <w:r w:rsidRPr="00D817E3">
        <w:rPr>
          <w:rFonts w:asciiTheme="minorHAnsi" w:hAnsiTheme="minorHAnsi" w:cstheme="minorHAnsi"/>
        </w:rPr>
        <w:t>unhealthy gambling</w:t>
      </w:r>
      <w:r>
        <w:rPr>
          <w:rFonts w:asciiTheme="minorHAnsi" w:hAnsiTheme="minorHAnsi" w:cstheme="minorHAnsi"/>
        </w:rPr>
        <w:t>’</w:t>
      </w:r>
      <w:r w:rsidRPr="00D817E3">
        <w:rPr>
          <w:rFonts w:asciiTheme="minorHAnsi" w:hAnsiTheme="minorHAnsi" w:cstheme="minorHAnsi"/>
        </w:rPr>
        <w:t xml:space="preserve"> behaviour and variables that may fulfil risk and/or protective functions.  </w:t>
      </w:r>
    </w:p>
    <w:p w:rsidR="00043311" w:rsidRPr="00E3310E" w:rsidRDefault="00043311" w:rsidP="0042130F">
      <w:pPr>
        <w:pStyle w:val="Heading3"/>
      </w:pPr>
      <w:bookmarkStart w:id="165" w:name="_Toc367284446"/>
      <w:r>
        <w:t>Phase one</w:t>
      </w:r>
      <w:r w:rsidRPr="00E3310E">
        <w:t xml:space="preserve"> </w:t>
      </w:r>
      <w:r>
        <w:t>- logistic regressions</w:t>
      </w:r>
      <w:bookmarkEnd w:id="165"/>
    </w:p>
    <w:p w:rsidR="00043311" w:rsidRDefault="00043311" w:rsidP="007C53CC">
      <w:pPr>
        <w:spacing w:line="360" w:lineRule="auto"/>
        <w:rPr>
          <w:rFonts w:asciiTheme="minorHAnsi" w:hAnsiTheme="minorHAnsi" w:cstheme="minorHAnsi"/>
        </w:rPr>
      </w:pPr>
      <w:r w:rsidRPr="00703E77">
        <w:rPr>
          <w:rFonts w:asciiTheme="minorHAnsi" w:hAnsiTheme="minorHAnsi" w:cstheme="minorHAnsi"/>
        </w:rPr>
        <w:t xml:space="preserve">A series of </w:t>
      </w:r>
      <w:r>
        <w:rPr>
          <w:rFonts w:asciiTheme="minorHAnsi" w:hAnsiTheme="minorHAnsi" w:cstheme="minorHAnsi"/>
        </w:rPr>
        <w:t xml:space="preserve">logistic regressions were carried out to determine associations between ‘unhealthy gambling’ behaviour (as measured by the construct of ‘unhealthy gambling’ behaviour that was described previously) and variables that were hypothesised as having the potential to either increase the risk of or protect/moderate against unhealthy gambling. Following the identification of significant interactions between the measure of ‘unhealthy gambling’ and several demographic variables (as detailed in </w:t>
      </w:r>
      <w:r w:rsidR="00720A6C">
        <w:rPr>
          <w:rFonts w:asciiTheme="minorHAnsi" w:hAnsiTheme="minorHAnsi" w:cstheme="minorHAnsi"/>
        </w:rPr>
        <w:t>Table 11</w:t>
      </w:r>
      <w:r>
        <w:rPr>
          <w:rFonts w:asciiTheme="minorHAnsi" w:hAnsiTheme="minorHAnsi" w:cstheme="minorHAnsi"/>
        </w:rPr>
        <w:t>) each logistic regression controlled for the effects of age, sex, neighbourhood socio-economic deprivation, geography (urban/rural), and ethnicity.</w:t>
      </w:r>
      <w:r w:rsidR="007C53CC">
        <w:rPr>
          <w:rFonts w:asciiTheme="minorHAnsi" w:hAnsiTheme="minorHAnsi" w:cstheme="minorHAnsi"/>
        </w:rPr>
        <w:t xml:space="preserve"> </w:t>
      </w:r>
      <w:r>
        <w:rPr>
          <w:rFonts w:asciiTheme="minorHAnsi" w:hAnsiTheme="minorHAnsi" w:cstheme="minorHAnsi"/>
        </w:rPr>
        <w:t>In total, 44 variables were selected for inclusion in this set of analyses.  These variables were identified through a review of the literature and consultation with the study’s advisory group. The variables covered a wide variety of topics, including:</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Impacts of someone else’s gambling (e.g. parents gambling);</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Aspects of student’s gambling behaviour:</w:t>
      </w:r>
    </w:p>
    <w:p w:rsidR="00043311" w:rsidRDefault="00043311" w:rsidP="0042130F">
      <w:pPr>
        <w:pStyle w:val="ListParagraph"/>
        <w:numPr>
          <w:ilvl w:val="2"/>
          <w:numId w:val="9"/>
        </w:numPr>
        <w:spacing w:line="360" w:lineRule="auto"/>
        <w:rPr>
          <w:rFonts w:asciiTheme="minorHAnsi" w:hAnsiTheme="minorHAnsi" w:cstheme="minorHAnsi"/>
        </w:rPr>
      </w:pPr>
      <w:r>
        <w:rPr>
          <w:rFonts w:asciiTheme="minorHAnsi" w:hAnsiTheme="minorHAnsi" w:cstheme="minorHAnsi"/>
        </w:rPr>
        <w:t>Who student normally gambles with</w:t>
      </w:r>
    </w:p>
    <w:p w:rsidR="00043311" w:rsidRDefault="00043311" w:rsidP="0042130F">
      <w:pPr>
        <w:pStyle w:val="ListParagraph"/>
        <w:numPr>
          <w:ilvl w:val="2"/>
          <w:numId w:val="9"/>
        </w:numPr>
        <w:spacing w:line="360" w:lineRule="auto"/>
        <w:rPr>
          <w:rFonts w:asciiTheme="minorHAnsi" w:hAnsiTheme="minorHAnsi" w:cstheme="minorHAnsi"/>
        </w:rPr>
      </w:pPr>
      <w:r>
        <w:rPr>
          <w:rFonts w:asciiTheme="minorHAnsi" w:hAnsiTheme="minorHAnsi" w:cstheme="minorHAnsi"/>
        </w:rPr>
        <w:t>Whether or not parents and friends gamble</w:t>
      </w:r>
    </w:p>
    <w:p w:rsidR="00043311" w:rsidRDefault="00043311" w:rsidP="0042130F">
      <w:pPr>
        <w:pStyle w:val="ListParagraph"/>
        <w:numPr>
          <w:ilvl w:val="2"/>
          <w:numId w:val="9"/>
        </w:numPr>
        <w:spacing w:line="360" w:lineRule="auto"/>
        <w:rPr>
          <w:rFonts w:asciiTheme="minorHAnsi" w:hAnsiTheme="minorHAnsi" w:cstheme="minorHAnsi"/>
        </w:rPr>
      </w:pPr>
      <w:r>
        <w:rPr>
          <w:rFonts w:asciiTheme="minorHAnsi" w:hAnsiTheme="minorHAnsi" w:cstheme="minorHAnsi"/>
        </w:rPr>
        <w:t>Acceptability of gambling activities</w:t>
      </w:r>
    </w:p>
    <w:p w:rsidR="00043311" w:rsidRDefault="00043311" w:rsidP="0042130F">
      <w:pPr>
        <w:pStyle w:val="ListParagraph"/>
        <w:numPr>
          <w:ilvl w:val="2"/>
          <w:numId w:val="9"/>
        </w:numPr>
        <w:spacing w:line="360" w:lineRule="auto"/>
        <w:rPr>
          <w:rFonts w:asciiTheme="minorHAnsi" w:hAnsiTheme="minorHAnsi" w:cstheme="minorHAnsi"/>
        </w:rPr>
      </w:pPr>
      <w:r>
        <w:rPr>
          <w:rFonts w:asciiTheme="minorHAnsi" w:hAnsiTheme="minorHAnsi" w:cstheme="minorHAnsi"/>
        </w:rPr>
        <w:t>Type of gambling activities that student participates in</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Involvement in other risky behaviours (use of alcohol, cigarettes, marijuana);</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Emotional health (</w:t>
      </w:r>
      <w:r w:rsidR="005B0336">
        <w:rPr>
          <w:rFonts w:asciiTheme="minorHAnsi" w:hAnsiTheme="minorHAnsi" w:cstheme="minorHAnsi"/>
        </w:rPr>
        <w:t xml:space="preserve">suicide attempts and </w:t>
      </w:r>
      <w:r>
        <w:rPr>
          <w:rFonts w:asciiTheme="minorHAnsi" w:hAnsiTheme="minorHAnsi" w:cstheme="minorHAnsi"/>
        </w:rPr>
        <w:t>depression</w:t>
      </w:r>
      <w:r w:rsidR="005B0336">
        <w:rPr>
          <w:rFonts w:asciiTheme="minorHAnsi" w:hAnsiTheme="minorHAnsi" w:cstheme="minorHAnsi"/>
        </w:rPr>
        <w:t xml:space="preserve"> (RADS – Reynolds Adolescent Depression Screen</w:t>
      </w:r>
      <w:r>
        <w:rPr>
          <w:rFonts w:asciiTheme="minorHAnsi" w:hAnsiTheme="minorHAnsi" w:cstheme="minorHAnsi"/>
        </w:rPr>
        <w:t>)</w:t>
      </w:r>
      <w:r w:rsidR="005B0336">
        <w:rPr>
          <w:rFonts w:asciiTheme="minorHAnsi" w:hAnsiTheme="minorHAnsi" w:cstheme="minorHAnsi"/>
        </w:rPr>
        <w:t>)</w:t>
      </w:r>
      <w:r>
        <w:rPr>
          <w:rFonts w:asciiTheme="minorHAnsi" w:hAnsiTheme="minorHAnsi" w:cstheme="minorHAnsi"/>
        </w:rPr>
        <w:t>;</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Wellbeing</w:t>
      </w:r>
      <w:r w:rsidR="005B0336">
        <w:rPr>
          <w:rFonts w:asciiTheme="minorHAnsi" w:hAnsiTheme="minorHAnsi" w:cstheme="minorHAnsi"/>
        </w:rPr>
        <w:t xml:space="preserve"> (WHO-5 Wellbeing Index)</w:t>
      </w:r>
      <w:r>
        <w:rPr>
          <w:rFonts w:asciiTheme="minorHAnsi" w:hAnsiTheme="minorHAnsi" w:cstheme="minorHAnsi"/>
        </w:rPr>
        <w:t>;</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Parents and friends substance use;</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Violence in the home;</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 xml:space="preserve">Truancy from school; </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Use of computer games and the Internet;</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Support from an adult outside of their family;</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Engagement in community activities;</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 xml:space="preserve">Spiritual beliefs; </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Knowledge of ethnic group;  and,</w:t>
      </w:r>
      <w:r w:rsidRPr="004A69EE">
        <w:rPr>
          <w:rFonts w:asciiTheme="minorHAnsi" w:hAnsiTheme="minorHAnsi" w:cstheme="minorHAnsi"/>
        </w:rPr>
        <w:t xml:space="preserve"> </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 xml:space="preserve">Social connectedness to family, friends, and school. </w:t>
      </w:r>
    </w:p>
    <w:p w:rsidR="00043311" w:rsidRDefault="00720A6C" w:rsidP="007C53CC">
      <w:pPr>
        <w:spacing w:line="360" w:lineRule="auto"/>
        <w:rPr>
          <w:rFonts w:asciiTheme="minorHAnsi" w:hAnsiTheme="minorHAnsi" w:cstheme="minorHAnsi"/>
        </w:rPr>
      </w:pPr>
      <w:r>
        <w:rPr>
          <w:rFonts w:asciiTheme="minorHAnsi" w:hAnsiTheme="minorHAnsi" w:cstheme="minorHAnsi"/>
        </w:rPr>
        <w:lastRenderedPageBreak/>
        <w:t>Table 12</w:t>
      </w:r>
      <w:r w:rsidR="00043311">
        <w:rPr>
          <w:rFonts w:asciiTheme="minorHAnsi" w:hAnsiTheme="minorHAnsi" w:cstheme="minorHAnsi"/>
        </w:rPr>
        <w:t xml:space="preserve"> provides results from the logistic regressions between the measure of ‘unhealthy gambling’ behaviour and each of the hypothesised risk/protective </w:t>
      </w:r>
      <w:r w:rsidR="00043311" w:rsidRPr="00972119">
        <w:rPr>
          <w:rFonts w:asciiTheme="minorHAnsi" w:hAnsiTheme="minorHAnsi" w:cstheme="minorHAnsi"/>
        </w:rPr>
        <w:t>factors</w:t>
      </w:r>
      <w:r w:rsidR="00043311">
        <w:rPr>
          <w:rFonts w:asciiTheme="minorHAnsi" w:hAnsiTheme="minorHAnsi" w:cstheme="minorHAnsi"/>
        </w:rPr>
        <w:t xml:space="preserve">. A breakdown is provided for each potential risk/protective factor according to the percentage of students with ‘none’, ‘one’, and ‘two or more’ of the ‘unhealthy gambling’ indicators. Details are also provided on the level of significance for the associations (i.e. p-values), and for those items where the association was significant, the table indicates if the item performs a ‘risk’ or ‘protective’ function in relation to ‘unhealthy gambling’ behaviour. </w:t>
      </w:r>
    </w:p>
    <w:p w:rsidR="00043311" w:rsidRDefault="00043311" w:rsidP="007C53CC">
      <w:pPr>
        <w:spacing w:line="360" w:lineRule="auto"/>
        <w:rPr>
          <w:rFonts w:asciiTheme="minorHAnsi" w:hAnsiTheme="minorHAnsi" w:cstheme="minorHAnsi"/>
        </w:rPr>
      </w:pPr>
      <w:r>
        <w:rPr>
          <w:rFonts w:asciiTheme="minorHAnsi" w:hAnsiTheme="minorHAnsi" w:cstheme="minorHAnsi"/>
        </w:rPr>
        <w:t xml:space="preserve">For example, 14% of the students with no indicators of ‘unhealthy gambling’ said they have been worried or felt anxious about the amount of time or money they spend gambling and/or have tried to cut down on gambling. This compares to 39% of those with one indicator of ‘unhealthy gambling’ and 56% of those with two or more indicators. This item was found to be a significant risk factor for unhealthy gambling (p&lt;.0001); therefore students who had gambled and had worried about their gambling and/or had tried to cut down on this were significantly more likely to have gambled at unhealthy levels. </w:t>
      </w:r>
    </w:p>
    <w:p w:rsidR="00043311" w:rsidRDefault="00043311" w:rsidP="007C53CC">
      <w:pPr>
        <w:spacing w:line="360" w:lineRule="auto"/>
        <w:rPr>
          <w:rFonts w:asciiTheme="minorHAnsi" w:hAnsiTheme="minorHAnsi" w:cstheme="minorHAnsi"/>
        </w:rPr>
      </w:pPr>
      <w:r>
        <w:rPr>
          <w:rFonts w:asciiTheme="minorHAnsi" w:hAnsiTheme="minorHAnsi" w:cstheme="minorHAnsi"/>
        </w:rPr>
        <w:t xml:space="preserve">In total, 24 items were significantly associated with ‘unhealthy gambling’ behaviour; 22 variables were associated with an increased risk and two variables moderated / protected against the risk of ‘unhealthy gambling’ </w:t>
      </w:r>
      <w:r w:rsidRPr="0092236C">
        <w:rPr>
          <w:rFonts w:asciiTheme="minorHAnsi" w:hAnsiTheme="minorHAnsi" w:cstheme="minorHAnsi"/>
        </w:rPr>
        <w:t xml:space="preserve">behaviour. See </w:t>
      </w:r>
      <w:r w:rsidR="00720A6C">
        <w:rPr>
          <w:rFonts w:asciiTheme="minorHAnsi" w:hAnsiTheme="minorHAnsi" w:cstheme="minorHAnsi"/>
        </w:rPr>
        <w:t xml:space="preserve">Table 12 </w:t>
      </w:r>
      <w:r>
        <w:rPr>
          <w:rFonts w:asciiTheme="minorHAnsi" w:hAnsiTheme="minorHAnsi" w:cstheme="minorHAnsi"/>
        </w:rPr>
        <w:t xml:space="preserve">for details. </w:t>
      </w:r>
    </w:p>
    <w:p w:rsidR="00740B76" w:rsidRPr="00740B76" w:rsidRDefault="00740B76" w:rsidP="00740B76">
      <w:pPr>
        <w:pStyle w:val="Caption"/>
        <w:keepNext/>
        <w:spacing w:line="240" w:lineRule="auto"/>
        <w:ind w:left="1134" w:hanging="1134"/>
        <w:rPr>
          <w:rFonts w:asciiTheme="minorHAnsi" w:hAnsiTheme="minorHAnsi" w:cstheme="minorHAnsi"/>
          <w:i/>
        </w:rPr>
      </w:pPr>
      <w:bookmarkStart w:id="166" w:name="_Toc367285395"/>
      <w:r w:rsidRPr="00740B76">
        <w:rPr>
          <w:rFonts w:asciiTheme="minorHAnsi" w:hAnsiTheme="minorHAnsi"/>
          <w:i/>
        </w:rPr>
        <w:lastRenderedPageBreak/>
        <w:t xml:space="preserve">Table </w:t>
      </w:r>
      <w:r w:rsidR="007B447B" w:rsidRPr="00740B76">
        <w:rPr>
          <w:rFonts w:asciiTheme="minorHAnsi" w:hAnsiTheme="minorHAnsi"/>
          <w:i/>
        </w:rPr>
        <w:fldChar w:fldCharType="begin"/>
      </w:r>
      <w:r w:rsidRPr="00740B76">
        <w:rPr>
          <w:rFonts w:asciiTheme="minorHAnsi" w:hAnsiTheme="minorHAnsi"/>
          <w:i/>
        </w:rPr>
        <w:instrText xml:space="preserve"> SEQ Table \* ARABIC </w:instrText>
      </w:r>
      <w:r w:rsidR="007B447B" w:rsidRPr="00740B76">
        <w:rPr>
          <w:rFonts w:asciiTheme="minorHAnsi" w:hAnsiTheme="minorHAnsi"/>
          <w:i/>
        </w:rPr>
        <w:fldChar w:fldCharType="separate"/>
      </w:r>
      <w:r w:rsidR="009E3D1C">
        <w:rPr>
          <w:rFonts w:asciiTheme="minorHAnsi" w:hAnsiTheme="minorHAnsi"/>
          <w:i/>
          <w:noProof/>
        </w:rPr>
        <w:t>12</w:t>
      </w:r>
      <w:r w:rsidR="007B447B" w:rsidRPr="00740B76">
        <w:rPr>
          <w:rFonts w:asciiTheme="minorHAnsi" w:hAnsiTheme="minorHAnsi"/>
          <w:i/>
        </w:rPr>
        <w:fldChar w:fldCharType="end"/>
      </w:r>
      <w:r w:rsidRPr="00740B76">
        <w:rPr>
          <w:rFonts w:asciiTheme="minorHAnsi" w:hAnsiTheme="minorHAnsi"/>
          <w:i/>
        </w:rPr>
        <w:t xml:space="preserve">: </w:t>
      </w:r>
      <w:r w:rsidRPr="00740B76">
        <w:rPr>
          <w:rFonts w:asciiTheme="minorHAnsi" w:hAnsiTheme="minorHAnsi" w:cstheme="minorHAnsi"/>
          <w:i/>
        </w:rPr>
        <w:t>Identification of variables that perform risk or protective functions for problematic gambling – logistic regressions (among students who have gambled in the last 12 months; N=1849)</w:t>
      </w:r>
      <w:bookmarkEnd w:id="166"/>
    </w:p>
    <w:p w:rsidR="00043311" w:rsidRDefault="00043311" w:rsidP="0042130F">
      <w:pPr>
        <w:jc w:val="center"/>
      </w:pPr>
      <w:r w:rsidRPr="00F266C6">
        <w:rPr>
          <w:noProof/>
          <w:lang w:eastAsia="en-NZ"/>
        </w:rPr>
        <w:drawing>
          <wp:inline distT="0" distB="0" distL="0" distR="0" wp14:anchorId="215BCE06" wp14:editId="59FB8070">
            <wp:extent cx="6483350" cy="752781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97219" cy="7543921"/>
                    </a:xfrm>
                    <a:prstGeom prst="rect">
                      <a:avLst/>
                    </a:prstGeom>
                    <a:noFill/>
                    <a:ln>
                      <a:noFill/>
                    </a:ln>
                  </pic:spPr>
                </pic:pic>
              </a:graphicData>
            </a:graphic>
          </wp:inline>
        </w:drawing>
      </w:r>
    </w:p>
    <w:p w:rsidR="00043311" w:rsidRDefault="00043311" w:rsidP="0042130F">
      <w:pPr>
        <w:spacing w:line="240" w:lineRule="auto"/>
        <w:jc w:val="center"/>
        <w:rPr>
          <w:noProof/>
          <w:lang w:eastAsia="en-NZ"/>
        </w:rPr>
      </w:pPr>
      <w:r w:rsidRPr="00751981">
        <w:rPr>
          <w:noProof/>
          <w:lang w:eastAsia="en-NZ"/>
        </w:rPr>
        <w:lastRenderedPageBreak/>
        <w:drawing>
          <wp:inline distT="0" distB="0" distL="0" distR="0" wp14:anchorId="207B34BD" wp14:editId="31A2E74A">
            <wp:extent cx="6492867" cy="5344511"/>
            <wp:effectExtent l="19050" t="0" r="3183"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08584" cy="5357448"/>
                    </a:xfrm>
                    <a:prstGeom prst="rect">
                      <a:avLst/>
                    </a:prstGeom>
                    <a:noFill/>
                    <a:ln>
                      <a:noFill/>
                    </a:ln>
                  </pic:spPr>
                </pic:pic>
              </a:graphicData>
            </a:graphic>
          </wp:inline>
        </w:drawing>
      </w:r>
    </w:p>
    <w:p w:rsidR="00043311" w:rsidRPr="00751981" w:rsidRDefault="00043311" w:rsidP="0042130F">
      <w:pPr>
        <w:spacing w:before="0" w:line="240" w:lineRule="auto"/>
        <w:ind w:left="993"/>
        <w:rPr>
          <w:rFonts w:asciiTheme="minorHAnsi" w:hAnsiTheme="minorHAnsi" w:cstheme="minorHAnsi"/>
          <w:sz w:val="18"/>
        </w:rPr>
      </w:pPr>
      <w:r w:rsidRPr="00751981">
        <w:rPr>
          <w:rFonts w:asciiTheme="minorHAnsi" w:hAnsiTheme="minorHAnsi" w:cstheme="minorHAnsi"/>
          <w:sz w:val="18"/>
        </w:rPr>
        <w:t xml:space="preserve">Notes: </w:t>
      </w:r>
    </w:p>
    <w:p w:rsidR="00043311" w:rsidRPr="00751981" w:rsidRDefault="00043311" w:rsidP="0042130F">
      <w:pPr>
        <w:spacing w:before="0" w:line="240" w:lineRule="auto"/>
        <w:ind w:left="993"/>
        <w:rPr>
          <w:rFonts w:asciiTheme="minorHAnsi" w:hAnsiTheme="minorHAnsi" w:cstheme="minorHAnsi"/>
          <w:sz w:val="18"/>
        </w:rPr>
      </w:pPr>
      <w:r w:rsidRPr="00751981">
        <w:rPr>
          <w:rFonts w:asciiTheme="minorHAnsi" w:hAnsiTheme="minorHAnsi" w:cstheme="minorHAnsi"/>
          <w:sz w:val="18"/>
        </w:rPr>
        <w:t>1. Based on the construct of unhealthy gambling behaviour (as outlined in Section 9.1).</w:t>
      </w:r>
    </w:p>
    <w:p w:rsidR="00043311" w:rsidRPr="00751981" w:rsidRDefault="00043311" w:rsidP="0042130F">
      <w:pPr>
        <w:spacing w:before="0" w:line="240" w:lineRule="auto"/>
        <w:ind w:left="993"/>
        <w:rPr>
          <w:rFonts w:asciiTheme="minorHAnsi" w:hAnsiTheme="minorHAnsi" w:cstheme="minorHAnsi"/>
          <w:sz w:val="18"/>
        </w:rPr>
      </w:pPr>
      <w:r w:rsidRPr="00751981">
        <w:rPr>
          <w:rFonts w:asciiTheme="minorHAnsi" w:hAnsiTheme="minorHAnsi" w:cstheme="minorHAnsi"/>
          <w:sz w:val="18"/>
        </w:rPr>
        <w:t>2. Analyses have controlled for sex, age, socioeconomic deprivation, geography (urban/rural), and ethnicity.</w:t>
      </w:r>
    </w:p>
    <w:p w:rsidR="00043311" w:rsidRDefault="00043311">
      <w:pPr>
        <w:spacing w:before="0" w:line="240" w:lineRule="auto"/>
        <w:jc w:val="left"/>
        <w:rPr>
          <w:rFonts w:asciiTheme="minorHAnsi" w:hAnsiTheme="minorHAnsi" w:cstheme="minorHAnsi"/>
          <w:b/>
          <w:iCs/>
          <w:color w:val="1F497D"/>
          <w:szCs w:val="26"/>
        </w:rPr>
      </w:pPr>
      <w:r>
        <w:br w:type="page"/>
      </w:r>
    </w:p>
    <w:p w:rsidR="00043311" w:rsidRPr="00863056" w:rsidRDefault="00043311" w:rsidP="0042130F">
      <w:pPr>
        <w:pStyle w:val="Heading3"/>
      </w:pPr>
      <w:bookmarkStart w:id="167" w:name="_Toc367284447"/>
      <w:r>
        <w:lastRenderedPageBreak/>
        <w:t>Phase two</w:t>
      </w:r>
      <w:r w:rsidRPr="00863056">
        <w:t xml:space="preserve"> </w:t>
      </w:r>
      <w:r>
        <w:t>– multiple logistic regressions</w:t>
      </w:r>
      <w:bookmarkEnd w:id="167"/>
      <w:r w:rsidRPr="00863056">
        <w:t xml:space="preserve"> </w:t>
      </w:r>
    </w:p>
    <w:p w:rsidR="00043311" w:rsidRDefault="00043311" w:rsidP="0042130F">
      <w:pPr>
        <w:spacing w:line="360" w:lineRule="auto"/>
        <w:rPr>
          <w:rFonts w:asciiTheme="minorHAnsi" w:hAnsiTheme="minorHAnsi" w:cstheme="minorHAnsi"/>
        </w:rPr>
      </w:pPr>
      <w:r>
        <w:rPr>
          <w:rFonts w:asciiTheme="minorHAnsi" w:hAnsiTheme="minorHAnsi" w:cstheme="minorHAnsi"/>
        </w:rPr>
        <w:t xml:space="preserve">Phase Two in the process of identifying risk and protective factors entailed multiple logistic regressions between the measure of ‘unhealthy gambling’ and all of the variables that fulfilled significant risk/protective functions – as identified in Phase One. The aim of Phase Two was to determine if the items identified as performing risk/protective functions would continue to maintain these functions in the presence of each other. For example, would positive wellbeing continue to be protective in the presence of risk factors such as depression and violence in the home? </w:t>
      </w:r>
    </w:p>
    <w:p w:rsidR="00043311" w:rsidRDefault="00720A6C" w:rsidP="0042130F">
      <w:pPr>
        <w:spacing w:line="360" w:lineRule="auto"/>
        <w:rPr>
          <w:rFonts w:asciiTheme="minorHAnsi" w:hAnsiTheme="minorHAnsi" w:cstheme="minorHAnsi"/>
        </w:rPr>
      </w:pPr>
      <w:r>
        <w:rPr>
          <w:rFonts w:asciiTheme="minorHAnsi" w:hAnsiTheme="minorHAnsi" w:cstheme="minorHAnsi"/>
        </w:rPr>
        <w:t xml:space="preserve">Table 13 </w:t>
      </w:r>
      <w:r w:rsidR="00043311">
        <w:rPr>
          <w:rFonts w:asciiTheme="minorHAnsi" w:hAnsiTheme="minorHAnsi" w:cstheme="minorHAnsi"/>
        </w:rPr>
        <w:t xml:space="preserve">provides details on the results of these multiple logistic regressions. Of the 24 items that were significantly associated with ‘unhealthy gambling’ behaviour in Phase One (22 that were associated with an increased risk and two that were associated with a decreased risk i.e. they were protective), only five maintained a significant association in the presence of all the other items that performed risk or protective functions. All five of these items (see </w:t>
      </w:r>
      <w:r>
        <w:rPr>
          <w:rFonts w:asciiTheme="minorHAnsi" w:hAnsiTheme="minorHAnsi" w:cstheme="minorHAnsi"/>
        </w:rPr>
        <w:t>Table 13</w:t>
      </w:r>
      <w:r w:rsidR="00043311">
        <w:rPr>
          <w:rFonts w:asciiTheme="minorHAnsi" w:hAnsiTheme="minorHAnsi" w:cstheme="minorHAnsi"/>
        </w:rPr>
        <w:t xml:space="preserve">) were associated with an increased risk of ‘unhealthy gambling’; students with indicators of unhealthy gambling were significantly more likely than other students who gamble to report the following: </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 xml:space="preserve">Someone in their family had done something that could have got them in serious trouble (e.g. stealing); </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That they usually gamble with ‘someone else’ that they know (i.e. not with friends or family members, but with people they don’t know (such as people online));</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 xml:space="preserve">That two or more of the listed gambling activities were acceptable for people their age to play or do regularly; </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That they have gambled on pub/club EGMs, casino EGMs or tables, or TAB betting in the last 12 months;</w:t>
      </w:r>
    </w:p>
    <w:p w:rsidR="00043311" w:rsidRDefault="00043311" w:rsidP="0042130F">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 xml:space="preserve">That they had attempted suicide in the last 12 months. </w:t>
      </w:r>
    </w:p>
    <w:p w:rsidR="00043311" w:rsidRDefault="00043311" w:rsidP="0042130F">
      <w:pPr>
        <w:spacing w:line="360" w:lineRule="auto"/>
        <w:rPr>
          <w:rFonts w:asciiTheme="minorHAnsi" w:hAnsiTheme="minorHAnsi" w:cstheme="minorHAnsi"/>
        </w:rPr>
      </w:pPr>
      <w:r>
        <w:rPr>
          <w:rFonts w:asciiTheme="minorHAnsi" w:hAnsiTheme="minorHAnsi" w:cstheme="minorHAnsi"/>
        </w:rPr>
        <w:t xml:space="preserve">The two variables (positive wellbeing and social connectedness to family) identified as performing a protective function against ‘unhealthy gambling’ in Phase One did not maintain a protective role in the presence of variables that increased the risk of ‘unhealthy gambling’. </w:t>
      </w:r>
    </w:p>
    <w:p w:rsidR="00740B76" w:rsidRDefault="00740B76" w:rsidP="00740B76">
      <w:pPr>
        <w:pStyle w:val="Caption"/>
        <w:keepNext/>
        <w:spacing w:line="276" w:lineRule="auto"/>
        <w:ind w:left="1134" w:hanging="1134"/>
        <w:rPr>
          <w:rFonts w:asciiTheme="minorHAnsi" w:hAnsiTheme="minorHAnsi" w:cstheme="minorHAnsi"/>
          <w:i/>
        </w:rPr>
      </w:pPr>
      <w:bookmarkStart w:id="168" w:name="_Toc367285396"/>
      <w:r w:rsidRPr="00740B76">
        <w:rPr>
          <w:rFonts w:asciiTheme="minorHAnsi" w:hAnsiTheme="minorHAnsi"/>
          <w:i/>
        </w:rPr>
        <w:lastRenderedPageBreak/>
        <w:t xml:space="preserve">Table </w:t>
      </w:r>
      <w:r w:rsidR="007B447B" w:rsidRPr="00740B76">
        <w:rPr>
          <w:rFonts w:asciiTheme="minorHAnsi" w:hAnsiTheme="minorHAnsi"/>
          <w:i/>
        </w:rPr>
        <w:fldChar w:fldCharType="begin"/>
      </w:r>
      <w:r w:rsidRPr="00740B76">
        <w:rPr>
          <w:rFonts w:asciiTheme="minorHAnsi" w:hAnsiTheme="minorHAnsi"/>
          <w:i/>
        </w:rPr>
        <w:instrText xml:space="preserve"> SEQ Table \* ARABIC </w:instrText>
      </w:r>
      <w:r w:rsidR="007B447B" w:rsidRPr="00740B76">
        <w:rPr>
          <w:rFonts w:asciiTheme="minorHAnsi" w:hAnsiTheme="minorHAnsi"/>
          <w:i/>
        </w:rPr>
        <w:fldChar w:fldCharType="separate"/>
      </w:r>
      <w:r w:rsidR="009E3D1C">
        <w:rPr>
          <w:rFonts w:asciiTheme="minorHAnsi" w:hAnsiTheme="minorHAnsi"/>
          <w:i/>
          <w:noProof/>
        </w:rPr>
        <w:t>13</w:t>
      </w:r>
      <w:r w:rsidR="007B447B" w:rsidRPr="00740B76">
        <w:rPr>
          <w:rFonts w:asciiTheme="minorHAnsi" w:hAnsiTheme="minorHAnsi"/>
          <w:i/>
        </w:rPr>
        <w:fldChar w:fldCharType="end"/>
      </w:r>
      <w:r w:rsidRPr="00740B76">
        <w:rPr>
          <w:rFonts w:asciiTheme="minorHAnsi" w:hAnsiTheme="minorHAnsi"/>
          <w:i/>
        </w:rPr>
        <w:t xml:space="preserve">: </w:t>
      </w:r>
      <w:r w:rsidRPr="00740B76">
        <w:rPr>
          <w:rFonts w:asciiTheme="minorHAnsi" w:hAnsiTheme="minorHAnsi" w:cstheme="minorHAnsi"/>
          <w:i/>
        </w:rPr>
        <w:t>Identification of variables that perform risk or protective functions for problematic gambling – multiple logistic</w:t>
      </w:r>
      <w:r>
        <w:rPr>
          <w:rFonts w:asciiTheme="minorHAnsi" w:hAnsiTheme="minorHAnsi" w:cstheme="minorHAnsi"/>
          <w:i/>
        </w:rPr>
        <w:t xml:space="preserve"> regressions (among students who have gambled in the last 12 months; N=1849)</w:t>
      </w:r>
      <w:bookmarkEnd w:id="168"/>
    </w:p>
    <w:p w:rsidR="00043311" w:rsidRDefault="00043311" w:rsidP="0042130F">
      <w:pPr>
        <w:spacing w:line="360" w:lineRule="auto"/>
        <w:jc w:val="center"/>
        <w:rPr>
          <w:rFonts w:asciiTheme="minorHAnsi" w:hAnsiTheme="minorHAnsi" w:cstheme="minorHAnsi"/>
        </w:rPr>
      </w:pPr>
      <w:r w:rsidRPr="00DD1165">
        <w:rPr>
          <w:noProof/>
          <w:lang w:eastAsia="en-NZ"/>
        </w:rPr>
        <w:drawing>
          <wp:inline distT="0" distB="0" distL="0" distR="0" wp14:anchorId="518FD74D" wp14:editId="16438183">
            <wp:extent cx="6589987" cy="6486140"/>
            <wp:effectExtent l="19050" t="0" r="1313"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88712" cy="6484885"/>
                    </a:xfrm>
                    <a:prstGeom prst="rect">
                      <a:avLst/>
                    </a:prstGeom>
                    <a:noFill/>
                    <a:ln>
                      <a:noFill/>
                    </a:ln>
                  </pic:spPr>
                </pic:pic>
              </a:graphicData>
            </a:graphic>
          </wp:inline>
        </w:drawing>
      </w:r>
    </w:p>
    <w:p w:rsidR="00043311" w:rsidRPr="00751981" w:rsidRDefault="00043311" w:rsidP="0042130F">
      <w:pPr>
        <w:spacing w:before="0" w:line="240" w:lineRule="auto"/>
        <w:ind w:left="284"/>
        <w:rPr>
          <w:rFonts w:asciiTheme="minorHAnsi" w:hAnsiTheme="minorHAnsi" w:cstheme="minorHAnsi"/>
          <w:sz w:val="18"/>
        </w:rPr>
      </w:pPr>
      <w:r w:rsidRPr="00751981">
        <w:rPr>
          <w:rFonts w:asciiTheme="minorHAnsi" w:hAnsiTheme="minorHAnsi" w:cstheme="minorHAnsi"/>
          <w:sz w:val="18"/>
        </w:rPr>
        <w:t xml:space="preserve">Note: </w:t>
      </w:r>
    </w:p>
    <w:p w:rsidR="00043311" w:rsidRPr="00751981" w:rsidRDefault="00043311" w:rsidP="0042130F">
      <w:pPr>
        <w:spacing w:before="0" w:line="240" w:lineRule="auto"/>
        <w:ind w:left="284"/>
        <w:rPr>
          <w:rFonts w:asciiTheme="minorHAnsi" w:hAnsiTheme="minorHAnsi" w:cstheme="minorHAnsi"/>
          <w:sz w:val="18"/>
        </w:rPr>
      </w:pPr>
      <w:r w:rsidRPr="00751981">
        <w:rPr>
          <w:rFonts w:asciiTheme="minorHAnsi" w:hAnsiTheme="minorHAnsi" w:cstheme="minorHAnsi"/>
          <w:sz w:val="18"/>
        </w:rPr>
        <w:t>1. Analyses have controlled for sex, age, socioeconomic deprivation, geography (urban/rural), and ethnicity.</w:t>
      </w:r>
    </w:p>
    <w:p w:rsidR="00043311" w:rsidRDefault="00043311" w:rsidP="0042130F">
      <w:pPr>
        <w:spacing w:line="360" w:lineRule="auto"/>
        <w:rPr>
          <w:rFonts w:asciiTheme="minorHAnsi" w:hAnsiTheme="minorHAnsi" w:cstheme="minorHAnsi"/>
        </w:rPr>
      </w:pPr>
    </w:p>
    <w:p w:rsidR="00043311" w:rsidRDefault="00043311" w:rsidP="0042130F">
      <w:pPr>
        <w:spacing w:line="360" w:lineRule="auto"/>
        <w:rPr>
          <w:rFonts w:asciiTheme="minorHAnsi" w:hAnsiTheme="minorHAnsi" w:cstheme="minorHAnsi"/>
        </w:rPr>
      </w:pPr>
    </w:p>
    <w:p w:rsidR="00043311" w:rsidRDefault="00043311" w:rsidP="0042130F">
      <w:pPr>
        <w:spacing w:line="360" w:lineRule="auto"/>
        <w:rPr>
          <w:rFonts w:asciiTheme="minorHAnsi" w:hAnsiTheme="minorHAnsi" w:cstheme="minorHAnsi"/>
        </w:rPr>
      </w:pPr>
    </w:p>
    <w:p w:rsidR="00043311" w:rsidRPr="00E3310E" w:rsidRDefault="00043311" w:rsidP="0042130F">
      <w:pPr>
        <w:pStyle w:val="Heading3"/>
      </w:pPr>
      <w:bookmarkStart w:id="169" w:name="_Toc367284448"/>
      <w:r>
        <w:lastRenderedPageBreak/>
        <w:t>Phase three</w:t>
      </w:r>
      <w:r w:rsidRPr="00E3310E">
        <w:t xml:space="preserve"> </w:t>
      </w:r>
      <w:r>
        <w:t>– sensitivity analysis</w:t>
      </w:r>
      <w:bookmarkEnd w:id="169"/>
      <w:r w:rsidRPr="00E3310E">
        <w:t xml:space="preserve"> </w:t>
      </w:r>
    </w:p>
    <w:p w:rsidR="00043311" w:rsidRPr="00AF317D" w:rsidRDefault="00043311" w:rsidP="0042130F">
      <w:pPr>
        <w:spacing w:line="360" w:lineRule="auto"/>
        <w:rPr>
          <w:rFonts w:asciiTheme="minorHAnsi" w:hAnsiTheme="minorHAnsi" w:cstheme="minorHAnsi"/>
        </w:rPr>
      </w:pPr>
      <w:r>
        <w:rPr>
          <w:rFonts w:asciiTheme="minorHAnsi" w:hAnsiTheme="minorHAnsi" w:cstheme="minorHAnsi"/>
        </w:rPr>
        <w:t xml:space="preserve">The third phase of exploring and identifying variables that perform a risk and/or protective function with regard to ‘unhealthy gambling’ entailed a sensitivity analysis. </w:t>
      </w:r>
      <w:r w:rsidRPr="002D4BFB">
        <w:rPr>
          <w:rFonts w:asciiTheme="minorHAnsi" w:hAnsiTheme="minorHAnsi" w:cstheme="minorHAnsi"/>
        </w:rPr>
        <w:t xml:space="preserve">Multiple logistic </w:t>
      </w:r>
      <w:r>
        <w:rPr>
          <w:rFonts w:asciiTheme="minorHAnsi" w:hAnsiTheme="minorHAnsi" w:cstheme="minorHAnsi"/>
        </w:rPr>
        <w:t xml:space="preserve">regressions were used to check that the </w:t>
      </w:r>
      <w:r w:rsidRPr="00414FFA">
        <w:rPr>
          <w:rFonts w:asciiTheme="minorHAnsi" w:hAnsiTheme="minorHAnsi" w:cstheme="minorHAnsi"/>
        </w:rPr>
        <w:t>associations</w:t>
      </w:r>
      <w:r>
        <w:rPr>
          <w:rFonts w:asciiTheme="minorHAnsi" w:hAnsiTheme="minorHAnsi" w:cstheme="minorHAnsi"/>
        </w:rPr>
        <w:t xml:space="preserve"> between the outcome variable (‘unhealthy gambling’) and the variables that were included in Phase Two (due to significant associations with the outcome variable) were not affected as a consequence of inter-item correlations.</w:t>
      </w:r>
      <w:r>
        <w:rPr>
          <w:rFonts w:asciiTheme="minorHAnsi" w:hAnsiTheme="minorHAnsi" w:cstheme="minorHAnsi"/>
          <w:b/>
        </w:rPr>
        <w:t xml:space="preserve">  </w:t>
      </w:r>
      <w:r>
        <w:rPr>
          <w:rFonts w:asciiTheme="minorHAnsi" w:hAnsiTheme="minorHAnsi" w:cstheme="minorHAnsi"/>
        </w:rPr>
        <w:t xml:space="preserve"> The sensitivity analysis did not identify any issues, thus confirming and further supporting the results outlined in Phase One and Phase Two.  </w:t>
      </w:r>
    </w:p>
    <w:p w:rsidR="00043311" w:rsidRPr="003A3818" w:rsidRDefault="00043311" w:rsidP="0042130F">
      <w:pPr>
        <w:pStyle w:val="Heading2"/>
      </w:pPr>
      <w:bookmarkStart w:id="170" w:name="_Toc367284449"/>
      <w:r w:rsidRPr="003A3818">
        <w:lastRenderedPageBreak/>
        <w:t xml:space="preserve">Summary: </w:t>
      </w:r>
      <w:r>
        <w:t>Identification of r</w:t>
      </w:r>
      <w:r w:rsidRPr="003A3818">
        <w:t>isk and protective factors for student gambling</w:t>
      </w:r>
      <w:bookmarkEnd w:id="170"/>
    </w:p>
    <w:p w:rsidR="00043311" w:rsidRPr="00E3310E" w:rsidRDefault="00082F17" w:rsidP="0042130F">
      <w:pPr>
        <w:rPr>
          <w:rFonts w:asciiTheme="minorHAnsi" w:hAnsiTheme="minorHAnsi" w:cstheme="minorHAnsi"/>
          <w:b/>
        </w:rPr>
      </w:pPr>
      <w:r>
        <w:rPr>
          <w:rFonts w:asciiTheme="minorHAnsi" w:hAnsiTheme="minorHAnsi" w:cstheme="minorHAnsi"/>
          <w:noProof/>
          <w:lang w:eastAsia="en-NZ"/>
        </w:rPr>
      </w:r>
      <w:r>
        <w:rPr>
          <w:rFonts w:asciiTheme="minorHAnsi" w:hAnsiTheme="minorHAnsi" w:cstheme="minorHAnsi"/>
          <w:noProof/>
          <w:lang w:eastAsia="en-NZ"/>
        </w:rPr>
        <w:pict>
          <v:shape id="Text Box 53" o:spid="_x0000_s1042" type="#_x0000_t202" style="width:525.75pt;height:1in;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" fillcolor="#c6d9f1 [671]" stroked="f">
            <v:textbox style="mso-fit-shape-to-text:t">
              <w:txbxContent>
                <w:p w:rsidR="00B45826" w:rsidRPr="007B41B2" w:rsidRDefault="00B45826" w:rsidP="0042130F">
                  <w:pPr>
                    <w:spacing w:line="276" w:lineRule="auto"/>
                    <w:rPr>
                      <w:rFonts w:asciiTheme="minorHAnsi" w:hAnsiTheme="minorHAnsi" w:cstheme="minorHAnsi"/>
                      <w:b/>
                    </w:rPr>
                  </w:pPr>
                  <w:r>
                    <w:rPr>
                      <w:rFonts w:asciiTheme="minorHAnsi" w:hAnsiTheme="minorHAnsi" w:cstheme="minorHAnsi"/>
                      <w:b/>
                    </w:rPr>
                    <w:t>KEY POINTS</w:t>
                  </w:r>
                  <w:r w:rsidRPr="007B41B2">
                    <w:rPr>
                      <w:rFonts w:asciiTheme="minorHAnsi" w:hAnsiTheme="minorHAnsi" w:cstheme="minorHAnsi"/>
                      <w:b/>
                    </w:rPr>
                    <w:t>:</w:t>
                  </w:r>
                </w:p>
                <w:p w:rsidR="00B45826" w:rsidRDefault="00B45826" w:rsidP="0042130F">
                  <w:pPr>
                    <w:pStyle w:val="ListParagraph"/>
                    <w:numPr>
                      <w:ilvl w:val="0"/>
                      <w:numId w:val="10"/>
                    </w:numPr>
                    <w:spacing w:line="276" w:lineRule="auto"/>
                    <w:ind w:left="426"/>
                    <w:rPr>
                      <w:rFonts w:asciiTheme="minorHAnsi" w:hAnsiTheme="minorHAnsi" w:cstheme="minorHAnsi"/>
                    </w:rPr>
                  </w:pPr>
                  <w:r>
                    <w:rPr>
                      <w:rFonts w:asciiTheme="minorHAnsi" w:hAnsiTheme="minorHAnsi" w:cstheme="minorHAnsi"/>
                    </w:rPr>
                    <w:t xml:space="preserve">As Youth’12 did not include a formal standardised measure of problem/pathological gambling, a construct to </w:t>
                  </w:r>
                  <w:r w:rsidRPr="004302EA">
                    <w:rPr>
                      <w:rFonts w:asciiTheme="minorHAnsi" w:hAnsiTheme="minorHAnsi" w:cstheme="minorHAnsi"/>
                    </w:rPr>
                    <w:t xml:space="preserve">define </w:t>
                  </w:r>
                  <w:r>
                    <w:rPr>
                      <w:rFonts w:asciiTheme="minorHAnsi" w:hAnsiTheme="minorHAnsi" w:cstheme="minorHAnsi"/>
                    </w:rPr>
                    <w:t>‘</w:t>
                  </w:r>
                  <w:r w:rsidRPr="004302EA">
                    <w:rPr>
                      <w:rFonts w:asciiTheme="minorHAnsi" w:hAnsiTheme="minorHAnsi" w:cstheme="minorHAnsi"/>
                    </w:rPr>
                    <w:t>unhealthy gambling</w:t>
                  </w:r>
                  <w:r>
                    <w:rPr>
                      <w:rFonts w:asciiTheme="minorHAnsi" w:hAnsiTheme="minorHAnsi" w:cstheme="minorHAnsi"/>
                    </w:rPr>
                    <w:t>’</w:t>
                  </w:r>
                  <w:r w:rsidRPr="004302EA">
                    <w:rPr>
                      <w:rFonts w:asciiTheme="minorHAnsi" w:hAnsiTheme="minorHAnsi" w:cstheme="minorHAnsi"/>
                    </w:rPr>
                    <w:t xml:space="preserve"> behaviour</w:t>
                  </w:r>
                  <w:r>
                    <w:rPr>
                      <w:rFonts w:asciiTheme="minorHAnsi" w:hAnsiTheme="minorHAnsi" w:cstheme="minorHAnsi"/>
                    </w:rPr>
                    <w:t xml:space="preserve"> was developed.</w:t>
                  </w:r>
                </w:p>
                <w:p w:rsidR="00B45826" w:rsidRDefault="00B45826" w:rsidP="0042130F">
                  <w:pPr>
                    <w:pStyle w:val="ListParagraph"/>
                    <w:numPr>
                      <w:ilvl w:val="0"/>
                      <w:numId w:val="10"/>
                    </w:numPr>
                    <w:spacing w:line="276" w:lineRule="auto"/>
                    <w:ind w:left="426"/>
                    <w:rPr>
                      <w:rFonts w:asciiTheme="minorHAnsi" w:hAnsiTheme="minorHAnsi" w:cstheme="minorHAnsi"/>
                    </w:rPr>
                  </w:pPr>
                  <w:r>
                    <w:rPr>
                      <w:rFonts w:asciiTheme="minorHAnsi" w:hAnsiTheme="minorHAnsi" w:cstheme="minorHAnsi"/>
                    </w:rPr>
                    <w:t>Data were gathered on a number of indicators for ‘unhealthy gambling’, including reasons for gambling that centred on escapism and/or loss of control (e.g. ‘I gamble because I can’t stop’), and higher levels of expenditure on gambling (gambling ‘several times a week’ or ‘most days’; spending $20 or more per week on gambling; and, spending one or more hours per day on gambling activities).</w:t>
                  </w:r>
                </w:p>
                <w:p w:rsidR="00B45826" w:rsidRPr="00E4639C" w:rsidRDefault="00B45826" w:rsidP="0042130F">
                  <w:pPr>
                    <w:pStyle w:val="ListParagraph"/>
                    <w:numPr>
                      <w:ilvl w:val="1"/>
                      <w:numId w:val="10"/>
                    </w:numPr>
                    <w:spacing w:line="276" w:lineRule="auto"/>
                    <w:ind w:left="851"/>
                    <w:rPr>
                      <w:rFonts w:asciiTheme="minorHAnsi" w:hAnsiTheme="minorHAnsi" w:cstheme="minorHAnsi"/>
                    </w:rPr>
                  </w:pPr>
                  <w:r>
                    <w:rPr>
                      <w:rFonts w:asciiTheme="minorHAnsi" w:hAnsiTheme="minorHAnsi" w:cstheme="minorHAnsi"/>
                    </w:rPr>
                    <w:t>While the majority of students who had gambled in the last 12 months (84%) did not report any indicators of ‘unhealthy gambling’ behaviour, 11% reported one indicator, and 5% reported two or more indicators</w:t>
                  </w:r>
                  <w:r w:rsidRPr="00E4639C">
                    <w:rPr>
                      <w:rFonts w:asciiTheme="minorHAnsi" w:hAnsiTheme="minorHAnsi" w:cstheme="minorHAnsi"/>
                    </w:rPr>
                    <w:t xml:space="preserve">. </w:t>
                  </w:r>
                </w:p>
                <w:p w:rsidR="00B45826" w:rsidRDefault="00B45826" w:rsidP="0042130F">
                  <w:pPr>
                    <w:pStyle w:val="ListParagraph"/>
                    <w:numPr>
                      <w:ilvl w:val="1"/>
                      <w:numId w:val="10"/>
                    </w:numPr>
                    <w:spacing w:line="276" w:lineRule="auto"/>
                    <w:ind w:left="851"/>
                    <w:rPr>
                      <w:rFonts w:asciiTheme="minorHAnsi" w:hAnsiTheme="minorHAnsi" w:cstheme="minorHAnsi"/>
                    </w:rPr>
                  </w:pPr>
                  <w:r>
                    <w:rPr>
                      <w:rFonts w:asciiTheme="minorHAnsi" w:hAnsiTheme="minorHAnsi" w:cstheme="minorHAnsi"/>
                    </w:rPr>
                    <w:t>A</w:t>
                  </w:r>
                  <w:r w:rsidRPr="007C5336">
                    <w:rPr>
                      <w:rFonts w:asciiTheme="minorHAnsi" w:hAnsiTheme="minorHAnsi" w:cstheme="minorHAnsi"/>
                    </w:rPr>
                    <w:t xml:space="preserve"> number of demographic factors were significantly associated with an elevated risk of unhealthy gambling</w:t>
                  </w:r>
                  <w:r>
                    <w:rPr>
                      <w:rFonts w:asciiTheme="minorHAnsi" w:hAnsiTheme="minorHAnsi" w:cstheme="minorHAnsi"/>
                    </w:rPr>
                    <w:t xml:space="preserve">, </w:t>
                  </w:r>
                  <w:r w:rsidRPr="007C6270">
                    <w:rPr>
                      <w:rFonts w:asciiTheme="minorHAnsi" w:hAnsiTheme="minorHAnsi" w:cstheme="minorHAnsi"/>
                    </w:rPr>
                    <w:t>students who were</w:t>
                  </w:r>
                  <w:r>
                    <w:rPr>
                      <w:rFonts w:asciiTheme="minorHAnsi" w:hAnsiTheme="minorHAnsi" w:cstheme="minorHAnsi"/>
                    </w:rPr>
                    <w:t>:</w:t>
                  </w:r>
                  <w:r w:rsidRPr="007C6270">
                    <w:rPr>
                      <w:rFonts w:asciiTheme="minorHAnsi" w:hAnsiTheme="minorHAnsi" w:cstheme="minorHAnsi"/>
                    </w:rPr>
                    <w:t xml:space="preserve"> male</w:t>
                  </w:r>
                  <w:r>
                    <w:rPr>
                      <w:rFonts w:asciiTheme="minorHAnsi" w:hAnsiTheme="minorHAnsi" w:cstheme="minorHAnsi"/>
                    </w:rPr>
                    <w:t>;</w:t>
                  </w:r>
                  <w:r w:rsidRPr="007C6270">
                    <w:rPr>
                      <w:rFonts w:asciiTheme="minorHAnsi" w:hAnsiTheme="minorHAnsi" w:cstheme="minorHAnsi"/>
                    </w:rPr>
                    <w:t xml:space="preserve"> from non-New Zealand European ethnic groups</w:t>
                  </w:r>
                  <w:r>
                    <w:rPr>
                      <w:rFonts w:asciiTheme="minorHAnsi" w:hAnsiTheme="minorHAnsi" w:cstheme="minorHAnsi"/>
                    </w:rPr>
                    <w:t>;</w:t>
                  </w:r>
                  <w:r w:rsidRPr="007C6270">
                    <w:rPr>
                      <w:rFonts w:asciiTheme="minorHAnsi" w:hAnsiTheme="minorHAnsi" w:cstheme="minorHAnsi"/>
                    </w:rPr>
                    <w:t xml:space="preserve"> and</w:t>
                  </w:r>
                  <w:r>
                    <w:rPr>
                      <w:rFonts w:asciiTheme="minorHAnsi" w:hAnsiTheme="minorHAnsi" w:cstheme="minorHAnsi"/>
                    </w:rPr>
                    <w:t>, students</w:t>
                  </w:r>
                  <w:r w:rsidRPr="007C6270">
                    <w:rPr>
                      <w:rFonts w:asciiTheme="minorHAnsi" w:hAnsiTheme="minorHAnsi" w:cstheme="minorHAnsi"/>
                    </w:rPr>
                    <w:t xml:space="preserve"> living in neighbourhoods with higher levels of deprivation were significantly more likely than their counterparts to report issues that were indicative of unhealthy gambling</w:t>
                  </w:r>
                  <w:r>
                    <w:rPr>
                      <w:rFonts w:asciiTheme="minorHAnsi" w:hAnsiTheme="minorHAnsi" w:cstheme="minorHAnsi"/>
                    </w:rPr>
                    <w:t>.</w:t>
                  </w:r>
                </w:p>
                <w:p w:rsidR="00B45826" w:rsidRPr="007C6270" w:rsidRDefault="00B45826" w:rsidP="0042130F">
                  <w:pPr>
                    <w:pStyle w:val="ListParagraph"/>
                    <w:spacing w:line="276" w:lineRule="auto"/>
                    <w:ind w:left="426"/>
                    <w:rPr>
                      <w:rFonts w:asciiTheme="minorHAnsi" w:hAnsiTheme="minorHAnsi" w:cstheme="minorHAnsi"/>
                    </w:rPr>
                  </w:pPr>
                </w:p>
                <w:p w:rsidR="00B45826" w:rsidRDefault="00B45826" w:rsidP="0042130F">
                  <w:pPr>
                    <w:pStyle w:val="ListParagraph"/>
                    <w:numPr>
                      <w:ilvl w:val="0"/>
                      <w:numId w:val="10"/>
                    </w:numPr>
                    <w:spacing w:line="360" w:lineRule="auto"/>
                    <w:ind w:left="426"/>
                    <w:rPr>
                      <w:rFonts w:asciiTheme="minorHAnsi" w:hAnsiTheme="minorHAnsi" w:cstheme="minorHAnsi"/>
                    </w:rPr>
                  </w:pPr>
                  <w:r>
                    <w:rPr>
                      <w:rFonts w:asciiTheme="minorHAnsi" w:hAnsiTheme="minorHAnsi" w:cstheme="minorHAnsi"/>
                    </w:rPr>
                    <w:t xml:space="preserve">The exploration of risk and protective factors associated with student gambling consisted of two phases: </w:t>
                  </w:r>
                </w:p>
                <w:p w:rsidR="00B45826" w:rsidRDefault="00B45826" w:rsidP="0042130F">
                  <w:pPr>
                    <w:pStyle w:val="ListParagraph"/>
                    <w:numPr>
                      <w:ilvl w:val="1"/>
                      <w:numId w:val="10"/>
                    </w:numPr>
                    <w:spacing w:line="276" w:lineRule="auto"/>
                    <w:ind w:left="851"/>
                    <w:rPr>
                      <w:rFonts w:asciiTheme="minorHAnsi" w:hAnsiTheme="minorHAnsi" w:cstheme="minorHAnsi"/>
                    </w:rPr>
                  </w:pPr>
                  <w:r>
                    <w:rPr>
                      <w:rFonts w:asciiTheme="minorHAnsi" w:hAnsiTheme="minorHAnsi" w:cstheme="minorHAnsi"/>
                    </w:rPr>
                    <w:t>P</w:t>
                  </w:r>
                  <w:r w:rsidRPr="00FC50A4">
                    <w:rPr>
                      <w:rFonts w:asciiTheme="minorHAnsi" w:hAnsiTheme="minorHAnsi" w:cstheme="minorHAnsi"/>
                    </w:rPr>
                    <w:t xml:space="preserve">hase </w:t>
                  </w:r>
                  <w:r>
                    <w:rPr>
                      <w:rFonts w:asciiTheme="minorHAnsi" w:hAnsiTheme="minorHAnsi" w:cstheme="minorHAnsi"/>
                    </w:rPr>
                    <w:t>o</w:t>
                  </w:r>
                  <w:r w:rsidRPr="00FC50A4">
                    <w:rPr>
                      <w:rFonts w:asciiTheme="minorHAnsi" w:hAnsiTheme="minorHAnsi" w:cstheme="minorHAnsi"/>
                    </w:rPr>
                    <w:t>ne</w:t>
                  </w:r>
                  <w:r>
                    <w:rPr>
                      <w:rFonts w:asciiTheme="minorHAnsi" w:hAnsiTheme="minorHAnsi" w:cstheme="minorHAnsi"/>
                    </w:rPr>
                    <w:t xml:space="preserve"> of the analyses found that 22 var</w:t>
                  </w:r>
                  <w:r w:rsidRPr="00FC50A4">
                    <w:rPr>
                      <w:rFonts w:asciiTheme="minorHAnsi" w:hAnsiTheme="minorHAnsi" w:cstheme="minorHAnsi"/>
                    </w:rPr>
                    <w:t xml:space="preserve">iables were associated with an increased risk of ‘unhealthy gambling’ behaviour and two variables protected against the risk of ‘unhealthy gambling’ behaviour. </w:t>
                  </w:r>
                </w:p>
                <w:p w:rsidR="00B45826" w:rsidRDefault="00B45826" w:rsidP="0042130F">
                  <w:pPr>
                    <w:pStyle w:val="ListParagraph"/>
                    <w:numPr>
                      <w:ilvl w:val="1"/>
                      <w:numId w:val="10"/>
                    </w:numPr>
                    <w:spacing w:line="276" w:lineRule="auto"/>
                    <w:ind w:left="851"/>
                    <w:rPr>
                      <w:rFonts w:asciiTheme="minorHAnsi" w:hAnsiTheme="minorHAnsi" w:cstheme="minorHAnsi"/>
                    </w:rPr>
                  </w:pPr>
                  <w:r>
                    <w:rPr>
                      <w:rFonts w:asciiTheme="minorHAnsi" w:hAnsiTheme="minorHAnsi" w:cstheme="minorHAnsi"/>
                    </w:rPr>
                    <w:t>P</w:t>
                  </w:r>
                  <w:r w:rsidRPr="004B5149">
                    <w:rPr>
                      <w:rFonts w:asciiTheme="minorHAnsi" w:hAnsiTheme="minorHAnsi" w:cstheme="minorHAnsi"/>
                    </w:rPr>
                    <w:t xml:space="preserve">hase </w:t>
                  </w:r>
                  <w:r>
                    <w:rPr>
                      <w:rFonts w:asciiTheme="minorHAnsi" w:hAnsiTheme="minorHAnsi" w:cstheme="minorHAnsi"/>
                    </w:rPr>
                    <w:t>t</w:t>
                  </w:r>
                  <w:r w:rsidRPr="004B5149">
                    <w:rPr>
                      <w:rFonts w:asciiTheme="minorHAnsi" w:hAnsiTheme="minorHAnsi" w:cstheme="minorHAnsi"/>
                    </w:rPr>
                    <w:t>wo</w:t>
                  </w:r>
                  <w:r>
                    <w:rPr>
                      <w:rFonts w:asciiTheme="minorHAnsi" w:hAnsiTheme="minorHAnsi" w:cstheme="minorHAnsi"/>
                    </w:rPr>
                    <w:t xml:space="preserve"> of the analyses</w:t>
                  </w:r>
                  <w:r w:rsidRPr="004B5149">
                    <w:rPr>
                      <w:rFonts w:asciiTheme="minorHAnsi" w:hAnsiTheme="minorHAnsi" w:cstheme="minorHAnsi"/>
                    </w:rPr>
                    <w:t xml:space="preserve"> </w:t>
                  </w:r>
                  <w:r>
                    <w:rPr>
                      <w:rFonts w:asciiTheme="minorHAnsi" w:hAnsiTheme="minorHAnsi" w:cstheme="minorHAnsi"/>
                    </w:rPr>
                    <w:t>found that:</w:t>
                  </w:r>
                </w:p>
                <w:p w:rsidR="00B45826" w:rsidRPr="00AF7480" w:rsidRDefault="00B45826" w:rsidP="0042130F">
                  <w:pPr>
                    <w:pStyle w:val="ListParagraph"/>
                    <w:numPr>
                      <w:ilvl w:val="2"/>
                      <w:numId w:val="10"/>
                    </w:numPr>
                    <w:spacing w:line="276" w:lineRule="auto"/>
                    <w:ind w:left="1276"/>
                    <w:rPr>
                      <w:rFonts w:asciiTheme="minorHAnsi" w:hAnsiTheme="minorHAnsi" w:cstheme="minorHAnsi"/>
                    </w:rPr>
                  </w:pPr>
                  <w:r w:rsidRPr="004B5149">
                    <w:rPr>
                      <w:rFonts w:asciiTheme="minorHAnsi" w:hAnsiTheme="minorHAnsi" w:cstheme="minorHAnsi"/>
                    </w:rPr>
                    <w:t>None of the investigated items maintained a protective role in the presence of variables that increased the risk of ‘unhealthy gambling’.</w:t>
                  </w:r>
                </w:p>
                <w:p w:rsidR="00B45826" w:rsidRDefault="00B45826" w:rsidP="0042130F">
                  <w:pPr>
                    <w:pStyle w:val="ListParagraph"/>
                    <w:numPr>
                      <w:ilvl w:val="2"/>
                      <w:numId w:val="10"/>
                    </w:numPr>
                    <w:spacing w:line="276" w:lineRule="auto"/>
                    <w:ind w:left="1276"/>
                    <w:rPr>
                      <w:rFonts w:asciiTheme="minorHAnsi" w:hAnsiTheme="minorHAnsi" w:cstheme="minorHAnsi"/>
                    </w:rPr>
                  </w:pPr>
                  <w:r>
                    <w:rPr>
                      <w:rFonts w:asciiTheme="minorHAnsi" w:hAnsiTheme="minorHAnsi" w:cstheme="minorHAnsi"/>
                    </w:rPr>
                    <w:t>F</w:t>
                  </w:r>
                  <w:r w:rsidRPr="004B5149">
                    <w:rPr>
                      <w:rFonts w:asciiTheme="minorHAnsi" w:hAnsiTheme="minorHAnsi" w:cstheme="minorHAnsi"/>
                    </w:rPr>
                    <w:t xml:space="preserve">ive items </w:t>
                  </w:r>
                  <w:r>
                    <w:rPr>
                      <w:rFonts w:asciiTheme="minorHAnsi" w:hAnsiTheme="minorHAnsi" w:cstheme="minorHAnsi"/>
                    </w:rPr>
                    <w:t xml:space="preserve">continued to be </w:t>
                  </w:r>
                  <w:r w:rsidRPr="004B5149">
                    <w:rPr>
                      <w:rFonts w:asciiTheme="minorHAnsi" w:hAnsiTheme="minorHAnsi" w:cstheme="minorHAnsi"/>
                    </w:rPr>
                    <w:t>associated with an increased risk of ‘unhealthy gambling’</w:t>
                  </w:r>
                  <w:r>
                    <w:rPr>
                      <w:rFonts w:asciiTheme="minorHAnsi" w:hAnsiTheme="minorHAnsi" w:cstheme="minorHAnsi"/>
                    </w:rPr>
                    <w:t>:</w:t>
                  </w:r>
                </w:p>
                <w:p w:rsidR="00B45826" w:rsidRDefault="00B45826" w:rsidP="00043311">
                  <w:pPr>
                    <w:pStyle w:val="ListParagraph"/>
                    <w:numPr>
                      <w:ilvl w:val="0"/>
                      <w:numId w:val="34"/>
                    </w:numPr>
                    <w:spacing w:line="276" w:lineRule="auto"/>
                    <w:ind w:left="1701"/>
                    <w:rPr>
                      <w:rFonts w:asciiTheme="minorHAnsi" w:hAnsiTheme="minorHAnsi" w:cstheme="minorHAnsi"/>
                    </w:rPr>
                  </w:pPr>
                  <w:r w:rsidRPr="004B5149">
                    <w:rPr>
                      <w:rFonts w:asciiTheme="minorHAnsi" w:hAnsiTheme="minorHAnsi" w:cstheme="minorHAnsi"/>
                    </w:rPr>
                    <w:t>Someone in their family had done something that could have got them in serious trouble (e.g. stealing);</w:t>
                  </w:r>
                </w:p>
                <w:p w:rsidR="00B45826" w:rsidRDefault="00B45826" w:rsidP="00043311">
                  <w:pPr>
                    <w:pStyle w:val="ListParagraph"/>
                    <w:numPr>
                      <w:ilvl w:val="0"/>
                      <w:numId w:val="34"/>
                    </w:numPr>
                    <w:spacing w:line="276" w:lineRule="auto"/>
                    <w:ind w:left="1701"/>
                    <w:rPr>
                      <w:rFonts w:asciiTheme="minorHAnsi" w:hAnsiTheme="minorHAnsi" w:cstheme="minorHAnsi"/>
                    </w:rPr>
                  </w:pPr>
                  <w:r w:rsidRPr="004B5149">
                    <w:rPr>
                      <w:rFonts w:asciiTheme="minorHAnsi" w:hAnsiTheme="minorHAnsi" w:cstheme="minorHAnsi"/>
                    </w:rPr>
                    <w:t>They usually gamble with ‘someone else’ that t</w:t>
                  </w:r>
                  <w:r>
                    <w:rPr>
                      <w:rFonts w:asciiTheme="minorHAnsi" w:hAnsiTheme="minorHAnsi" w:cstheme="minorHAnsi"/>
                    </w:rPr>
                    <w:t xml:space="preserve">hey know (i.e. not with friends and </w:t>
                  </w:r>
                  <w:r w:rsidRPr="004B5149">
                    <w:rPr>
                      <w:rFonts w:asciiTheme="minorHAnsi" w:hAnsiTheme="minorHAnsi" w:cstheme="minorHAnsi"/>
                    </w:rPr>
                    <w:t>family members</w:t>
                  </w:r>
                  <w:r>
                    <w:rPr>
                      <w:rFonts w:asciiTheme="minorHAnsi" w:hAnsiTheme="minorHAnsi" w:cstheme="minorHAnsi"/>
                    </w:rPr>
                    <w:t xml:space="preserve"> but with </w:t>
                  </w:r>
                  <w:r w:rsidRPr="004B5149">
                    <w:rPr>
                      <w:rFonts w:asciiTheme="minorHAnsi" w:hAnsiTheme="minorHAnsi" w:cstheme="minorHAnsi"/>
                    </w:rPr>
                    <w:t>people they don’t know e.g. people online);</w:t>
                  </w:r>
                </w:p>
                <w:p w:rsidR="00B45826" w:rsidRDefault="00B45826" w:rsidP="00043311">
                  <w:pPr>
                    <w:pStyle w:val="ListParagraph"/>
                    <w:numPr>
                      <w:ilvl w:val="0"/>
                      <w:numId w:val="34"/>
                    </w:numPr>
                    <w:spacing w:line="276" w:lineRule="auto"/>
                    <w:ind w:left="1701"/>
                    <w:rPr>
                      <w:rFonts w:asciiTheme="minorHAnsi" w:hAnsiTheme="minorHAnsi" w:cstheme="minorHAnsi"/>
                    </w:rPr>
                  </w:pPr>
                  <w:r>
                    <w:rPr>
                      <w:rFonts w:asciiTheme="minorHAnsi" w:hAnsiTheme="minorHAnsi" w:cstheme="minorHAnsi"/>
                    </w:rPr>
                    <w:t>They have more accepting attitudes towards gambling (i.e. thinking that t</w:t>
                  </w:r>
                  <w:r w:rsidRPr="004B5149">
                    <w:rPr>
                      <w:rFonts w:asciiTheme="minorHAnsi" w:hAnsiTheme="minorHAnsi" w:cstheme="minorHAnsi"/>
                    </w:rPr>
                    <w:t>wo or more of the listed gambling activities were acceptable for people their age to play or do regularly</w:t>
                  </w:r>
                  <w:r>
                    <w:rPr>
                      <w:rFonts w:asciiTheme="minorHAnsi" w:hAnsiTheme="minorHAnsi" w:cstheme="minorHAnsi"/>
                    </w:rPr>
                    <w:t>)</w:t>
                  </w:r>
                  <w:r w:rsidRPr="004B5149">
                    <w:rPr>
                      <w:rFonts w:asciiTheme="minorHAnsi" w:hAnsiTheme="minorHAnsi" w:cstheme="minorHAnsi"/>
                    </w:rPr>
                    <w:t xml:space="preserve">; </w:t>
                  </w:r>
                </w:p>
                <w:p w:rsidR="00B45826" w:rsidRDefault="00B45826" w:rsidP="00043311">
                  <w:pPr>
                    <w:pStyle w:val="ListParagraph"/>
                    <w:numPr>
                      <w:ilvl w:val="0"/>
                      <w:numId w:val="34"/>
                    </w:numPr>
                    <w:spacing w:line="276" w:lineRule="auto"/>
                    <w:ind w:left="1701"/>
                    <w:rPr>
                      <w:rFonts w:asciiTheme="minorHAnsi" w:hAnsiTheme="minorHAnsi" w:cstheme="minorHAnsi"/>
                    </w:rPr>
                  </w:pPr>
                  <w:r w:rsidRPr="004B5149">
                    <w:rPr>
                      <w:rFonts w:asciiTheme="minorHAnsi" w:hAnsiTheme="minorHAnsi" w:cstheme="minorHAnsi"/>
                    </w:rPr>
                    <w:t xml:space="preserve">They have gambled on pub/club EGMs, casino EGMs or tables, or TAB betting in the last 12 months; and, </w:t>
                  </w:r>
                </w:p>
                <w:p w:rsidR="00B45826" w:rsidRPr="00F10D2A" w:rsidRDefault="00B45826" w:rsidP="00043311">
                  <w:pPr>
                    <w:pStyle w:val="ListParagraph"/>
                    <w:numPr>
                      <w:ilvl w:val="0"/>
                      <w:numId w:val="34"/>
                    </w:numPr>
                    <w:spacing w:line="276" w:lineRule="auto"/>
                    <w:ind w:left="1701"/>
                    <w:rPr>
                      <w:rFonts w:asciiTheme="minorHAnsi" w:hAnsiTheme="minorHAnsi" w:cstheme="minorHAnsi"/>
                    </w:rPr>
                  </w:pPr>
                  <w:r w:rsidRPr="004B5149">
                    <w:rPr>
                      <w:rFonts w:asciiTheme="minorHAnsi" w:hAnsiTheme="minorHAnsi" w:cstheme="minorHAnsi"/>
                    </w:rPr>
                    <w:t>They had attempted suicide in the last 12 months. None of the investigated items maintained a protective role in the presence of variables that increased the risk of ‘unhealthy gambling’.</w:t>
                  </w:r>
                </w:p>
              </w:txbxContent>
            </v:textbox>
            <w10:wrap type="none"/>
            <w10:anchorlock/>
          </v:shape>
        </w:pict>
      </w:r>
    </w:p>
    <w:p w:rsidR="00043311" w:rsidRDefault="00043311" w:rsidP="0042130F">
      <w:pPr>
        <w:pStyle w:val="Heading1"/>
        <w:rPr>
          <w:rFonts w:asciiTheme="minorHAnsi" w:hAnsiTheme="minorHAnsi" w:cstheme="minorHAnsi"/>
          <w:szCs w:val="26"/>
        </w:rPr>
      </w:pPr>
      <w:bookmarkStart w:id="171" w:name="_Toc367284450"/>
      <w:bookmarkStart w:id="172" w:name="_Toc294258208"/>
      <w:bookmarkStart w:id="173" w:name="_Ref294453205"/>
      <w:bookmarkEnd w:id="29"/>
      <w:bookmarkEnd w:id="68"/>
      <w:bookmarkEnd w:id="100"/>
      <w:bookmarkEnd w:id="101"/>
      <w:r w:rsidRPr="00234F53">
        <w:rPr>
          <w:rFonts w:asciiTheme="minorHAnsi" w:hAnsiTheme="minorHAnsi" w:cstheme="minorHAnsi"/>
          <w:caps w:val="0"/>
          <w:szCs w:val="26"/>
        </w:rPr>
        <w:lastRenderedPageBreak/>
        <w:t>GAMBLING</w:t>
      </w:r>
      <w:r>
        <w:rPr>
          <w:rFonts w:asciiTheme="minorHAnsi" w:hAnsiTheme="minorHAnsi" w:cstheme="minorHAnsi"/>
          <w:caps w:val="0"/>
          <w:szCs w:val="26"/>
        </w:rPr>
        <w:t xml:space="preserve"> AND </w:t>
      </w:r>
      <w:r w:rsidRPr="00234F53">
        <w:rPr>
          <w:rFonts w:asciiTheme="minorHAnsi" w:hAnsiTheme="minorHAnsi" w:cstheme="minorHAnsi"/>
          <w:caps w:val="0"/>
          <w:szCs w:val="26"/>
        </w:rPr>
        <w:t>M</w:t>
      </w:r>
      <w:r w:rsidRPr="00234F53">
        <w:rPr>
          <w:rFonts w:asciiTheme="minorHAnsi" w:hAnsiTheme="minorHAnsi" w:cstheme="minorHAnsi"/>
          <w:szCs w:val="26"/>
        </w:rPr>
        <w:t>ĀORI</w:t>
      </w:r>
      <w:r>
        <w:rPr>
          <w:rFonts w:asciiTheme="minorHAnsi" w:hAnsiTheme="minorHAnsi" w:cstheme="minorHAnsi"/>
          <w:szCs w:val="26"/>
        </w:rPr>
        <w:t xml:space="preserve"> TAITAMARIKI IN AOTEAROA</w:t>
      </w:r>
      <w:bookmarkEnd w:id="171"/>
    </w:p>
    <w:p w:rsidR="00043311" w:rsidRPr="00F407DD" w:rsidRDefault="00043311" w:rsidP="0042130F">
      <w:pPr>
        <w:spacing w:line="360" w:lineRule="auto"/>
        <w:rPr>
          <w:rFonts w:asciiTheme="minorHAnsi" w:hAnsiTheme="minorHAnsi" w:cstheme="minorHAnsi"/>
        </w:rPr>
      </w:pPr>
      <w:r w:rsidRPr="00F407DD">
        <w:rPr>
          <w:rFonts w:asciiTheme="minorHAnsi" w:hAnsiTheme="minorHAnsi" w:cstheme="minorHAnsi"/>
        </w:rPr>
        <w:t>This section presents key findings on the gambling behaviours of Māori young people living in Aotearoa.  The results are drawn from the Youth’12 nationally representative survey of secondary school students, conducted in 2012.  Youth’12 surveyed a large randomly-selected sample of secondary school students.  The results provided here are based on the 1701 students who were categorised as Māori</w:t>
      </w:r>
      <w:r>
        <w:rPr>
          <w:rStyle w:val="FootnoteReference"/>
          <w:rFonts w:asciiTheme="minorHAnsi" w:hAnsiTheme="minorHAnsi"/>
        </w:rPr>
        <w:footnoteReference w:id="20"/>
      </w:r>
      <w:r w:rsidRPr="00F407DD">
        <w:rPr>
          <w:rFonts w:asciiTheme="minorHAnsi" w:hAnsiTheme="minorHAnsi" w:cstheme="minorHAnsi"/>
        </w:rPr>
        <w:t xml:space="preserve"> and some comparisons are made to the 4024 students categorised as New Zealand European from Youth’12.</w:t>
      </w:r>
    </w:p>
    <w:p w:rsidR="00043311" w:rsidRPr="00F407DD" w:rsidRDefault="00043311" w:rsidP="00043311">
      <w:pPr>
        <w:pStyle w:val="Heading2"/>
        <w:numPr>
          <w:ilvl w:val="1"/>
          <w:numId w:val="37"/>
        </w:numPr>
      </w:pPr>
      <w:bookmarkStart w:id="174" w:name="_Toc367284451"/>
      <w:r w:rsidRPr="00F407DD">
        <w:t>Youth gambling behaviours</w:t>
      </w:r>
      <w:bookmarkEnd w:id="174"/>
    </w:p>
    <w:p w:rsidR="00043311" w:rsidRPr="00F407DD" w:rsidRDefault="00043311" w:rsidP="0042130F">
      <w:pPr>
        <w:rPr>
          <w:rFonts w:asciiTheme="minorHAnsi" w:hAnsiTheme="minorHAnsi" w:cstheme="minorHAnsi"/>
        </w:rPr>
      </w:pPr>
      <w:r w:rsidRPr="00F407DD">
        <w:rPr>
          <w:rFonts w:asciiTheme="minorHAnsi" w:hAnsiTheme="minorHAnsi" w:cstheme="minorHAnsi"/>
        </w:rPr>
        <w:t>The Youth’12 survey showed that:</w:t>
      </w:r>
    </w:p>
    <w:p w:rsidR="00043311" w:rsidRPr="00F407DD" w:rsidRDefault="00043311" w:rsidP="0042130F">
      <w:pPr>
        <w:pStyle w:val="ListParagraph"/>
        <w:numPr>
          <w:ilvl w:val="2"/>
          <w:numId w:val="9"/>
        </w:numPr>
        <w:spacing w:line="360" w:lineRule="auto"/>
        <w:ind w:left="567"/>
        <w:rPr>
          <w:rFonts w:asciiTheme="minorHAnsi" w:hAnsiTheme="minorHAnsi" w:cstheme="minorHAnsi"/>
        </w:rPr>
      </w:pPr>
      <w:r w:rsidRPr="00F407DD">
        <w:rPr>
          <w:rFonts w:asciiTheme="minorHAnsi" w:hAnsiTheme="minorHAnsi" w:cstheme="minorHAnsi"/>
        </w:rPr>
        <w:t xml:space="preserve">A quarter (25%) of Māori students had gambled in the last 12 months (375 Māori students).  Of those Māori who had gambled in the previous 12 months, almost half (or 12% of the entire Māori student population) had gambled in the last four weeks (180 students). </w:t>
      </w:r>
    </w:p>
    <w:p w:rsidR="00043311" w:rsidRPr="00F407DD" w:rsidRDefault="00043311" w:rsidP="0042130F">
      <w:pPr>
        <w:pStyle w:val="ListParagraph"/>
        <w:numPr>
          <w:ilvl w:val="2"/>
          <w:numId w:val="9"/>
        </w:numPr>
        <w:spacing w:line="360" w:lineRule="auto"/>
        <w:ind w:left="567"/>
        <w:rPr>
          <w:rFonts w:asciiTheme="minorHAnsi" w:hAnsiTheme="minorHAnsi" w:cstheme="minorHAnsi"/>
        </w:rPr>
      </w:pPr>
      <w:r>
        <w:rPr>
          <w:rFonts w:asciiTheme="minorHAnsi" w:hAnsiTheme="minorHAnsi" w:cstheme="minorHAnsi"/>
        </w:rPr>
        <w:t>A</w:t>
      </w:r>
      <w:r w:rsidRPr="00F407DD">
        <w:rPr>
          <w:rFonts w:asciiTheme="minorHAnsi" w:hAnsiTheme="minorHAnsi" w:cstheme="minorHAnsi"/>
        </w:rPr>
        <w:t xml:space="preserve"> similar proportion </w:t>
      </w:r>
      <w:r>
        <w:rPr>
          <w:rFonts w:asciiTheme="minorHAnsi" w:hAnsiTheme="minorHAnsi" w:cstheme="minorHAnsi"/>
        </w:rPr>
        <w:t xml:space="preserve">of </w:t>
      </w:r>
      <w:r w:rsidRPr="00F407DD">
        <w:rPr>
          <w:rFonts w:asciiTheme="minorHAnsi" w:hAnsiTheme="minorHAnsi" w:cstheme="minorHAnsi"/>
        </w:rPr>
        <w:t>Māori students reported gambl</w:t>
      </w:r>
      <w:r>
        <w:rPr>
          <w:rFonts w:asciiTheme="minorHAnsi" w:hAnsiTheme="minorHAnsi" w:cstheme="minorHAnsi"/>
        </w:rPr>
        <w:t>ing</w:t>
      </w:r>
      <w:r w:rsidRPr="00F407DD">
        <w:rPr>
          <w:rFonts w:asciiTheme="minorHAnsi" w:hAnsiTheme="minorHAnsi" w:cstheme="minorHAnsi"/>
        </w:rPr>
        <w:t xml:space="preserve"> in the last 12 months when compared to NZ European students (</w:t>
      </w:r>
      <w:r>
        <w:rPr>
          <w:rFonts w:asciiTheme="minorHAnsi" w:hAnsiTheme="minorHAnsi" w:cstheme="minorHAnsi"/>
        </w:rPr>
        <w:t xml:space="preserve">25%, 375 </w:t>
      </w:r>
      <w:r w:rsidRPr="00F407DD">
        <w:rPr>
          <w:rFonts w:asciiTheme="minorHAnsi" w:hAnsiTheme="minorHAnsi" w:cstheme="minorHAnsi"/>
        </w:rPr>
        <w:t xml:space="preserve">Māori </w:t>
      </w:r>
      <w:r>
        <w:rPr>
          <w:rFonts w:asciiTheme="minorHAnsi" w:hAnsiTheme="minorHAnsi" w:cstheme="minorHAnsi"/>
        </w:rPr>
        <w:t xml:space="preserve">students and </w:t>
      </w:r>
      <w:r w:rsidRPr="00F407DD">
        <w:rPr>
          <w:rFonts w:asciiTheme="minorHAnsi" w:hAnsiTheme="minorHAnsi" w:cstheme="minorHAnsi"/>
        </w:rPr>
        <w:t xml:space="preserve">24%, 916 NZ European students). A significantly higher proportion of Māori had gambled in the last four weeks (12%) compared to NZ European students (9%, 335 NZ European students) (p=0.0073). </w:t>
      </w:r>
    </w:p>
    <w:p w:rsidR="00043311" w:rsidRPr="00F407DD" w:rsidRDefault="00043311" w:rsidP="0042130F">
      <w:pPr>
        <w:pStyle w:val="ListParagraph"/>
        <w:numPr>
          <w:ilvl w:val="2"/>
          <w:numId w:val="9"/>
        </w:numPr>
        <w:spacing w:line="360" w:lineRule="auto"/>
        <w:ind w:left="567"/>
        <w:rPr>
          <w:rFonts w:asciiTheme="minorHAnsi" w:hAnsiTheme="minorHAnsi" w:cstheme="minorHAnsi"/>
        </w:rPr>
      </w:pPr>
      <w:r w:rsidRPr="00F407DD">
        <w:rPr>
          <w:rFonts w:asciiTheme="minorHAnsi" w:hAnsiTheme="minorHAnsi" w:cstheme="minorHAnsi"/>
        </w:rPr>
        <w:t xml:space="preserve">A small proportion of Māori students (21 students) who gamble spend $20 or more in a typical week gambling (6%) and fewer still Māori students (8 students) who gamble, usually do so for 30 or more minutes per day (2%). </w:t>
      </w:r>
    </w:p>
    <w:p w:rsidR="00043311" w:rsidRDefault="00043311" w:rsidP="0042130F">
      <w:pPr>
        <w:pStyle w:val="ListParagraph"/>
        <w:numPr>
          <w:ilvl w:val="2"/>
          <w:numId w:val="9"/>
        </w:numPr>
        <w:spacing w:line="360" w:lineRule="auto"/>
        <w:ind w:left="567"/>
        <w:rPr>
          <w:rFonts w:asciiTheme="minorHAnsi" w:hAnsiTheme="minorHAnsi" w:cstheme="minorHAnsi"/>
        </w:rPr>
      </w:pPr>
      <w:r w:rsidRPr="00F407DD">
        <w:rPr>
          <w:rFonts w:asciiTheme="minorHAnsi" w:hAnsiTheme="minorHAnsi" w:cstheme="minorHAnsi"/>
        </w:rPr>
        <w:t xml:space="preserve">Of the Māori students who had gambled, 78 students were worried about how much time or money they spent gambling (18%), whereas a significantly lower proportion of New Zealand European students (6%, 59 students) who had gambled were worried about this (p&lt;0.0001). </w:t>
      </w:r>
    </w:p>
    <w:p w:rsidR="00043311" w:rsidRPr="00AE5985" w:rsidRDefault="00043311" w:rsidP="0042130F">
      <w:pPr>
        <w:pStyle w:val="Caption"/>
        <w:keepNext/>
        <w:spacing w:line="276" w:lineRule="auto"/>
        <w:rPr>
          <w:rFonts w:asciiTheme="minorHAnsi" w:hAnsiTheme="minorHAnsi" w:cstheme="minorHAnsi"/>
        </w:rPr>
      </w:pPr>
      <w:bookmarkStart w:id="175" w:name="_Toc367285531"/>
      <w:r w:rsidRPr="001A2437">
        <w:rPr>
          <w:rFonts w:asciiTheme="minorHAnsi" w:hAnsiTheme="minorHAnsi" w:cstheme="minorHAnsi"/>
          <w:i/>
        </w:rPr>
        <w:lastRenderedPageBreak/>
        <w:t xml:space="preserve">Figure </w:t>
      </w:r>
      <w:r w:rsidR="007B447B" w:rsidRPr="001A2437">
        <w:rPr>
          <w:rFonts w:asciiTheme="minorHAnsi" w:hAnsiTheme="minorHAnsi" w:cstheme="minorHAnsi"/>
          <w:i/>
        </w:rPr>
        <w:fldChar w:fldCharType="begin"/>
      </w:r>
      <w:r w:rsidRPr="001A2437">
        <w:rPr>
          <w:rFonts w:asciiTheme="minorHAnsi" w:hAnsiTheme="minorHAnsi" w:cstheme="minorHAnsi"/>
          <w:i/>
        </w:rPr>
        <w:instrText xml:space="preserve"> SEQ Figure \* ARABIC </w:instrText>
      </w:r>
      <w:r w:rsidR="007B447B" w:rsidRPr="001A2437">
        <w:rPr>
          <w:rFonts w:asciiTheme="minorHAnsi" w:hAnsiTheme="minorHAnsi" w:cstheme="minorHAnsi"/>
          <w:i/>
        </w:rPr>
        <w:fldChar w:fldCharType="separate"/>
      </w:r>
      <w:r w:rsidR="009E3D1C">
        <w:rPr>
          <w:rFonts w:asciiTheme="minorHAnsi" w:hAnsiTheme="minorHAnsi" w:cstheme="minorHAnsi"/>
          <w:i/>
          <w:noProof/>
        </w:rPr>
        <w:t>15</w:t>
      </w:r>
      <w:r w:rsidR="007B447B" w:rsidRPr="001A2437">
        <w:rPr>
          <w:rFonts w:asciiTheme="minorHAnsi" w:hAnsiTheme="minorHAnsi" w:cstheme="minorHAnsi"/>
          <w:i/>
        </w:rPr>
        <w:fldChar w:fldCharType="end"/>
      </w:r>
      <w:r w:rsidRPr="001A2437">
        <w:rPr>
          <w:rFonts w:asciiTheme="minorHAnsi" w:hAnsiTheme="minorHAnsi" w:cstheme="minorHAnsi"/>
          <w:i/>
        </w:rPr>
        <w:t xml:space="preserve">: </w:t>
      </w:r>
      <w:r w:rsidRPr="00E3310E">
        <w:rPr>
          <w:rFonts w:asciiTheme="minorHAnsi" w:hAnsiTheme="minorHAnsi" w:cstheme="minorHAnsi"/>
          <w:i/>
        </w:rPr>
        <w:t>Gambling over past year and past month</w:t>
      </w:r>
      <w:r>
        <w:rPr>
          <w:rFonts w:asciiTheme="minorHAnsi" w:hAnsiTheme="minorHAnsi" w:cstheme="minorHAnsi"/>
          <w:i/>
        </w:rPr>
        <w:t xml:space="preserve"> for M</w:t>
      </w:r>
      <w:r w:rsidRPr="00AE5985">
        <w:rPr>
          <w:rFonts w:asciiTheme="minorHAnsi" w:hAnsiTheme="minorHAnsi" w:cstheme="minorHAnsi"/>
          <w:i/>
        </w:rPr>
        <w:t>ā</w:t>
      </w:r>
      <w:r>
        <w:rPr>
          <w:rFonts w:asciiTheme="minorHAnsi" w:hAnsiTheme="minorHAnsi" w:cstheme="minorHAnsi"/>
          <w:i/>
        </w:rPr>
        <w:t xml:space="preserve">ori and NZ European students (among all </w:t>
      </w:r>
      <w:r w:rsidRPr="001A192F">
        <w:rPr>
          <w:rFonts w:asciiTheme="minorHAnsi" w:hAnsiTheme="minorHAnsi" w:cstheme="minorHAnsi"/>
          <w:i/>
        </w:rPr>
        <w:t>Māor</w:t>
      </w:r>
      <w:r>
        <w:rPr>
          <w:rFonts w:asciiTheme="minorHAnsi" w:hAnsiTheme="minorHAnsi" w:cstheme="minorHAnsi"/>
          <w:i/>
        </w:rPr>
        <w:t>i and NZ European students; n=5344)</w:t>
      </w:r>
      <w:bookmarkEnd w:id="175"/>
    </w:p>
    <w:p w:rsidR="00043311" w:rsidRPr="0034188F" w:rsidRDefault="00043311" w:rsidP="0042130F">
      <w:pPr>
        <w:jc w:val="center"/>
        <w:rPr>
          <w:rFonts w:asciiTheme="minorHAnsi" w:hAnsiTheme="minorHAnsi" w:cs="Arial"/>
          <w:b/>
          <w:sz w:val="24"/>
        </w:rPr>
      </w:pPr>
      <w:r w:rsidRPr="0034188F">
        <w:rPr>
          <w:rFonts w:asciiTheme="minorHAnsi" w:hAnsiTheme="minorHAnsi"/>
          <w:noProof/>
          <w:lang w:eastAsia="en-NZ"/>
        </w:rPr>
        <w:drawing>
          <wp:inline distT="0" distB="0" distL="0" distR="0" wp14:anchorId="36CC3E94" wp14:editId="54899240">
            <wp:extent cx="5731099" cy="3026535"/>
            <wp:effectExtent l="0" t="0" r="3175" b="25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43311" w:rsidRPr="00F407DD" w:rsidRDefault="00043311" w:rsidP="0042130F">
      <w:pPr>
        <w:pStyle w:val="Heading2"/>
      </w:pPr>
      <w:bookmarkStart w:id="176" w:name="_Toc367284452"/>
      <w:r w:rsidRPr="00F407DD">
        <w:t>Parent/caregiver gambling behaviour</w:t>
      </w:r>
      <w:bookmarkEnd w:id="176"/>
      <w:r w:rsidRPr="00F407DD">
        <w:t xml:space="preserve"> </w:t>
      </w:r>
    </w:p>
    <w:p w:rsidR="00043311" w:rsidRPr="00F407DD" w:rsidRDefault="00043311" w:rsidP="0042130F">
      <w:pPr>
        <w:spacing w:line="360" w:lineRule="auto"/>
        <w:rPr>
          <w:rFonts w:asciiTheme="minorHAnsi" w:hAnsiTheme="minorHAnsi" w:cstheme="minorHAnsi"/>
        </w:rPr>
      </w:pPr>
      <w:r w:rsidRPr="00F407DD">
        <w:rPr>
          <w:rFonts w:asciiTheme="minorHAnsi" w:hAnsiTheme="minorHAnsi" w:cstheme="minorHAnsi"/>
        </w:rPr>
        <w:t>Seventy-two percent of Māori students report that their caregiver gambles (1123 Māori students) and 15% were worried about the gambling behaviours of others they lived with (64 Māori students).</w:t>
      </w:r>
    </w:p>
    <w:p w:rsidR="00043311" w:rsidRPr="00F407DD" w:rsidRDefault="00043311" w:rsidP="0042130F">
      <w:pPr>
        <w:spacing w:line="360" w:lineRule="auto"/>
        <w:rPr>
          <w:rFonts w:asciiTheme="minorHAnsi" w:hAnsiTheme="minorHAnsi" w:cstheme="minorHAnsi"/>
        </w:rPr>
      </w:pPr>
      <w:r w:rsidRPr="00F407DD">
        <w:rPr>
          <w:rFonts w:asciiTheme="minorHAnsi" w:hAnsiTheme="minorHAnsi" w:cstheme="minorHAnsi"/>
        </w:rPr>
        <w:t xml:space="preserve">Compared to New Zealand European students, the same proportion of Māori and New Zealand European students (72%) reported that their parent or caregiver gambles (2826 New Zealand European students). </w:t>
      </w:r>
    </w:p>
    <w:p w:rsidR="00043311" w:rsidRPr="00F407DD" w:rsidRDefault="00043311" w:rsidP="0042130F">
      <w:pPr>
        <w:spacing w:line="360" w:lineRule="auto"/>
        <w:rPr>
          <w:rFonts w:asciiTheme="minorHAnsi" w:hAnsiTheme="minorHAnsi" w:cstheme="minorHAnsi"/>
        </w:rPr>
      </w:pPr>
      <w:r w:rsidRPr="00F407DD">
        <w:rPr>
          <w:rFonts w:asciiTheme="minorHAnsi" w:hAnsiTheme="minorHAnsi" w:cstheme="minorHAnsi"/>
        </w:rPr>
        <w:t>A significantly greater proportion of Māori students (15% or 64 Māori students) than New Zealand European students (5% or 45 New Zealand European students) had worried about the gambling behaviours of others they live with (e.g. parents or caregivers gambling) in the last 12 months (p&lt;0.0001).</w:t>
      </w:r>
    </w:p>
    <w:p w:rsidR="00043311" w:rsidRPr="00F407DD" w:rsidRDefault="00043311" w:rsidP="0042130F">
      <w:pPr>
        <w:pStyle w:val="Heading2"/>
      </w:pPr>
      <w:bookmarkStart w:id="177" w:name="_Toc367284453"/>
      <w:r w:rsidRPr="00F407DD">
        <w:t>Socioeconomic factors and gambling</w:t>
      </w:r>
      <w:bookmarkEnd w:id="177"/>
      <w:r w:rsidRPr="00F407DD">
        <w:t xml:space="preserve"> </w:t>
      </w:r>
    </w:p>
    <w:p w:rsidR="00043311" w:rsidRDefault="00043311" w:rsidP="0042130F">
      <w:pPr>
        <w:spacing w:line="360" w:lineRule="auto"/>
        <w:rPr>
          <w:rFonts w:asciiTheme="minorHAnsi" w:hAnsiTheme="minorHAnsi" w:cstheme="minorHAnsi"/>
        </w:rPr>
      </w:pPr>
      <w:r w:rsidRPr="00F407DD">
        <w:rPr>
          <w:rFonts w:asciiTheme="minorHAnsi" w:hAnsiTheme="minorHAnsi" w:cstheme="minorHAnsi"/>
        </w:rPr>
        <w:t xml:space="preserve">Higher levels of socioeconomic deprivation appeared to be linked to gambling. In particular, a greater proportion (nearly a quarter) of Māori students from neighbourhoods with higher levels of socioeconomic hardship (based on the NZ Deprivation Index), were likely to be worried about the gambling behaviour of others relative to those experiencing less socio-economic deprivation (p&lt;0.0001). </w:t>
      </w:r>
    </w:p>
    <w:p w:rsidR="00043311" w:rsidRPr="00AE5985" w:rsidRDefault="00043311" w:rsidP="0042130F">
      <w:pPr>
        <w:pStyle w:val="Caption"/>
        <w:keepNext/>
        <w:spacing w:line="276" w:lineRule="auto"/>
        <w:rPr>
          <w:rFonts w:asciiTheme="minorHAnsi" w:hAnsiTheme="minorHAnsi" w:cstheme="minorHAnsi"/>
        </w:rPr>
      </w:pPr>
      <w:bookmarkStart w:id="178" w:name="_Toc367285532"/>
      <w:r w:rsidRPr="001A2437">
        <w:rPr>
          <w:rFonts w:asciiTheme="minorHAnsi" w:hAnsiTheme="minorHAnsi" w:cstheme="minorHAnsi"/>
          <w:i/>
        </w:rPr>
        <w:lastRenderedPageBreak/>
        <w:t xml:space="preserve">Figure </w:t>
      </w:r>
      <w:r w:rsidR="007B447B" w:rsidRPr="001A2437">
        <w:rPr>
          <w:rFonts w:asciiTheme="minorHAnsi" w:hAnsiTheme="minorHAnsi" w:cstheme="minorHAnsi"/>
          <w:i/>
        </w:rPr>
        <w:fldChar w:fldCharType="begin"/>
      </w:r>
      <w:r w:rsidRPr="001A2437">
        <w:rPr>
          <w:rFonts w:asciiTheme="minorHAnsi" w:hAnsiTheme="minorHAnsi" w:cstheme="minorHAnsi"/>
          <w:i/>
        </w:rPr>
        <w:instrText xml:space="preserve"> SEQ Figure \* ARABIC </w:instrText>
      </w:r>
      <w:r w:rsidR="007B447B" w:rsidRPr="001A2437">
        <w:rPr>
          <w:rFonts w:asciiTheme="minorHAnsi" w:hAnsiTheme="minorHAnsi" w:cstheme="minorHAnsi"/>
          <w:i/>
        </w:rPr>
        <w:fldChar w:fldCharType="separate"/>
      </w:r>
      <w:r w:rsidR="009E3D1C">
        <w:rPr>
          <w:rFonts w:asciiTheme="minorHAnsi" w:hAnsiTheme="minorHAnsi" w:cstheme="minorHAnsi"/>
          <w:i/>
          <w:noProof/>
        </w:rPr>
        <w:t>16</w:t>
      </w:r>
      <w:r w:rsidR="007B447B" w:rsidRPr="001A2437">
        <w:rPr>
          <w:rFonts w:asciiTheme="minorHAnsi" w:hAnsiTheme="minorHAnsi" w:cstheme="minorHAnsi"/>
          <w:i/>
        </w:rPr>
        <w:fldChar w:fldCharType="end"/>
      </w:r>
      <w:r w:rsidRPr="001A2437">
        <w:rPr>
          <w:rFonts w:asciiTheme="minorHAnsi" w:hAnsiTheme="minorHAnsi" w:cstheme="minorHAnsi"/>
          <w:i/>
        </w:rPr>
        <w:t xml:space="preserve">: </w:t>
      </w:r>
      <w:r>
        <w:rPr>
          <w:rFonts w:asciiTheme="minorHAnsi" w:hAnsiTheme="minorHAnsi" w:cstheme="minorHAnsi"/>
          <w:i/>
        </w:rPr>
        <w:t xml:space="preserve">Socioeconomic deprivation and gambling (among all </w:t>
      </w:r>
      <w:r w:rsidRPr="001A192F">
        <w:rPr>
          <w:rFonts w:asciiTheme="minorHAnsi" w:hAnsiTheme="minorHAnsi" w:cstheme="minorHAnsi"/>
          <w:i/>
        </w:rPr>
        <w:t>Māor</w:t>
      </w:r>
      <w:r>
        <w:rPr>
          <w:rFonts w:asciiTheme="minorHAnsi" w:hAnsiTheme="minorHAnsi" w:cstheme="minorHAnsi"/>
          <w:i/>
        </w:rPr>
        <w:t>i students; n=428)</w:t>
      </w:r>
      <w:bookmarkEnd w:id="178"/>
    </w:p>
    <w:p w:rsidR="00043311" w:rsidRPr="0034188F" w:rsidRDefault="00043311" w:rsidP="0042130F">
      <w:pPr>
        <w:jc w:val="center"/>
        <w:rPr>
          <w:rFonts w:asciiTheme="minorHAnsi" w:hAnsiTheme="minorHAnsi" w:cs="Arial"/>
          <w:sz w:val="24"/>
        </w:rPr>
      </w:pPr>
      <w:r w:rsidRPr="0034188F">
        <w:rPr>
          <w:rFonts w:asciiTheme="minorHAnsi" w:hAnsiTheme="minorHAnsi"/>
          <w:noProof/>
          <w:lang w:eastAsia="en-NZ"/>
        </w:rPr>
        <w:drawing>
          <wp:inline distT="0" distB="0" distL="0" distR="0" wp14:anchorId="3CBC7CF6" wp14:editId="2612CFCC">
            <wp:extent cx="5743978" cy="2859109"/>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43311" w:rsidRDefault="00043311" w:rsidP="0042130F">
      <w:pPr>
        <w:pStyle w:val="Heading2"/>
      </w:pPr>
      <w:bookmarkStart w:id="179" w:name="_Toc367284454"/>
      <w:r>
        <w:t>Summary: Gambling and Māori Taitamariki in Aotearoa</w:t>
      </w:r>
      <w:bookmarkEnd w:id="179"/>
      <w:r w:rsidRPr="00F407DD">
        <w:t xml:space="preserve"> </w:t>
      </w:r>
    </w:p>
    <w:p w:rsidR="00043311" w:rsidRDefault="00082F17" w:rsidP="0042130F">
      <w:pPr>
        <w:rPr>
          <w:rFonts w:asciiTheme="minorHAnsi" w:hAnsiTheme="minorHAnsi" w:cs="Arial"/>
          <w:sz w:val="24"/>
        </w:rPr>
      </w:pPr>
      <w:r>
        <w:rPr>
          <w:rFonts w:asciiTheme="minorHAnsi" w:hAnsiTheme="minorHAnsi" w:cstheme="minorHAnsi"/>
          <w:noProof/>
          <w:lang w:eastAsia="en-NZ"/>
        </w:rPr>
      </w:r>
      <w:r>
        <w:rPr>
          <w:rFonts w:asciiTheme="minorHAnsi" w:hAnsiTheme="minorHAnsi" w:cstheme="minorHAnsi"/>
          <w:noProof/>
          <w:lang w:eastAsia="en-NZ"/>
        </w:rPr>
        <w:pict>
          <v:shape id="Text Box 290" o:spid="_x0000_s1041" type="#_x0000_t202" style="width:525pt;height:228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" fillcolor="#c6d9f1 [671]" stroked="f">
            <v:textbox style="mso-fit-shape-to-text:t">
              <w:txbxContent>
                <w:p w:rsidR="00B45826" w:rsidRPr="007B41B2" w:rsidRDefault="00B45826" w:rsidP="0042130F">
                  <w:pPr>
                    <w:spacing w:line="276" w:lineRule="auto"/>
                    <w:rPr>
                      <w:rFonts w:asciiTheme="minorHAnsi" w:hAnsiTheme="minorHAnsi" w:cstheme="minorHAnsi"/>
                      <w:b/>
                    </w:rPr>
                  </w:pPr>
                  <w:r>
                    <w:rPr>
                      <w:rFonts w:asciiTheme="minorHAnsi" w:hAnsiTheme="minorHAnsi" w:cstheme="minorHAnsi"/>
                      <w:b/>
                    </w:rPr>
                    <w:t>KEY POINTS</w:t>
                  </w:r>
                  <w:r w:rsidRPr="007B41B2">
                    <w:rPr>
                      <w:rFonts w:asciiTheme="minorHAnsi" w:hAnsiTheme="minorHAnsi" w:cstheme="minorHAnsi"/>
                      <w:b/>
                    </w:rPr>
                    <w:t>:</w:t>
                  </w:r>
                </w:p>
                <w:p w:rsidR="00B45826" w:rsidRDefault="00B45826" w:rsidP="0042130F">
                  <w:pPr>
                    <w:pStyle w:val="ListParagraph"/>
                    <w:numPr>
                      <w:ilvl w:val="0"/>
                      <w:numId w:val="10"/>
                    </w:numPr>
                    <w:spacing w:line="276" w:lineRule="auto"/>
                    <w:ind w:left="426"/>
                    <w:rPr>
                      <w:rFonts w:asciiTheme="minorHAnsi" w:hAnsiTheme="minorHAnsi" w:cstheme="minorHAnsi"/>
                    </w:rPr>
                  </w:pPr>
                  <w:r w:rsidRPr="007B3F4D">
                    <w:rPr>
                      <w:rFonts w:asciiTheme="minorHAnsi" w:hAnsiTheme="minorHAnsi" w:cstheme="minorHAnsi"/>
                    </w:rPr>
                    <w:t>One-quarter (25%) of Māori students had gambled in the last year, and 12% had gambled in the last four weeks. Of those who had gambled in the past year, very few had spent more than $20 per week (6%) or more than 30 minutes a day gambling (2%).</w:t>
                  </w:r>
                </w:p>
                <w:p w:rsidR="00B45826" w:rsidRDefault="00B45826" w:rsidP="0042130F">
                  <w:pPr>
                    <w:pStyle w:val="ListParagraph"/>
                    <w:spacing w:line="276" w:lineRule="auto"/>
                    <w:ind w:left="426"/>
                    <w:rPr>
                      <w:rFonts w:asciiTheme="minorHAnsi" w:hAnsiTheme="minorHAnsi" w:cstheme="minorHAnsi"/>
                    </w:rPr>
                  </w:pPr>
                </w:p>
                <w:p w:rsidR="00B45826" w:rsidRPr="00B31A58" w:rsidRDefault="00B45826" w:rsidP="0042130F">
                  <w:pPr>
                    <w:pStyle w:val="ListParagraph"/>
                    <w:numPr>
                      <w:ilvl w:val="0"/>
                      <w:numId w:val="10"/>
                    </w:numPr>
                    <w:spacing w:line="276" w:lineRule="auto"/>
                    <w:ind w:left="426"/>
                    <w:rPr>
                      <w:rFonts w:asciiTheme="minorHAnsi" w:hAnsiTheme="minorHAnsi" w:cstheme="minorHAnsi"/>
                    </w:rPr>
                  </w:pPr>
                  <w:r w:rsidRPr="007B3F4D">
                    <w:rPr>
                      <w:rFonts w:asciiTheme="minorHAnsi" w:hAnsiTheme="minorHAnsi" w:cstheme="minorHAnsi"/>
                    </w:rPr>
                    <w:t xml:space="preserve">Rates of gambling in the last 12 months were similar amongst Māori and NZ European students (25% and </w:t>
                  </w:r>
                  <w:r w:rsidRPr="00B31A58">
                    <w:rPr>
                      <w:rFonts w:asciiTheme="minorHAnsi" w:hAnsiTheme="minorHAnsi" w:cstheme="minorHAnsi"/>
                    </w:rPr>
                    <w:t>24% respectively), although Māori students were more likely to have gambled in the last 4 weeks (12% and 9% respectively).</w:t>
                  </w:r>
                </w:p>
                <w:p w:rsidR="00B45826" w:rsidRDefault="00B45826" w:rsidP="0042130F">
                  <w:pPr>
                    <w:pStyle w:val="ListParagraph"/>
                    <w:spacing w:line="276" w:lineRule="auto"/>
                    <w:ind w:left="426"/>
                    <w:rPr>
                      <w:rFonts w:asciiTheme="minorHAnsi" w:hAnsiTheme="minorHAnsi" w:cstheme="minorHAnsi"/>
                    </w:rPr>
                  </w:pPr>
                </w:p>
                <w:p w:rsidR="00B45826" w:rsidRDefault="00B45826" w:rsidP="0042130F">
                  <w:pPr>
                    <w:pStyle w:val="ListParagraph"/>
                    <w:numPr>
                      <w:ilvl w:val="0"/>
                      <w:numId w:val="10"/>
                    </w:numPr>
                    <w:spacing w:line="276" w:lineRule="auto"/>
                    <w:ind w:left="426"/>
                    <w:rPr>
                      <w:rFonts w:asciiTheme="minorHAnsi" w:hAnsiTheme="minorHAnsi" w:cstheme="minorHAnsi"/>
                    </w:rPr>
                  </w:pPr>
                  <w:r w:rsidRPr="007B3F4D">
                    <w:rPr>
                      <w:rFonts w:asciiTheme="minorHAnsi" w:hAnsiTheme="minorHAnsi" w:cstheme="minorHAnsi"/>
                    </w:rPr>
                    <w:t xml:space="preserve">Māori </w:t>
                  </w:r>
                  <w:r>
                    <w:rPr>
                      <w:rFonts w:asciiTheme="minorHAnsi" w:hAnsiTheme="minorHAnsi" w:cstheme="minorHAnsi"/>
                    </w:rPr>
                    <w:t xml:space="preserve">students </w:t>
                  </w:r>
                  <w:r w:rsidRPr="007B3F4D">
                    <w:rPr>
                      <w:rFonts w:asciiTheme="minorHAnsi" w:hAnsiTheme="minorHAnsi" w:cstheme="minorHAnsi"/>
                    </w:rPr>
                    <w:t>were much more likely to be worried about their gambling</w:t>
                  </w:r>
                  <w:r>
                    <w:rPr>
                      <w:rFonts w:asciiTheme="minorHAnsi" w:hAnsiTheme="minorHAnsi" w:cstheme="minorHAnsi"/>
                    </w:rPr>
                    <w:t xml:space="preserve"> than NZ European students</w:t>
                  </w:r>
                  <w:r w:rsidRPr="007B3F4D">
                    <w:rPr>
                      <w:rFonts w:asciiTheme="minorHAnsi" w:hAnsiTheme="minorHAnsi" w:cstheme="minorHAnsi"/>
                    </w:rPr>
                    <w:t xml:space="preserve"> (18% </w:t>
                  </w:r>
                  <w:r>
                    <w:rPr>
                      <w:rFonts w:asciiTheme="minorHAnsi" w:hAnsiTheme="minorHAnsi" w:cstheme="minorHAnsi"/>
                    </w:rPr>
                    <w:t xml:space="preserve">of </w:t>
                  </w:r>
                  <w:r w:rsidRPr="007B3F4D">
                    <w:rPr>
                      <w:rFonts w:asciiTheme="minorHAnsi" w:hAnsiTheme="minorHAnsi" w:cstheme="minorHAnsi"/>
                    </w:rPr>
                    <w:t xml:space="preserve">Māori and 6% </w:t>
                  </w:r>
                  <w:r>
                    <w:rPr>
                      <w:rFonts w:asciiTheme="minorHAnsi" w:hAnsiTheme="minorHAnsi" w:cstheme="minorHAnsi"/>
                    </w:rPr>
                    <w:t xml:space="preserve">of NZ European students </w:t>
                  </w:r>
                  <w:r w:rsidRPr="00B31A58">
                    <w:rPr>
                      <w:rFonts w:asciiTheme="minorHAnsi" w:hAnsiTheme="minorHAnsi" w:cstheme="minorHAnsi"/>
                      <w:i/>
                    </w:rPr>
                    <w:t>who had gambled in the past year</w:t>
                  </w:r>
                  <w:r w:rsidRPr="007B3F4D">
                    <w:rPr>
                      <w:rFonts w:asciiTheme="minorHAnsi" w:hAnsiTheme="minorHAnsi" w:cstheme="minorHAnsi"/>
                    </w:rPr>
                    <w:t xml:space="preserve">). </w:t>
                  </w:r>
                </w:p>
                <w:p w:rsidR="00B45826" w:rsidRDefault="00B45826" w:rsidP="0042130F">
                  <w:pPr>
                    <w:pStyle w:val="ListParagraph"/>
                    <w:spacing w:line="276" w:lineRule="auto"/>
                    <w:ind w:left="426"/>
                    <w:rPr>
                      <w:rFonts w:asciiTheme="minorHAnsi" w:hAnsiTheme="minorHAnsi" w:cstheme="minorHAnsi"/>
                    </w:rPr>
                  </w:pPr>
                </w:p>
                <w:p w:rsidR="00B45826" w:rsidRPr="00B31A58" w:rsidRDefault="00B45826" w:rsidP="0042130F">
                  <w:pPr>
                    <w:pStyle w:val="ListParagraph"/>
                    <w:numPr>
                      <w:ilvl w:val="0"/>
                      <w:numId w:val="10"/>
                    </w:numPr>
                    <w:spacing w:line="276" w:lineRule="auto"/>
                    <w:ind w:left="426"/>
                    <w:rPr>
                      <w:rFonts w:asciiTheme="minorHAnsi" w:hAnsiTheme="minorHAnsi" w:cstheme="minorHAnsi"/>
                    </w:rPr>
                  </w:pPr>
                  <w:r w:rsidRPr="00B31A58">
                    <w:rPr>
                      <w:rFonts w:asciiTheme="minorHAnsi" w:hAnsiTheme="minorHAnsi" w:cstheme="minorHAnsi"/>
                    </w:rPr>
                    <w:t>72% of Māori students reported that their parent(s)/caregiver(s) gamble and 15% were worried about their parent/caregiver’s gambling. A number of Māori young people and/or their whānau encounter problems due to gambling.  Students living in neighbourhoods with higher levels of deprivation were more likely</w:t>
                  </w:r>
                  <w:r>
                    <w:rPr>
                      <w:rFonts w:asciiTheme="minorHAnsi" w:hAnsiTheme="minorHAnsi" w:cstheme="minorHAnsi"/>
                    </w:rPr>
                    <w:t xml:space="preserve"> than those from lower deprivation neighbourhoods</w:t>
                  </w:r>
                  <w:r w:rsidRPr="00B31A58">
                    <w:rPr>
                      <w:rFonts w:asciiTheme="minorHAnsi" w:hAnsiTheme="minorHAnsi" w:cstheme="minorHAnsi"/>
                    </w:rPr>
                    <w:t xml:space="preserve"> to </w:t>
                  </w:r>
                  <w:r>
                    <w:rPr>
                      <w:rFonts w:asciiTheme="minorHAnsi" w:hAnsiTheme="minorHAnsi" w:cstheme="minorHAnsi"/>
                    </w:rPr>
                    <w:t>w</w:t>
                  </w:r>
                  <w:r w:rsidRPr="00B31A58">
                    <w:rPr>
                      <w:rFonts w:asciiTheme="minorHAnsi" w:hAnsiTheme="minorHAnsi" w:cstheme="minorHAnsi"/>
                    </w:rPr>
                    <w:t>orry about</w:t>
                  </w:r>
                  <w:r>
                    <w:rPr>
                      <w:rFonts w:asciiTheme="minorHAnsi" w:hAnsiTheme="minorHAnsi" w:cstheme="minorHAnsi"/>
                    </w:rPr>
                    <w:t xml:space="preserve"> the gambling behaviour of other people (22% higher deprivation and 8% lower deprivation).</w:t>
                  </w:r>
                </w:p>
              </w:txbxContent>
            </v:textbox>
            <w10:wrap type="none"/>
            <w10:anchorlock/>
          </v:shape>
        </w:pict>
      </w:r>
    </w:p>
    <w:p w:rsidR="00043311" w:rsidRDefault="00043311" w:rsidP="0042130F">
      <w:pPr>
        <w:pStyle w:val="Heading1"/>
        <w:rPr>
          <w:rFonts w:asciiTheme="minorHAnsi" w:hAnsiTheme="minorHAnsi" w:cstheme="minorHAnsi"/>
          <w:szCs w:val="26"/>
        </w:rPr>
      </w:pPr>
      <w:bookmarkStart w:id="180" w:name="_Toc367284455"/>
      <w:r w:rsidRPr="00234F53">
        <w:rPr>
          <w:rFonts w:asciiTheme="minorHAnsi" w:hAnsiTheme="minorHAnsi" w:cstheme="minorHAnsi"/>
          <w:caps w:val="0"/>
          <w:szCs w:val="26"/>
        </w:rPr>
        <w:lastRenderedPageBreak/>
        <w:t>GAMBLING</w:t>
      </w:r>
      <w:r>
        <w:rPr>
          <w:rFonts w:asciiTheme="minorHAnsi" w:hAnsiTheme="minorHAnsi" w:cstheme="minorHAnsi"/>
          <w:caps w:val="0"/>
          <w:szCs w:val="26"/>
        </w:rPr>
        <w:t xml:space="preserve"> AND PACIFIC YOUNG PEOPLE IN NEW ZEALAND</w:t>
      </w:r>
      <w:bookmarkEnd w:id="180"/>
    </w:p>
    <w:p w:rsidR="00043311" w:rsidRPr="00B95AC9" w:rsidRDefault="00043311" w:rsidP="0042130F">
      <w:pPr>
        <w:spacing w:line="360" w:lineRule="auto"/>
        <w:ind w:right="-1"/>
        <w:rPr>
          <w:rFonts w:asciiTheme="minorHAnsi" w:hAnsiTheme="minorHAnsi" w:cstheme="minorHAnsi"/>
          <w:b/>
        </w:rPr>
      </w:pPr>
      <w:r w:rsidRPr="00D26C24">
        <w:rPr>
          <w:rFonts w:asciiTheme="minorHAnsi" w:hAnsiTheme="minorHAnsi" w:cstheme="minorHAnsi"/>
        </w:rPr>
        <w:t>This section presents key findings on the gambling behaviours of Pacific young people living in New Zealand.  The results are drawn from the Youth’12 nationally representative survey of secondary school students, conducted in 2012.  Youth’12 surveyed a large randomly-selected sample of secondary school students.  The results provided here are based on the 1201 students who were categorised as Pacific</w:t>
      </w:r>
      <w:r>
        <w:rPr>
          <w:rStyle w:val="FootnoteReference"/>
          <w:rFonts w:asciiTheme="minorHAnsi" w:hAnsiTheme="minorHAnsi"/>
        </w:rPr>
        <w:footnoteReference w:id="21"/>
      </w:r>
      <w:r w:rsidRPr="00D26C24">
        <w:rPr>
          <w:rFonts w:asciiTheme="minorHAnsi" w:hAnsiTheme="minorHAnsi" w:cstheme="minorHAnsi"/>
        </w:rPr>
        <w:t xml:space="preserve"> and some comparisons are made to the 4024 students categorised as New Zealand European from Youth’12.  Pacific young people included students who identified as Samoan, Cook Island Māori, Tongan, Niuean, Tokelauan, Fijian or ‘Other Pacific Peoples’. </w:t>
      </w:r>
      <w:r w:rsidRPr="00B95AC9">
        <w:rPr>
          <w:rFonts w:asciiTheme="minorHAnsi" w:hAnsiTheme="minorHAnsi" w:cstheme="minorHAnsi"/>
          <w:b/>
        </w:rPr>
        <w:t>Pacific students therefore constitute a range of different ethnic groups, and as such there may be meaningful differences in relation to gambling and the various Pacific ethnic groups.  However, due to the small number of participants from certain Pacific ethnic groups, further sub-group analyses were not possible.</w:t>
      </w:r>
    </w:p>
    <w:p w:rsidR="00043311" w:rsidRPr="00B95AC9" w:rsidRDefault="00043311" w:rsidP="00043311">
      <w:pPr>
        <w:pStyle w:val="Heading2"/>
        <w:numPr>
          <w:ilvl w:val="1"/>
          <w:numId w:val="36"/>
        </w:numPr>
      </w:pPr>
      <w:bookmarkStart w:id="181" w:name="_Toc367284456"/>
      <w:r w:rsidRPr="00B95AC9">
        <w:t>Youth gambling behaviours</w:t>
      </w:r>
      <w:bookmarkEnd w:id="181"/>
    </w:p>
    <w:p w:rsidR="00043311" w:rsidRPr="00B95AC9" w:rsidRDefault="00043311" w:rsidP="0042130F">
      <w:pPr>
        <w:rPr>
          <w:rFonts w:asciiTheme="minorHAnsi" w:hAnsiTheme="minorHAnsi" w:cstheme="minorHAnsi"/>
        </w:rPr>
      </w:pPr>
      <w:r w:rsidRPr="00B95AC9">
        <w:rPr>
          <w:rFonts w:asciiTheme="minorHAnsi" w:hAnsiTheme="minorHAnsi" w:cstheme="minorHAnsi"/>
        </w:rPr>
        <w:t>The Youth’12 survey showed that:</w:t>
      </w:r>
    </w:p>
    <w:p w:rsidR="00043311" w:rsidRPr="00B95AC9" w:rsidRDefault="00043311" w:rsidP="0042130F">
      <w:pPr>
        <w:pStyle w:val="ListParagraph"/>
        <w:numPr>
          <w:ilvl w:val="2"/>
          <w:numId w:val="9"/>
        </w:numPr>
        <w:spacing w:line="360" w:lineRule="auto"/>
        <w:ind w:left="567"/>
        <w:rPr>
          <w:rFonts w:asciiTheme="minorHAnsi" w:hAnsiTheme="minorHAnsi" w:cstheme="minorHAnsi"/>
        </w:rPr>
      </w:pPr>
      <w:r w:rsidRPr="00B95AC9">
        <w:rPr>
          <w:rFonts w:asciiTheme="minorHAnsi" w:hAnsiTheme="minorHAnsi" w:cstheme="minorHAnsi"/>
        </w:rPr>
        <w:t>One in four Pacific students (26%) had gambled in the last 12 months (264 Pacific students).  Of those Pacific students who had gambled in the previous 12 months, approximately half (or 14% of the entire Pacific student population) had gambled in the last four weeks (142 students).</w:t>
      </w:r>
    </w:p>
    <w:p w:rsidR="00043311" w:rsidRPr="00EB7874" w:rsidRDefault="00043311" w:rsidP="0042130F">
      <w:pPr>
        <w:pStyle w:val="ListParagraph"/>
        <w:numPr>
          <w:ilvl w:val="2"/>
          <w:numId w:val="9"/>
        </w:numPr>
        <w:spacing w:line="360" w:lineRule="auto"/>
        <w:ind w:left="567"/>
        <w:rPr>
          <w:rFonts w:asciiTheme="minorHAnsi" w:hAnsiTheme="minorHAnsi" w:cstheme="minorHAnsi"/>
        </w:rPr>
      </w:pPr>
      <w:r>
        <w:rPr>
          <w:rFonts w:asciiTheme="minorHAnsi" w:hAnsiTheme="minorHAnsi" w:cstheme="minorHAnsi"/>
        </w:rPr>
        <w:t>A</w:t>
      </w:r>
      <w:r w:rsidRPr="00F407DD">
        <w:rPr>
          <w:rFonts w:asciiTheme="minorHAnsi" w:hAnsiTheme="minorHAnsi" w:cstheme="minorHAnsi"/>
        </w:rPr>
        <w:t xml:space="preserve"> similar proportion </w:t>
      </w:r>
      <w:r>
        <w:rPr>
          <w:rFonts w:asciiTheme="minorHAnsi" w:hAnsiTheme="minorHAnsi" w:cstheme="minorHAnsi"/>
        </w:rPr>
        <w:t>of Pacific</w:t>
      </w:r>
      <w:r w:rsidRPr="00F407DD">
        <w:rPr>
          <w:rFonts w:asciiTheme="minorHAnsi" w:hAnsiTheme="minorHAnsi" w:cstheme="minorHAnsi"/>
        </w:rPr>
        <w:t xml:space="preserve"> students reported gambl</w:t>
      </w:r>
      <w:r>
        <w:rPr>
          <w:rFonts w:asciiTheme="minorHAnsi" w:hAnsiTheme="minorHAnsi" w:cstheme="minorHAnsi"/>
        </w:rPr>
        <w:t>ing</w:t>
      </w:r>
      <w:r w:rsidRPr="00F407DD">
        <w:rPr>
          <w:rFonts w:asciiTheme="minorHAnsi" w:hAnsiTheme="minorHAnsi" w:cstheme="minorHAnsi"/>
        </w:rPr>
        <w:t xml:space="preserve"> in the last 12 months when compared to NZ European students (</w:t>
      </w:r>
      <w:r>
        <w:rPr>
          <w:rFonts w:asciiTheme="minorHAnsi" w:hAnsiTheme="minorHAnsi" w:cstheme="minorHAnsi"/>
        </w:rPr>
        <w:t>26%, 264 Pacific</w:t>
      </w:r>
      <w:r w:rsidRPr="00F407DD">
        <w:rPr>
          <w:rFonts w:asciiTheme="minorHAnsi" w:hAnsiTheme="minorHAnsi" w:cstheme="minorHAnsi"/>
        </w:rPr>
        <w:t xml:space="preserve"> </w:t>
      </w:r>
      <w:r>
        <w:rPr>
          <w:rFonts w:asciiTheme="minorHAnsi" w:hAnsiTheme="minorHAnsi" w:cstheme="minorHAnsi"/>
        </w:rPr>
        <w:t xml:space="preserve">students and </w:t>
      </w:r>
      <w:r w:rsidRPr="00F407DD">
        <w:rPr>
          <w:rFonts w:asciiTheme="minorHAnsi" w:hAnsiTheme="minorHAnsi" w:cstheme="minorHAnsi"/>
        </w:rPr>
        <w:t>24%, 916 NZ European students)</w:t>
      </w:r>
      <w:r w:rsidRPr="00EB7874">
        <w:rPr>
          <w:rFonts w:asciiTheme="minorHAnsi" w:hAnsiTheme="minorHAnsi" w:cstheme="minorHAnsi"/>
        </w:rPr>
        <w:t xml:space="preserve">. A significantly higher proportion of Pacific students had gambled in the last four weeks (14%) compared to NZ European students (9%, 335 New Zealand European students) (p=0.0009). </w:t>
      </w:r>
    </w:p>
    <w:p w:rsidR="00043311" w:rsidRDefault="00043311" w:rsidP="0042130F">
      <w:pPr>
        <w:spacing w:line="360" w:lineRule="auto"/>
        <w:ind w:left="207"/>
        <w:rPr>
          <w:rFonts w:asciiTheme="minorHAnsi" w:hAnsiTheme="minorHAnsi" w:cstheme="minorHAnsi"/>
        </w:rPr>
      </w:pPr>
    </w:p>
    <w:p w:rsidR="00043311" w:rsidRPr="00AE5985" w:rsidRDefault="00043311" w:rsidP="0042130F">
      <w:pPr>
        <w:pStyle w:val="Caption"/>
        <w:keepNext/>
        <w:spacing w:line="276" w:lineRule="auto"/>
        <w:rPr>
          <w:rFonts w:asciiTheme="minorHAnsi" w:hAnsiTheme="minorHAnsi" w:cstheme="minorHAnsi"/>
        </w:rPr>
      </w:pPr>
      <w:bookmarkStart w:id="182" w:name="_Toc367285533"/>
      <w:r w:rsidRPr="001A2437">
        <w:rPr>
          <w:rFonts w:asciiTheme="minorHAnsi" w:hAnsiTheme="minorHAnsi" w:cstheme="minorHAnsi"/>
          <w:i/>
        </w:rPr>
        <w:lastRenderedPageBreak/>
        <w:t xml:space="preserve">Figure </w:t>
      </w:r>
      <w:r w:rsidR="007B447B" w:rsidRPr="001A2437">
        <w:rPr>
          <w:rFonts w:asciiTheme="minorHAnsi" w:hAnsiTheme="minorHAnsi" w:cstheme="minorHAnsi"/>
          <w:i/>
        </w:rPr>
        <w:fldChar w:fldCharType="begin"/>
      </w:r>
      <w:r w:rsidRPr="001A2437">
        <w:rPr>
          <w:rFonts w:asciiTheme="minorHAnsi" w:hAnsiTheme="minorHAnsi" w:cstheme="minorHAnsi"/>
          <w:i/>
        </w:rPr>
        <w:instrText xml:space="preserve"> SEQ Figure \* ARABIC </w:instrText>
      </w:r>
      <w:r w:rsidR="007B447B" w:rsidRPr="001A2437">
        <w:rPr>
          <w:rFonts w:asciiTheme="minorHAnsi" w:hAnsiTheme="minorHAnsi" w:cstheme="minorHAnsi"/>
          <w:i/>
        </w:rPr>
        <w:fldChar w:fldCharType="separate"/>
      </w:r>
      <w:r w:rsidR="009E3D1C">
        <w:rPr>
          <w:rFonts w:asciiTheme="minorHAnsi" w:hAnsiTheme="minorHAnsi" w:cstheme="minorHAnsi"/>
          <w:i/>
          <w:noProof/>
        </w:rPr>
        <w:t>17</w:t>
      </w:r>
      <w:r w:rsidR="007B447B" w:rsidRPr="001A2437">
        <w:rPr>
          <w:rFonts w:asciiTheme="minorHAnsi" w:hAnsiTheme="minorHAnsi" w:cstheme="minorHAnsi"/>
          <w:i/>
        </w:rPr>
        <w:fldChar w:fldCharType="end"/>
      </w:r>
      <w:r w:rsidRPr="001A2437">
        <w:rPr>
          <w:rFonts w:asciiTheme="minorHAnsi" w:hAnsiTheme="minorHAnsi" w:cstheme="minorHAnsi"/>
          <w:i/>
        </w:rPr>
        <w:t xml:space="preserve">: </w:t>
      </w:r>
      <w:r w:rsidRPr="00E3310E">
        <w:rPr>
          <w:rFonts w:asciiTheme="minorHAnsi" w:hAnsiTheme="minorHAnsi" w:cstheme="minorHAnsi"/>
          <w:i/>
        </w:rPr>
        <w:t>Gambling over past year and past month</w:t>
      </w:r>
      <w:r>
        <w:rPr>
          <w:rFonts w:asciiTheme="minorHAnsi" w:hAnsiTheme="minorHAnsi" w:cstheme="minorHAnsi"/>
          <w:i/>
        </w:rPr>
        <w:t xml:space="preserve"> for Pacific and NZ European students (among all Pacific and NZ European students; n=4859)</w:t>
      </w:r>
      <w:bookmarkEnd w:id="182"/>
    </w:p>
    <w:p w:rsidR="00043311" w:rsidRPr="004A0F9A" w:rsidRDefault="00043311" w:rsidP="0042130F">
      <w:pPr>
        <w:spacing w:before="0" w:after="200" w:line="240" w:lineRule="auto"/>
        <w:jc w:val="center"/>
        <w:rPr>
          <w:rFonts w:asciiTheme="minorHAnsi" w:eastAsia="Calibri" w:hAnsiTheme="minorHAnsi" w:cs="Arial"/>
          <w:b/>
          <w:sz w:val="24"/>
          <w:szCs w:val="22"/>
        </w:rPr>
      </w:pPr>
      <w:r w:rsidRPr="004A0F9A">
        <w:rPr>
          <w:rFonts w:asciiTheme="minorHAnsi" w:eastAsia="Calibri" w:hAnsiTheme="minorHAnsi"/>
          <w:noProof/>
          <w:szCs w:val="22"/>
          <w:lang w:eastAsia="en-NZ"/>
        </w:rPr>
        <w:drawing>
          <wp:inline distT="0" distB="0" distL="0" distR="0" wp14:anchorId="3ABA8433" wp14:editId="206E701F">
            <wp:extent cx="5331854" cy="3116687"/>
            <wp:effectExtent l="0" t="0" r="2540" b="762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43311" w:rsidRPr="00B95AC9" w:rsidRDefault="00043311" w:rsidP="0042130F">
      <w:pPr>
        <w:pStyle w:val="ListParagraph"/>
        <w:numPr>
          <w:ilvl w:val="2"/>
          <w:numId w:val="9"/>
        </w:numPr>
        <w:spacing w:line="360" w:lineRule="auto"/>
        <w:ind w:left="567"/>
        <w:rPr>
          <w:rFonts w:asciiTheme="minorHAnsi" w:hAnsiTheme="minorHAnsi" w:cstheme="minorHAnsi"/>
        </w:rPr>
      </w:pPr>
      <w:r w:rsidRPr="00B95AC9">
        <w:rPr>
          <w:rFonts w:asciiTheme="minorHAnsi" w:hAnsiTheme="minorHAnsi" w:cstheme="minorHAnsi"/>
        </w:rPr>
        <w:t xml:space="preserve">A small proportion of Pacific students who gamble spend $20 or more in a typical week gambling (4% or 11 students) and a similar proportion of Pacific students who gamble usually do so for 30 or more minutes per day (5% or 14 students). </w:t>
      </w:r>
    </w:p>
    <w:p w:rsidR="00043311" w:rsidRPr="00B95AC9" w:rsidRDefault="00043311" w:rsidP="0042130F">
      <w:pPr>
        <w:pStyle w:val="ListParagraph"/>
        <w:numPr>
          <w:ilvl w:val="2"/>
          <w:numId w:val="9"/>
        </w:numPr>
        <w:spacing w:line="360" w:lineRule="auto"/>
        <w:ind w:left="567"/>
        <w:rPr>
          <w:rFonts w:asciiTheme="minorHAnsi" w:hAnsiTheme="minorHAnsi" w:cstheme="minorHAnsi"/>
        </w:rPr>
      </w:pPr>
      <w:r w:rsidRPr="00B95AC9">
        <w:rPr>
          <w:rFonts w:asciiTheme="minorHAnsi" w:hAnsiTheme="minorHAnsi" w:cstheme="minorHAnsi"/>
        </w:rPr>
        <w:t xml:space="preserve">Of the Pacific students who had gambled, 111 students were worried about how much time or money they spent gambling (36%), whereas a significantly lower proportion of New Zealand European students (6%, 59 students) who had gambled were worried about this (p&lt;0.0001). </w:t>
      </w:r>
    </w:p>
    <w:p w:rsidR="00043311" w:rsidRPr="00B95AC9" w:rsidRDefault="00043311" w:rsidP="0042130F">
      <w:pPr>
        <w:pStyle w:val="Heading2"/>
      </w:pPr>
      <w:bookmarkStart w:id="183" w:name="_Toc367284457"/>
      <w:r w:rsidRPr="00B95AC9">
        <w:t>Parent/caregiver gambling behaviour</w:t>
      </w:r>
      <w:bookmarkEnd w:id="183"/>
      <w:r w:rsidRPr="00B95AC9">
        <w:t xml:space="preserve"> </w:t>
      </w:r>
    </w:p>
    <w:p w:rsidR="00043311" w:rsidRPr="00B95AC9" w:rsidRDefault="00043311" w:rsidP="0042130F">
      <w:pPr>
        <w:pStyle w:val="ListParagraph"/>
        <w:numPr>
          <w:ilvl w:val="2"/>
          <w:numId w:val="9"/>
        </w:numPr>
        <w:spacing w:line="360" w:lineRule="auto"/>
        <w:ind w:left="567"/>
        <w:rPr>
          <w:rFonts w:asciiTheme="minorHAnsi" w:hAnsiTheme="minorHAnsi" w:cstheme="minorHAnsi"/>
        </w:rPr>
      </w:pPr>
      <w:r w:rsidRPr="00B95AC9">
        <w:rPr>
          <w:rFonts w:asciiTheme="minorHAnsi" w:hAnsiTheme="minorHAnsi" w:cstheme="minorHAnsi"/>
        </w:rPr>
        <w:t>A similar proportion of Pacific students (69%) and New Zealand European students (72%) reported that their parent or caregiver gambles (733 Pacific students and 2826 NZ European students).</w:t>
      </w:r>
    </w:p>
    <w:p w:rsidR="00043311" w:rsidRPr="00B95AC9" w:rsidRDefault="00043311" w:rsidP="0042130F">
      <w:pPr>
        <w:pStyle w:val="ListParagraph"/>
        <w:numPr>
          <w:ilvl w:val="2"/>
          <w:numId w:val="9"/>
        </w:numPr>
        <w:spacing w:line="360" w:lineRule="auto"/>
        <w:ind w:left="567"/>
        <w:rPr>
          <w:rFonts w:asciiTheme="minorHAnsi" w:hAnsiTheme="minorHAnsi" w:cstheme="minorHAnsi"/>
        </w:rPr>
      </w:pPr>
      <w:r w:rsidRPr="00B95AC9">
        <w:rPr>
          <w:rFonts w:asciiTheme="minorHAnsi" w:hAnsiTheme="minorHAnsi" w:cstheme="minorHAnsi"/>
        </w:rPr>
        <w:t>Among students who had gambled in the last 12 months, a significantly greater proportion of Pacific students (24% or 74 Pacific students) than New Zealand European students (5% or 45 NZ European students) had worried about the gambling behaviours of others they live with (e.g. parents or caregivers gambling) (p&lt;0.0001).</w:t>
      </w:r>
    </w:p>
    <w:p w:rsidR="00043311" w:rsidRDefault="00043311">
      <w:pPr>
        <w:spacing w:before="0" w:line="240" w:lineRule="auto"/>
        <w:jc w:val="left"/>
        <w:rPr>
          <w:rFonts w:asciiTheme="minorHAnsi" w:hAnsiTheme="minorHAnsi" w:cstheme="minorHAnsi"/>
          <w:b/>
          <w:bCs/>
          <w:iCs/>
          <w:color w:val="1F497D"/>
          <w:szCs w:val="22"/>
        </w:rPr>
      </w:pPr>
      <w:r>
        <w:br w:type="page"/>
      </w:r>
    </w:p>
    <w:p w:rsidR="00043311" w:rsidRPr="00B95AC9" w:rsidRDefault="00043311" w:rsidP="0042130F">
      <w:pPr>
        <w:pStyle w:val="Heading2"/>
      </w:pPr>
      <w:bookmarkStart w:id="184" w:name="_Toc367284458"/>
      <w:r w:rsidRPr="00B95AC9">
        <w:lastRenderedPageBreak/>
        <w:t>Socioeconomic factors and gambling</w:t>
      </w:r>
      <w:bookmarkEnd w:id="184"/>
      <w:r w:rsidRPr="00B95AC9">
        <w:t xml:space="preserve"> </w:t>
      </w:r>
    </w:p>
    <w:p w:rsidR="00043311" w:rsidRDefault="00043311" w:rsidP="0042130F">
      <w:pPr>
        <w:pStyle w:val="ListParagraph"/>
        <w:numPr>
          <w:ilvl w:val="2"/>
          <w:numId w:val="9"/>
        </w:numPr>
        <w:spacing w:line="360" w:lineRule="auto"/>
        <w:ind w:left="567"/>
        <w:rPr>
          <w:rFonts w:asciiTheme="minorHAnsi" w:hAnsiTheme="minorHAnsi" w:cstheme="minorHAnsi"/>
        </w:rPr>
      </w:pPr>
      <w:r w:rsidRPr="00B95AC9">
        <w:rPr>
          <w:rFonts w:asciiTheme="minorHAnsi" w:hAnsiTheme="minorHAnsi" w:cstheme="minorHAnsi"/>
        </w:rPr>
        <w:t xml:space="preserve">Higher levels of socioeconomic deprivation appeared linked to gambling. In particular, a greater proportion (more than a quarter) of Pacific students from neighbourhoods with higher levels of socioeconomic hardship (based on the NZ Deprivation Index), were more likely to be worried about the gambling behaviour of others relative to those from neighbourhoods with medium levels of socio-economic deprivation (p&lt;0.0001). </w:t>
      </w:r>
    </w:p>
    <w:p w:rsidR="00043311" w:rsidRPr="00AE5985" w:rsidRDefault="00043311" w:rsidP="0042130F">
      <w:pPr>
        <w:pStyle w:val="Caption"/>
        <w:keepNext/>
        <w:spacing w:line="276" w:lineRule="auto"/>
        <w:rPr>
          <w:rFonts w:asciiTheme="minorHAnsi" w:hAnsiTheme="minorHAnsi" w:cstheme="minorHAnsi"/>
        </w:rPr>
      </w:pPr>
      <w:bookmarkStart w:id="185" w:name="_Toc367285534"/>
      <w:r w:rsidRPr="001A2437">
        <w:rPr>
          <w:rFonts w:asciiTheme="minorHAnsi" w:hAnsiTheme="minorHAnsi" w:cstheme="minorHAnsi"/>
          <w:i/>
        </w:rPr>
        <w:t xml:space="preserve">Figure </w:t>
      </w:r>
      <w:r w:rsidR="007B447B" w:rsidRPr="001A2437">
        <w:rPr>
          <w:rFonts w:asciiTheme="minorHAnsi" w:hAnsiTheme="minorHAnsi" w:cstheme="minorHAnsi"/>
          <w:i/>
        </w:rPr>
        <w:fldChar w:fldCharType="begin"/>
      </w:r>
      <w:r w:rsidRPr="001A2437">
        <w:rPr>
          <w:rFonts w:asciiTheme="minorHAnsi" w:hAnsiTheme="minorHAnsi" w:cstheme="minorHAnsi"/>
          <w:i/>
        </w:rPr>
        <w:instrText xml:space="preserve"> SEQ Figure \* ARABIC </w:instrText>
      </w:r>
      <w:r w:rsidR="007B447B" w:rsidRPr="001A2437">
        <w:rPr>
          <w:rFonts w:asciiTheme="minorHAnsi" w:hAnsiTheme="minorHAnsi" w:cstheme="minorHAnsi"/>
          <w:i/>
        </w:rPr>
        <w:fldChar w:fldCharType="separate"/>
      </w:r>
      <w:r w:rsidR="009E3D1C">
        <w:rPr>
          <w:rFonts w:asciiTheme="minorHAnsi" w:hAnsiTheme="minorHAnsi" w:cstheme="minorHAnsi"/>
          <w:i/>
          <w:noProof/>
        </w:rPr>
        <w:t>18</w:t>
      </w:r>
      <w:r w:rsidR="007B447B" w:rsidRPr="001A2437">
        <w:rPr>
          <w:rFonts w:asciiTheme="minorHAnsi" w:hAnsiTheme="minorHAnsi" w:cstheme="minorHAnsi"/>
          <w:i/>
        </w:rPr>
        <w:fldChar w:fldCharType="end"/>
      </w:r>
      <w:r w:rsidRPr="001A2437">
        <w:rPr>
          <w:rFonts w:asciiTheme="minorHAnsi" w:hAnsiTheme="minorHAnsi" w:cstheme="minorHAnsi"/>
          <w:i/>
        </w:rPr>
        <w:t xml:space="preserve">: </w:t>
      </w:r>
      <w:r>
        <w:rPr>
          <w:rFonts w:asciiTheme="minorHAnsi" w:hAnsiTheme="minorHAnsi" w:cstheme="minorHAnsi"/>
          <w:i/>
        </w:rPr>
        <w:t>Socioeconomic deprivation and gambling (among all Pacific students; n=309)</w:t>
      </w:r>
      <w:bookmarkEnd w:id="185"/>
    </w:p>
    <w:p w:rsidR="00043311" w:rsidRPr="004A0F9A" w:rsidRDefault="00043311" w:rsidP="0042130F">
      <w:pPr>
        <w:spacing w:before="0" w:after="200" w:line="276" w:lineRule="auto"/>
        <w:ind w:firstLine="720"/>
        <w:rPr>
          <w:rFonts w:asciiTheme="minorHAnsi" w:hAnsiTheme="minorHAnsi"/>
          <w:noProof/>
          <w:lang w:eastAsia="en-NZ"/>
        </w:rPr>
      </w:pPr>
      <w:r>
        <w:rPr>
          <w:noProof/>
          <w:lang w:eastAsia="en-NZ"/>
        </w:rPr>
        <w:drawing>
          <wp:inline distT="0" distB="0" distL="0" distR="0" wp14:anchorId="47D015B3" wp14:editId="14DD55F6">
            <wp:extent cx="5943600" cy="2540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43311" w:rsidRPr="00F407DD" w:rsidRDefault="00043311" w:rsidP="0042130F">
      <w:pPr>
        <w:pStyle w:val="Heading2"/>
      </w:pPr>
      <w:bookmarkStart w:id="186" w:name="_Toc367284459"/>
      <w:r>
        <w:lastRenderedPageBreak/>
        <w:t>Summary: Gambling and Pacific young people in New Zealand</w:t>
      </w:r>
      <w:bookmarkEnd w:id="186"/>
      <w:r w:rsidRPr="00F407DD">
        <w:t xml:space="preserve"> </w:t>
      </w:r>
    </w:p>
    <w:p w:rsidR="00043311" w:rsidRPr="00B95AC9" w:rsidRDefault="00082F17" w:rsidP="0042130F">
      <w:pPr>
        <w:rPr>
          <w:rFonts w:asciiTheme="minorHAnsi" w:hAnsiTheme="minorHAnsi" w:cs="Arial"/>
          <w:sz w:val="24"/>
        </w:rPr>
      </w:pPr>
      <w:r>
        <w:rPr>
          <w:rFonts w:asciiTheme="minorHAnsi" w:hAnsiTheme="minorHAnsi" w:cstheme="minorHAnsi"/>
          <w:noProof/>
          <w:lang w:eastAsia="en-NZ"/>
        </w:rPr>
      </w:r>
      <w:r>
        <w:rPr>
          <w:rFonts w:asciiTheme="minorHAnsi" w:hAnsiTheme="minorHAnsi" w:cstheme="minorHAnsi"/>
          <w:noProof/>
          <w:lang w:eastAsia="en-NZ"/>
        </w:rPr>
        <w:pict>
          <v:shape id="Text Box 291" o:spid="_x0000_s1040" type="#_x0000_t202" style="width:526.5pt;height:120.7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" fillcolor="#c6d9f1 [671]" stroked="f">
            <v:textbox style="mso-fit-shape-to-text:t">
              <w:txbxContent>
                <w:p w:rsidR="00B45826" w:rsidRPr="007B41B2" w:rsidRDefault="00B45826" w:rsidP="0042130F">
                  <w:pPr>
                    <w:spacing w:line="276" w:lineRule="auto"/>
                    <w:rPr>
                      <w:rFonts w:asciiTheme="minorHAnsi" w:hAnsiTheme="minorHAnsi" w:cstheme="minorHAnsi"/>
                      <w:b/>
                    </w:rPr>
                  </w:pPr>
                  <w:r>
                    <w:rPr>
                      <w:rFonts w:asciiTheme="minorHAnsi" w:hAnsiTheme="minorHAnsi" w:cstheme="minorHAnsi"/>
                      <w:b/>
                    </w:rPr>
                    <w:t>KEY POINTS</w:t>
                  </w:r>
                  <w:r w:rsidRPr="007B41B2">
                    <w:rPr>
                      <w:rFonts w:asciiTheme="minorHAnsi" w:hAnsiTheme="minorHAnsi" w:cstheme="minorHAnsi"/>
                      <w:b/>
                    </w:rPr>
                    <w:t>:</w:t>
                  </w:r>
                </w:p>
                <w:p w:rsidR="00B45826" w:rsidRDefault="00B45826" w:rsidP="0042130F">
                  <w:pPr>
                    <w:pStyle w:val="ListParagraph"/>
                    <w:numPr>
                      <w:ilvl w:val="0"/>
                      <w:numId w:val="10"/>
                    </w:numPr>
                    <w:spacing w:line="276" w:lineRule="auto"/>
                    <w:ind w:left="426"/>
                    <w:rPr>
                      <w:rFonts w:asciiTheme="minorHAnsi" w:hAnsiTheme="minorHAnsi" w:cstheme="minorHAnsi"/>
                    </w:rPr>
                  </w:pPr>
                  <w:r w:rsidRPr="007B3F4D">
                    <w:rPr>
                      <w:rFonts w:asciiTheme="minorHAnsi" w:hAnsiTheme="minorHAnsi" w:cstheme="minorHAnsi"/>
                    </w:rPr>
                    <w:t>One-quarter (</w:t>
                  </w:r>
                  <w:r>
                    <w:rPr>
                      <w:rFonts w:asciiTheme="minorHAnsi" w:hAnsiTheme="minorHAnsi" w:cstheme="minorHAnsi"/>
                    </w:rPr>
                    <w:t>26</w:t>
                  </w:r>
                  <w:r w:rsidRPr="007B3F4D">
                    <w:rPr>
                      <w:rFonts w:asciiTheme="minorHAnsi" w:hAnsiTheme="minorHAnsi" w:cstheme="minorHAnsi"/>
                    </w:rPr>
                    <w:t xml:space="preserve">%) of </w:t>
                  </w:r>
                  <w:r>
                    <w:rPr>
                      <w:rFonts w:asciiTheme="minorHAnsi" w:hAnsiTheme="minorHAnsi" w:cstheme="minorHAnsi"/>
                    </w:rPr>
                    <w:t>Pacific</w:t>
                  </w:r>
                  <w:r w:rsidRPr="007B3F4D">
                    <w:rPr>
                      <w:rFonts w:asciiTheme="minorHAnsi" w:hAnsiTheme="minorHAnsi" w:cstheme="minorHAnsi"/>
                    </w:rPr>
                    <w:t xml:space="preserve"> students had gambled in the last year, and 1</w:t>
                  </w:r>
                  <w:r>
                    <w:rPr>
                      <w:rFonts w:asciiTheme="minorHAnsi" w:hAnsiTheme="minorHAnsi" w:cstheme="minorHAnsi"/>
                    </w:rPr>
                    <w:t>4</w:t>
                  </w:r>
                  <w:r w:rsidRPr="007B3F4D">
                    <w:rPr>
                      <w:rFonts w:asciiTheme="minorHAnsi" w:hAnsiTheme="minorHAnsi" w:cstheme="minorHAnsi"/>
                    </w:rPr>
                    <w:t>% had gambled in the last four weeks. Of those who had gambled in the past year, very few had spent more than $20 per week (</w:t>
                  </w:r>
                  <w:r>
                    <w:rPr>
                      <w:rFonts w:asciiTheme="minorHAnsi" w:hAnsiTheme="minorHAnsi" w:cstheme="minorHAnsi"/>
                    </w:rPr>
                    <w:t>4</w:t>
                  </w:r>
                  <w:r w:rsidRPr="007B3F4D">
                    <w:rPr>
                      <w:rFonts w:asciiTheme="minorHAnsi" w:hAnsiTheme="minorHAnsi" w:cstheme="minorHAnsi"/>
                    </w:rPr>
                    <w:t>%) or more than 30 minutes a day gambling (</w:t>
                  </w:r>
                  <w:r>
                    <w:rPr>
                      <w:rFonts w:asciiTheme="minorHAnsi" w:hAnsiTheme="minorHAnsi" w:cstheme="minorHAnsi"/>
                    </w:rPr>
                    <w:t>5</w:t>
                  </w:r>
                  <w:r w:rsidRPr="007B3F4D">
                    <w:rPr>
                      <w:rFonts w:asciiTheme="minorHAnsi" w:hAnsiTheme="minorHAnsi" w:cstheme="minorHAnsi"/>
                    </w:rPr>
                    <w:t>%).</w:t>
                  </w:r>
                </w:p>
                <w:p w:rsidR="00B45826" w:rsidRDefault="00B45826" w:rsidP="0042130F">
                  <w:pPr>
                    <w:pStyle w:val="ListParagraph"/>
                    <w:spacing w:line="276" w:lineRule="auto"/>
                    <w:ind w:left="426"/>
                    <w:rPr>
                      <w:rFonts w:asciiTheme="minorHAnsi" w:hAnsiTheme="minorHAnsi" w:cstheme="minorHAnsi"/>
                    </w:rPr>
                  </w:pPr>
                </w:p>
                <w:p w:rsidR="00B45826" w:rsidRPr="00B31A58" w:rsidRDefault="00B45826" w:rsidP="0042130F">
                  <w:pPr>
                    <w:pStyle w:val="ListParagraph"/>
                    <w:numPr>
                      <w:ilvl w:val="0"/>
                      <w:numId w:val="10"/>
                    </w:numPr>
                    <w:spacing w:line="276" w:lineRule="auto"/>
                    <w:ind w:left="426"/>
                    <w:rPr>
                      <w:rFonts w:asciiTheme="minorHAnsi" w:hAnsiTheme="minorHAnsi" w:cstheme="minorHAnsi"/>
                    </w:rPr>
                  </w:pPr>
                  <w:r w:rsidRPr="007B3F4D">
                    <w:rPr>
                      <w:rFonts w:asciiTheme="minorHAnsi" w:hAnsiTheme="minorHAnsi" w:cstheme="minorHAnsi"/>
                    </w:rPr>
                    <w:t xml:space="preserve">Rates of gambling in the last 12 months were similar amongst </w:t>
                  </w:r>
                  <w:r>
                    <w:rPr>
                      <w:rFonts w:asciiTheme="minorHAnsi" w:hAnsiTheme="minorHAnsi" w:cstheme="minorHAnsi"/>
                    </w:rPr>
                    <w:t>Pacific</w:t>
                  </w:r>
                  <w:r w:rsidRPr="007B3F4D">
                    <w:rPr>
                      <w:rFonts w:asciiTheme="minorHAnsi" w:hAnsiTheme="minorHAnsi" w:cstheme="minorHAnsi"/>
                    </w:rPr>
                    <w:t xml:space="preserve"> and NZ European students (2</w:t>
                  </w:r>
                  <w:r>
                    <w:rPr>
                      <w:rFonts w:asciiTheme="minorHAnsi" w:hAnsiTheme="minorHAnsi" w:cstheme="minorHAnsi"/>
                    </w:rPr>
                    <w:t>6</w:t>
                  </w:r>
                  <w:r w:rsidRPr="007B3F4D">
                    <w:rPr>
                      <w:rFonts w:asciiTheme="minorHAnsi" w:hAnsiTheme="minorHAnsi" w:cstheme="minorHAnsi"/>
                    </w:rPr>
                    <w:t xml:space="preserve">% and </w:t>
                  </w:r>
                  <w:r w:rsidRPr="00B31A58">
                    <w:rPr>
                      <w:rFonts w:asciiTheme="minorHAnsi" w:hAnsiTheme="minorHAnsi" w:cstheme="minorHAnsi"/>
                    </w:rPr>
                    <w:t xml:space="preserve">24% respectively), although </w:t>
                  </w:r>
                  <w:r>
                    <w:rPr>
                      <w:rFonts w:asciiTheme="minorHAnsi" w:hAnsiTheme="minorHAnsi" w:cstheme="minorHAnsi"/>
                    </w:rPr>
                    <w:t>Pacific</w:t>
                  </w:r>
                  <w:r w:rsidRPr="00B31A58">
                    <w:rPr>
                      <w:rFonts w:asciiTheme="minorHAnsi" w:hAnsiTheme="minorHAnsi" w:cstheme="minorHAnsi"/>
                    </w:rPr>
                    <w:t xml:space="preserve"> students were more likely to have gambled in the last 4 weeks (1</w:t>
                  </w:r>
                  <w:r>
                    <w:rPr>
                      <w:rFonts w:asciiTheme="minorHAnsi" w:hAnsiTheme="minorHAnsi" w:cstheme="minorHAnsi"/>
                    </w:rPr>
                    <w:t>4</w:t>
                  </w:r>
                  <w:r w:rsidRPr="00B31A58">
                    <w:rPr>
                      <w:rFonts w:asciiTheme="minorHAnsi" w:hAnsiTheme="minorHAnsi" w:cstheme="minorHAnsi"/>
                    </w:rPr>
                    <w:t>% and 9% respectively).</w:t>
                  </w:r>
                </w:p>
                <w:p w:rsidR="00B45826" w:rsidRDefault="00B45826" w:rsidP="0042130F">
                  <w:pPr>
                    <w:pStyle w:val="ListParagraph"/>
                    <w:spacing w:line="276" w:lineRule="auto"/>
                    <w:ind w:left="426"/>
                    <w:rPr>
                      <w:rFonts w:asciiTheme="minorHAnsi" w:hAnsiTheme="minorHAnsi" w:cstheme="minorHAnsi"/>
                    </w:rPr>
                  </w:pPr>
                </w:p>
                <w:p w:rsidR="00B45826" w:rsidRDefault="00B45826" w:rsidP="0042130F">
                  <w:pPr>
                    <w:pStyle w:val="ListParagraph"/>
                    <w:numPr>
                      <w:ilvl w:val="0"/>
                      <w:numId w:val="10"/>
                    </w:numPr>
                    <w:spacing w:line="276" w:lineRule="auto"/>
                    <w:ind w:left="426"/>
                    <w:rPr>
                      <w:rFonts w:asciiTheme="minorHAnsi" w:hAnsiTheme="minorHAnsi" w:cstheme="minorHAnsi"/>
                    </w:rPr>
                  </w:pPr>
                  <w:r>
                    <w:rPr>
                      <w:rFonts w:asciiTheme="minorHAnsi" w:hAnsiTheme="minorHAnsi" w:cstheme="minorHAnsi"/>
                    </w:rPr>
                    <w:t>Pacific</w:t>
                  </w:r>
                  <w:r w:rsidRPr="007B3F4D">
                    <w:rPr>
                      <w:rFonts w:asciiTheme="minorHAnsi" w:hAnsiTheme="minorHAnsi" w:cstheme="minorHAnsi"/>
                    </w:rPr>
                    <w:t xml:space="preserve"> </w:t>
                  </w:r>
                  <w:r>
                    <w:rPr>
                      <w:rFonts w:asciiTheme="minorHAnsi" w:hAnsiTheme="minorHAnsi" w:cstheme="minorHAnsi"/>
                    </w:rPr>
                    <w:t xml:space="preserve">students </w:t>
                  </w:r>
                  <w:r w:rsidRPr="007B3F4D">
                    <w:rPr>
                      <w:rFonts w:asciiTheme="minorHAnsi" w:hAnsiTheme="minorHAnsi" w:cstheme="minorHAnsi"/>
                    </w:rPr>
                    <w:t>were much more likely to be worried about their gambling</w:t>
                  </w:r>
                  <w:r>
                    <w:rPr>
                      <w:rFonts w:asciiTheme="minorHAnsi" w:hAnsiTheme="minorHAnsi" w:cstheme="minorHAnsi"/>
                    </w:rPr>
                    <w:t xml:space="preserve"> than NZ European students</w:t>
                  </w:r>
                  <w:r w:rsidRPr="007B3F4D">
                    <w:rPr>
                      <w:rFonts w:asciiTheme="minorHAnsi" w:hAnsiTheme="minorHAnsi" w:cstheme="minorHAnsi"/>
                    </w:rPr>
                    <w:t xml:space="preserve"> (</w:t>
                  </w:r>
                  <w:r>
                    <w:rPr>
                      <w:rFonts w:asciiTheme="minorHAnsi" w:hAnsiTheme="minorHAnsi" w:cstheme="minorHAnsi"/>
                    </w:rPr>
                    <w:t>36</w:t>
                  </w:r>
                  <w:r w:rsidRPr="007B3F4D">
                    <w:rPr>
                      <w:rFonts w:asciiTheme="minorHAnsi" w:hAnsiTheme="minorHAnsi" w:cstheme="minorHAnsi"/>
                    </w:rPr>
                    <w:t xml:space="preserve">% </w:t>
                  </w:r>
                  <w:r>
                    <w:rPr>
                      <w:rFonts w:asciiTheme="minorHAnsi" w:hAnsiTheme="minorHAnsi" w:cstheme="minorHAnsi"/>
                    </w:rPr>
                    <w:t>of Pacific</w:t>
                  </w:r>
                  <w:r w:rsidRPr="007B3F4D">
                    <w:rPr>
                      <w:rFonts w:asciiTheme="minorHAnsi" w:hAnsiTheme="minorHAnsi" w:cstheme="minorHAnsi"/>
                    </w:rPr>
                    <w:t xml:space="preserve"> and 6% </w:t>
                  </w:r>
                  <w:r>
                    <w:rPr>
                      <w:rFonts w:asciiTheme="minorHAnsi" w:hAnsiTheme="minorHAnsi" w:cstheme="minorHAnsi"/>
                    </w:rPr>
                    <w:t xml:space="preserve">of NZ European students </w:t>
                  </w:r>
                  <w:r w:rsidRPr="00B31A58">
                    <w:rPr>
                      <w:rFonts w:asciiTheme="minorHAnsi" w:hAnsiTheme="minorHAnsi" w:cstheme="minorHAnsi"/>
                      <w:i/>
                    </w:rPr>
                    <w:t>who had gambled in the past year</w:t>
                  </w:r>
                  <w:r w:rsidRPr="007B3F4D">
                    <w:rPr>
                      <w:rFonts w:asciiTheme="minorHAnsi" w:hAnsiTheme="minorHAnsi" w:cstheme="minorHAnsi"/>
                    </w:rPr>
                    <w:t xml:space="preserve">). </w:t>
                  </w:r>
                </w:p>
                <w:p w:rsidR="00B45826" w:rsidRDefault="00B45826" w:rsidP="0042130F">
                  <w:pPr>
                    <w:pStyle w:val="ListParagraph"/>
                    <w:spacing w:line="276" w:lineRule="auto"/>
                    <w:ind w:left="426"/>
                    <w:rPr>
                      <w:rFonts w:asciiTheme="minorHAnsi" w:hAnsiTheme="minorHAnsi" w:cstheme="minorHAnsi"/>
                    </w:rPr>
                  </w:pPr>
                </w:p>
                <w:p w:rsidR="00B45826" w:rsidRPr="00987749" w:rsidRDefault="00B45826" w:rsidP="0042130F">
                  <w:pPr>
                    <w:pStyle w:val="ListParagraph"/>
                    <w:numPr>
                      <w:ilvl w:val="0"/>
                      <w:numId w:val="10"/>
                    </w:numPr>
                    <w:spacing w:line="276" w:lineRule="auto"/>
                    <w:ind w:left="426"/>
                    <w:rPr>
                      <w:rFonts w:asciiTheme="minorHAnsi" w:hAnsiTheme="minorHAnsi" w:cstheme="minorHAnsi"/>
                    </w:rPr>
                  </w:pPr>
                  <w:r>
                    <w:rPr>
                      <w:rFonts w:asciiTheme="minorHAnsi" w:hAnsiTheme="minorHAnsi" w:cstheme="minorHAnsi"/>
                    </w:rPr>
                    <w:t>69</w:t>
                  </w:r>
                  <w:r w:rsidRPr="00B31A58">
                    <w:rPr>
                      <w:rFonts w:asciiTheme="minorHAnsi" w:hAnsiTheme="minorHAnsi" w:cstheme="minorHAnsi"/>
                    </w:rPr>
                    <w:t xml:space="preserve">% of </w:t>
                  </w:r>
                  <w:r>
                    <w:rPr>
                      <w:rFonts w:asciiTheme="minorHAnsi" w:hAnsiTheme="minorHAnsi" w:cstheme="minorHAnsi"/>
                    </w:rPr>
                    <w:t>Pacific</w:t>
                  </w:r>
                  <w:r w:rsidRPr="00B31A58">
                    <w:rPr>
                      <w:rFonts w:asciiTheme="minorHAnsi" w:hAnsiTheme="minorHAnsi" w:cstheme="minorHAnsi"/>
                    </w:rPr>
                    <w:t xml:space="preserve"> students reported that their parent(s)/caregiver(s) gamble and </w:t>
                  </w:r>
                  <w:r>
                    <w:rPr>
                      <w:rFonts w:asciiTheme="minorHAnsi" w:hAnsiTheme="minorHAnsi" w:cstheme="minorHAnsi"/>
                    </w:rPr>
                    <w:t>24</w:t>
                  </w:r>
                  <w:r w:rsidRPr="00B31A58">
                    <w:rPr>
                      <w:rFonts w:asciiTheme="minorHAnsi" w:hAnsiTheme="minorHAnsi" w:cstheme="minorHAnsi"/>
                    </w:rPr>
                    <w:t>% were worried about their parent/caregiver’s gambling.</w:t>
                  </w:r>
                  <w:r>
                    <w:rPr>
                      <w:rFonts w:asciiTheme="minorHAnsi" w:hAnsiTheme="minorHAnsi" w:cstheme="minorHAnsi"/>
                    </w:rPr>
                    <w:t xml:space="preserve"> </w:t>
                  </w:r>
                  <w:r w:rsidRPr="00B31A58">
                    <w:rPr>
                      <w:rFonts w:asciiTheme="minorHAnsi" w:hAnsiTheme="minorHAnsi" w:cstheme="minorHAnsi"/>
                    </w:rPr>
                    <w:t xml:space="preserve"> A number of </w:t>
                  </w:r>
                  <w:r>
                    <w:rPr>
                      <w:rFonts w:asciiTheme="minorHAnsi" w:hAnsiTheme="minorHAnsi" w:cstheme="minorHAnsi"/>
                    </w:rPr>
                    <w:t>Pacific</w:t>
                  </w:r>
                  <w:r w:rsidRPr="00B31A58">
                    <w:rPr>
                      <w:rFonts w:asciiTheme="minorHAnsi" w:hAnsiTheme="minorHAnsi" w:cstheme="minorHAnsi"/>
                    </w:rPr>
                    <w:t xml:space="preserve"> young people and/or their </w:t>
                  </w:r>
                  <w:r>
                    <w:rPr>
                      <w:rFonts w:asciiTheme="minorHAnsi" w:hAnsiTheme="minorHAnsi" w:cstheme="minorHAnsi"/>
                    </w:rPr>
                    <w:t>families</w:t>
                  </w:r>
                  <w:r w:rsidRPr="00B31A58">
                    <w:rPr>
                      <w:rFonts w:asciiTheme="minorHAnsi" w:hAnsiTheme="minorHAnsi" w:cstheme="minorHAnsi"/>
                    </w:rPr>
                    <w:t xml:space="preserve"> encounter problems due to gambling.  Students living in neighbourhoods with higher levels of deprivation were more likely</w:t>
                  </w:r>
                  <w:r>
                    <w:rPr>
                      <w:rFonts w:asciiTheme="minorHAnsi" w:hAnsiTheme="minorHAnsi" w:cstheme="minorHAnsi"/>
                    </w:rPr>
                    <w:t xml:space="preserve"> than those from lower deprivation neighbourhoods</w:t>
                  </w:r>
                  <w:r w:rsidRPr="00B31A58">
                    <w:rPr>
                      <w:rFonts w:asciiTheme="minorHAnsi" w:hAnsiTheme="minorHAnsi" w:cstheme="minorHAnsi"/>
                    </w:rPr>
                    <w:t xml:space="preserve"> to </w:t>
                  </w:r>
                  <w:r>
                    <w:rPr>
                      <w:rFonts w:asciiTheme="minorHAnsi" w:hAnsiTheme="minorHAnsi" w:cstheme="minorHAnsi"/>
                    </w:rPr>
                    <w:t>w</w:t>
                  </w:r>
                  <w:r w:rsidRPr="00B31A58">
                    <w:rPr>
                      <w:rFonts w:asciiTheme="minorHAnsi" w:hAnsiTheme="minorHAnsi" w:cstheme="minorHAnsi"/>
                    </w:rPr>
                    <w:t>orry about</w:t>
                  </w:r>
                  <w:r>
                    <w:rPr>
                      <w:rFonts w:asciiTheme="minorHAnsi" w:hAnsiTheme="minorHAnsi" w:cstheme="minorHAnsi"/>
                    </w:rPr>
                    <w:t xml:space="preserve"> the gambling behaviour of other people (28% higher deprivation and 18% medium deprivation).</w:t>
                  </w:r>
                </w:p>
              </w:txbxContent>
            </v:textbox>
            <w10:wrap type="none"/>
            <w10:anchorlock/>
          </v:shape>
        </w:pict>
      </w:r>
    </w:p>
    <w:p w:rsidR="00043311" w:rsidRDefault="00043311" w:rsidP="0042130F">
      <w:pPr>
        <w:pStyle w:val="Heading1"/>
        <w:rPr>
          <w:rFonts w:asciiTheme="minorHAnsi" w:hAnsiTheme="minorHAnsi" w:cstheme="minorHAnsi"/>
          <w:szCs w:val="26"/>
        </w:rPr>
      </w:pPr>
      <w:bookmarkStart w:id="187" w:name="_Toc367284460"/>
      <w:r w:rsidRPr="00234F53">
        <w:rPr>
          <w:rFonts w:asciiTheme="minorHAnsi" w:hAnsiTheme="minorHAnsi" w:cstheme="minorHAnsi"/>
          <w:caps w:val="0"/>
          <w:szCs w:val="26"/>
        </w:rPr>
        <w:lastRenderedPageBreak/>
        <w:t>GAMBLING</w:t>
      </w:r>
      <w:r>
        <w:rPr>
          <w:rFonts w:asciiTheme="minorHAnsi" w:hAnsiTheme="minorHAnsi" w:cstheme="minorHAnsi"/>
          <w:caps w:val="0"/>
          <w:szCs w:val="26"/>
        </w:rPr>
        <w:t xml:space="preserve"> AND ASIAN</w:t>
      </w:r>
      <w:r>
        <w:rPr>
          <w:rFonts w:asciiTheme="minorHAnsi" w:hAnsiTheme="minorHAnsi" w:cstheme="minorHAnsi"/>
          <w:szCs w:val="26"/>
        </w:rPr>
        <w:t xml:space="preserve"> YOUNG PEOPLE IN NEW ZEALAND</w:t>
      </w:r>
      <w:bookmarkEnd w:id="187"/>
    </w:p>
    <w:p w:rsidR="00043311" w:rsidRPr="00B95AC9" w:rsidRDefault="00043311" w:rsidP="0042130F">
      <w:pPr>
        <w:spacing w:line="360" w:lineRule="auto"/>
        <w:ind w:right="-1"/>
        <w:rPr>
          <w:rFonts w:asciiTheme="minorHAnsi" w:hAnsiTheme="minorHAnsi" w:cstheme="minorHAnsi"/>
          <w:b/>
        </w:rPr>
      </w:pPr>
      <w:r w:rsidRPr="00B95AC9">
        <w:rPr>
          <w:rFonts w:asciiTheme="minorHAnsi" w:hAnsiTheme="minorHAnsi" w:cstheme="minorHAnsi"/>
        </w:rPr>
        <w:t xml:space="preserve">This section presents key findings on the gambling behaviours of Asian young people living in New Zealand.  The results are drawn from the Youth’12 nationally representative survey of secondary school students, conducted in 2012.  Youth’12 surveyed a large randomly-selected sample of secondary school students.  The results provided here are based on the 1051 students who were categorised as </w:t>
      </w:r>
      <w:r>
        <w:rPr>
          <w:rFonts w:asciiTheme="minorHAnsi" w:hAnsiTheme="minorHAnsi" w:cstheme="minorHAnsi"/>
        </w:rPr>
        <w:t>Asian</w:t>
      </w:r>
      <w:r>
        <w:rPr>
          <w:rStyle w:val="FootnoteReference"/>
          <w:rFonts w:asciiTheme="minorHAnsi" w:hAnsiTheme="minorHAnsi"/>
        </w:rPr>
        <w:footnoteReference w:id="22"/>
      </w:r>
      <w:r w:rsidRPr="00B95AC9">
        <w:rPr>
          <w:rFonts w:asciiTheme="minorHAnsi" w:hAnsiTheme="minorHAnsi" w:cstheme="minorHAnsi"/>
        </w:rPr>
        <w:t xml:space="preserve"> and some comparisons are made to the 4024 students categorised as New Zealand European from Youth’12.  Asian young people included students who identified as Filipino, Chinese, Indian, Japanese, Korean, Cambodian, or ‘Other Asian’.  </w:t>
      </w:r>
      <w:r w:rsidRPr="00B95AC9">
        <w:rPr>
          <w:rFonts w:asciiTheme="minorHAnsi" w:hAnsiTheme="minorHAnsi" w:cstheme="minorHAnsi"/>
          <w:b/>
        </w:rPr>
        <w:t xml:space="preserve">Asian students therefore constitute a range of different ethnic groups, and as such there may be meaningful differences in relation to gambling and the various Asian ethnic groups.  However, due to the small number of participants from certain Asian ethnic groups, further sub-group analyses were not possible.        </w:t>
      </w:r>
    </w:p>
    <w:p w:rsidR="00043311" w:rsidRPr="007E71B0" w:rsidRDefault="00043311" w:rsidP="00043311">
      <w:pPr>
        <w:pStyle w:val="Heading2"/>
        <w:numPr>
          <w:ilvl w:val="1"/>
          <w:numId w:val="35"/>
        </w:numPr>
      </w:pPr>
      <w:bookmarkStart w:id="188" w:name="_Toc367284461"/>
      <w:r w:rsidRPr="007E71B0">
        <w:t>Youth gambling behaviours</w:t>
      </w:r>
      <w:bookmarkEnd w:id="188"/>
    </w:p>
    <w:p w:rsidR="00043311" w:rsidRPr="007E71B0" w:rsidRDefault="00043311" w:rsidP="0042130F">
      <w:pPr>
        <w:rPr>
          <w:rFonts w:asciiTheme="minorHAnsi" w:hAnsiTheme="minorHAnsi" w:cstheme="minorHAnsi"/>
        </w:rPr>
      </w:pPr>
      <w:r w:rsidRPr="007E71B0">
        <w:rPr>
          <w:rFonts w:asciiTheme="minorHAnsi" w:hAnsiTheme="minorHAnsi" w:cstheme="minorHAnsi"/>
        </w:rPr>
        <w:t>The Youth’12 survey showed that:</w:t>
      </w:r>
    </w:p>
    <w:p w:rsidR="00043311" w:rsidRPr="007E71B0" w:rsidRDefault="00043311" w:rsidP="0042130F">
      <w:pPr>
        <w:pStyle w:val="ListParagraph"/>
        <w:numPr>
          <w:ilvl w:val="2"/>
          <w:numId w:val="9"/>
        </w:numPr>
        <w:spacing w:line="360" w:lineRule="auto"/>
        <w:ind w:left="567"/>
        <w:rPr>
          <w:rFonts w:asciiTheme="minorHAnsi" w:hAnsiTheme="minorHAnsi" w:cstheme="minorHAnsi"/>
        </w:rPr>
      </w:pPr>
      <w:r w:rsidRPr="007E71B0">
        <w:rPr>
          <w:rFonts w:asciiTheme="minorHAnsi" w:hAnsiTheme="minorHAnsi" w:cstheme="minorHAnsi"/>
        </w:rPr>
        <w:t>Almost one in four Asian students (23%) had gambled in the last 12 months (221 Asian students).  Of those Asian students who had gambled in the previous 12 months, almost a third (or 9% of the entire Asian population) had gambled in the last four weeks (91 Asian students).</w:t>
      </w:r>
    </w:p>
    <w:p w:rsidR="00043311" w:rsidRPr="00F55F1A" w:rsidRDefault="00043311" w:rsidP="0042130F">
      <w:pPr>
        <w:pStyle w:val="ListParagraph"/>
        <w:numPr>
          <w:ilvl w:val="2"/>
          <w:numId w:val="9"/>
        </w:numPr>
        <w:spacing w:line="360" w:lineRule="auto"/>
        <w:ind w:left="567"/>
        <w:rPr>
          <w:rFonts w:asciiTheme="minorHAnsi" w:hAnsiTheme="minorHAnsi" w:cstheme="minorHAnsi"/>
        </w:rPr>
      </w:pPr>
      <w:r>
        <w:rPr>
          <w:rFonts w:asciiTheme="minorHAnsi" w:hAnsiTheme="minorHAnsi" w:cstheme="minorHAnsi"/>
        </w:rPr>
        <w:t>A</w:t>
      </w:r>
      <w:r w:rsidRPr="00F407DD">
        <w:rPr>
          <w:rFonts w:asciiTheme="minorHAnsi" w:hAnsiTheme="minorHAnsi" w:cstheme="minorHAnsi"/>
        </w:rPr>
        <w:t xml:space="preserve"> similar proportion </w:t>
      </w:r>
      <w:r>
        <w:rPr>
          <w:rFonts w:asciiTheme="minorHAnsi" w:hAnsiTheme="minorHAnsi" w:cstheme="minorHAnsi"/>
        </w:rPr>
        <w:t>of Asian</w:t>
      </w:r>
      <w:r w:rsidRPr="00F407DD">
        <w:rPr>
          <w:rFonts w:asciiTheme="minorHAnsi" w:hAnsiTheme="minorHAnsi" w:cstheme="minorHAnsi"/>
        </w:rPr>
        <w:t xml:space="preserve"> students reported gambl</w:t>
      </w:r>
      <w:r>
        <w:rPr>
          <w:rFonts w:asciiTheme="minorHAnsi" w:hAnsiTheme="minorHAnsi" w:cstheme="minorHAnsi"/>
        </w:rPr>
        <w:t>ing</w:t>
      </w:r>
      <w:r w:rsidRPr="00F407DD">
        <w:rPr>
          <w:rFonts w:asciiTheme="minorHAnsi" w:hAnsiTheme="minorHAnsi" w:cstheme="minorHAnsi"/>
        </w:rPr>
        <w:t xml:space="preserve"> in the last 12 months when compared to NZ European students (</w:t>
      </w:r>
      <w:r>
        <w:rPr>
          <w:rFonts w:asciiTheme="minorHAnsi" w:hAnsiTheme="minorHAnsi" w:cstheme="minorHAnsi"/>
        </w:rPr>
        <w:t>23%, 221 Asian</w:t>
      </w:r>
      <w:r w:rsidRPr="00F407DD">
        <w:rPr>
          <w:rFonts w:asciiTheme="minorHAnsi" w:hAnsiTheme="minorHAnsi" w:cstheme="minorHAnsi"/>
        </w:rPr>
        <w:t xml:space="preserve"> </w:t>
      </w:r>
      <w:r>
        <w:rPr>
          <w:rFonts w:asciiTheme="minorHAnsi" w:hAnsiTheme="minorHAnsi" w:cstheme="minorHAnsi"/>
        </w:rPr>
        <w:t>students and 24%, 916 NZ European students</w:t>
      </w:r>
      <w:r w:rsidRPr="00F55F1A">
        <w:rPr>
          <w:rFonts w:asciiTheme="minorHAnsi" w:hAnsiTheme="minorHAnsi" w:cstheme="minorHAnsi"/>
        </w:rPr>
        <w:t>). The same proportion of Asian students had gambled in the last four weeks as that of NZ European students (9%, 335 New Zealand European students).</w:t>
      </w:r>
    </w:p>
    <w:p w:rsidR="00043311" w:rsidRPr="007E71B0" w:rsidRDefault="00043311" w:rsidP="0042130F">
      <w:pPr>
        <w:pStyle w:val="ListParagraph"/>
        <w:numPr>
          <w:ilvl w:val="2"/>
          <w:numId w:val="9"/>
        </w:numPr>
        <w:spacing w:line="360" w:lineRule="auto"/>
        <w:ind w:left="567"/>
        <w:rPr>
          <w:rFonts w:asciiTheme="minorHAnsi" w:hAnsiTheme="minorHAnsi" w:cstheme="minorHAnsi"/>
        </w:rPr>
      </w:pPr>
      <w:r w:rsidRPr="007E71B0">
        <w:rPr>
          <w:rFonts w:asciiTheme="minorHAnsi" w:hAnsiTheme="minorHAnsi" w:cstheme="minorHAnsi"/>
        </w:rPr>
        <w:t xml:space="preserve">About 5% of Asian students who gamble spend $20 or more in a typical week gambling (10 students), and a similar proportion usually spend 30 minutes or more per day gambling (10 students). </w:t>
      </w:r>
    </w:p>
    <w:p w:rsidR="00043311" w:rsidRDefault="00043311" w:rsidP="0042130F">
      <w:pPr>
        <w:pStyle w:val="ListParagraph"/>
        <w:numPr>
          <w:ilvl w:val="2"/>
          <w:numId w:val="9"/>
        </w:numPr>
        <w:spacing w:line="360" w:lineRule="auto"/>
        <w:ind w:left="567"/>
        <w:rPr>
          <w:rFonts w:asciiTheme="minorHAnsi" w:hAnsiTheme="minorHAnsi" w:cstheme="minorHAnsi"/>
        </w:rPr>
      </w:pPr>
      <w:r w:rsidRPr="007E71B0">
        <w:rPr>
          <w:rFonts w:asciiTheme="minorHAnsi" w:hAnsiTheme="minorHAnsi" w:cstheme="minorHAnsi"/>
        </w:rPr>
        <w:t xml:space="preserve">Of the Asian students who had gambled, 57 students were worried about how much time or money they spent gambling (24%), whereas a significantly lower proportion of New Zealand European students (6%, 59 students) who had gambled were worried about this (p&lt;0.0001). </w:t>
      </w:r>
    </w:p>
    <w:p w:rsidR="00043311" w:rsidRDefault="00043311" w:rsidP="0042130F">
      <w:pPr>
        <w:spacing w:line="360" w:lineRule="auto"/>
        <w:rPr>
          <w:rFonts w:asciiTheme="minorHAnsi" w:hAnsiTheme="minorHAnsi" w:cstheme="minorHAnsi"/>
        </w:rPr>
      </w:pPr>
    </w:p>
    <w:p w:rsidR="00043311" w:rsidRPr="00AE5985" w:rsidRDefault="00043311" w:rsidP="0042130F">
      <w:pPr>
        <w:pStyle w:val="Caption"/>
        <w:keepNext/>
        <w:spacing w:line="276" w:lineRule="auto"/>
        <w:rPr>
          <w:rFonts w:asciiTheme="minorHAnsi" w:hAnsiTheme="minorHAnsi" w:cstheme="minorHAnsi"/>
        </w:rPr>
      </w:pPr>
      <w:bookmarkStart w:id="189" w:name="_Toc367285535"/>
      <w:r w:rsidRPr="001A2437">
        <w:rPr>
          <w:rFonts w:asciiTheme="minorHAnsi" w:hAnsiTheme="minorHAnsi" w:cstheme="minorHAnsi"/>
          <w:i/>
        </w:rPr>
        <w:lastRenderedPageBreak/>
        <w:t xml:space="preserve">Figure </w:t>
      </w:r>
      <w:r w:rsidR="007B447B" w:rsidRPr="001A2437">
        <w:rPr>
          <w:rFonts w:asciiTheme="minorHAnsi" w:hAnsiTheme="minorHAnsi" w:cstheme="minorHAnsi"/>
          <w:i/>
        </w:rPr>
        <w:fldChar w:fldCharType="begin"/>
      </w:r>
      <w:r w:rsidRPr="001A2437">
        <w:rPr>
          <w:rFonts w:asciiTheme="minorHAnsi" w:hAnsiTheme="minorHAnsi" w:cstheme="minorHAnsi"/>
          <w:i/>
        </w:rPr>
        <w:instrText xml:space="preserve"> SEQ Figure \* ARABIC </w:instrText>
      </w:r>
      <w:r w:rsidR="007B447B" w:rsidRPr="001A2437">
        <w:rPr>
          <w:rFonts w:asciiTheme="minorHAnsi" w:hAnsiTheme="minorHAnsi" w:cstheme="minorHAnsi"/>
          <w:i/>
        </w:rPr>
        <w:fldChar w:fldCharType="separate"/>
      </w:r>
      <w:r w:rsidR="009E3D1C">
        <w:rPr>
          <w:rFonts w:asciiTheme="minorHAnsi" w:hAnsiTheme="minorHAnsi" w:cstheme="minorHAnsi"/>
          <w:i/>
          <w:noProof/>
        </w:rPr>
        <w:t>19</w:t>
      </w:r>
      <w:r w:rsidR="007B447B" w:rsidRPr="001A2437">
        <w:rPr>
          <w:rFonts w:asciiTheme="minorHAnsi" w:hAnsiTheme="minorHAnsi" w:cstheme="minorHAnsi"/>
          <w:i/>
        </w:rPr>
        <w:fldChar w:fldCharType="end"/>
      </w:r>
      <w:r w:rsidRPr="001A2437">
        <w:rPr>
          <w:rFonts w:asciiTheme="minorHAnsi" w:hAnsiTheme="minorHAnsi" w:cstheme="minorHAnsi"/>
          <w:i/>
        </w:rPr>
        <w:t xml:space="preserve">: </w:t>
      </w:r>
      <w:r w:rsidRPr="00E3310E">
        <w:rPr>
          <w:rFonts w:asciiTheme="minorHAnsi" w:hAnsiTheme="minorHAnsi" w:cstheme="minorHAnsi"/>
          <w:i/>
        </w:rPr>
        <w:t>Gambling over past year and past month</w:t>
      </w:r>
      <w:r>
        <w:rPr>
          <w:rFonts w:asciiTheme="minorHAnsi" w:hAnsiTheme="minorHAnsi" w:cstheme="minorHAnsi"/>
          <w:i/>
        </w:rPr>
        <w:t xml:space="preserve"> for Asian and NZ European students (among all Asian and NZ European students; n=4835)</w:t>
      </w:r>
      <w:bookmarkEnd w:id="189"/>
    </w:p>
    <w:p w:rsidR="00043311" w:rsidRPr="00CB300B" w:rsidRDefault="00043311" w:rsidP="0042130F">
      <w:pPr>
        <w:jc w:val="center"/>
        <w:rPr>
          <w:rFonts w:asciiTheme="minorHAnsi" w:hAnsiTheme="minorHAnsi" w:cs="Arial"/>
          <w:b/>
          <w:sz w:val="24"/>
        </w:rPr>
      </w:pPr>
      <w:r w:rsidRPr="00CB300B">
        <w:rPr>
          <w:rFonts w:asciiTheme="minorHAnsi" w:hAnsiTheme="minorHAnsi"/>
          <w:noProof/>
          <w:lang w:eastAsia="en-NZ"/>
        </w:rPr>
        <w:drawing>
          <wp:inline distT="0" distB="0" distL="0" distR="0" wp14:anchorId="0A37815B" wp14:editId="0E6A4260">
            <wp:extent cx="5357612" cy="297502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43311" w:rsidRPr="007E71B0" w:rsidRDefault="00043311" w:rsidP="0042130F">
      <w:pPr>
        <w:pStyle w:val="Heading2"/>
      </w:pPr>
      <w:bookmarkStart w:id="190" w:name="_Toc367284462"/>
      <w:r w:rsidRPr="007E71B0">
        <w:t>Parent/caregiver gambling behaviour</w:t>
      </w:r>
      <w:bookmarkEnd w:id="190"/>
      <w:r w:rsidRPr="007E71B0">
        <w:t xml:space="preserve"> </w:t>
      </w:r>
    </w:p>
    <w:p w:rsidR="00043311" w:rsidRPr="007E71B0" w:rsidRDefault="00043311" w:rsidP="0042130F">
      <w:pPr>
        <w:pStyle w:val="ListParagraph"/>
        <w:numPr>
          <w:ilvl w:val="2"/>
          <w:numId w:val="9"/>
        </w:numPr>
        <w:spacing w:line="360" w:lineRule="auto"/>
        <w:ind w:left="567"/>
        <w:rPr>
          <w:rFonts w:asciiTheme="minorHAnsi" w:hAnsiTheme="minorHAnsi" w:cstheme="minorHAnsi"/>
        </w:rPr>
      </w:pPr>
      <w:r w:rsidRPr="007E71B0">
        <w:rPr>
          <w:rFonts w:asciiTheme="minorHAnsi" w:hAnsiTheme="minorHAnsi" w:cstheme="minorHAnsi"/>
        </w:rPr>
        <w:t>A significantly smaller proportion of Asian students (57%) than New Zealand European students (72%) reported that their parent or caregiver gambles (568 Asian students and 2826 NZ European students respectively) (p&lt;0.0001).</w:t>
      </w:r>
    </w:p>
    <w:p w:rsidR="00043311" w:rsidRPr="007E71B0" w:rsidRDefault="00043311" w:rsidP="0042130F">
      <w:pPr>
        <w:pStyle w:val="ListParagraph"/>
        <w:numPr>
          <w:ilvl w:val="2"/>
          <w:numId w:val="9"/>
        </w:numPr>
        <w:spacing w:line="360" w:lineRule="auto"/>
        <w:ind w:left="567"/>
        <w:rPr>
          <w:rFonts w:asciiTheme="minorHAnsi" w:hAnsiTheme="minorHAnsi" w:cstheme="minorHAnsi"/>
        </w:rPr>
      </w:pPr>
      <w:r w:rsidRPr="007E71B0">
        <w:rPr>
          <w:rFonts w:asciiTheme="minorHAnsi" w:hAnsiTheme="minorHAnsi" w:cstheme="minorHAnsi"/>
        </w:rPr>
        <w:t>Among students who had gambled in the last 12 months, a significantly greater proportion of Asian students (11% or 25 Asian students) than New Zealand European students (5% or 45 NZ European students) had worried about the gambling behaviours of others they live with (e.g. parents or caregivers gambling) (p=0.0035).</w:t>
      </w:r>
    </w:p>
    <w:p w:rsidR="00043311" w:rsidRPr="007E71B0" w:rsidRDefault="00043311" w:rsidP="0042130F">
      <w:pPr>
        <w:pStyle w:val="Heading2"/>
      </w:pPr>
      <w:bookmarkStart w:id="191" w:name="_Toc367284463"/>
      <w:r w:rsidRPr="007E71B0">
        <w:t>Socioeconomic factors and gambling</w:t>
      </w:r>
      <w:bookmarkEnd w:id="191"/>
      <w:r w:rsidRPr="007E71B0">
        <w:t xml:space="preserve"> </w:t>
      </w:r>
    </w:p>
    <w:p w:rsidR="00043311" w:rsidRDefault="00043311" w:rsidP="0042130F">
      <w:pPr>
        <w:pStyle w:val="ListParagraph"/>
        <w:numPr>
          <w:ilvl w:val="2"/>
          <w:numId w:val="9"/>
        </w:numPr>
        <w:spacing w:line="360" w:lineRule="auto"/>
        <w:ind w:left="567"/>
        <w:rPr>
          <w:rFonts w:asciiTheme="minorHAnsi" w:hAnsiTheme="minorHAnsi" w:cstheme="minorHAnsi"/>
        </w:rPr>
      </w:pPr>
      <w:r w:rsidRPr="007E71B0">
        <w:rPr>
          <w:rFonts w:asciiTheme="minorHAnsi" w:hAnsiTheme="minorHAnsi" w:cstheme="minorHAnsi"/>
        </w:rPr>
        <w:t xml:space="preserve">Higher levels of socioeconomic deprivation did not appear to be linked to gambling amongst Asian students. For example, a similar proportion of Asian students from neighbourhoods with higher levels of socioeconomic hardship were worried about the gambling behaviour of others as those from lower deprivation neighbourhoods.  </w:t>
      </w:r>
    </w:p>
    <w:p w:rsidR="00043311" w:rsidRDefault="00043311" w:rsidP="0042130F">
      <w:pPr>
        <w:spacing w:line="360" w:lineRule="auto"/>
        <w:rPr>
          <w:rFonts w:asciiTheme="minorHAnsi" w:hAnsiTheme="minorHAnsi" w:cstheme="minorHAnsi"/>
        </w:rPr>
      </w:pPr>
    </w:p>
    <w:p w:rsidR="00043311" w:rsidRPr="00AE5985" w:rsidRDefault="00043311" w:rsidP="0042130F">
      <w:pPr>
        <w:pStyle w:val="Caption"/>
        <w:keepNext/>
        <w:spacing w:line="276" w:lineRule="auto"/>
        <w:rPr>
          <w:rFonts w:asciiTheme="minorHAnsi" w:hAnsiTheme="minorHAnsi" w:cstheme="minorHAnsi"/>
        </w:rPr>
      </w:pPr>
      <w:bookmarkStart w:id="192" w:name="_Toc367285536"/>
      <w:r w:rsidRPr="001A2437">
        <w:rPr>
          <w:rFonts w:asciiTheme="minorHAnsi" w:hAnsiTheme="minorHAnsi" w:cstheme="minorHAnsi"/>
          <w:i/>
        </w:rPr>
        <w:lastRenderedPageBreak/>
        <w:t xml:space="preserve">Figure </w:t>
      </w:r>
      <w:r w:rsidR="007B447B" w:rsidRPr="001A2437">
        <w:rPr>
          <w:rFonts w:asciiTheme="minorHAnsi" w:hAnsiTheme="minorHAnsi" w:cstheme="minorHAnsi"/>
          <w:i/>
        </w:rPr>
        <w:fldChar w:fldCharType="begin"/>
      </w:r>
      <w:r w:rsidRPr="001A2437">
        <w:rPr>
          <w:rFonts w:asciiTheme="minorHAnsi" w:hAnsiTheme="minorHAnsi" w:cstheme="minorHAnsi"/>
          <w:i/>
        </w:rPr>
        <w:instrText xml:space="preserve"> SEQ Figure \* ARABIC </w:instrText>
      </w:r>
      <w:r w:rsidR="007B447B" w:rsidRPr="001A2437">
        <w:rPr>
          <w:rFonts w:asciiTheme="minorHAnsi" w:hAnsiTheme="minorHAnsi" w:cstheme="minorHAnsi"/>
          <w:i/>
        </w:rPr>
        <w:fldChar w:fldCharType="separate"/>
      </w:r>
      <w:r w:rsidR="009E3D1C">
        <w:rPr>
          <w:rFonts w:asciiTheme="minorHAnsi" w:hAnsiTheme="minorHAnsi" w:cstheme="minorHAnsi"/>
          <w:i/>
          <w:noProof/>
        </w:rPr>
        <w:t>20</w:t>
      </w:r>
      <w:r w:rsidR="007B447B" w:rsidRPr="001A2437">
        <w:rPr>
          <w:rFonts w:asciiTheme="minorHAnsi" w:hAnsiTheme="minorHAnsi" w:cstheme="minorHAnsi"/>
          <w:i/>
        </w:rPr>
        <w:fldChar w:fldCharType="end"/>
      </w:r>
      <w:r w:rsidRPr="001A2437">
        <w:rPr>
          <w:rFonts w:asciiTheme="minorHAnsi" w:hAnsiTheme="minorHAnsi" w:cstheme="minorHAnsi"/>
          <w:i/>
        </w:rPr>
        <w:t xml:space="preserve">: </w:t>
      </w:r>
      <w:r>
        <w:rPr>
          <w:rFonts w:asciiTheme="minorHAnsi" w:hAnsiTheme="minorHAnsi" w:cstheme="minorHAnsi"/>
          <w:i/>
        </w:rPr>
        <w:t>Socioeconomic deprivation and gambling (among all Asian students; n=233)</w:t>
      </w:r>
      <w:bookmarkEnd w:id="192"/>
    </w:p>
    <w:p w:rsidR="00043311" w:rsidRDefault="00043311" w:rsidP="0042130F">
      <w:pPr>
        <w:jc w:val="center"/>
        <w:rPr>
          <w:rFonts w:asciiTheme="minorHAnsi" w:hAnsiTheme="minorHAnsi" w:cs="Arial"/>
          <w:sz w:val="24"/>
        </w:rPr>
      </w:pPr>
      <w:r w:rsidRPr="00CB300B">
        <w:rPr>
          <w:rFonts w:asciiTheme="minorHAnsi" w:hAnsiTheme="minorHAnsi"/>
          <w:noProof/>
          <w:sz w:val="14"/>
          <w:lang w:eastAsia="en-NZ"/>
        </w:rPr>
        <w:drawing>
          <wp:inline distT="0" distB="0" distL="0" distR="0" wp14:anchorId="1D8106D6" wp14:editId="79F00ECA">
            <wp:extent cx="5241701" cy="3000777"/>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43311" w:rsidRPr="00F407DD" w:rsidRDefault="00043311" w:rsidP="0042130F">
      <w:pPr>
        <w:pStyle w:val="Heading2"/>
      </w:pPr>
      <w:bookmarkStart w:id="193" w:name="_Toc367284464"/>
      <w:r>
        <w:t>Summary: Gambling and Asian young people in New Zealand</w:t>
      </w:r>
      <w:bookmarkEnd w:id="193"/>
      <w:r w:rsidRPr="00F407DD">
        <w:t xml:space="preserve"> </w:t>
      </w:r>
    </w:p>
    <w:p w:rsidR="00043311" w:rsidRDefault="00082F17" w:rsidP="0042130F">
      <w:pPr>
        <w:jc w:val="center"/>
        <w:rPr>
          <w:rFonts w:asciiTheme="minorHAnsi" w:hAnsiTheme="minorHAnsi" w:cs="Arial"/>
          <w:sz w:val="24"/>
        </w:rPr>
      </w:pPr>
      <w:r>
        <w:rPr>
          <w:rFonts w:asciiTheme="minorHAnsi" w:hAnsiTheme="minorHAnsi" w:cstheme="minorHAnsi"/>
          <w:noProof/>
          <w:lang w:eastAsia="en-NZ"/>
        </w:rPr>
      </w:r>
      <w:r>
        <w:rPr>
          <w:rFonts w:asciiTheme="minorHAnsi" w:hAnsiTheme="minorHAnsi" w:cstheme="minorHAnsi"/>
          <w:noProof/>
          <w:lang w:eastAsia="en-NZ"/>
        </w:rPr>
        <w:pict>
          <v:shape id="Text Box 293" o:spid="_x0000_s1039" type="#_x0000_t202" style="width:525pt;height:129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" fillcolor="#c6d9f1 [671]" stroked="f">
            <v:textbox style="mso-fit-shape-to-text:t">
              <w:txbxContent>
                <w:p w:rsidR="00B45826" w:rsidRPr="007B41B2" w:rsidRDefault="00B45826" w:rsidP="0042130F">
                  <w:pPr>
                    <w:spacing w:line="276" w:lineRule="auto"/>
                    <w:rPr>
                      <w:rFonts w:asciiTheme="minorHAnsi" w:hAnsiTheme="minorHAnsi" w:cstheme="minorHAnsi"/>
                      <w:b/>
                    </w:rPr>
                  </w:pPr>
                  <w:r>
                    <w:rPr>
                      <w:rFonts w:asciiTheme="minorHAnsi" w:hAnsiTheme="minorHAnsi" w:cstheme="minorHAnsi"/>
                      <w:b/>
                    </w:rPr>
                    <w:t>KEY POINTS</w:t>
                  </w:r>
                  <w:r w:rsidRPr="007B41B2">
                    <w:rPr>
                      <w:rFonts w:asciiTheme="minorHAnsi" w:hAnsiTheme="minorHAnsi" w:cstheme="minorHAnsi"/>
                      <w:b/>
                    </w:rPr>
                    <w:t>:</w:t>
                  </w:r>
                </w:p>
                <w:p w:rsidR="00B45826" w:rsidRDefault="00B45826" w:rsidP="0042130F">
                  <w:pPr>
                    <w:pStyle w:val="ListParagraph"/>
                    <w:numPr>
                      <w:ilvl w:val="0"/>
                      <w:numId w:val="10"/>
                    </w:numPr>
                    <w:spacing w:line="276" w:lineRule="auto"/>
                    <w:ind w:left="426"/>
                    <w:rPr>
                      <w:rFonts w:asciiTheme="minorHAnsi" w:hAnsiTheme="minorHAnsi" w:cstheme="minorHAnsi"/>
                    </w:rPr>
                  </w:pPr>
                  <w:r>
                    <w:rPr>
                      <w:rFonts w:asciiTheme="minorHAnsi" w:hAnsiTheme="minorHAnsi" w:cstheme="minorHAnsi"/>
                    </w:rPr>
                    <w:t>About o</w:t>
                  </w:r>
                  <w:r w:rsidRPr="007B3F4D">
                    <w:rPr>
                      <w:rFonts w:asciiTheme="minorHAnsi" w:hAnsiTheme="minorHAnsi" w:cstheme="minorHAnsi"/>
                    </w:rPr>
                    <w:t>ne-quarter (</w:t>
                  </w:r>
                  <w:r>
                    <w:rPr>
                      <w:rFonts w:asciiTheme="minorHAnsi" w:hAnsiTheme="minorHAnsi" w:cstheme="minorHAnsi"/>
                    </w:rPr>
                    <w:t>23</w:t>
                  </w:r>
                  <w:r w:rsidRPr="007B3F4D">
                    <w:rPr>
                      <w:rFonts w:asciiTheme="minorHAnsi" w:hAnsiTheme="minorHAnsi" w:cstheme="minorHAnsi"/>
                    </w:rPr>
                    <w:t xml:space="preserve">%) of </w:t>
                  </w:r>
                  <w:r>
                    <w:rPr>
                      <w:rFonts w:asciiTheme="minorHAnsi" w:hAnsiTheme="minorHAnsi" w:cstheme="minorHAnsi"/>
                    </w:rPr>
                    <w:t>Asian</w:t>
                  </w:r>
                  <w:r w:rsidRPr="007B3F4D">
                    <w:rPr>
                      <w:rFonts w:asciiTheme="minorHAnsi" w:hAnsiTheme="minorHAnsi" w:cstheme="minorHAnsi"/>
                    </w:rPr>
                    <w:t xml:space="preserve"> students had gambled in the last year, and </w:t>
                  </w:r>
                  <w:r>
                    <w:rPr>
                      <w:rFonts w:asciiTheme="minorHAnsi" w:hAnsiTheme="minorHAnsi" w:cstheme="minorHAnsi"/>
                    </w:rPr>
                    <w:t>9</w:t>
                  </w:r>
                  <w:r w:rsidRPr="007B3F4D">
                    <w:rPr>
                      <w:rFonts w:asciiTheme="minorHAnsi" w:hAnsiTheme="minorHAnsi" w:cstheme="minorHAnsi"/>
                    </w:rPr>
                    <w:t xml:space="preserve">% had gambled in the last four weeks. Of those who had gambled in the past year, very few </w:t>
                  </w:r>
                  <w:r>
                    <w:rPr>
                      <w:rFonts w:asciiTheme="minorHAnsi" w:hAnsiTheme="minorHAnsi" w:cstheme="minorHAnsi"/>
                    </w:rPr>
                    <w:t xml:space="preserve">(5%) </w:t>
                  </w:r>
                  <w:r w:rsidRPr="007B3F4D">
                    <w:rPr>
                      <w:rFonts w:asciiTheme="minorHAnsi" w:hAnsiTheme="minorHAnsi" w:cstheme="minorHAnsi"/>
                    </w:rPr>
                    <w:t>spent more than $20 per week or more than 30 minute</w:t>
                  </w:r>
                  <w:r>
                    <w:rPr>
                      <w:rFonts w:asciiTheme="minorHAnsi" w:hAnsiTheme="minorHAnsi" w:cstheme="minorHAnsi"/>
                    </w:rPr>
                    <w:t>s a day gambling</w:t>
                  </w:r>
                  <w:r w:rsidRPr="007B3F4D">
                    <w:rPr>
                      <w:rFonts w:asciiTheme="minorHAnsi" w:hAnsiTheme="minorHAnsi" w:cstheme="minorHAnsi"/>
                    </w:rPr>
                    <w:t>.</w:t>
                  </w:r>
                </w:p>
                <w:p w:rsidR="00B45826" w:rsidRDefault="00B45826" w:rsidP="0042130F">
                  <w:pPr>
                    <w:pStyle w:val="ListParagraph"/>
                    <w:spacing w:line="276" w:lineRule="auto"/>
                    <w:ind w:left="426"/>
                    <w:rPr>
                      <w:rFonts w:asciiTheme="minorHAnsi" w:hAnsiTheme="minorHAnsi" w:cstheme="minorHAnsi"/>
                    </w:rPr>
                  </w:pPr>
                </w:p>
                <w:p w:rsidR="00B45826" w:rsidRPr="00B31A58" w:rsidRDefault="00B45826" w:rsidP="0042130F">
                  <w:pPr>
                    <w:pStyle w:val="ListParagraph"/>
                    <w:numPr>
                      <w:ilvl w:val="0"/>
                      <w:numId w:val="10"/>
                    </w:numPr>
                    <w:spacing w:line="276" w:lineRule="auto"/>
                    <w:ind w:left="426"/>
                    <w:rPr>
                      <w:rFonts w:asciiTheme="minorHAnsi" w:hAnsiTheme="minorHAnsi" w:cstheme="minorHAnsi"/>
                    </w:rPr>
                  </w:pPr>
                  <w:r w:rsidRPr="007B3F4D">
                    <w:rPr>
                      <w:rFonts w:asciiTheme="minorHAnsi" w:hAnsiTheme="minorHAnsi" w:cstheme="minorHAnsi"/>
                    </w:rPr>
                    <w:t xml:space="preserve">Rates of gambling in the last 12 months were similar amongst </w:t>
                  </w:r>
                  <w:r>
                    <w:rPr>
                      <w:rFonts w:asciiTheme="minorHAnsi" w:hAnsiTheme="minorHAnsi" w:cstheme="minorHAnsi"/>
                    </w:rPr>
                    <w:t>Asian</w:t>
                  </w:r>
                  <w:r w:rsidRPr="007B3F4D">
                    <w:rPr>
                      <w:rFonts w:asciiTheme="minorHAnsi" w:hAnsiTheme="minorHAnsi" w:cstheme="minorHAnsi"/>
                    </w:rPr>
                    <w:t xml:space="preserve"> and NZ European students (</w:t>
                  </w:r>
                  <w:r>
                    <w:rPr>
                      <w:rFonts w:asciiTheme="minorHAnsi" w:hAnsiTheme="minorHAnsi" w:cstheme="minorHAnsi"/>
                    </w:rPr>
                    <w:t>23</w:t>
                  </w:r>
                  <w:r w:rsidRPr="007B3F4D">
                    <w:rPr>
                      <w:rFonts w:asciiTheme="minorHAnsi" w:hAnsiTheme="minorHAnsi" w:cstheme="minorHAnsi"/>
                    </w:rPr>
                    <w:t xml:space="preserve">% and </w:t>
                  </w:r>
                  <w:r w:rsidRPr="00B31A58">
                    <w:rPr>
                      <w:rFonts w:asciiTheme="minorHAnsi" w:hAnsiTheme="minorHAnsi" w:cstheme="minorHAnsi"/>
                    </w:rPr>
                    <w:t xml:space="preserve">24% respectively), </w:t>
                  </w:r>
                  <w:r>
                    <w:rPr>
                      <w:rFonts w:asciiTheme="minorHAnsi" w:hAnsiTheme="minorHAnsi" w:cstheme="minorHAnsi"/>
                    </w:rPr>
                    <w:t>as were rates of</w:t>
                  </w:r>
                  <w:r w:rsidRPr="00B31A58">
                    <w:rPr>
                      <w:rFonts w:asciiTheme="minorHAnsi" w:hAnsiTheme="minorHAnsi" w:cstheme="minorHAnsi"/>
                    </w:rPr>
                    <w:t xml:space="preserve"> gambl</w:t>
                  </w:r>
                  <w:r>
                    <w:rPr>
                      <w:rFonts w:asciiTheme="minorHAnsi" w:hAnsiTheme="minorHAnsi" w:cstheme="minorHAnsi"/>
                    </w:rPr>
                    <w:t xml:space="preserve">ing </w:t>
                  </w:r>
                  <w:r w:rsidRPr="00B31A58">
                    <w:rPr>
                      <w:rFonts w:asciiTheme="minorHAnsi" w:hAnsiTheme="minorHAnsi" w:cstheme="minorHAnsi"/>
                    </w:rPr>
                    <w:t>in the last 4 weeks (</w:t>
                  </w:r>
                  <w:r>
                    <w:rPr>
                      <w:rFonts w:asciiTheme="minorHAnsi" w:hAnsiTheme="minorHAnsi" w:cstheme="minorHAnsi"/>
                    </w:rPr>
                    <w:t>9</w:t>
                  </w:r>
                  <w:r w:rsidRPr="00B31A58">
                    <w:rPr>
                      <w:rFonts w:asciiTheme="minorHAnsi" w:hAnsiTheme="minorHAnsi" w:cstheme="minorHAnsi"/>
                    </w:rPr>
                    <w:t xml:space="preserve">% </w:t>
                  </w:r>
                  <w:r>
                    <w:rPr>
                      <w:rFonts w:asciiTheme="minorHAnsi" w:hAnsiTheme="minorHAnsi" w:cstheme="minorHAnsi"/>
                    </w:rPr>
                    <w:t>for both groups</w:t>
                  </w:r>
                  <w:r w:rsidRPr="00B31A58">
                    <w:rPr>
                      <w:rFonts w:asciiTheme="minorHAnsi" w:hAnsiTheme="minorHAnsi" w:cstheme="minorHAnsi"/>
                    </w:rPr>
                    <w:t>).</w:t>
                  </w:r>
                </w:p>
                <w:p w:rsidR="00B45826" w:rsidRDefault="00B45826" w:rsidP="0042130F">
                  <w:pPr>
                    <w:pStyle w:val="ListParagraph"/>
                    <w:spacing w:line="276" w:lineRule="auto"/>
                    <w:ind w:left="426"/>
                    <w:rPr>
                      <w:rFonts w:asciiTheme="minorHAnsi" w:hAnsiTheme="minorHAnsi" w:cstheme="minorHAnsi"/>
                    </w:rPr>
                  </w:pPr>
                </w:p>
                <w:p w:rsidR="00B45826" w:rsidRDefault="00B45826" w:rsidP="0042130F">
                  <w:pPr>
                    <w:pStyle w:val="ListParagraph"/>
                    <w:numPr>
                      <w:ilvl w:val="0"/>
                      <w:numId w:val="10"/>
                    </w:numPr>
                    <w:spacing w:line="276" w:lineRule="auto"/>
                    <w:ind w:left="426"/>
                    <w:rPr>
                      <w:rFonts w:asciiTheme="minorHAnsi" w:hAnsiTheme="minorHAnsi" w:cstheme="minorHAnsi"/>
                    </w:rPr>
                  </w:pPr>
                  <w:r>
                    <w:rPr>
                      <w:rFonts w:asciiTheme="minorHAnsi" w:hAnsiTheme="minorHAnsi" w:cstheme="minorHAnsi"/>
                    </w:rPr>
                    <w:t>Asian</w:t>
                  </w:r>
                  <w:r w:rsidRPr="007B3F4D">
                    <w:rPr>
                      <w:rFonts w:asciiTheme="minorHAnsi" w:hAnsiTheme="minorHAnsi" w:cstheme="minorHAnsi"/>
                    </w:rPr>
                    <w:t xml:space="preserve"> </w:t>
                  </w:r>
                  <w:r>
                    <w:rPr>
                      <w:rFonts w:asciiTheme="minorHAnsi" w:hAnsiTheme="minorHAnsi" w:cstheme="minorHAnsi"/>
                    </w:rPr>
                    <w:t xml:space="preserve">students </w:t>
                  </w:r>
                  <w:r w:rsidRPr="007B3F4D">
                    <w:rPr>
                      <w:rFonts w:asciiTheme="minorHAnsi" w:hAnsiTheme="minorHAnsi" w:cstheme="minorHAnsi"/>
                    </w:rPr>
                    <w:t>were much more likely to be worried about their gambling</w:t>
                  </w:r>
                  <w:r>
                    <w:rPr>
                      <w:rFonts w:asciiTheme="minorHAnsi" w:hAnsiTheme="minorHAnsi" w:cstheme="minorHAnsi"/>
                    </w:rPr>
                    <w:t xml:space="preserve"> than NZ European students</w:t>
                  </w:r>
                  <w:r w:rsidRPr="007B3F4D">
                    <w:rPr>
                      <w:rFonts w:asciiTheme="minorHAnsi" w:hAnsiTheme="minorHAnsi" w:cstheme="minorHAnsi"/>
                    </w:rPr>
                    <w:t xml:space="preserve"> (</w:t>
                  </w:r>
                  <w:r>
                    <w:rPr>
                      <w:rFonts w:asciiTheme="minorHAnsi" w:hAnsiTheme="minorHAnsi" w:cstheme="minorHAnsi"/>
                    </w:rPr>
                    <w:t>24</w:t>
                  </w:r>
                  <w:r w:rsidRPr="007B3F4D">
                    <w:rPr>
                      <w:rFonts w:asciiTheme="minorHAnsi" w:hAnsiTheme="minorHAnsi" w:cstheme="minorHAnsi"/>
                    </w:rPr>
                    <w:t xml:space="preserve">% </w:t>
                  </w:r>
                  <w:r>
                    <w:rPr>
                      <w:rFonts w:asciiTheme="minorHAnsi" w:hAnsiTheme="minorHAnsi" w:cstheme="minorHAnsi"/>
                    </w:rPr>
                    <w:t>of Asian</w:t>
                  </w:r>
                  <w:r w:rsidRPr="007B3F4D">
                    <w:rPr>
                      <w:rFonts w:asciiTheme="minorHAnsi" w:hAnsiTheme="minorHAnsi" w:cstheme="minorHAnsi"/>
                    </w:rPr>
                    <w:t xml:space="preserve"> and 6% </w:t>
                  </w:r>
                  <w:r>
                    <w:rPr>
                      <w:rFonts w:asciiTheme="minorHAnsi" w:hAnsiTheme="minorHAnsi" w:cstheme="minorHAnsi"/>
                    </w:rPr>
                    <w:t xml:space="preserve">of NZ European students </w:t>
                  </w:r>
                  <w:r w:rsidRPr="00B31A58">
                    <w:rPr>
                      <w:rFonts w:asciiTheme="minorHAnsi" w:hAnsiTheme="minorHAnsi" w:cstheme="minorHAnsi"/>
                      <w:i/>
                    </w:rPr>
                    <w:t>who had gambled in the past year</w:t>
                  </w:r>
                  <w:r w:rsidRPr="007B3F4D">
                    <w:rPr>
                      <w:rFonts w:asciiTheme="minorHAnsi" w:hAnsiTheme="minorHAnsi" w:cstheme="minorHAnsi"/>
                    </w:rPr>
                    <w:t xml:space="preserve">). </w:t>
                  </w:r>
                </w:p>
                <w:p w:rsidR="00B45826" w:rsidRDefault="00B45826" w:rsidP="0042130F">
                  <w:pPr>
                    <w:pStyle w:val="ListParagraph"/>
                    <w:spacing w:line="276" w:lineRule="auto"/>
                    <w:ind w:left="426"/>
                    <w:rPr>
                      <w:rFonts w:asciiTheme="minorHAnsi" w:hAnsiTheme="minorHAnsi" w:cstheme="minorHAnsi"/>
                    </w:rPr>
                  </w:pPr>
                </w:p>
                <w:p w:rsidR="00B45826" w:rsidRPr="00771A1A" w:rsidRDefault="00B45826" w:rsidP="0042130F">
                  <w:pPr>
                    <w:pStyle w:val="ListParagraph"/>
                    <w:numPr>
                      <w:ilvl w:val="0"/>
                      <w:numId w:val="10"/>
                    </w:numPr>
                    <w:spacing w:line="276" w:lineRule="auto"/>
                    <w:ind w:left="426"/>
                    <w:rPr>
                      <w:rFonts w:asciiTheme="minorHAnsi" w:hAnsiTheme="minorHAnsi" w:cs="Arial"/>
                      <w:sz w:val="24"/>
                    </w:rPr>
                  </w:pPr>
                  <w:r w:rsidRPr="00771A1A">
                    <w:rPr>
                      <w:rFonts w:asciiTheme="minorHAnsi" w:hAnsiTheme="minorHAnsi" w:cstheme="minorHAnsi"/>
                    </w:rPr>
                    <w:t xml:space="preserve">57% of Asian students reported that their parent(s)/caregiver(s) gamble and 11% were worried about their parent(s)/caregiver(s) gambling.  A number of Asian young people and/or their </w:t>
                  </w:r>
                  <w:r>
                    <w:rPr>
                      <w:rFonts w:asciiTheme="minorHAnsi" w:hAnsiTheme="minorHAnsi" w:cstheme="minorHAnsi"/>
                    </w:rPr>
                    <w:t>family</w:t>
                  </w:r>
                  <w:r w:rsidRPr="00771A1A">
                    <w:rPr>
                      <w:rFonts w:asciiTheme="minorHAnsi" w:hAnsiTheme="minorHAnsi" w:cstheme="minorHAnsi"/>
                    </w:rPr>
                    <w:t xml:space="preserve"> encounter problems due to gambling.  </w:t>
                  </w:r>
                </w:p>
              </w:txbxContent>
            </v:textbox>
            <w10:wrap type="none"/>
            <w10:anchorlock/>
          </v:shape>
        </w:pict>
      </w:r>
    </w:p>
    <w:p w:rsidR="00043311" w:rsidRDefault="00043311" w:rsidP="0042130F">
      <w:pPr>
        <w:jc w:val="center"/>
        <w:rPr>
          <w:rFonts w:asciiTheme="minorHAnsi" w:hAnsiTheme="minorHAnsi" w:cs="Arial"/>
          <w:sz w:val="24"/>
        </w:rPr>
      </w:pPr>
    </w:p>
    <w:p w:rsidR="00043311" w:rsidRPr="00CB300B" w:rsidRDefault="00043311" w:rsidP="0042130F">
      <w:pPr>
        <w:jc w:val="center"/>
        <w:rPr>
          <w:rFonts w:asciiTheme="minorHAnsi" w:hAnsiTheme="minorHAnsi" w:cs="Arial"/>
          <w:sz w:val="24"/>
        </w:rPr>
      </w:pPr>
    </w:p>
    <w:p w:rsidR="00043311" w:rsidRPr="00234F53" w:rsidRDefault="00043311" w:rsidP="0042130F">
      <w:pPr>
        <w:pStyle w:val="Heading1"/>
        <w:rPr>
          <w:rFonts w:asciiTheme="minorHAnsi" w:hAnsiTheme="minorHAnsi" w:cstheme="minorHAnsi"/>
          <w:caps w:val="0"/>
          <w:szCs w:val="22"/>
        </w:rPr>
      </w:pPr>
      <w:bookmarkStart w:id="194" w:name="_Toc367284465"/>
      <w:r w:rsidRPr="00234F53">
        <w:rPr>
          <w:rFonts w:asciiTheme="minorHAnsi" w:hAnsiTheme="minorHAnsi" w:cstheme="minorHAnsi"/>
          <w:caps w:val="0"/>
          <w:szCs w:val="22"/>
        </w:rPr>
        <w:lastRenderedPageBreak/>
        <w:t>DISCUSSION</w:t>
      </w:r>
      <w:bookmarkEnd w:id="172"/>
      <w:bookmarkEnd w:id="173"/>
      <w:bookmarkEnd w:id="194"/>
    </w:p>
    <w:p w:rsidR="00043311" w:rsidRDefault="00043311" w:rsidP="0042130F">
      <w:pPr>
        <w:spacing w:line="360" w:lineRule="auto"/>
        <w:rPr>
          <w:rFonts w:asciiTheme="minorHAnsi" w:hAnsiTheme="minorHAnsi"/>
          <w:szCs w:val="22"/>
        </w:rPr>
      </w:pPr>
      <w:r w:rsidRPr="00EA49CE">
        <w:rPr>
          <w:rFonts w:asciiTheme="minorHAnsi" w:hAnsiTheme="minorHAnsi"/>
          <w:szCs w:val="22"/>
        </w:rPr>
        <w:t xml:space="preserve">This report outlines </w:t>
      </w:r>
      <w:r>
        <w:rPr>
          <w:rFonts w:asciiTheme="minorHAnsi" w:hAnsiTheme="minorHAnsi"/>
          <w:szCs w:val="22"/>
        </w:rPr>
        <w:t>results from an in-depth</w:t>
      </w:r>
      <w:r w:rsidRPr="00ED3B50">
        <w:rPr>
          <w:rFonts w:asciiTheme="minorHAnsi" w:hAnsiTheme="minorHAnsi"/>
          <w:szCs w:val="22"/>
        </w:rPr>
        <w:t xml:space="preserve"> quantitative </w:t>
      </w:r>
      <w:r>
        <w:rPr>
          <w:rFonts w:asciiTheme="minorHAnsi" w:hAnsiTheme="minorHAnsi"/>
          <w:szCs w:val="22"/>
        </w:rPr>
        <w:t>analysis</w:t>
      </w:r>
      <w:r w:rsidRPr="00ED3B50">
        <w:rPr>
          <w:rFonts w:asciiTheme="minorHAnsi" w:hAnsiTheme="minorHAnsi"/>
          <w:szCs w:val="22"/>
        </w:rPr>
        <w:t xml:space="preserve"> of the Youth</w:t>
      </w:r>
      <w:r>
        <w:rPr>
          <w:rFonts w:asciiTheme="minorHAnsi" w:hAnsiTheme="minorHAnsi"/>
          <w:szCs w:val="22"/>
        </w:rPr>
        <w:t>’</w:t>
      </w:r>
      <w:r w:rsidRPr="00ED3B50">
        <w:rPr>
          <w:rFonts w:asciiTheme="minorHAnsi" w:hAnsiTheme="minorHAnsi"/>
          <w:szCs w:val="22"/>
        </w:rPr>
        <w:t xml:space="preserve">12 </w:t>
      </w:r>
      <w:r>
        <w:rPr>
          <w:rFonts w:asciiTheme="minorHAnsi" w:hAnsiTheme="minorHAnsi"/>
          <w:szCs w:val="22"/>
        </w:rPr>
        <w:t xml:space="preserve">gambling questions. Youth’12 </w:t>
      </w:r>
      <w:r w:rsidRPr="00EA49CE">
        <w:rPr>
          <w:rFonts w:asciiTheme="minorHAnsi" w:hAnsiTheme="minorHAnsi"/>
          <w:szCs w:val="22"/>
        </w:rPr>
        <w:t>provide</w:t>
      </w:r>
      <w:r>
        <w:rPr>
          <w:rFonts w:asciiTheme="minorHAnsi" w:hAnsiTheme="minorHAnsi"/>
          <w:szCs w:val="22"/>
        </w:rPr>
        <w:t>s</w:t>
      </w:r>
      <w:r w:rsidRPr="00EA49CE">
        <w:rPr>
          <w:rFonts w:asciiTheme="minorHAnsi" w:hAnsiTheme="minorHAnsi"/>
          <w:szCs w:val="22"/>
        </w:rPr>
        <w:t xml:space="preserve"> representative </w:t>
      </w:r>
      <w:r>
        <w:rPr>
          <w:rFonts w:asciiTheme="minorHAnsi" w:hAnsiTheme="minorHAnsi"/>
          <w:szCs w:val="22"/>
        </w:rPr>
        <w:t>data</w:t>
      </w:r>
      <w:r w:rsidRPr="00EA49CE">
        <w:rPr>
          <w:rFonts w:asciiTheme="minorHAnsi" w:hAnsiTheme="minorHAnsi"/>
          <w:szCs w:val="22"/>
        </w:rPr>
        <w:t xml:space="preserve"> on the health and wellbeing of young people attending New Zealand secondary schools. It is the third </w:t>
      </w:r>
      <w:r>
        <w:rPr>
          <w:rFonts w:asciiTheme="minorHAnsi" w:hAnsiTheme="minorHAnsi"/>
          <w:szCs w:val="22"/>
        </w:rPr>
        <w:t>n</w:t>
      </w:r>
      <w:r w:rsidRPr="00EA49CE">
        <w:rPr>
          <w:rFonts w:asciiTheme="minorHAnsi" w:hAnsiTheme="minorHAnsi"/>
          <w:szCs w:val="22"/>
        </w:rPr>
        <w:t>ational youth health and wellbeing survey undertaken by the University of Auckland’s (UoA) Adolescent Health Research Group (AHRG).</w:t>
      </w:r>
      <w:r>
        <w:rPr>
          <w:rFonts w:asciiTheme="minorHAnsi" w:hAnsiTheme="minorHAnsi"/>
          <w:szCs w:val="22"/>
        </w:rPr>
        <w:t xml:space="preserve"> </w:t>
      </w:r>
    </w:p>
    <w:p w:rsidR="00043311" w:rsidRPr="00EA49CE" w:rsidRDefault="00043311" w:rsidP="0042130F">
      <w:pPr>
        <w:spacing w:line="360" w:lineRule="auto"/>
      </w:pPr>
      <w:r>
        <w:rPr>
          <w:rFonts w:asciiTheme="minorHAnsi" w:hAnsiTheme="minorHAnsi"/>
          <w:szCs w:val="22"/>
        </w:rPr>
        <w:t>The overall aim of this</w:t>
      </w:r>
      <w:r w:rsidRPr="007B70F5">
        <w:rPr>
          <w:rFonts w:asciiTheme="minorHAnsi" w:hAnsiTheme="minorHAnsi"/>
          <w:szCs w:val="22"/>
        </w:rPr>
        <w:t xml:space="preserve"> </w:t>
      </w:r>
      <w:r>
        <w:rPr>
          <w:rFonts w:asciiTheme="minorHAnsi" w:hAnsiTheme="minorHAnsi"/>
          <w:szCs w:val="22"/>
        </w:rPr>
        <w:t>project</w:t>
      </w:r>
      <w:r w:rsidRPr="007B70F5">
        <w:rPr>
          <w:rFonts w:asciiTheme="minorHAnsi" w:hAnsiTheme="minorHAnsi"/>
          <w:szCs w:val="22"/>
        </w:rPr>
        <w:t xml:space="preserve"> </w:t>
      </w:r>
      <w:r>
        <w:rPr>
          <w:rFonts w:asciiTheme="minorHAnsi" w:hAnsiTheme="minorHAnsi"/>
          <w:szCs w:val="22"/>
        </w:rPr>
        <w:t>wa</w:t>
      </w:r>
      <w:r w:rsidRPr="007B70F5">
        <w:rPr>
          <w:rFonts w:asciiTheme="minorHAnsi" w:hAnsiTheme="minorHAnsi"/>
          <w:szCs w:val="22"/>
        </w:rPr>
        <w:t xml:space="preserve">s to provide an accurate and detailed description of </w:t>
      </w:r>
      <w:r>
        <w:rPr>
          <w:rFonts w:asciiTheme="minorHAnsi" w:hAnsiTheme="minorHAnsi"/>
          <w:szCs w:val="22"/>
        </w:rPr>
        <w:t xml:space="preserve">the </w:t>
      </w:r>
      <w:r w:rsidRPr="007B70F5">
        <w:rPr>
          <w:rFonts w:asciiTheme="minorHAnsi" w:hAnsiTheme="minorHAnsi"/>
          <w:szCs w:val="22"/>
        </w:rPr>
        <w:t xml:space="preserve">gambling behaviour </w:t>
      </w:r>
      <w:r>
        <w:rPr>
          <w:rFonts w:asciiTheme="minorHAnsi" w:hAnsiTheme="minorHAnsi"/>
          <w:szCs w:val="22"/>
        </w:rPr>
        <w:t>of</w:t>
      </w:r>
      <w:r w:rsidRPr="007B70F5">
        <w:rPr>
          <w:rFonts w:asciiTheme="minorHAnsi" w:hAnsiTheme="minorHAnsi"/>
          <w:szCs w:val="22"/>
        </w:rPr>
        <w:t xml:space="preserve"> </w:t>
      </w:r>
      <w:r w:rsidRPr="00A03143">
        <w:rPr>
          <w:rFonts w:asciiTheme="minorHAnsi" w:hAnsiTheme="minorHAnsi"/>
          <w:szCs w:val="22"/>
        </w:rPr>
        <w:t>secondary school students</w:t>
      </w:r>
      <w:r w:rsidRPr="007B70F5">
        <w:rPr>
          <w:rFonts w:asciiTheme="minorHAnsi" w:hAnsiTheme="minorHAnsi"/>
          <w:szCs w:val="22"/>
        </w:rPr>
        <w:t xml:space="preserve"> in New Zealand. </w:t>
      </w:r>
      <w:r>
        <w:rPr>
          <w:rFonts w:asciiTheme="minorHAnsi" w:hAnsiTheme="minorHAnsi"/>
          <w:szCs w:val="22"/>
        </w:rPr>
        <w:t>More s</w:t>
      </w:r>
      <w:r w:rsidRPr="007B70F5">
        <w:rPr>
          <w:rFonts w:asciiTheme="minorHAnsi" w:hAnsiTheme="minorHAnsi"/>
          <w:szCs w:val="22"/>
        </w:rPr>
        <w:t xml:space="preserve">pecifically, </w:t>
      </w:r>
      <w:r>
        <w:rPr>
          <w:rFonts w:asciiTheme="minorHAnsi" w:hAnsiTheme="minorHAnsi"/>
          <w:szCs w:val="22"/>
        </w:rPr>
        <w:t>this report aims to</w:t>
      </w:r>
      <w:r w:rsidRPr="007B70F5">
        <w:rPr>
          <w:rFonts w:asciiTheme="minorHAnsi" w:hAnsiTheme="minorHAnsi"/>
          <w:szCs w:val="22"/>
        </w:rPr>
        <w:t>:</w:t>
      </w:r>
    </w:p>
    <w:p w:rsidR="00043311" w:rsidRPr="00CB01AE" w:rsidRDefault="00043311" w:rsidP="0042130F">
      <w:pPr>
        <w:pStyle w:val="ListParagraph"/>
        <w:numPr>
          <w:ilvl w:val="0"/>
          <w:numId w:val="9"/>
        </w:numPr>
        <w:spacing w:line="360" w:lineRule="auto"/>
        <w:ind w:left="709"/>
        <w:rPr>
          <w:rFonts w:asciiTheme="minorHAnsi" w:hAnsiTheme="minorHAnsi" w:cstheme="minorHAnsi"/>
        </w:rPr>
      </w:pPr>
      <w:r w:rsidRPr="00CB01AE">
        <w:rPr>
          <w:rFonts w:asciiTheme="minorHAnsi" w:hAnsiTheme="minorHAnsi" w:cstheme="minorHAnsi"/>
        </w:rPr>
        <w:t>Describe the involvement of secondary school students in gambling;</w:t>
      </w:r>
    </w:p>
    <w:p w:rsidR="00043311" w:rsidRPr="00CB01AE" w:rsidRDefault="00043311" w:rsidP="0042130F">
      <w:pPr>
        <w:pStyle w:val="ListParagraph"/>
        <w:numPr>
          <w:ilvl w:val="0"/>
          <w:numId w:val="9"/>
        </w:numPr>
        <w:spacing w:line="360" w:lineRule="auto"/>
        <w:ind w:left="709"/>
        <w:rPr>
          <w:rFonts w:asciiTheme="minorHAnsi" w:hAnsiTheme="minorHAnsi" w:cstheme="minorHAnsi"/>
        </w:rPr>
      </w:pPr>
      <w:r w:rsidRPr="00CB01AE">
        <w:rPr>
          <w:rFonts w:asciiTheme="minorHAnsi" w:hAnsiTheme="minorHAnsi" w:cstheme="minorHAnsi"/>
        </w:rPr>
        <w:t>Explore and describe unhealthy gambling amongst secondary school students;</w:t>
      </w:r>
    </w:p>
    <w:p w:rsidR="00043311" w:rsidRPr="00CB01AE" w:rsidRDefault="00043311" w:rsidP="0042130F">
      <w:pPr>
        <w:pStyle w:val="ListParagraph"/>
        <w:numPr>
          <w:ilvl w:val="0"/>
          <w:numId w:val="9"/>
        </w:numPr>
        <w:spacing w:line="360" w:lineRule="auto"/>
        <w:ind w:left="709"/>
        <w:rPr>
          <w:rFonts w:asciiTheme="minorHAnsi" w:hAnsiTheme="minorHAnsi" w:cstheme="minorHAnsi"/>
        </w:rPr>
      </w:pPr>
      <w:r w:rsidRPr="00CB01AE">
        <w:rPr>
          <w:rFonts w:asciiTheme="minorHAnsi" w:hAnsiTheme="minorHAnsi" w:cstheme="minorHAnsi"/>
        </w:rPr>
        <w:t>Explore and describe the impacts of peer and familial gambling on secondary school students;</w:t>
      </w:r>
    </w:p>
    <w:p w:rsidR="00043311" w:rsidRPr="00CB01AE" w:rsidRDefault="00043311" w:rsidP="0042130F">
      <w:pPr>
        <w:pStyle w:val="ListParagraph"/>
        <w:numPr>
          <w:ilvl w:val="0"/>
          <w:numId w:val="9"/>
        </w:numPr>
        <w:spacing w:line="360" w:lineRule="auto"/>
        <w:ind w:left="709"/>
        <w:rPr>
          <w:rFonts w:asciiTheme="minorHAnsi" w:hAnsiTheme="minorHAnsi" w:cstheme="minorHAnsi"/>
        </w:rPr>
      </w:pPr>
      <w:r w:rsidRPr="00CB01AE">
        <w:rPr>
          <w:rFonts w:asciiTheme="minorHAnsi" w:hAnsiTheme="minorHAnsi" w:cstheme="minorHAnsi"/>
        </w:rPr>
        <w:t>Explore and identify risk and protective factors for unhealthy gambling behaviours amongst New Zealand secondary school students; and,</w:t>
      </w:r>
    </w:p>
    <w:p w:rsidR="00043311" w:rsidRPr="00CB01AE" w:rsidRDefault="00043311" w:rsidP="0042130F">
      <w:pPr>
        <w:pStyle w:val="ListParagraph"/>
        <w:numPr>
          <w:ilvl w:val="0"/>
          <w:numId w:val="9"/>
        </w:numPr>
        <w:spacing w:line="360" w:lineRule="auto"/>
        <w:ind w:left="709"/>
        <w:rPr>
          <w:rFonts w:asciiTheme="minorHAnsi" w:hAnsiTheme="minorHAnsi" w:cstheme="minorHAnsi"/>
        </w:rPr>
      </w:pPr>
      <w:r w:rsidRPr="00CB01AE">
        <w:rPr>
          <w:rFonts w:asciiTheme="minorHAnsi" w:hAnsiTheme="minorHAnsi" w:cstheme="minorHAnsi"/>
        </w:rPr>
        <w:t xml:space="preserve">Investigate changes over time for gambling behaviour by comparing </w:t>
      </w:r>
      <w:r>
        <w:rPr>
          <w:rFonts w:asciiTheme="minorHAnsi" w:hAnsiTheme="minorHAnsi" w:cstheme="minorHAnsi"/>
        </w:rPr>
        <w:t xml:space="preserve">the </w:t>
      </w:r>
      <w:r w:rsidRPr="00CB01AE">
        <w:rPr>
          <w:rFonts w:asciiTheme="minorHAnsi" w:hAnsiTheme="minorHAnsi" w:cstheme="minorHAnsi"/>
        </w:rPr>
        <w:t>Youth’07 and Youth’12 survey data.</w:t>
      </w:r>
    </w:p>
    <w:p w:rsidR="00043311" w:rsidRDefault="00043311" w:rsidP="0042130F">
      <w:pPr>
        <w:spacing w:line="360" w:lineRule="auto"/>
        <w:rPr>
          <w:rFonts w:asciiTheme="minorHAnsi" w:hAnsiTheme="minorHAnsi" w:cstheme="minorHAnsi"/>
        </w:rPr>
      </w:pPr>
      <w:r>
        <w:rPr>
          <w:rFonts w:asciiTheme="minorHAnsi" w:hAnsiTheme="minorHAnsi" w:cstheme="minorHAnsi"/>
        </w:rPr>
        <w:t>The following section presents a discussion of key findings, an overview and</w:t>
      </w:r>
      <w:r w:rsidRPr="00C16FF9">
        <w:rPr>
          <w:rFonts w:asciiTheme="minorHAnsi" w:hAnsiTheme="minorHAnsi" w:cstheme="minorHAnsi"/>
        </w:rPr>
        <w:t xml:space="preserve"> implications</w:t>
      </w:r>
      <w:r>
        <w:rPr>
          <w:rFonts w:asciiTheme="minorHAnsi" w:hAnsiTheme="minorHAnsi" w:cstheme="minorHAnsi"/>
        </w:rPr>
        <w:t xml:space="preserve"> section, and a summary of the research limitations. </w:t>
      </w:r>
    </w:p>
    <w:p w:rsidR="00043311" w:rsidRPr="00C16FF9" w:rsidRDefault="00043311" w:rsidP="00043311">
      <w:pPr>
        <w:pStyle w:val="Heading2"/>
        <w:numPr>
          <w:ilvl w:val="1"/>
          <w:numId w:val="24"/>
        </w:numPr>
        <w:spacing w:line="360" w:lineRule="auto"/>
      </w:pPr>
      <w:bookmarkStart w:id="195" w:name="_Toc367284466"/>
      <w:r w:rsidRPr="00C16FF9">
        <w:t>Students and their own gambling</w:t>
      </w:r>
      <w:bookmarkEnd w:id="195"/>
      <w:r w:rsidRPr="00C16FF9">
        <w:t xml:space="preserve"> </w:t>
      </w:r>
    </w:p>
    <w:p w:rsidR="00043311" w:rsidRDefault="00043311" w:rsidP="0042130F">
      <w:pPr>
        <w:spacing w:line="360" w:lineRule="auto"/>
        <w:rPr>
          <w:rFonts w:asciiTheme="minorHAnsi" w:hAnsiTheme="minorHAnsi" w:cstheme="minorHAnsi"/>
        </w:rPr>
      </w:pPr>
      <w:r w:rsidRPr="00C16FF9">
        <w:rPr>
          <w:rFonts w:asciiTheme="minorHAnsi" w:hAnsiTheme="minorHAnsi" w:cstheme="minorHAnsi"/>
        </w:rPr>
        <w:t>Overall, most students in this study had limited engagement with gambling activities. Approximately one-quarter of</w:t>
      </w:r>
      <w:r w:rsidRPr="00CF3AA2">
        <w:rPr>
          <w:rFonts w:asciiTheme="minorHAnsi" w:hAnsiTheme="minorHAnsi" w:cstheme="minorHAnsi"/>
        </w:rPr>
        <w:t xml:space="preserve"> all students had gambled (on one or more activities) in the last 12 months, and one-tenth had gambled in the last four weeks</w:t>
      </w:r>
      <w:r>
        <w:rPr>
          <w:rFonts w:asciiTheme="minorHAnsi" w:hAnsiTheme="minorHAnsi" w:cstheme="minorHAnsi"/>
        </w:rPr>
        <w:t xml:space="preserve">. While these </w:t>
      </w:r>
      <w:r w:rsidRPr="00CF3AA2">
        <w:rPr>
          <w:rFonts w:asciiTheme="minorHAnsi" w:hAnsiTheme="minorHAnsi" w:cstheme="minorHAnsi"/>
        </w:rPr>
        <w:t>rate</w:t>
      </w:r>
      <w:r>
        <w:rPr>
          <w:rFonts w:asciiTheme="minorHAnsi" w:hAnsiTheme="minorHAnsi" w:cstheme="minorHAnsi"/>
        </w:rPr>
        <w:t>s are</w:t>
      </w:r>
      <w:r w:rsidRPr="00CF3AA2">
        <w:rPr>
          <w:rFonts w:asciiTheme="minorHAnsi" w:hAnsiTheme="minorHAnsi" w:cstheme="minorHAnsi"/>
        </w:rPr>
        <w:t xml:space="preserve"> comparable to those observed in </w:t>
      </w:r>
      <w:r>
        <w:rPr>
          <w:rFonts w:asciiTheme="minorHAnsi" w:hAnsiTheme="minorHAnsi" w:cstheme="minorHAnsi"/>
        </w:rPr>
        <w:t>Youth’07</w:t>
      </w:r>
      <w:r w:rsidRPr="00F13F79">
        <w:rPr>
          <w:rFonts w:asciiTheme="minorHAnsi" w:hAnsiTheme="minorHAnsi" w:cstheme="minorHAnsi"/>
          <w:vertAlign w:val="superscript"/>
        </w:rPr>
        <w:footnoteReference w:id="23"/>
      </w:r>
      <w:r>
        <w:rPr>
          <w:rFonts w:asciiTheme="minorHAnsi" w:hAnsiTheme="minorHAnsi" w:cstheme="minorHAnsi"/>
        </w:rPr>
        <w:t xml:space="preserve">, the observed rate of past-year gambling is lower than that reported for 15-17 year olds in the Health Sponsorship Council’s 2010 Health and Lifestyles Survey in New Zealand </w:t>
      </w:r>
      <w:r>
        <w:rPr>
          <w:rFonts w:asciiTheme="minorHAnsi" w:hAnsiTheme="minorHAnsi" w:cstheme="minorHAnsi"/>
          <w:noProof/>
        </w:rPr>
        <w:t>(Gray, 2011)</w:t>
      </w:r>
      <w:r w:rsidRPr="00CF3AA2">
        <w:rPr>
          <w:rFonts w:asciiTheme="minorHAnsi" w:hAnsiTheme="minorHAnsi" w:cstheme="minorHAnsi"/>
        </w:rPr>
        <w:t>.</w:t>
      </w:r>
      <w:r>
        <w:rPr>
          <w:rFonts w:asciiTheme="minorHAnsi" w:hAnsiTheme="minorHAnsi" w:cstheme="minorHAnsi"/>
        </w:rPr>
        <w:t xml:space="preserve"> Very few students in the present study who had gambled in the past 12 months reported spending ‘$20 or more per week’ or ’30 minutes or more per day’ on gambling activities. Small but significant decreases were observed in the proportions of students spending ‘$20 or more per week’ or ’30 minutes or more per day’ on gambling activities from 2007 to 2012. </w:t>
      </w:r>
    </w:p>
    <w:p w:rsidR="00043311" w:rsidRDefault="00043311" w:rsidP="0042130F">
      <w:pPr>
        <w:spacing w:line="360" w:lineRule="auto"/>
        <w:rPr>
          <w:rFonts w:asciiTheme="minorHAnsi" w:hAnsiTheme="minorHAnsi" w:cstheme="minorHAnsi"/>
        </w:rPr>
      </w:pPr>
      <w:r>
        <w:rPr>
          <w:rFonts w:asciiTheme="minorHAnsi" w:hAnsiTheme="minorHAnsi" w:cstheme="minorHAnsi"/>
        </w:rPr>
        <w:lastRenderedPageBreak/>
        <w:t xml:space="preserve">The range of activities that </w:t>
      </w:r>
      <w:r w:rsidRPr="00153A11">
        <w:rPr>
          <w:rFonts w:asciiTheme="minorHAnsi" w:hAnsiTheme="minorHAnsi" w:cstheme="minorHAnsi"/>
        </w:rPr>
        <w:t xml:space="preserve">students </w:t>
      </w:r>
      <w:r>
        <w:rPr>
          <w:rFonts w:asciiTheme="minorHAnsi" w:hAnsiTheme="minorHAnsi" w:cstheme="minorHAnsi"/>
        </w:rPr>
        <w:t xml:space="preserve">reported gambling on was quite </w:t>
      </w:r>
      <w:r w:rsidRPr="00153A11">
        <w:rPr>
          <w:rFonts w:asciiTheme="minorHAnsi" w:hAnsiTheme="minorHAnsi" w:cstheme="minorHAnsi"/>
        </w:rPr>
        <w:t>limited</w:t>
      </w:r>
      <w:r>
        <w:rPr>
          <w:rFonts w:asciiTheme="minorHAnsi" w:hAnsiTheme="minorHAnsi" w:cstheme="minorHAnsi"/>
        </w:rPr>
        <w:t>. The majority of students (three-quarters) had not engaged in any gambling activities</w:t>
      </w:r>
      <w:r w:rsidRPr="007A474D">
        <w:rPr>
          <w:rFonts w:asciiTheme="minorHAnsi" w:hAnsiTheme="minorHAnsi" w:cstheme="minorHAnsi"/>
        </w:rPr>
        <w:t xml:space="preserve"> </w:t>
      </w:r>
      <w:r>
        <w:rPr>
          <w:rFonts w:asciiTheme="minorHAnsi" w:hAnsiTheme="minorHAnsi" w:cstheme="minorHAnsi"/>
        </w:rPr>
        <w:t xml:space="preserve">in the past 12 months, less than one-fifth of students had gambled on one activity and approximately one-tenth </w:t>
      </w:r>
      <w:r w:rsidRPr="00153A11">
        <w:rPr>
          <w:rFonts w:asciiTheme="minorHAnsi" w:hAnsiTheme="minorHAnsi" w:cstheme="minorHAnsi"/>
        </w:rPr>
        <w:t>had gambled on two or more activities.</w:t>
      </w:r>
      <w:r>
        <w:rPr>
          <w:rFonts w:asciiTheme="minorHAnsi" w:hAnsiTheme="minorHAnsi" w:cstheme="minorHAnsi"/>
        </w:rPr>
        <w:t xml:space="preserve">  The most frequently reported gambling activities were </w:t>
      </w:r>
      <w:r w:rsidRPr="004A0751">
        <w:rPr>
          <w:rFonts w:asciiTheme="minorHAnsi" w:hAnsiTheme="minorHAnsi" w:cstheme="minorHAnsi"/>
        </w:rPr>
        <w:t>“</w:t>
      </w:r>
      <w:r>
        <w:rPr>
          <w:rFonts w:asciiTheme="minorHAnsi" w:hAnsiTheme="minorHAnsi" w:cstheme="minorHAnsi"/>
        </w:rPr>
        <w:t>bets with friends or family”, “Instant Kiwi (scratchies)”</w:t>
      </w:r>
      <w:r w:rsidRPr="004A0751">
        <w:rPr>
          <w:rFonts w:asciiTheme="minorHAnsi" w:hAnsiTheme="minorHAnsi" w:cstheme="minorHAnsi"/>
        </w:rPr>
        <w:t>, and “</w:t>
      </w:r>
      <w:r>
        <w:rPr>
          <w:rFonts w:asciiTheme="minorHAnsi" w:hAnsiTheme="minorHAnsi" w:cstheme="minorHAnsi"/>
        </w:rPr>
        <w:t>c</w:t>
      </w:r>
      <w:r w:rsidRPr="004A0751">
        <w:rPr>
          <w:rFonts w:asciiTheme="minorHAnsi" w:hAnsiTheme="minorHAnsi" w:cstheme="minorHAnsi"/>
        </w:rPr>
        <w:t>ards or coin games (e.g. poker)”</w:t>
      </w:r>
      <w:r>
        <w:rPr>
          <w:rFonts w:asciiTheme="minorHAnsi" w:hAnsiTheme="minorHAnsi" w:cstheme="minorHAnsi"/>
        </w:rPr>
        <w:t xml:space="preserve">.  </w:t>
      </w:r>
      <w:r w:rsidRPr="00855DBA">
        <w:rPr>
          <w:rFonts w:asciiTheme="minorHAnsi" w:hAnsiTheme="minorHAnsi" w:cstheme="minorHAnsi"/>
        </w:rPr>
        <w:t>The reasons most frequently cited by students for gambling</w:t>
      </w:r>
      <w:r>
        <w:rPr>
          <w:rFonts w:asciiTheme="minorHAnsi" w:hAnsiTheme="minorHAnsi" w:cstheme="minorHAnsi"/>
        </w:rPr>
        <w:t xml:space="preserve"> included ‘for fun’, ‘to make money’, ‘for a challenge’ and to ‘relieve boredom’.</w:t>
      </w:r>
      <w:r w:rsidRPr="006432AD">
        <w:rPr>
          <w:rFonts w:asciiTheme="minorHAnsi" w:hAnsiTheme="minorHAnsi" w:cstheme="minorHAnsi"/>
        </w:rPr>
        <w:t xml:space="preserve"> </w:t>
      </w:r>
      <w:r>
        <w:rPr>
          <w:rFonts w:asciiTheme="minorHAnsi" w:hAnsiTheme="minorHAnsi" w:cstheme="minorHAnsi"/>
        </w:rPr>
        <w:t xml:space="preserve">These findings correspond to students’ views on which modes of gambling are okay for people their age to engage in and are largely consistent with findings from Youth’07 </w:t>
      </w:r>
      <w:r>
        <w:rPr>
          <w:rFonts w:asciiTheme="minorHAnsi" w:hAnsiTheme="minorHAnsi" w:cstheme="minorHAnsi"/>
          <w:noProof/>
        </w:rPr>
        <w:t>(Rossen, et al., 2011)</w:t>
      </w:r>
      <w:r>
        <w:rPr>
          <w:rFonts w:asciiTheme="minorHAnsi" w:hAnsiTheme="minorHAnsi" w:cstheme="minorHAnsi"/>
        </w:rPr>
        <w:t xml:space="preserve"> and other research on youth gambling </w:t>
      </w:r>
      <w:r>
        <w:rPr>
          <w:rFonts w:asciiTheme="minorHAnsi" w:hAnsiTheme="minorHAnsi" w:cstheme="minorHAnsi"/>
          <w:noProof/>
        </w:rPr>
        <w:t>(Health Sponsorship Council, 2012; Rossen, et al., 2009; Splevins, et al., 2010; Valentine, 2008)</w:t>
      </w:r>
      <w:r>
        <w:rPr>
          <w:rFonts w:asciiTheme="minorHAnsi" w:hAnsiTheme="minorHAnsi" w:cstheme="minorHAnsi"/>
        </w:rPr>
        <w:t xml:space="preserve">. </w:t>
      </w:r>
    </w:p>
    <w:p w:rsidR="00043311" w:rsidRDefault="00043311" w:rsidP="0042130F">
      <w:pPr>
        <w:spacing w:line="360" w:lineRule="auto"/>
        <w:rPr>
          <w:rFonts w:asciiTheme="minorHAnsi" w:hAnsiTheme="minorHAnsi" w:cstheme="minorHAnsi"/>
        </w:rPr>
      </w:pPr>
      <w:r>
        <w:rPr>
          <w:rFonts w:asciiTheme="minorHAnsi" w:hAnsiTheme="minorHAnsi" w:cstheme="minorHAnsi"/>
        </w:rPr>
        <w:t xml:space="preserve">There is considerable evidence of gender differences in the youth gambling literature, with young males being more involved in gambling than young females </w:t>
      </w:r>
      <w:r>
        <w:rPr>
          <w:rFonts w:asciiTheme="minorHAnsi" w:hAnsiTheme="minorHAnsi" w:cstheme="minorHAnsi"/>
          <w:noProof/>
        </w:rPr>
        <w:t>(Darling, et al., 2006; Floros, et al., 2013; Raisamo, et al., 2013; Rossen, 2008; Rossen, et al., 2011; Wood &amp; Williams, 2009)</w:t>
      </w:r>
      <w:r>
        <w:rPr>
          <w:rFonts w:asciiTheme="minorHAnsi" w:hAnsiTheme="minorHAnsi" w:cstheme="minorHAnsi"/>
        </w:rPr>
        <w:t>. Similarly, a consistent theme throughout this report is that gambling tends to play a more prominent role in the life of young males than females. Greater proportions of males than females indicated that they: had gambled in the last 12 months; had gambled in the last four weeks; usually spend $20 or more per week on gambling; and</w:t>
      </w:r>
      <w:r w:rsidRPr="0085093F">
        <w:rPr>
          <w:rFonts w:asciiTheme="minorHAnsi" w:hAnsiTheme="minorHAnsi" w:cstheme="minorHAnsi"/>
        </w:rPr>
        <w:t>, had worried about the amount of time or money that they spent on gambling. In addition t</w:t>
      </w:r>
      <w:r w:rsidRPr="00855DBA">
        <w:rPr>
          <w:rFonts w:asciiTheme="minorHAnsi" w:hAnsiTheme="minorHAnsi" w:cstheme="minorHAnsi"/>
        </w:rPr>
        <w:t>o some of the more casual modes</w:t>
      </w:r>
      <w:r>
        <w:rPr>
          <w:rFonts w:asciiTheme="minorHAnsi" w:hAnsiTheme="minorHAnsi" w:cstheme="minorHAnsi"/>
        </w:rPr>
        <w:t xml:space="preserve"> of gambling (e.g. having bets with friends/family and playing card or coin games for money), male students were also more likely than their female counterparts to have gambled at a casino, via a cell-phone or on the Internet. </w:t>
      </w:r>
    </w:p>
    <w:p w:rsidR="00043311" w:rsidRPr="00C16FF9" w:rsidRDefault="00043311" w:rsidP="00043311">
      <w:pPr>
        <w:pStyle w:val="Heading2"/>
        <w:numPr>
          <w:ilvl w:val="1"/>
          <w:numId w:val="24"/>
        </w:numPr>
        <w:spacing w:line="360" w:lineRule="auto"/>
      </w:pPr>
      <w:bookmarkStart w:id="196" w:name="_Toc367284467"/>
      <w:r w:rsidRPr="00C16FF9">
        <w:t>The impacts of others’ gambling on students</w:t>
      </w:r>
      <w:bookmarkEnd w:id="196"/>
    </w:p>
    <w:p w:rsidR="00043311" w:rsidRDefault="00043311" w:rsidP="0042130F">
      <w:pPr>
        <w:spacing w:line="360" w:lineRule="auto"/>
        <w:rPr>
          <w:rFonts w:asciiTheme="minorHAnsi" w:hAnsiTheme="minorHAnsi" w:cstheme="minorHAnsi"/>
        </w:rPr>
      </w:pPr>
      <w:r>
        <w:rPr>
          <w:rFonts w:asciiTheme="minorHAnsi" w:hAnsiTheme="minorHAnsi" w:cstheme="minorHAnsi"/>
        </w:rPr>
        <w:t>The results from this project</w:t>
      </w:r>
      <w:r w:rsidRPr="00164064">
        <w:rPr>
          <w:rFonts w:asciiTheme="minorHAnsi" w:hAnsiTheme="minorHAnsi" w:cstheme="minorHAnsi"/>
        </w:rPr>
        <w:t xml:space="preserve"> </w:t>
      </w:r>
      <w:r>
        <w:rPr>
          <w:rFonts w:asciiTheme="minorHAnsi" w:hAnsiTheme="minorHAnsi" w:cstheme="minorHAnsi"/>
        </w:rPr>
        <w:t>highlight the ecological nature of gambling. In essence, an ecological approach to understanding human behaviour values and acknowledges the contextual framework in which individuals live and operate</w:t>
      </w:r>
      <w:r w:rsidRPr="003723A0">
        <w:rPr>
          <w:rFonts w:asciiTheme="minorHAnsi" w:hAnsiTheme="minorHAnsi" w:cstheme="minorHAnsi"/>
        </w:rPr>
        <w:t xml:space="preserve"> (Bronfenbrenner, 1979; Swick &amp; Williams, 2006; Berk, 2000; Addison, 1992)</w:t>
      </w:r>
      <w:r>
        <w:rPr>
          <w:rFonts w:asciiTheme="minorHAnsi" w:hAnsiTheme="minorHAnsi" w:cstheme="minorHAnsi"/>
        </w:rPr>
        <w:t>. In particular, this study found clear evidence that the socialisation of students’ (with regard to gambling), through family and friends, plays an important role in the formation of student gambling behaviour. Nearly three-quarters of students in this study indicated that their parents gambled and approximately half said that their friends had gambled; students usually engaged in gambling with friends and/or family members (particularly younger students); and, ‘bets with friends or family’ was the activity most frequently cited by students as being socially acceptable for people their age to play or do regularly. These findings are consistent with theories of youth development, which indicate that a</w:t>
      </w:r>
      <w:r w:rsidRPr="001B5318">
        <w:rPr>
          <w:rFonts w:asciiTheme="minorHAnsi" w:hAnsiTheme="minorHAnsi" w:cstheme="minorHAnsi"/>
        </w:rPr>
        <w:t xml:space="preserve">n important contributing factor to healthy youth development is access to a caring, supportive and safe family environment. Youth who report relationships of this type with their families are more likely to be happy, healthy and get on better in life </w:t>
      </w:r>
      <w:r>
        <w:rPr>
          <w:rFonts w:asciiTheme="minorHAnsi" w:hAnsiTheme="minorHAnsi" w:cstheme="minorHAnsi"/>
          <w:noProof/>
        </w:rPr>
        <w:t>(e.g. McLaren, 2002)</w:t>
      </w:r>
      <w:r w:rsidRPr="001B5318">
        <w:rPr>
          <w:rFonts w:asciiTheme="minorHAnsi" w:hAnsiTheme="minorHAnsi" w:cstheme="minorHAnsi"/>
        </w:rPr>
        <w:t xml:space="preserve">.  </w:t>
      </w:r>
      <w:r>
        <w:rPr>
          <w:rFonts w:asciiTheme="minorHAnsi" w:hAnsiTheme="minorHAnsi" w:cstheme="minorHAnsi"/>
        </w:rPr>
        <w:t xml:space="preserve">However, children of problem gamblers are more likely to </w:t>
      </w:r>
      <w:r>
        <w:rPr>
          <w:rFonts w:asciiTheme="minorHAnsi" w:hAnsiTheme="minorHAnsi" w:cstheme="minorHAnsi"/>
        </w:rPr>
        <w:lastRenderedPageBreak/>
        <w:t xml:space="preserve">experience emotional neglect and poor parent-child relationships, and are at greater risk of youth suicide, adjustment disorders, behavioural difficulties and poor psychological development </w:t>
      </w:r>
      <w:r w:rsidR="009C080C">
        <w:rPr>
          <w:rFonts w:asciiTheme="minorHAnsi" w:hAnsiTheme="minorHAnsi" w:cstheme="minorHAnsi"/>
          <w:noProof/>
        </w:rPr>
        <w:t>(</w:t>
      </w:r>
      <w:r>
        <w:rPr>
          <w:rFonts w:asciiTheme="minorHAnsi" w:hAnsiTheme="minorHAnsi" w:cstheme="minorHAnsi"/>
          <w:noProof/>
        </w:rPr>
        <w:t>Abbott &amp; Cramer, 1993; Darbyshire, et al., 2001a; Floros, et al., 2013; Rogers, 2013; Vitaro, et al., 2008)</w:t>
      </w:r>
      <w:r>
        <w:rPr>
          <w:rFonts w:asciiTheme="minorHAnsi" w:hAnsiTheme="minorHAnsi" w:cstheme="minorHAnsi"/>
        </w:rPr>
        <w:t xml:space="preserve">. It is concerning that a number of students in this study reported issues that are indicative of unhealthy parental/familial gambling behaviour, and/or neglect due to parental/familial gambling </w:t>
      </w:r>
      <w:r w:rsidRPr="00F94F8C">
        <w:rPr>
          <w:rFonts w:asciiTheme="minorHAnsi" w:hAnsiTheme="minorHAnsi" w:cstheme="minorHAnsi"/>
        </w:rPr>
        <w:t>(e.g. they had worried about their parents gambling; there had been fights/arguments about gambling; bills were not paid; they had to go without something that was needed).</w:t>
      </w:r>
      <w:r>
        <w:rPr>
          <w:rFonts w:asciiTheme="minorHAnsi" w:hAnsiTheme="minorHAnsi" w:cstheme="minorHAnsi"/>
        </w:rPr>
        <w:t xml:space="preserve"> The rates of these issues were lower than those reported by the Health Sponsorship Council’s Health and Lifestyles Survey </w:t>
      </w:r>
      <w:r>
        <w:rPr>
          <w:rFonts w:asciiTheme="minorHAnsi" w:hAnsiTheme="minorHAnsi" w:cstheme="minorHAnsi"/>
          <w:noProof/>
        </w:rPr>
        <w:t>(2012)</w:t>
      </w:r>
      <w:r>
        <w:rPr>
          <w:rFonts w:asciiTheme="minorHAnsi" w:hAnsiTheme="minorHAnsi" w:cstheme="minorHAnsi"/>
        </w:rPr>
        <w:t xml:space="preserve">. These discrepancies may be attributable to the different age ranges employed by the samples: 12-19 in Youth’12 vs. 15-24 in the Health and Lifestyles Survey.  Both surveys found that young people living in neighbourhoods with higher levels of socio-economic deprivation were more likely to report indicators of familial/household problematic gambling. </w:t>
      </w:r>
    </w:p>
    <w:p w:rsidR="00043311" w:rsidRDefault="00043311" w:rsidP="0042130F">
      <w:pPr>
        <w:spacing w:line="360" w:lineRule="auto"/>
        <w:rPr>
          <w:rFonts w:asciiTheme="minorHAnsi" w:hAnsiTheme="minorHAnsi" w:cstheme="minorHAnsi"/>
        </w:rPr>
      </w:pPr>
      <w:r>
        <w:rPr>
          <w:rFonts w:asciiTheme="minorHAnsi" w:hAnsiTheme="minorHAnsi" w:cstheme="minorHAnsi"/>
        </w:rPr>
        <w:t xml:space="preserve">All of these findings have implications with regard to how young people learn to engage with gambling, and the potential for the development of problem gambling amongst youth, particularly as parental problem gambling is a well-established risk-factor for youth problem gambling </w:t>
      </w:r>
      <w:r>
        <w:rPr>
          <w:rFonts w:asciiTheme="minorHAnsi" w:hAnsiTheme="minorHAnsi" w:cstheme="minorHAnsi"/>
          <w:noProof/>
        </w:rPr>
        <w:t>(Delfabbro, et al., 2005; Dowling, Jackson, Thomas, &amp;.  Frydenberg, 2010; Hardoon, et al., 2002; Hardoon &amp; Derevensky, 2002)</w:t>
      </w:r>
      <w:r w:rsidRPr="000D0AFF">
        <w:rPr>
          <w:rFonts w:asciiTheme="minorHAnsi" w:hAnsiTheme="minorHAnsi" w:cstheme="minorHAnsi"/>
        </w:rPr>
        <w:t>.</w:t>
      </w:r>
      <w:r>
        <w:rPr>
          <w:rFonts w:asciiTheme="minorHAnsi" w:hAnsiTheme="minorHAnsi" w:cstheme="minorHAnsi"/>
        </w:rPr>
        <w:t xml:space="preserve"> </w:t>
      </w:r>
    </w:p>
    <w:p w:rsidR="00043311" w:rsidRDefault="00043311" w:rsidP="0042130F">
      <w:pPr>
        <w:spacing w:line="360" w:lineRule="auto"/>
        <w:rPr>
          <w:rFonts w:asciiTheme="minorHAnsi" w:hAnsiTheme="minorHAnsi" w:cstheme="minorHAnsi"/>
        </w:rPr>
      </w:pPr>
      <w:r>
        <w:rPr>
          <w:rFonts w:asciiTheme="minorHAnsi" w:hAnsiTheme="minorHAnsi" w:cstheme="minorHAnsi"/>
        </w:rPr>
        <w:t>The reported involvement</w:t>
      </w:r>
      <w:r w:rsidRPr="00845274">
        <w:rPr>
          <w:rFonts w:asciiTheme="minorHAnsi" w:hAnsiTheme="minorHAnsi" w:cstheme="minorHAnsi"/>
        </w:rPr>
        <w:t xml:space="preserve"> of parent</w:t>
      </w:r>
      <w:r>
        <w:rPr>
          <w:rFonts w:asciiTheme="minorHAnsi" w:hAnsiTheme="minorHAnsi" w:cstheme="minorHAnsi"/>
        </w:rPr>
        <w:t xml:space="preserve">s and </w:t>
      </w:r>
      <w:r w:rsidRPr="00845274">
        <w:rPr>
          <w:rFonts w:asciiTheme="minorHAnsi" w:hAnsiTheme="minorHAnsi" w:cstheme="minorHAnsi"/>
        </w:rPr>
        <w:t>caregiver</w:t>
      </w:r>
      <w:r>
        <w:rPr>
          <w:rFonts w:asciiTheme="minorHAnsi" w:hAnsiTheme="minorHAnsi" w:cstheme="minorHAnsi"/>
        </w:rPr>
        <w:t xml:space="preserve">s in </w:t>
      </w:r>
      <w:r w:rsidRPr="00845274">
        <w:rPr>
          <w:rFonts w:asciiTheme="minorHAnsi" w:hAnsiTheme="minorHAnsi" w:cstheme="minorHAnsi"/>
        </w:rPr>
        <w:t>gambling</w:t>
      </w:r>
      <w:r>
        <w:rPr>
          <w:rFonts w:asciiTheme="minorHAnsi" w:hAnsiTheme="minorHAnsi" w:cstheme="minorHAnsi"/>
        </w:rPr>
        <w:t xml:space="preserve"> were s</w:t>
      </w:r>
      <w:r w:rsidRPr="00845274">
        <w:rPr>
          <w:rFonts w:asciiTheme="minorHAnsi" w:hAnsiTheme="minorHAnsi" w:cstheme="minorHAnsi"/>
        </w:rPr>
        <w:t xml:space="preserve">imilar </w:t>
      </w:r>
      <w:r>
        <w:rPr>
          <w:rFonts w:asciiTheme="minorHAnsi" w:hAnsiTheme="minorHAnsi" w:cstheme="minorHAnsi"/>
        </w:rPr>
        <w:t>amongst</w:t>
      </w:r>
      <w:r w:rsidRPr="00845274">
        <w:rPr>
          <w:rFonts w:asciiTheme="minorHAnsi" w:hAnsiTheme="minorHAnsi" w:cstheme="minorHAnsi"/>
        </w:rPr>
        <w:t xml:space="preserve"> </w:t>
      </w:r>
      <w:r w:rsidRPr="007B3F4D">
        <w:rPr>
          <w:rFonts w:asciiTheme="minorHAnsi" w:hAnsiTheme="minorHAnsi" w:cstheme="minorHAnsi"/>
        </w:rPr>
        <w:t>Māori</w:t>
      </w:r>
      <w:r>
        <w:rPr>
          <w:rFonts w:asciiTheme="minorHAnsi" w:hAnsiTheme="minorHAnsi" w:cstheme="minorHAnsi"/>
        </w:rPr>
        <w:t xml:space="preserve">, </w:t>
      </w:r>
      <w:r w:rsidRPr="00845274">
        <w:rPr>
          <w:rFonts w:asciiTheme="minorHAnsi" w:hAnsiTheme="minorHAnsi" w:cstheme="minorHAnsi"/>
        </w:rPr>
        <w:t xml:space="preserve">Pacific </w:t>
      </w:r>
      <w:r>
        <w:rPr>
          <w:rFonts w:asciiTheme="minorHAnsi" w:hAnsiTheme="minorHAnsi" w:cstheme="minorHAnsi"/>
        </w:rPr>
        <w:t xml:space="preserve">and NZ European students, while a smaller proportion of Asian students reported that their parents/caregivers gambled. However, in comparison to NZ European students, significantly greater proportions of </w:t>
      </w:r>
      <w:r w:rsidRPr="007B3F4D">
        <w:rPr>
          <w:rFonts w:asciiTheme="minorHAnsi" w:hAnsiTheme="minorHAnsi" w:cstheme="minorHAnsi"/>
        </w:rPr>
        <w:t>Māori</w:t>
      </w:r>
      <w:r>
        <w:rPr>
          <w:rFonts w:asciiTheme="minorHAnsi" w:hAnsiTheme="minorHAnsi" w:cstheme="minorHAnsi"/>
        </w:rPr>
        <w:t>, Pacific and Asian students reported being concerned about their parents’/caregivers’</w:t>
      </w:r>
      <w:r w:rsidRPr="00763F56">
        <w:rPr>
          <w:rFonts w:asciiTheme="minorHAnsi" w:hAnsiTheme="minorHAnsi" w:cstheme="minorHAnsi"/>
        </w:rPr>
        <w:t xml:space="preserve"> </w:t>
      </w:r>
      <w:r>
        <w:rPr>
          <w:rFonts w:asciiTheme="minorHAnsi" w:hAnsiTheme="minorHAnsi" w:cstheme="minorHAnsi"/>
        </w:rPr>
        <w:t xml:space="preserve">gambling. This corresponds with adult-based research in New Zealand which highlights the disproportionate effects of gambling on </w:t>
      </w:r>
      <w:r w:rsidRPr="007B3F4D">
        <w:rPr>
          <w:rFonts w:asciiTheme="minorHAnsi" w:hAnsiTheme="minorHAnsi" w:cstheme="minorHAnsi"/>
        </w:rPr>
        <w:t>Māori</w:t>
      </w:r>
      <w:r>
        <w:rPr>
          <w:rFonts w:asciiTheme="minorHAnsi" w:hAnsiTheme="minorHAnsi" w:cstheme="minorHAnsi"/>
        </w:rPr>
        <w:t xml:space="preserve">, Pacific and Asian </w:t>
      </w:r>
      <w:r w:rsidR="00616373">
        <w:rPr>
          <w:rFonts w:asciiTheme="minorHAnsi" w:hAnsiTheme="minorHAnsi" w:cstheme="minorHAnsi"/>
        </w:rPr>
        <w:t>communities</w:t>
      </w:r>
      <w:r>
        <w:rPr>
          <w:rFonts w:asciiTheme="minorHAnsi" w:hAnsiTheme="minorHAnsi" w:cstheme="minorHAnsi"/>
        </w:rPr>
        <w:t xml:space="preserve"> </w:t>
      </w:r>
      <w:r w:rsidR="009C080C">
        <w:rPr>
          <w:rFonts w:asciiTheme="minorHAnsi" w:hAnsiTheme="minorHAnsi" w:cstheme="minorHAnsi"/>
          <w:noProof/>
        </w:rPr>
        <w:t>(</w:t>
      </w:r>
      <w:r>
        <w:rPr>
          <w:rFonts w:asciiTheme="minorHAnsi" w:hAnsiTheme="minorHAnsi" w:cstheme="minorHAnsi"/>
          <w:noProof/>
        </w:rPr>
        <w:t>Abbott &amp; Volberg, 1991; Abbott &amp; Volberg, 2000; Australian Institute for Gambling Research Studies, 1998; Bellringer, et al., 2006; Devlin, 2011; Guttenbeil-Po'uhila, et al., 2004; Perese, 2009; Perese, et al., 2009; Thorne, et al., 2012; Tse, et al., 2005; Tu'itahi, et al., 2004)</w:t>
      </w:r>
      <w:r>
        <w:rPr>
          <w:rFonts w:asciiTheme="minorHAnsi" w:hAnsiTheme="minorHAnsi" w:cstheme="minorHAnsi"/>
        </w:rPr>
        <w:t xml:space="preserve">. </w:t>
      </w:r>
    </w:p>
    <w:p w:rsidR="00043311" w:rsidRDefault="00043311" w:rsidP="0042130F">
      <w:pPr>
        <w:spacing w:line="360" w:lineRule="auto"/>
        <w:rPr>
          <w:rFonts w:asciiTheme="minorHAnsi" w:hAnsiTheme="minorHAnsi" w:cstheme="minorHAnsi"/>
        </w:rPr>
      </w:pPr>
      <w:r>
        <w:rPr>
          <w:rFonts w:asciiTheme="minorHAnsi" w:hAnsiTheme="minorHAnsi" w:cstheme="minorHAnsi"/>
        </w:rPr>
        <w:t>Socio-economic deprivation was also linked to the impacts of parental/caregiver gambling on young people; s</w:t>
      </w:r>
      <w:r w:rsidRPr="00E4639C">
        <w:rPr>
          <w:rFonts w:asciiTheme="minorHAnsi" w:hAnsiTheme="minorHAnsi" w:cstheme="minorHAnsi"/>
        </w:rPr>
        <w:t xml:space="preserve">tudents </w:t>
      </w:r>
      <w:r>
        <w:rPr>
          <w:rFonts w:asciiTheme="minorHAnsi" w:hAnsiTheme="minorHAnsi" w:cstheme="minorHAnsi"/>
        </w:rPr>
        <w:t xml:space="preserve">living in </w:t>
      </w:r>
      <w:r w:rsidRPr="00E4639C">
        <w:rPr>
          <w:rFonts w:asciiTheme="minorHAnsi" w:hAnsiTheme="minorHAnsi" w:cstheme="minorHAnsi"/>
        </w:rPr>
        <w:t>neighbourhoods</w:t>
      </w:r>
      <w:r>
        <w:rPr>
          <w:rFonts w:asciiTheme="minorHAnsi" w:hAnsiTheme="minorHAnsi" w:cstheme="minorHAnsi"/>
        </w:rPr>
        <w:t xml:space="preserve"> with </w:t>
      </w:r>
      <w:r w:rsidRPr="00E4639C">
        <w:rPr>
          <w:rFonts w:asciiTheme="minorHAnsi" w:hAnsiTheme="minorHAnsi" w:cstheme="minorHAnsi"/>
        </w:rPr>
        <w:t xml:space="preserve">higher </w:t>
      </w:r>
      <w:r>
        <w:rPr>
          <w:rFonts w:asciiTheme="minorHAnsi" w:hAnsiTheme="minorHAnsi" w:cstheme="minorHAnsi"/>
        </w:rPr>
        <w:t xml:space="preserve">levels of </w:t>
      </w:r>
      <w:r w:rsidRPr="00E4639C">
        <w:rPr>
          <w:rFonts w:asciiTheme="minorHAnsi" w:hAnsiTheme="minorHAnsi" w:cstheme="minorHAnsi"/>
        </w:rPr>
        <w:t xml:space="preserve">deprivation were </w:t>
      </w:r>
      <w:r>
        <w:rPr>
          <w:rFonts w:asciiTheme="minorHAnsi" w:hAnsiTheme="minorHAnsi" w:cstheme="minorHAnsi"/>
        </w:rPr>
        <w:t>more</w:t>
      </w:r>
      <w:r w:rsidRPr="00E4639C">
        <w:rPr>
          <w:rFonts w:asciiTheme="minorHAnsi" w:hAnsiTheme="minorHAnsi" w:cstheme="minorHAnsi"/>
        </w:rPr>
        <w:t xml:space="preserve"> likely to have worried or felt anxious about others’ gambling.</w:t>
      </w:r>
      <w:r>
        <w:rPr>
          <w:rFonts w:asciiTheme="minorHAnsi" w:hAnsiTheme="minorHAnsi" w:cstheme="minorHAnsi"/>
        </w:rPr>
        <w:t xml:space="preserve"> In particular, </w:t>
      </w:r>
      <w:r w:rsidRPr="007B3F4D">
        <w:rPr>
          <w:rFonts w:asciiTheme="minorHAnsi" w:hAnsiTheme="minorHAnsi" w:cstheme="minorHAnsi"/>
        </w:rPr>
        <w:t xml:space="preserve">Māori </w:t>
      </w:r>
      <w:r>
        <w:rPr>
          <w:rFonts w:asciiTheme="minorHAnsi" w:hAnsiTheme="minorHAnsi" w:cstheme="minorHAnsi"/>
        </w:rPr>
        <w:t xml:space="preserve">and Pacific young people from higher deprivation neighbourhoods were more likely to be worried about the gambling of others relative to those from less deprived neighbourhoods. </w:t>
      </w:r>
    </w:p>
    <w:p w:rsidR="00043311" w:rsidRDefault="00043311" w:rsidP="00043311">
      <w:pPr>
        <w:pStyle w:val="Heading2"/>
        <w:numPr>
          <w:ilvl w:val="1"/>
          <w:numId w:val="24"/>
        </w:numPr>
        <w:spacing w:line="360" w:lineRule="auto"/>
      </w:pPr>
      <w:bookmarkStart w:id="197" w:name="_Toc367284468"/>
      <w:r>
        <w:lastRenderedPageBreak/>
        <w:t>Unhealthy gambling and the identification of risk and protective factors</w:t>
      </w:r>
      <w:bookmarkEnd w:id="197"/>
    </w:p>
    <w:p w:rsidR="003131B7" w:rsidRPr="003131B7" w:rsidRDefault="003131B7" w:rsidP="003131B7">
      <w:pPr>
        <w:spacing w:line="360" w:lineRule="auto"/>
        <w:rPr>
          <w:rFonts w:asciiTheme="minorHAnsi" w:hAnsiTheme="minorHAnsi" w:cstheme="minorHAnsi"/>
        </w:rPr>
      </w:pPr>
      <w:r w:rsidRPr="003131B7">
        <w:rPr>
          <w:rFonts w:asciiTheme="minorHAnsi" w:hAnsiTheme="minorHAnsi" w:cstheme="minorHAnsi"/>
        </w:rPr>
        <w:t>One aim of t</w:t>
      </w:r>
      <w:r w:rsidR="00043311" w:rsidRPr="003131B7">
        <w:rPr>
          <w:rFonts w:asciiTheme="minorHAnsi" w:hAnsiTheme="minorHAnsi" w:cstheme="minorHAnsi"/>
        </w:rPr>
        <w:t xml:space="preserve">his research </w:t>
      </w:r>
      <w:r w:rsidRPr="003131B7">
        <w:rPr>
          <w:rFonts w:asciiTheme="minorHAnsi" w:hAnsiTheme="minorHAnsi" w:cstheme="minorHAnsi"/>
        </w:rPr>
        <w:t>was</w:t>
      </w:r>
      <w:r w:rsidR="00043311" w:rsidRPr="003131B7">
        <w:rPr>
          <w:rFonts w:asciiTheme="minorHAnsi" w:hAnsiTheme="minorHAnsi" w:cstheme="minorHAnsi"/>
        </w:rPr>
        <w:t xml:space="preserve"> to explore </w:t>
      </w:r>
      <w:r w:rsidRPr="003131B7">
        <w:rPr>
          <w:rFonts w:asciiTheme="minorHAnsi" w:hAnsiTheme="minorHAnsi" w:cstheme="minorHAnsi"/>
        </w:rPr>
        <w:t>problematic</w:t>
      </w:r>
      <w:r w:rsidR="00043311" w:rsidRPr="003131B7">
        <w:rPr>
          <w:rFonts w:asciiTheme="minorHAnsi" w:hAnsiTheme="minorHAnsi" w:cstheme="minorHAnsi"/>
        </w:rPr>
        <w:t xml:space="preserve"> </w:t>
      </w:r>
      <w:r w:rsidR="00F20231">
        <w:rPr>
          <w:rFonts w:asciiTheme="minorHAnsi" w:hAnsiTheme="minorHAnsi" w:cstheme="minorHAnsi"/>
        </w:rPr>
        <w:t xml:space="preserve">gambling </w:t>
      </w:r>
      <w:r w:rsidR="00043311" w:rsidRPr="003131B7">
        <w:rPr>
          <w:rFonts w:asciiTheme="minorHAnsi" w:hAnsiTheme="minorHAnsi" w:cstheme="minorHAnsi"/>
        </w:rPr>
        <w:t>amongst secondary school students and identify risk and protective factors.</w:t>
      </w:r>
      <w:r w:rsidRPr="003131B7">
        <w:rPr>
          <w:rFonts w:asciiTheme="minorHAnsi" w:hAnsiTheme="minorHAnsi" w:cstheme="minorHAnsi"/>
        </w:rPr>
        <w:t xml:space="preserve"> As Youth’12 did not include a formal standardised measure of problem/pathological gambling, a construct to define ‘unhealthy gambling’ behaviour was developed.</w:t>
      </w:r>
    </w:p>
    <w:p w:rsidR="00043311" w:rsidRPr="00E24228" w:rsidRDefault="00043311" w:rsidP="0042130F">
      <w:pPr>
        <w:spacing w:line="360" w:lineRule="auto"/>
        <w:rPr>
          <w:rFonts w:asciiTheme="minorHAnsi" w:hAnsiTheme="minorHAnsi" w:cstheme="minorHAnsi"/>
          <w:highlight w:val="cyan"/>
        </w:rPr>
      </w:pPr>
      <w:r>
        <w:rPr>
          <w:rFonts w:asciiTheme="minorHAnsi" w:hAnsiTheme="minorHAnsi" w:cstheme="minorHAnsi"/>
        </w:rPr>
        <w:t>The</w:t>
      </w:r>
      <w:r w:rsidRPr="00BB07F4">
        <w:rPr>
          <w:rFonts w:asciiTheme="minorHAnsi" w:hAnsiTheme="minorHAnsi" w:cstheme="minorHAnsi"/>
        </w:rPr>
        <w:t xml:space="preserve"> majority of students who had gambled in the last 12 months </w:t>
      </w:r>
      <w:r>
        <w:rPr>
          <w:rFonts w:asciiTheme="minorHAnsi" w:hAnsiTheme="minorHAnsi" w:cstheme="minorHAnsi"/>
        </w:rPr>
        <w:t>did so without reporting any of the indices for ‘unhealthy gambling’ and they appeared to be engaging with gambling at safe levels. However, a number of students did report factors that were indicative of ‘unhealthy gambling’: approximately one-tenth reported one indicator and a further five percent reported two or more indicators of ‘unhealthy gambling’. While these students were from a diverse range of backgrounds, a</w:t>
      </w:r>
      <w:r w:rsidRPr="007C5336">
        <w:rPr>
          <w:rFonts w:asciiTheme="minorHAnsi" w:hAnsiTheme="minorHAnsi" w:cstheme="minorHAnsi"/>
        </w:rPr>
        <w:t xml:space="preserve"> number of demographic factors were significantly associated with an elevated risk of unhealthy gambling</w:t>
      </w:r>
      <w:r>
        <w:rPr>
          <w:rFonts w:asciiTheme="minorHAnsi" w:hAnsiTheme="minorHAnsi" w:cstheme="minorHAnsi"/>
        </w:rPr>
        <w:t>. In particular, s</w:t>
      </w:r>
      <w:r w:rsidRPr="007C5336">
        <w:rPr>
          <w:rFonts w:asciiTheme="minorHAnsi" w:hAnsiTheme="minorHAnsi" w:cstheme="minorHAnsi"/>
        </w:rPr>
        <w:t xml:space="preserve">tudents who were male, </w:t>
      </w:r>
      <w:r>
        <w:rPr>
          <w:rFonts w:asciiTheme="minorHAnsi" w:hAnsiTheme="minorHAnsi" w:cstheme="minorHAnsi"/>
        </w:rPr>
        <w:t>from</w:t>
      </w:r>
      <w:r w:rsidRPr="007C5336">
        <w:rPr>
          <w:rFonts w:asciiTheme="minorHAnsi" w:hAnsiTheme="minorHAnsi" w:cstheme="minorHAnsi"/>
        </w:rPr>
        <w:t xml:space="preserve"> non-New Zealand European ethnic</w:t>
      </w:r>
      <w:r>
        <w:rPr>
          <w:rFonts w:asciiTheme="minorHAnsi" w:hAnsiTheme="minorHAnsi" w:cstheme="minorHAnsi"/>
        </w:rPr>
        <w:t xml:space="preserve"> groups</w:t>
      </w:r>
      <w:r w:rsidRPr="007C5336">
        <w:rPr>
          <w:rFonts w:asciiTheme="minorHAnsi" w:hAnsiTheme="minorHAnsi" w:cstheme="minorHAnsi"/>
        </w:rPr>
        <w:t xml:space="preserve">, </w:t>
      </w:r>
      <w:r>
        <w:rPr>
          <w:rFonts w:asciiTheme="minorHAnsi" w:hAnsiTheme="minorHAnsi" w:cstheme="minorHAnsi"/>
        </w:rPr>
        <w:t xml:space="preserve">and students </w:t>
      </w:r>
      <w:r w:rsidRPr="007C5336">
        <w:rPr>
          <w:rFonts w:asciiTheme="minorHAnsi" w:hAnsiTheme="minorHAnsi" w:cstheme="minorHAnsi"/>
        </w:rPr>
        <w:t>living in neighbourhoods with higher levels of deprivation</w:t>
      </w:r>
      <w:r>
        <w:rPr>
          <w:rFonts w:asciiTheme="minorHAnsi" w:hAnsiTheme="minorHAnsi" w:cstheme="minorHAnsi"/>
        </w:rPr>
        <w:t xml:space="preserve"> </w:t>
      </w:r>
      <w:r w:rsidRPr="007C5336">
        <w:rPr>
          <w:rFonts w:asciiTheme="minorHAnsi" w:hAnsiTheme="minorHAnsi" w:cstheme="minorHAnsi"/>
        </w:rPr>
        <w:t>were significantly more likely</w:t>
      </w:r>
      <w:r>
        <w:rPr>
          <w:rFonts w:asciiTheme="minorHAnsi" w:hAnsiTheme="minorHAnsi" w:cstheme="minorHAnsi"/>
        </w:rPr>
        <w:t xml:space="preserve"> than their counterparts </w:t>
      </w:r>
      <w:r w:rsidRPr="007C5336">
        <w:rPr>
          <w:rFonts w:asciiTheme="minorHAnsi" w:hAnsiTheme="minorHAnsi" w:cstheme="minorHAnsi"/>
        </w:rPr>
        <w:t>to report</w:t>
      </w:r>
      <w:r>
        <w:rPr>
          <w:rFonts w:asciiTheme="minorHAnsi" w:hAnsiTheme="minorHAnsi" w:cstheme="minorHAnsi"/>
        </w:rPr>
        <w:t xml:space="preserve"> issues that were indicative of </w:t>
      </w:r>
      <w:r w:rsidRPr="007C5336">
        <w:rPr>
          <w:rFonts w:asciiTheme="minorHAnsi" w:hAnsiTheme="minorHAnsi" w:cstheme="minorHAnsi"/>
        </w:rPr>
        <w:t>unhealthy gambling</w:t>
      </w:r>
      <w:r>
        <w:rPr>
          <w:rFonts w:asciiTheme="minorHAnsi" w:hAnsiTheme="minorHAnsi" w:cstheme="minorHAnsi"/>
        </w:rPr>
        <w:t xml:space="preserve">.  </w:t>
      </w:r>
      <w:r w:rsidRPr="00D50AF4">
        <w:rPr>
          <w:rFonts w:asciiTheme="minorHAnsi" w:hAnsiTheme="minorHAnsi" w:cstheme="minorHAnsi"/>
        </w:rPr>
        <w:t xml:space="preserve">These </w:t>
      </w:r>
      <w:r>
        <w:rPr>
          <w:rFonts w:asciiTheme="minorHAnsi" w:hAnsiTheme="minorHAnsi" w:cstheme="minorHAnsi"/>
        </w:rPr>
        <w:t>demographic risk factors</w:t>
      </w:r>
      <w:r w:rsidRPr="00D50AF4">
        <w:rPr>
          <w:rFonts w:asciiTheme="minorHAnsi" w:hAnsiTheme="minorHAnsi" w:cstheme="minorHAnsi"/>
        </w:rPr>
        <w:t xml:space="preserve"> are largely consistent with previous gambling research involving young people in New Zealand </w:t>
      </w:r>
      <w:r>
        <w:rPr>
          <w:rFonts w:asciiTheme="minorHAnsi" w:hAnsiTheme="minorHAnsi" w:cstheme="minorHAnsi"/>
          <w:noProof/>
        </w:rPr>
        <w:t>(Devlin, 2011; Health Sponsorship Council, 2012; Rossen, 2008; Rossen, et al., 2011; Rossen, et al., 2009)</w:t>
      </w:r>
      <w:r w:rsidRPr="00D50AF4">
        <w:rPr>
          <w:rFonts w:asciiTheme="minorHAnsi" w:hAnsiTheme="minorHAnsi" w:cstheme="minorHAnsi"/>
        </w:rPr>
        <w:t xml:space="preserve">. </w:t>
      </w:r>
    </w:p>
    <w:p w:rsidR="00043311" w:rsidRDefault="00043311" w:rsidP="0042130F">
      <w:pPr>
        <w:spacing w:line="360" w:lineRule="auto"/>
        <w:rPr>
          <w:rFonts w:asciiTheme="minorHAnsi" w:hAnsiTheme="minorHAnsi" w:cstheme="minorHAnsi"/>
        </w:rPr>
      </w:pPr>
      <w:r>
        <w:rPr>
          <w:rFonts w:asciiTheme="minorHAnsi" w:hAnsiTheme="minorHAnsi" w:cstheme="minorHAnsi"/>
        </w:rPr>
        <w:t xml:space="preserve">The first step in investigating variables that performed risk or protective functions in relation to ‘unhealthy gambling’ behaviour entailed a series of logistic regressions. While only two variables (i.e. connectedness to family and good wellbeing) were found to moderate/protect against ‘unhealthy gambling’ behaviour, 22 items were associated with an increased risk of ‘unhealthy gambling’ </w:t>
      </w:r>
      <w:r w:rsidRPr="00077AFA">
        <w:rPr>
          <w:rFonts w:asciiTheme="minorHAnsi" w:hAnsiTheme="minorHAnsi" w:cstheme="minorHAnsi"/>
        </w:rPr>
        <w:t xml:space="preserve">behaviour (see </w:t>
      </w:r>
      <w:r w:rsidR="00720A6C">
        <w:rPr>
          <w:rFonts w:asciiTheme="minorHAnsi" w:hAnsiTheme="minorHAnsi" w:cstheme="minorHAnsi"/>
        </w:rPr>
        <w:t>Table 1</w:t>
      </w:r>
      <w:r w:rsidR="00341E67">
        <w:rPr>
          <w:rFonts w:asciiTheme="minorHAnsi" w:hAnsiTheme="minorHAnsi" w:cstheme="minorHAnsi"/>
        </w:rPr>
        <w:t>4 for a summary of these items</w:t>
      </w:r>
      <w:r w:rsidRPr="00077AFA">
        <w:rPr>
          <w:rFonts w:asciiTheme="minorHAnsi" w:hAnsiTheme="minorHAnsi" w:cstheme="minorHAnsi"/>
        </w:rPr>
        <w:t>). The</w:t>
      </w:r>
      <w:r>
        <w:rPr>
          <w:rFonts w:asciiTheme="minorHAnsi" w:hAnsiTheme="minorHAnsi" w:cstheme="minorHAnsi"/>
        </w:rPr>
        <w:t xml:space="preserve">se variables covered a broad range of domains including: social connectedness; students concerns about their own and others gambling; being negatively impacted by the gambling of family members; gambling behaviour (who they gamble with, modes of gambling, attitudes towards gambling); involvement in other risky behaviours (alcohol and cigarettes); poor emotional health (depression, suicide); overall wellbeing; bullying and violence in the home; truancy from school; and, use </w:t>
      </w:r>
      <w:r w:rsidRPr="000F17B9">
        <w:rPr>
          <w:rFonts w:asciiTheme="minorHAnsi" w:hAnsiTheme="minorHAnsi" w:cstheme="minorHAnsi"/>
        </w:rPr>
        <w:t>of the Internet and computer games. The link between a safe and supportive family environment and youth gambling was reinforced</w:t>
      </w:r>
      <w:r>
        <w:rPr>
          <w:rFonts w:asciiTheme="minorHAnsi" w:hAnsiTheme="minorHAnsi" w:cstheme="minorHAnsi"/>
        </w:rPr>
        <w:t>. For instance, indicators of problematic gambling amongst family members, witnessing and/or experiencing violence in the home, and social connectedness to family were all shown to play significant risk and/or protective roles for ‘unhealthy gambling’ in students.</w:t>
      </w:r>
    </w:p>
    <w:p w:rsidR="00740B76" w:rsidRPr="00740B76" w:rsidRDefault="00740B76" w:rsidP="00740B76">
      <w:pPr>
        <w:pStyle w:val="Caption"/>
        <w:keepNext/>
        <w:spacing w:line="240" w:lineRule="auto"/>
        <w:rPr>
          <w:rFonts w:asciiTheme="minorHAnsi" w:hAnsiTheme="minorHAnsi" w:cstheme="minorHAnsi"/>
          <w:i/>
        </w:rPr>
      </w:pPr>
      <w:bookmarkStart w:id="198" w:name="_Toc367285397"/>
      <w:r w:rsidRPr="00740B76">
        <w:rPr>
          <w:rFonts w:asciiTheme="minorHAnsi" w:hAnsiTheme="minorHAnsi"/>
          <w:i/>
        </w:rPr>
        <w:lastRenderedPageBreak/>
        <w:t xml:space="preserve">Table </w:t>
      </w:r>
      <w:r w:rsidR="007B447B" w:rsidRPr="00740B76">
        <w:rPr>
          <w:rFonts w:asciiTheme="minorHAnsi" w:hAnsiTheme="minorHAnsi"/>
          <w:i/>
        </w:rPr>
        <w:fldChar w:fldCharType="begin"/>
      </w:r>
      <w:r w:rsidRPr="00740B76">
        <w:rPr>
          <w:rFonts w:asciiTheme="minorHAnsi" w:hAnsiTheme="minorHAnsi"/>
          <w:i/>
        </w:rPr>
        <w:instrText xml:space="preserve"> SEQ Table \* ARABIC </w:instrText>
      </w:r>
      <w:r w:rsidR="007B447B" w:rsidRPr="00740B76">
        <w:rPr>
          <w:rFonts w:asciiTheme="minorHAnsi" w:hAnsiTheme="minorHAnsi"/>
          <w:i/>
        </w:rPr>
        <w:fldChar w:fldCharType="separate"/>
      </w:r>
      <w:r w:rsidR="009E3D1C">
        <w:rPr>
          <w:rFonts w:asciiTheme="minorHAnsi" w:hAnsiTheme="minorHAnsi"/>
          <w:i/>
          <w:noProof/>
        </w:rPr>
        <w:t>14</w:t>
      </w:r>
      <w:r w:rsidR="007B447B" w:rsidRPr="00740B76">
        <w:rPr>
          <w:rFonts w:asciiTheme="minorHAnsi" w:hAnsiTheme="minorHAnsi"/>
          <w:i/>
        </w:rPr>
        <w:fldChar w:fldCharType="end"/>
      </w:r>
      <w:r w:rsidRPr="00740B76">
        <w:rPr>
          <w:rFonts w:asciiTheme="minorHAnsi" w:hAnsiTheme="minorHAnsi"/>
          <w:i/>
        </w:rPr>
        <w:t xml:space="preserve">: </w:t>
      </w:r>
      <w:r w:rsidRPr="00740B76">
        <w:rPr>
          <w:rFonts w:asciiTheme="minorHAnsi" w:hAnsiTheme="minorHAnsi" w:cstheme="minorHAnsi"/>
          <w:i/>
        </w:rPr>
        <w:t>Risk and Protective factors for ‘unhealthy gambling’ behaviour</w:t>
      </w:r>
      <w:bookmarkEnd w:id="198"/>
    </w:p>
    <w:p w:rsidR="005F669A" w:rsidRDefault="0058632E" w:rsidP="00341E67">
      <w:pPr>
        <w:jc w:val="center"/>
        <w:rPr>
          <w:rFonts w:asciiTheme="minorHAnsi" w:hAnsiTheme="minorHAnsi" w:cstheme="minorHAnsi"/>
        </w:rPr>
      </w:pPr>
      <w:r>
        <w:rPr>
          <w:rFonts w:asciiTheme="minorHAnsi" w:hAnsiTheme="minorHAnsi" w:cstheme="minorHAnsi"/>
          <w:noProof/>
          <w:lang w:eastAsia="en-NZ"/>
        </w:rPr>
        <w:drawing>
          <wp:inline distT="0" distB="0" distL="0" distR="0" wp14:anchorId="09744D6D" wp14:editId="4DCB139B">
            <wp:extent cx="5324475" cy="5314235"/>
            <wp:effectExtent l="0" t="0" r="0" b="12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24475" cy="5314235"/>
                    </a:xfrm>
                    <a:prstGeom prst="rect">
                      <a:avLst/>
                    </a:prstGeom>
                    <a:noFill/>
                  </pic:spPr>
                </pic:pic>
              </a:graphicData>
            </a:graphic>
          </wp:inline>
        </w:drawing>
      </w:r>
    </w:p>
    <w:p w:rsidR="00043311" w:rsidRDefault="00043311" w:rsidP="0042130F">
      <w:pPr>
        <w:spacing w:line="360" w:lineRule="auto"/>
        <w:rPr>
          <w:rFonts w:asciiTheme="minorHAnsi" w:hAnsiTheme="minorHAnsi" w:cstheme="minorHAnsi"/>
          <w:b/>
        </w:rPr>
      </w:pPr>
      <w:r>
        <w:rPr>
          <w:rFonts w:asciiTheme="minorHAnsi" w:hAnsiTheme="minorHAnsi" w:cstheme="minorHAnsi"/>
        </w:rPr>
        <w:t xml:space="preserve">The next phase in identifying risk and protective factors employed multiple logistic regressions to determine if these risk/protective factors would continue to be influential in the presence of each other. While neither of the protective factors maintained their statistical significance, five variables continued to fulfil a significant risk function for ‘unhealthy gambling’, even in the presence of other variables (see </w:t>
      </w:r>
      <w:r w:rsidR="00082F17">
        <w:fldChar w:fldCharType="begin"/>
      </w:r>
      <w:r w:rsidR="00082F17">
        <w:instrText xml:space="preserve"> REF _Ref359935595 \h  \* MERGEFORMAT </w:instrText>
      </w:r>
      <w:r w:rsidR="00082F17">
        <w:fldChar w:fldCharType="separate"/>
      </w:r>
      <w:r w:rsidR="009E3D1C" w:rsidRPr="00BC4F94">
        <w:rPr>
          <w:rFonts w:asciiTheme="minorHAnsi" w:hAnsiTheme="minorHAnsi" w:cstheme="minorHAnsi"/>
        </w:rPr>
        <w:t xml:space="preserve">Figure </w:t>
      </w:r>
      <w:r w:rsidR="009E3D1C" w:rsidRPr="00BC4F94">
        <w:rPr>
          <w:rFonts w:asciiTheme="minorHAnsi" w:hAnsiTheme="minorHAnsi" w:cstheme="minorHAnsi"/>
          <w:noProof/>
        </w:rPr>
        <w:t>21</w:t>
      </w:r>
      <w:r w:rsidR="00082F17">
        <w:fldChar w:fldCharType="end"/>
      </w:r>
      <w:r>
        <w:rPr>
          <w:rFonts w:asciiTheme="minorHAnsi" w:hAnsiTheme="minorHAnsi" w:cstheme="minorHAnsi"/>
        </w:rPr>
        <w:t xml:space="preserve">). These factors represent a broad range of domains, including exposure to problematic gambling in the family, attitudes towards gambling, modes of </w:t>
      </w:r>
      <w:r w:rsidRPr="00C838FA">
        <w:rPr>
          <w:rFonts w:asciiTheme="minorHAnsi" w:hAnsiTheme="minorHAnsi" w:cstheme="minorHAnsi"/>
        </w:rPr>
        <w:t>gambling, and co-existing mental health issues.</w:t>
      </w:r>
      <w:r>
        <w:rPr>
          <w:rFonts w:asciiTheme="minorHAnsi" w:hAnsiTheme="minorHAnsi" w:cstheme="minorHAnsi"/>
        </w:rPr>
        <w:t xml:space="preserve"> </w:t>
      </w:r>
    </w:p>
    <w:p w:rsidR="00CE43A5" w:rsidRPr="00CE43A5" w:rsidRDefault="00C838FA" w:rsidP="00C838FA">
      <w:pPr>
        <w:spacing w:line="360" w:lineRule="auto"/>
        <w:rPr>
          <w:rFonts w:asciiTheme="minorHAnsi" w:hAnsiTheme="minorHAnsi" w:cstheme="minorHAnsi"/>
        </w:rPr>
      </w:pPr>
      <w:r>
        <w:rPr>
          <w:rFonts w:asciiTheme="minorHAnsi" w:hAnsiTheme="minorHAnsi" w:cstheme="minorHAnsi"/>
        </w:rPr>
        <w:t xml:space="preserve">The presence of </w:t>
      </w:r>
      <w:r w:rsidRPr="00C838FA">
        <w:rPr>
          <w:rFonts w:asciiTheme="minorHAnsi" w:hAnsiTheme="minorHAnsi" w:cstheme="minorHAnsi"/>
        </w:rPr>
        <w:t xml:space="preserve">co-existing mental health issues </w:t>
      </w:r>
      <w:r>
        <w:rPr>
          <w:rFonts w:asciiTheme="minorHAnsi" w:hAnsiTheme="minorHAnsi" w:cstheme="minorHAnsi"/>
        </w:rPr>
        <w:t>is of</w:t>
      </w:r>
      <w:r w:rsidRPr="00C838FA">
        <w:rPr>
          <w:rFonts w:asciiTheme="minorHAnsi" w:hAnsiTheme="minorHAnsi" w:cstheme="minorHAnsi"/>
        </w:rPr>
        <w:t xml:space="preserve"> particular relevance to those working within youth health. Shead et al., (2010) argue that many of the risk factors for youth problem gambling predict a general behaviour</w:t>
      </w:r>
      <w:r>
        <w:rPr>
          <w:rFonts w:asciiTheme="minorHAnsi" w:hAnsiTheme="minorHAnsi" w:cstheme="minorHAnsi"/>
        </w:rPr>
        <w:t xml:space="preserve"> syndrome that is encompassed by overall mental health problems. The identification of co-existing mental health </w:t>
      </w:r>
      <w:r>
        <w:rPr>
          <w:rFonts w:asciiTheme="minorHAnsi" w:hAnsiTheme="minorHAnsi" w:cstheme="minorHAnsi"/>
        </w:rPr>
        <w:lastRenderedPageBreak/>
        <w:t xml:space="preserve">issues in this report (e.g. alcohol use, depression, suicide) emphasise the importance of considering unhealthy gambling alongside other mental health issues. </w:t>
      </w:r>
    </w:p>
    <w:p w:rsidR="00043311" w:rsidRPr="009023A8" w:rsidRDefault="00043311" w:rsidP="0042130F">
      <w:pPr>
        <w:pStyle w:val="Caption"/>
        <w:keepNext/>
        <w:spacing w:after="0" w:line="360" w:lineRule="auto"/>
        <w:ind w:left="992" w:hanging="272"/>
        <w:rPr>
          <w:rFonts w:asciiTheme="minorHAnsi" w:hAnsiTheme="minorHAnsi" w:cstheme="minorHAnsi"/>
          <w:i/>
        </w:rPr>
      </w:pPr>
      <w:bookmarkStart w:id="199" w:name="_Ref359935595"/>
      <w:bookmarkStart w:id="200" w:name="_Toc367285537"/>
      <w:r w:rsidRPr="009023A8">
        <w:rPr>
          <w:rFonts w:asciiTheme="minorHAnsi" w:hAnsiTheme="minorHAnsi" w:cstheme="minorHAnsi"/>
          <w:i/>
        </w:rPr>
        <w:t xml:space="preserve">Figure </w:t>
      </w:r>
      <w:r w:rsidR="007B447B" w:rsidRPr="009023A8">
        <w:rPr>
          <w:rFonts w:asciiTheme="minorHAnsi" w:hAnsiTheme="minorHAnsi" w:cstheme="minorHAnsi"/>
          <w:i/>
        </w:rPr>
        <w:fldChar w:fldCharType="begin"/>
      </w:r>
      <w:r w:rsidRPr="009023A8">
        <w:rPr>
          <w:rFonts w:asciiTheme="minorHAnsi" w:hAnsiTheme="minorHAnsi" w:cstheme="minorHAnsi"/>
          <w:i/>
        </w:rPr>
        <w:instrText xml:space="preserve"> SEQ Figure \* ARABIC </w:instrText>
      </w:r>
      <w:r w:rsidR="007B447B" w:rsidRPr="009023A8">
        <w:rPr>
          <w:rFonts w:asciiTheme="minorHAnsi" w:hAnsiTheme="minorHAnsi" w:cstheme="minorHAnsi"/>
          <w:i/>
        </w:rPr>
        <w:fldChar w:fldCharType="separate"/>
      </w:r>
      <w:r w:rsidR="009E3D1C">
        <w:rPr>
          <w:rFonts w:asciiTheme="minorHAnsi" w:hAnsiTheme="minorHAnsi" w:cstheme="minorHAnsi"/>
          <w:i/>
          <w:noProof/>
        </w:rPr>
        <w:t>21</w:t>
      </w:r>
      <w:r w:rsidR="007B447B" w:rsidRPr="009023A8">
        <w:rPr>
          <w:rFonts w:asciiTheme="minorHAnsi" w:hAnsiTheme="minorHAnsi" w:cstheme="minorHAnsi"/>
          <w:i/>
        </w:rPr>
        <w:fldChar w:fldCharType="end"/>
      </w:r>
      <w:bookmarkEnd w:id="199"/>
      <w:r w:rsidRPr="009023A8">
        <w:rPr>
          <w:rFonts w:asciiTheme="minorHAnsi" w:hAnsiTheme="minorHAnsi" w:cstheme="minorHAnsi"/>
          <w:i/>
        </w:rPr>
        <w:t>:  Risk Factors for ‘</w:t>
      </w:r>
      <w:r>
        <w:rPr>
          <w:rFonts w:asciiTheme="minorHAnsi" w:hAnsiTheme="minorHAnsi" w:cstheme="minorHAnsi"/>
          <w:i/>
        </w:rPr>
        <w:t>u</w:t>
      </w:r>
      <w:r w:rsidRPr="009023A8">
        <w:rPr>
          <w:rFonts w:asciiTheme="minorHAnsi" w:hAnsiTheme="minorHAnsi" w:cstheme="minorHAnsi"/>
          <w:i/>
        </w:rPr>
        <w:t xml:space="preserve">nhealthy </w:t>
      </w:r>
      <w:r>
        <w:rPr>
          <w:rFonts w:asciiTheme="minorHAnsi" w:hAnsiTheme="minorHAnsi" w:cstheme="minorHAnsi"/>
          <w:i/>
        </w:rPr>
        <w:t>g</w:t>
      </w:r>
      <w:r w:rsidRPr="009023A8">
        <w:rPr>
          <w:rFonts w:asciiTheme="minorHAnsi" w:hAnsiTheme="minorHAnsi" w:cstheme="minorHAnsi"/>
          <w:i/>
        </w:rPr>
        <w:t xml:space="preserve">ambling’ </w:t>
      </w:r>
      <w:r w:rsidR="00FC6796">
        <w:rPr>
          <w:rFonts w:asciiTheme="minorHAnsi" w:hAnsiTheme="minorHAnsi" w:cstheme="minorHAnsi"/>
          <w:i/>
        </w:rPr>
        <w:t>behaviour amongst youth</w:t>
      </w:r>
      <w:bookmarkEnd w:id="200"/>
    </w:p>
    <w:p w:rsidR="00043311" w:rsidRDefault="00043311" w:rsidP="0042130F">
      <w:pPr>
        <w:spacing w:line="360" w:lineRule="auto"/>
        <w:ind w:left="1560"/>
        <w:rPr>
          <w:rFonts w:asciiTheme="minorHAnsi" w:hAnsiTheme="minorHAnsi" w:cstheme="minorHAnsi"/>
        </w:rPr>
      </w:pPr>
      <w:r>
        <w:rPr>
          <w:rFonts w:asciiTheme="minorHAnsi" w:hAnsiTheme="minorHAnsi" w:cstheme="minorHAnsi"/>
          <w:noProof/>
          <w:lang w:eastAsia="en-NZ"/>
        </w:rPr>
        <w:drawing>
          <wp:inline distT="0" distB="0" distL="0" distR="0" wp14:anchorId="02BC0651" wp14:editId="024AFF36">
            <wp:extent cx="4528868" cy="3890514"/>
            <wp:effectExtent l="0" t="0" r="0"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043311" w:rsidRDefault="00043311" w:rsidP="0042130F">
      <w:pPr>
        <w:spacing w:line="360" w:lineRule="auto"/>
        <w:rPr>
          <w:rFonts w:asciiTheme="minorHAnsi" w:hAnsiTheme="minorHAnsi" w:cstheme="minorHAnsi"/>
        </w:rPr>
      </w:pPr>
    </w:p>
    <w:p w:rsidR="00043311" w:rsidRDefault="00043311" w:rsidP="0042130F">
      <w:pPr>
        <w:spacing w:line="360" w:lineRule="auto"/>
        <w:rPr>
          <w:rFonts w:asciiTheme="minorHAnsi" w:hAnsiTheme="minorHAnsi" w:cstheme="minorHAnsi"/>
        </w:rPr>
      </w:pPr>
      <w:r>
        <w:rPr>
          <w:rFonts w:asciiTheme="minorHAnsi" w:hAnsiTheme="minorHAnsi" w:cstheme="minorHAnsi"/>
        </w:rPr>
        <w:t xml:space="preserve">This research reinforces that the current generation of adolescents are living in a rapidly changing gambling environment and they are exposed to a wide range of activities through an increasingly </w:t>
      </w:r>
      <w:r w:rsidRPr="000C10F5">
        <w:rPr>
          <w:rFonts w:asciiTheme="minorHAnsi" w:hAnsiTheme="minorHAnsi" w:cstheme="minorHAnsi"/>
        </w:rPr>
        <w:t>diverse range of mediums (e.g. the Internet and smartphone technologies)</w:t>
      </w:r>
      <w:r>
        <w:rPr>
          <w:rFonts w:asciiTheme="minorHAnsi" w:hAnsiTheme="minorHAnsi" w:cstheme="minorHAnsi"/>
        </w:rPr>
        <w:t xml:space="preserve"> </w:t>
      </w:r>
      <w:r>
        <w:rPr>
          <w:rFonts w:asciiTheme="minorHAnsi" w:hAnsiTheme="minorHAnsi" w:cstheme="minorHAnsi"/>
          <w:noProof/>
        </w:rPr>
        <w:t>(Floros, et al., 2013; Molde, et al., 2009)</w:t>
      </w:r>
      <w:r w:rsidRPr="000C10F5">
        <w:rPr>
          <w:rFonts w:asciiTheme="minorHAnsi" w:hAnsiTheme="minorHAnsi" w:cstheme="minorHAnsi"/>
        </w:rPr>
        <w:t>. As such, it is worth noting the role of technology</w:t>
      </w:r>
      <w:r>
        <w:rPr>
          <w:rFonts w:asciiTheme="minorHAnsi" w:hAnsiTheme="minorHAnsi" w:cstheme="minorHAnsi"/>
        </w:rPr>
        <w:t>,</w:t>
      </w:r>
      <w:r w:rsidRPr="000C10F5">
        <w:rPr>
          <w:rFonts w:asciiTheme="minorHAnsi" w:hAnsiTheme="minorHAnsi" w:cstheme="minorHAnsi"/>
        </w:rPr>
        <w:t xml:space="preserve"> and the Internet in </w:t>
      </w:r>
      <w:r>
        <w:rPr>
          <w:rFonts w:asciiTheme="minorHAnsi" w:hAnsiTheme="minorHAnsi" w:cstheme="minorHAnsi"/>
        </w:rPr>
        <w:t xml:space="preserve">particular, in relation to </w:t>
      </w:r>
      <w:r w:rsidRPr="000C10F5">
        <w:rPr>
          <w:rFonts w:asciiTheme="minorHAnsi" w:hAnsiTheme="minorHAnsi" w:cstheme="minorHAnsi"/>
        </w:rPr>
        <w:t>youth gambling behaviour. This research found an elevated</w:t>
      </w:r>
      <w:r>
        <w:rPr>
          <w:rFonts w:asciiTheme="minorHAnsi" w:hAnsiTheme="minorHAnsi" w:cstheme="minorHAnsi"/>
        </w:rPr>
        <w:t xml:space="preserve"> </w:t>
      </w:r>
      <w:r w:rsidRPr="00DD6EB2">
        <w:rPr>
          <w:rFonts w:asciiTheme="minorHAnsi" w:hAnsiTheme="minorHAnsi" w:cstheme="minorHAnsi"/>
        </w:rPr>
        <w:t>risk of unhealthy gambling</w:t>
      </w:r>
      <w:r>
        <w:rPr>
          <w:rFonts w:asciiTheme="minorHAnsi" w:hAnsiTheme="minorHAnsi" w:cstheme="minorHAnsi"/>
        </w:rPr>
        <w:t xml:space="preserve"> for students who</w:t>
      </w:r>
      <w:r w:rsidRPr="00DD6EB2">
        <w:rPr>
          <w:rFonts w:asciiTheme="minorHAnsi" w:hAnsiTheme="minorHAnsi" w:cstheme="minorHAnsi"/>
        </w:rPr>
        <w:t>: us</w:t>
      </w:r>
      <w:r>
        <w:rPr>
          <w:rFonts w:asciiTheme="minorHAnsi" w:hAnsiTheme="minorHAnsi" w:cstheme="minorHAnsi"/>
        </w:rPr>
        <w:t>ed</w:t>
      </w:r>
      <w:r w:rsidRPr="00DD6EB2">
        <w:rPr>
          <w:rFonts w:asciiTheme="minorHAnsi" w:hAnsiTheme="minorHAnsi" w:cstheme="minorHAnsi"/>
        </w:rPr>
        <w:t xml:space="preserve"> the Internet for three or more hours per day; play</w:t>
      </w:r>
      <w:r>
        <w:rPr>
          <w:rFonts w:asciiTheme="minorHAnsi" w:hAnsiTheme="minorHAnsi" w:cstheme="minorHAnsi"/>
        </w:rPr>
        <w:t>ed</w:t>
      </w:r>
      <w:r w:rsidRPr="00DD6EB2">
        <w:rPr>
          <w:rFonts w:asciiTheme="minorHAnsi" w:hAnsiTheme="minorHAnsi" w:cstheme="minorHAnsi"/>
        </w:rPr>
        <w:t xml:space="preserve"> computer games for three or more hours per day; gambl</w:t>
      </w:r>
      <w:r>
        <w:rPr>
          <w:rFonts w:asciiTheme="minorHAnsi" w:hAnsiTheme="minorHAnsi" w:cstheme="minorHAnsi"/>
        </w:rPr>
        <w:t>ed on the Internet;</w:t>
      </w:r>
      <w:r w:rsidRPr="00DD6EB2">
        <w:rPr>
          <w:rFonts w:asciiTheme="minorHAnsi" w:hAnsiTheme="minorHAnsi" w:cstheme="minorHAnsi"/>
        </w:rPr>
        <w:t xml:space="preserve"> </w:t>
      </w:r>
      <w:r>
        <w:rPr>
          <w:rFonts w:asciiTheme="minorHAnsi" w:hAnsiTheme="minorHAnsi" w:cstheme="minorHAnsi"/>
        </w:rPr>
        <w:t xml:space="preserve">gambled on </w:t>
      </w:r>
      <w:r w:rsidRPr="00DD6EB2">
        <w:rPr>
          <w:rFonts w:asciiTheme="minorHAnsi" w:hAnsiTheme="minorHAnsi" w:cstheme="minorHAnsi"/>
        </w:rPr>
        <w:t>a mobile phone</w:t>
      </w:r>
      <w:r>
        <w:rPr>
          <w:rFonts w:asciiTheme="minorHAnsi" w:hAnsiTheme="minorHAnsi" w:cstheme="minorHAnsi"/>
        </w:rPr>
        <w:t>;</w:t>
      </w:r>
      <w:r w:rsidRPr="00DD6EB2">
        <w:rPr>
          <w:rFonts w:asciiTheme="minorHAnsi" w:hAnsiTheme="minorHAnsi" w:cstheme="minorHAnsi"/>
        </w:rPr>
        <w:t xml:space="preserve"> or </w:t>
      </w:r>
      <w:r>
        <w:rPr>
          <w:rFonts w:asciiTheme="minorHAnsi" w:hAnsiTheme="minorHAnsi" w:cstheme="minorHAnsi"/>
        </w:rPr>
        <w:t xml:space="preserve">gambled using </w:t>
      </w:r>
      <w:r w:rsidRPr="00DD6EB2">
        <w:rPr>
          <w:rFonts w:asciiTheme="minorHAnsi" w:hAnsiTheme="minorHAnsi" w:cstheme="minorHAnsi"/>
        </w:rPr>
        <w:t>0900 phone games.</w:t>
      </w:r>
      <w:r>
        <w:rPr>
          <w:rFonts w:asciiTheme="minorHAnsi" w:hAnsiTheme="minorHAnsi" w:cstheme="minorHAnsi"/>
        </w:rPr>
        <w:t xml:space="preserve"> </w:t>
      </w:r>
    </w:p>
    <w:p w:rsidR="00043311" w:rsidRDefault="00043311" w:rsidP="0042130F">
      <w:pPr>
        <w:spacing w:line="360" w:lineRule="auto"/>
        <w:rPr>
          <w:rFonts w:asciiTheme="minorHAnsi" w:hAnsiTheme="minorHAnsi" w:cstheme="minorHAnsi"/>
        </w:rPr>
      </w:pPr>
      <w:r w:rsidRPr="00087FE4">
        <w:rPr>
          <w:rFonts w:asciiTheme="minorHAnsi" w:hAnsiTheme="minorHAnsi" w:cstheme="minorHAnsi"/>
        </w:rPr>
        <w:t>The</w:t>
      </w:r>
      <w:r>
        <w:rPr>
          <w:rFonts w:asciiTheme="minorHAnsi" w:hAnsiTheme="minorHAnsi" w:cstheme="minorHAnsi"/>
        </w:rPr>
        <w:t xml:space="preserve"> changing role of technology</w:t>
      </w:r>
      <w:r w:rsidRPr="00087FE4">
        <w:rPr>
          <w:rFonts w:asciiTheme="minorHAnsi" w:hAnsiTheme="minorHAnsi" w:cstheme="minorHAnsi"/>
        </w:rPr>
        <w:t xml:space="preserve"> </w:t>
      </w:r>
      <w:r>
        <w:rPr>
          <w:rFonts w:asciiTheme="minorHAnsi" w:hAnsiTheme="minorHAnsi" w:cstheme="minorHAnsi"/>
        </w:rPr>
        <w:t xml:space="preserve">in the marketing and accessibility of gambling (for both youth and adults) and the substantial risks posed to youth by these gambling technologies have been highlighted by several researchers  </w:t>
      </w:r>
      <w:r>
        <w:rPr>
          <w:rFonts w:asciiTheme="minorHAnsi" w:hAnsiTheme="minorHAnsi" w:cstheme="minorHAnsi"/>
          <w:noProof/>
        </w:rPr>
        <w:t>(Floros, et al., 2013; Griffiths, 2003; Williams &amp; Wood, 2007)</w:t>
      </w:r>
      <w:r>
        <w:rPr>
          <w:rFonts w:asciiTheme="minorHAnsi" w:hAnsiTheme="minorHAnsi" w:cstheme="minorHAnsi"/>
        </w:rPr>
        <w:t xml:space="preserve">. These modes of gambling share a number of characteristics that have been associated with an increased likelihood of unhealthy or problematic gambling, </w:t>
      </w:r>
      <w:r>
        <w:rPr>
          <w:rFonts w:asciiTheme="minorHAnsi" w:hAnsiTheme="minorHAnsi" w:cstheme="minorHAnsi"/>
        </w:rPr>
        <w:lastRenderedPageBreak/>
        <w:t xml:space="preserve">including: a lack of opportunities for social monitoring; ability for continuous access (i.e. 24 hour access from almost any venue/location); difficulties around identification of minors (e.g. in the verification of age); and, the potential for high-intensity/high-risk gambling (e.g. modes that have continuous feedback cycles and the potential to lose a large amount of money in a very short timeframe) </w:t>
      </w:r>
      <w:r>
        <w:rPr>
          <w:rFonts w:asciiTheme="minorHAnsi" w:hAnsiTheme="minorHAnsi" w:cstheme="minorHAnsi"/>
          <w:noProof/>
        </w:rPr>
        <w:t>(Abbott &amp; Volberg, 2000; Adams, et al., 2004; Floros, et al., 2013; Health Sponsorship Council, 2012; Orford, 2011)</w:t>
      </w:r>
      <w:r w:rsidRPr="000C76EF">
        <w:rPr>
          <w:rFonts w:asciiTheme="minorHAnsi" w:hAnsiTheme="minorHAnsi" w:cstheme="minorHAnsi"/>
        </w:rPr>
        <w:t>.</w:t>
      </w:r>
      <w:r>
        <w:rPr>
          <w:rFonts w:asciiTheme="minorHAnsi" w:hAnsiTheme="minorHAnsi" w:cstheme="minorHAnsi"/>
        </w:rPr>
        <w:t xml:space="preserve"> Researchers have also raised concerns around the blurred </w:t>
      </w:r>
      <w:r w:rsidRPr="00087FE4">
        <w:rPr>
          <w:rFonts w:asciiTheme="minorHAnsi" w:hAnsiTheme="minorHAnsi" w:cstheme="minorHAnsi"/>
        </w:rPr>
        <w:t>delineation between gaming and gambling</w:t>
      </w:r>
      <w:r>
        <w:rPr>
          <w:rFonts w:asciiTheme="minorHAnsi" w:hAnsiTheme="minorHAnsi" w:cstheme="minorHAnsi"/>
        </w:rPr>
        <w:t xml:space="preserve"> and the potential for youth to be ‘groomed’ via gaming activities for engagement with high intensity gambling products </w:t>
      </w:r>
      <w:r>
        <w:rPr>
          <w:rFonts w:asciiTheme="minorHAnsi" w:hAnsiTheme="minorHAnsi" w:cstheme="minorHAnsi"/>
          <w:noProof/>
        </w:rPr>
        <w:t>(Floros, et al., 2013; Volberg, et al., 2010; Williams &amp; Wood, 2007)</w:t>
      </w:r>
      <w:r>
        <w:rPr>
          <w:rFonts w:asciiTheme="minorHAnsi" w:hAnsiTheme="minorHAnsi" w:cstheme="minorHAnsi"/>
        </w:rPr>
        <w:t xml:space="preserve">.  </w:t>
      </w:r>
    </w:p>
    <w:p w:rsidR="00043311" w:rsidRPr="00234F53" w:rsidRDefault="00043311" w:rsidP="00043311">
      <w:pPr>
        <w:pStyle w:val="Heading2"/>
        <w:numPr>
          <w:ilvl w:val="1"/>
          <w:numId w:val="24"/>
        </w:numPr>
        <w:spacing w:line="360" w:lineRule="auto"/>
      </w:pPr>
      <w:bookmarkStart w:id="201" w:name="_Ref294453203"/>
      <w:bookmarkStart w:id="202" w:name="_Toc294602557"/>
      <w:bookmarkStart w:id="203" w:name="_Toc367284469"/>
      <w:r w:rsidRPr="00234F53">
        <w:t>Overview and implications</w:t>
      </w:r>
      <w:bookmarkEnd w:id="201"/>
      <w:bookmarkEnd w:id="202"/>
      <w:bookmarkEnd w:id="203"/>
    </w:p>
    <w:p w:rsidR="00043311" w:rsidRDefault="00043311" w:rsidP="0042130F">
      <w:pPr>
        <w:spacing w:line="360" w:lineRule="auto"/>
        <w:rPr>
          <w:rFonts w:asciiTheme="minorHAnsi" w:hAnsiTheme="minorHAnsi" w:cstheme="minorHAnsi"/>
        </w:rPr>
      </w:pPr>
      <w:r>
        <w:rPr>
          <w:rFonts w:asciiTheme="minorHAnsi" w:hAnsiTheme="minorHAnsi" w:cstheme="minorHAnsi"/>
        </w:rPr>
        <w:t xml:space="preserve">The results of this research indicate that most </w:t>
      </w:r>
      <w:r w:rsidRPr="00C16FF9">
        <w:rPr>
          <w:rFonts w:asciiTheme="minorHAnsi" w:hAnsiTheme="minorHAnsi" w:cstheme="minorHAnsi"/>
        </w:rPr>
        <w:t xml:space="preserve">students </w:t>
      </w:r>
      <w:r>
        <w:rPr>
          <w:rFonts w:asciiTheme="minorHAnsi" w:hAnsiTheme="minorHAnsi" w:cstheme="minorHAnsi"/>
        </w:rPr>
        <w:t>have</w:t>
      </w:r>
      <w:r w:rsidRPr="00C16FF9">
        <w:rPr>
          <w:rFonts w:asciiTheme="minorHAnsi" w:hAnsiTheme="minorHAnsi" w:cstheme="minorHAnsi"/>
        </w:rPr>
        <w:t xml:space="preserve"> limited engagement with gambling activities</w:t>
      </w:r>
      <w:r>
        <w:rPr>
          <w:rFonts w:asciiTheme="minorHAnsi" w:hAnsiTheme="minorHAnsi" w:cstheme="minorHAnsi"/>
        </w:rPr>
        <w:t xml:space="preserve">. However, a significant proportion of students were involved with gambling and some had experienced gambling related difficulties. Moreover, a number of young people had been negatively impacted due to the gambling behaviour of their families/whānau.  </w:t>
      </w:r>
    </w:p>
    <w:p w:rsidR="00043311" w:rsidRDefault="00043311" w:rsidP="0042130F">
      <w:pPr>
        <w:spacing w:line="360" w:lineRule="auto"/>
        <w:rPr>
          <w:rFonts w:asciiTheme="minorHAnsi" w:hAnsiTheme="minorHAnsi" w:cstheme="minorHAnsi"/>
        </w:rPr>
      </w:pPr>
      <w:r>
        <w:rPr>
          <w:rFonts w:asciiTheme="minorHAnsi" w:hAnsiTheme="minorHAnsi" w:cstheme="minorHAnsi"/>
        </w:rPr>
        <w:t>Results from the analyses to examine changes over time revealed small (but sig</w:t>
      </w:r>
      <w:r w:rsidRPr="00FA71D0">
        <w:rPr>
          <w:rFonts w:asciiTheme="minorHAnsi" w:hAnsiTheme="minorHAnsi" w:cstheme="minorHAnsi"/>
        </w:rPr>
        <w:t>nificant) decreases in the proportions of students spending more than $20 per week and 30 minutes per day on gambling</w:t>
      </w:r>
      <w:r>
        <w:rPr>
          <w:rFonts w:asciiTheme="minorHAnsi" w:hAnsiTheme="minorHAnsi" w:cstheme="minorHAnsi"/>
        </w:rPr>
        <w:t xml:space="preserve"> compared to Youth’07. While these decreases are encouraging, this research does not enable the underlying mechanisms to be explained. In-depth qualitative research would assist with improving our understanding of these behavioural changes and determining appropriate actions to ensure that these positive changes can be maintained and built on.</w:t>
      </w:r>
    </w:p>
    <w:p w:rsidR="00043311" w:rsidRDefault="00043311" w:rsidP="0042130F">
      <w:pPr>
        <w:spacing w:line="360" w:lineRule="auto"/>
        <w:rPr>
          <w:rFonts w:asciiTheme="minorHAnsi" w:hAnsiTheme="minorHAnsi" w:cstheme="minorHAnsi"/>
        </w:rPr>
      </w:pPr>
      <w:r>
        <w:rPr>
          <w:rFonts w:asciiTheme="minorHAnsi" w:hAnsiTheme="minorHAnsi" w:cstheme="minorHAnsi"/>
        </w:rPr>
        <w:t>It is of concern that despite legislation around age limits,</w:t>
      </w:r>
      <w:r w:rsidRPr="000C54CD">
        <w:rPr>
          <w:rFonts w:asciiTheme="minorHAnsi" w:hAnsiTheme="minorHAnsi" w:cstheme="minorHAnsi"/>
        </w:rPr>
        <w:t xml:space="preserve"> </w:t>
      </w:r>
      <w:r>
        <w:rPr>
          <w:rFonts w:asciiTheme="minorHAnsi" w:hAnsiTheme="minorHAnsi" w:cstheme="minorHAnsi"/>
        </w:rPr>
        <w:t xml:space="preserve">some youth appear to be gaining access to modes of gambling that are theoretically unavailable to them. A number of these modes (casinos, TAB betting, and pub/club EGMs) were significantly associated with an elevated risk of ‘unhealthy gambling’. As such, there appears to be a need for further monitoring and enforcement around age-related legislation to ensure that minors are not gaining access to age-limited gambling activities, particularly the activities that have been identified with increased risk. Health promotion efforts with young people, family/whānau and members of the gambling industries may also be beneficial. </w:t>
      </w:r>
    </w:p>
    <w:p w:rsidR="00043311" w:rsidRDefault="00043311" w:rsidP="0042130F">
      <w:pPr>
        <w:spacing w:line="360" w:lineRule="auto"/>
        <w:rPr>
          <w:rFonts w:asciiTheme="minorHAnsi" w:hAnsiTheme="minorHAnsi" w:cstheme="minorHAnsi"/>
        </w:rPr>
      </w:pPr>
      <w:r>
        <w:rPr>
          <w:rFonts w:asciiTheme="minorHAnsi" w:hAnsiTheme="minorHAnsi" w:cstheme="minorHAnsi"/>
        </w:rPr>
        <w:t xml:space="preserve">This research </w:t>
      </w:r>
      <w:r w:rsidR="00E54ABD">
        <w:rPr>
          <w:rFonts w:asciiTheme="minorHAnsi" w:hAnsiTheme="minorHAnsi" w:cstheme="minorHAnsi"/>
        </w:rPr>
        <w:t xml:space="preserve">also </w:t>
      </w:r>
      <w:r>
        <w:rPr>
          <w:rFonts w:asciiTheme="minorHAnsi" w:hAnsiTheme="minorHAnsi" w:cstheme="minorHAnsi"/>
        </w:rPr>
        <w:t xml:space="preserve">highlighted a relationship between socio-economic deprivation and gambling. A number of findings indicate that students living in neighbourhoods with higher levels of socio-economic deprivation were more likely to gamble at ‘unhealthy’ levels. They were also more likely to be negatively impacted as a result of someone else’s gambling (i.e. family/whānau). This is consistent with other reports of higher concentrations of EGMs (and subsequent negative impacts of gambling) in communities with higher levels of socio-economic </w:t>
      </w:r>
      <w:r>
        <w:rPr>
          <w:rFonts w:asciiTheme="minorHAnsi" w:hAnsiTheme="minorHAnsi" w:cstheme="minorHAnsi"/>
        </w:rPr>
        <w:lastRenderedPageBreak/>
        <w:t xml:space="preserve">deprivation </w:t>
      </w:r>
      <w:r>
        <w:rPr>
          <w:rFonts w:asciiTheme="minorHAnsi" w:hAnsiTheme="minorHAnsi" w:cstheme="minorHAnsi"/>
          <w:noProof/>
        </w:rPr>
        <w:t>(Centre for Social and Health Outcomes Research and Evaluation &amp; Te Ropu Whariki, 2008; Wheeler, Rigby, &amp; Huriwai, 2006; Wynd, 2005)</w:t>
      </w:r>
      <w:r>
        <w:rPr>
          <w:rFonts w:asciiTheme="minorHAnsi" w:hAnsiTheme="minorHAnsi" w:cstheme="minorHAnsi"/>
        </w:rPr>
        <w:t xml:space="preserve">. </w:t>
      </w:r>
      <w:r w:rsidRPr="00F677AE">
        <w:rPr>
          <w:rFonts w:asciiTheme="minorHAnsi" w:hAnsiTheme="minorHAnsi" w:cstheme="minorHAnsi"/>
        </w:rPr>
        <w:t xml:space="preserve">Throughout this report, the disproportionate effects of gambling on Māori, Pacific and Asian young people have </w:t>
      </w:r>
      <w:r>
        <w:rPr>
          <w:rFonts w:asciiTheme="minorHAnsi" w:hAnsiTheme="minorHAnsi" w:cstheme="minorHAnsi"/>
        </w:rPr>
        <w:t xml:space="preserve">also </w:t>
      </w:r>
      <w:r w:rsidRPr="00F677AE">
        <w:rPr>
          <w:rFonts w:asciiTheme="minorHAnsi" w:hAnsiTheme="minorHAnsi" w:cstheme="minorHAnsi"/>
        </w:rPr>
        <w:t xml:space="preserve">been highlighted. In comparison to NZ European students, significantly greater proportions of Māori, Pacific and Asian students reported being concerned about their own gambling and </w:t>
      </w:r>
      <w:r w:rsidR="006C7953">
        <w:rPr>
          <w:rFonts w:asciiTheme="minorHAnsi" w:hAnsiTheme="minorHAnsi" w:cstheme="minorHAnsi"/>
        </w:rPr>
        <w:t xml:space="preserve">the gambling of their </w:t>
      </w:r>
      <w:r w:rsidRPr="00F677AE">
        <w:rPr>
          <w:rFonts w:asciiTheme="minorHAnsi" w:hAnsiTheme="minorHAnsi" w:cstheme="minorHAnsi"/>
        </w:rPr>
        <w:t>parent</w:t>
      </w:r>
      <w:r w:rsidR="006C7953">
        <w:rPr>
          <w:rFonts w:asciiTheme="minorHAnsi" w:hAnsiTheme="minorHAnsi" w:cstheme="minorHAnsi"/>
        </w:rPr>
        <w:t>s</w:t>
      </w:r>
      <w:r w:rsidRPr="00F677AE">
        <w:rPr>
          <w:rFonts w:asciiTheme="minorHAnsi" w:hAnsiTheme="minorHAnsi" w:cstheme="minorHAnsi"/>
        </w:rPr>
        <w:t>/caregiver</w:t>
      </w:r>
      <w:r w:rsidR="006C7953">
        <w:rPr>
          <w:rFonts w:asciiTheme="minorHAnsi" w:hAnsiTheme="minorHAnsi" w:cstheme="minorHAnsi"/>
        </w:rPr>
        <w:t>s</w:t>
      </w:r>
      <w:r w:rsidRPr="00F677AE">
        <w:rPr>
          <w:rFonts w:asciiTheme="minorHAnsi" w:hAnsiTheme="minorHAnsi" w:cstheme="minorHAnsi"/>
        </w:rPr>
        <w:t>.</w:t>
      </w:r>
      <w:r>
        <w:rPr>
          <w:rFonts w:asciiTheme="minorHAnsi" w:hAnsiTheme="minorHAnsi" w:cstheme="minorHAnsi"/>
        </w:rPr>
        <w:t xml:space="preserve"> </w:t>
      </w:r>
    </w:p>
    <w:p w:rsidR="00235DD5" w:rsidRDefault="007E1071" w:rsidP="00235DD5">
      <w:pPr>
        <w:spacing w:line="360" w:lineRule="auto"/>
        <w:rPr>
          <w:rFonts w:asciiTheme="minorHAnsi" w:hAnsiTheme="minorHAnsi" w:cstheme="minorHAnsi"/>
          <w:b/>
        </w:rPr>
      </w:pPr>
      <w:r>
        <w:rPr>
          <w:rFonts w:asciiTheme="minorHAnsi" w:hAnsiTheme="minorHAnsi" w:cstheme="minorHAnsi"/>
        </w:rPr>
        <w:t>Overall, t</w:t>
      </w:r>
      <w:r w:rsidR="008E0D52">
        <w:rPr>
          <w:rFonts w:asciiTheme="minorHAnsi" w:hAnsiTheme="minorHAnsi" w:cstheme="minorHAnsi"/>
        </w:rPr>
        <w:t xml:space="preserve">he findings from </w:t>
      </w:r>
      <w:r w:rsidR="008E0D52" w:rsidRPr="00F3429C">
        <w:rPr>
          <w:rFonts w:asciiTheme="minorHAnsi" w:hAnsiTheme="minorHAnsi" w:cstheme="minorHAnsi"/>
        </w:rPr>
        <w:t xml:space="preserve">this research are </w:t>
      </w:r>
      <w:r w:rsidRPr="00F3429C">
        <w:rPr>
          <w:rFonts w:asciiTheme="minorHAnsi" w:hAnsiTheme="minorHAnsi" w:cstheme="minorHAnsi"/>
        </w:rPr>
        <w:t>supportive of</w:t>
      </w:r>
      <w:r w:rsidR="008E0D52" w:rsidRPr="00F3429C">
        <w:rPr>
          <w:rFonts w:asciiTheme="minorHAnsi" w:hAnsiTheme="minorHAnsi" w:cstheme="minorHAnsi"/>
        </w:rPr>
        <w:t xml:space="preserve"> </w:t>
      </w:r>
      <w:r w:rsidRPr="00F3429C">
        <w:rPr>
          <w:rFonts w:asciiTheme="minorHAnsi" w:hAnsiTheme="minorHAnsi" w:cstheme="minorHAnsi"/>
        </w:rPr>
        <w:t xml:space="preserve">Messerlian </w:t>
      </w:r>
      <w:r w:rsidR="002F509F" w:rsidRPr="00F3429C">
        <w:rPr>
          <w:rFonts w:asciiTheme="minorHAnsi" w:hAnsiTheme="minorHAnsi" w:cstheme="minorHAnsi"/>
        </w:rPr>
        <w:t xml:space="preserve">et al., </w:t>
      </w:r>
      <w:r w:rsidRPr="00F3429C">
        <w:rPr>
          <w:rFonts w:asciiTheme="minorHAnsi" w:hAnsiTheme="minorHAnsi" w:cstheme="minorHAnsi"/>
        </w:rPr>
        <w:t>(2005)</w:t>
      </w:r>
      <w:r w:rsidR="008E0D52" w:rsidRPr="00F3429C">
        <w:rPr>
          <w:rFonts w:asciiTheme="minorHAnsi" w:hAnsiTheme="minorHAnsi" w:cstheme="minorHAnsi"/>
        </w:rPr>
        <w:t xml:space="preserve"> public health</w:t>
      </w:r>
      <w:r w:rsidR="008E0D52">
        <w:rPr>
          <w:rFonts w:asciiTheme="minorHAnsi" w:hAnsiTheme="minorHAnsi" w:cstheme="minorHAnsi"/>
        </w:rPr>
        <w:t xml:space="preserve"> approach to </w:t>
      </w:r>
      <w:r w:rsidR="00F3429C">
        <w:rPr>
          <w:rFonts w:asciiTheme="minorHAnsi" w:hAnsiTheme="minorHAnsi" w:cstheme="minorHAnsi"/>
        </w:rPr>
        <w:t>youth gambling</w:t>
      </w:r>
      <w:r w:rsidR="00EC173A">
        <w:rPr>
          <w:rFonts w:asciiTheme="minorHAnsi" w:hAnsiTheme="minorHAnsi" w:cstheme="minorHAnsi"/>
        </w:rPr>
        <w:t xml:space="preserve">. This </w:t>
      </w:r>
      <w:r w:rsidR="0010082B">
        <w:rPr>
          <w:rFonts w:asciiTheme="minorHAnsi" w:hAnsiTheme="minorHAnsi" w:cstheme="minorHAnsi"/>
        </w:rPr>
        <w:t>a</w:t>
      </w:r>
      <w:r w:rsidR="00F3429C">
        <w:rPr>
          <w:rFonts w:asciiTheme="minorHAnsi" w:hAnsiTheme="minorHAnsi" w:cstheme="minorHAnsi"/>
        </w:rPr>
        <w:t xml:space="preserve">pproach </w:t>
      </w:r>
      <w:r w:rsidR="00C46650">
        <w:rPr>
          <w:rFonts w:asciiTheme="minorHAnsi" w:hAnsiTheme="minorHAnsi" w:cstheme="minorHAnsi"/>
        </w:rPr>
        <w:t xml:space="preserve">has direct relevance to youth gambling in New Zealand and </w:t>
      </w:r>
      <w:r w:rsidR="00F3429C">
        <w:rPr>
          <w:rFonts w:asciiTheme="minorHAnsi" w:hAnsiTheme="minorHAnsi" w:cstheme="minorHAnsi"/>
        </w:rPr>
        <w:t xml:space="preserve">outlines </w:t>
      </w:r>
      <w:r w:rsidRPr="007E1071">
        <w:rPr>
          <w:rFonts w:asciiTheme="minorHAnsi" w:hAnsiTheme="minorHAnsi" w:cstheme="minorHAnsi"/>
        </w:rPr>
        <w:t xml:space="preserve">a structure to guide public health action that incorporates four public health goals: </w:t>
      </w:r>
      <w:r w:rsidR="00E54ABD">
        <w:rPr>
          <w:rFonts w:asciiTheme="minorHAnsi" w:hAnsiTheme="minorHAnsi" w:cstheme="minorHAnsi"/>
        </w:rPr>
        <w:t>Denormalisation; Protection;</w:t>
      </w:r>
      <w:r w:rsidR="008E0D52" w:rsidRPr="007E1071">
        <w:rPr>
          <w:rFonts w:asciiTheme="minorHAnsi" w:hAnsiTheme="minorHAnsi" w:cstheme="minorHAnsi"/>
        </w:rPr>
        <w:t xml:space="preserve"> </w:t>
      </w:r>
      <w:r w:rsidR="00E54ABD">
        <w:rPr>
          <w:rFonts w:asciiTheme="minorHAnsi" w:hAnsiTheme="minorHAnsi" w:cstheme="minorHAnsi"/>
        </w:rPr>
        <w:t>P</w:t>
      </w:r>
      <w:r w:rsidR="008E0D52" w:rsidRPr="007E1071">
        <w:rPr>
          <w:rFonts w:asciiTheme="minorHAnsi" w:hAnsiTheme="minorHAnsi" w:cstheme="minorHAnsi"/>
        </w:rPr>
        <w:t>revention</w:t>
      </w:r>
      <w:r w:rsidR="00E54ABD">
        <w:rPr>
          <w:rFonts w:asciiTheme="minorHAnsi" w:hAnsiTheme="minorHAnsi" w:cstheme="minorHAnsi"/>
        </w:rPr>
        <w:t xml:space="preserve">; </w:t>
      </w:r>
      <w:r w:rsidR="008E0D52" w:rsidRPr="007E1071">
        <w:rPr>
          <w:rFonts w:asciiTheme="minorHAnsi" w:hAnsiTheme="minorHAnsi" w:cstheme="minorHAnsi"/>
        </w:rPr>
        <w:t>and</w:t>
      </w:r>
      <w:r w:rsidR="00E54ABD">
        <w:rPr>
          <w:rFonts w:asciiTheme="minorHAnsi" w:hAnsiTheme="minorHAnsi" w:cstheme="minorHAnsi"/>
        </w:rPr>
        <w:t>, H</w:t>
      </w:r>
      <w:r w:rsidR="008E0D52" w:rsidRPr="007E1071">
        <w:rPr>
          <w:rFonts w:asciiTheme="minorHAnsi" w:hAnsiTheme="minorHAnsi" w:cstheme="minorHAnsi"/>
        </w:rPr>
        <w:t>arm reduction</w:t>
      </w:r>
      <w:r w:rsidRPr="007E1071">
        <w:rPr>
          <w:rFonts w:asciiTheme="minorHAnsi" w:hAnsiTheme="minorHAnsi" w:cstheme="minorHAnsi"/>
        </w:rPr>
        <w:t>.</w:t>
      </w:r>
      <w:r>
        <w:rPr>
          <w:rFonts w:asciiTheme="minorHAnsi" w:hAnsiTheme="minorHAnsi" w:cstheme="minorHAnsi"/>
        </w:rPr>
        <w:t xml:space="preserve"> </w:t>
      </w:r>
      <w:r w:rsidR="0010082B">
        <w:rPr>
          <w:rFonts w:asciiTheme="minorHAnsi" w:hAnsiTheme="minorHAnsi" w:cstheme="minorHAnsi"/>
        </w:rPr>
        <w:t>The</w:t>
      </w:r>
      <w:r w:rsidR="00235DD5">
        <w:rPr>
          <w:rFonts w:asciiTheme="minorHAnsi" w:hAnsiTheme="minorHAnsi" w:cstheme="minorHAnsi"/>
        </w:rPr>
        <w:t xml:space="preserve"> k</w:t>
      </w:r>
      <w:r w:rsidR="0010082B">
        <w:rPr>
          <w:rFonts w:asciiTheme="minorHAnsi" w:hAnsiTheme="minorHAnsi" w:cstheme="minorHAnsi"/>
        </w:rPr>
        <w:t xml:space="preserve">ey objectives for </w:t>
      </w:r>
      <w:r w:rsidR="00DF175E">
        <w:rPr>
          <w:rFonts w:asciiTheme="minorHAnsi" w:hAnsiTheme="minorHAnsi" w:cstheme="minorHAnsi"/>
        </w:rPr>
        <w:t xml:space="preserve">each </w:t>
      </w:r>
      <w:r w:rsidR="0010082B">
        <w:rPr>
          <w:rFonts w:asciiTheme="minorHAnsi" w:hAnsiTheme="minorHAnsi" w:cstheme="minorHAnsi"/>
        </w:rPr>
        <w:t>goal</w:t>
      </w:r>
      <w:r w:rsidR="00DF175E">
        <w:rPr>
          <w:rFonts w:asciiTheme="minorHAnsi" w:hAnsiTheme="minorHAnsi" w:cstheme="minorHAnsi"/>
        </w:rPr>
        <w:t xml:space="preserve"> can be summarised as: </w:t>
      </w:r>
    </w:p>
    <w:p w:rsidR="00DF175E" w:rsidRPr="00235DD5" w:rsidRDefault="00DF175E" w:rsidP="00235DD5">
      <w:pPr>
        <w:pStyle w:val="ListParagraph"/>
        <w:numPr>
          <w:ilvl w:val="0"/>
          <w:numId w:val="9"/>
        </w:numPr>
        <w:spacing w:line="360" w:lineRule="auto"/>
        <w:ind w:left="709"/>
        <w:rPr>
          <w:rFonts w:asciiTheme="minorHAnsi" w:hAnsiTheme="minorHAnsi" w:cstheme="minorHAnsi"/>
        </w:rPr>
      </w:pPr>
      <w:r w:rsidRPr="00235DD5">
        <w:rPr>
          <w:rFonts w:asciiTheme="minorHAnsi" w:hAnsiTheme="minorHAnsi" w:cstheme="minorHAnsi"/>
        </w:rPr>
        <w:t xml:space="preserve">Social denormalisation – </w:t>
      </w:r>
      <w:r w:rsidR="00E26A1C" w:rsidRPr="00235DD5">
        <w:rPr>
          <w:rFonts w:asciiTheme="minorHAnsi" w:hAnsiTheme="minorHAnsi" w:cstheme="minorHAnsi"/>
        </w:rPr>
        <w:t xml:space="preserve">encouraging </w:t>
      </w:r>
      <w:r w:rsidRPr="00235DD5">
        <w:rPr>
          <w:rFonts w:asciiTheme="minorHAnsi" w:hAnsiTheme="minorHAnsi" w:cstheme="minorHAnsi"/>
        </w:rPr>
        <w:t xml:space="preserve">society </w:t>
      </w:r>
      <w:r w:rsidR="00E26A1C" w:rsidRPr="00235DD5">
        <w:rPr>
          <w:rFonts w:asciiTheme="minorHAnsi" w:hAnsiTheme="minorHAnsi" w:cstheme="minorHAnsi"/>
        </w:rPr>
        <w:t xml:space="preserve">to </w:t>
      </w:r>
      <w:r w:rsidRPr="00235DD5">
        <w:rPr>
          <w:rFonts w:asciiTheme="minorHAnsi" w:hAnsiTheme="minorHAnsi" w:cstheme="minorHAnsi"/>
        </w:rPr>
        <w:t xml:space="preserve">question and </w:t>
      </w:r>
      <w:r w:rsidR="00734D8D" w:rsidRPr="00235DD5">
        <w:rPr>
          <w:rFonts w:asciiTheme="minorHAnsi" w:hAnsiTheme="minorHAnsi" w:cstheme="minorHAnsi"/>
        </w:rPr>
        <w:t>assess</w:t>
      </w:r>
      <w:r w:rsidRPr="00235DD5">
        <w:rPr>
          <w:rFonts w:asciiTheme="minorHAnsi" w:hAnsiTheme="minorHAnsi" w:cstheme="minorHAnsi"/>
        </w:rPr>
        <w:t xml:space="preserve"> youth gambling: </w:t>
      </w:r>
    </w:p>
    <w:p w:rsidR="00DF175E" w:rsidRDefault="00DF175E"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Drawing attention to the marketing strategies employed by members of the gambling industries;</w:t>
      </w:r>
    </w:p>
    <w:p w:rsidR="00DF175E" w:rsidRDefault="00DF175E"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Influencing social norms and attitudes on youth gambling;</w:t>
      </w:r>
    </w:p>
    <w:p w:rsidR="00DF175E" w:rsidRDefault="00DF175E"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Challenging current myths and misconceptions about youth gambling;</w:t>
      </w:r>
    </w:p>
    <w:p w:rsidR="00DF175E" w:rsidRDefault="00DF175E"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 xml:space="preserve">Promoting realistic and accurate knowledge with regard to the impacts of youth gambling. </w:t>
      </w:r>
    </w:p>
    <w:p w:rsidR="00E44826" w:rsidRDefault="00E44826" w:rsidP="00235DD5">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Prevention:</w:t>
      </w:r>
    </w:p>
    <w:p w:rsidR="00E44826" w:rsidRDefault="00E44826"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Improving knowledge and awareness of the risks associated with excessive youth gambling;</w:t>
      </w:r>
    </w:p>
    <w:p w:rsidR="00E44826" w:rsidRDefault="00E44826"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Promoting and enabling informed decision making;</w:t>
      </w:r>
    </w:p>
    <w:p w:rsidR="00E44826" w:rsidRDefault="00E44826"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Enabling early identification and treatment of youth at-risk of excessive gambling;</w:t>
      </w:r>
    </w:p>
    <w:p w:rsidR="00E44826" w:rsidRDefault="00E44826"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Facilitating healthy youth development through the development of problem-solving, coping, and social skills in youth;</w:t>
      </w:r>
    </w:p>
    <w:p w:rsidR="00E44826" w:rsidRDefault="00E44826"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Minimising the harm of gambling problems in youth, their families and communities.</w:t>
      </w:r>
    </w:p>
    <w:p w:rsidR="00E44826" w:rsidRDefault="00E44826" w:rsidP="00235DD5">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Protection:</w:t>
      </w:r>
    </w:p>
    <w:p w:rsidR="00E44826" w:rsidRDefault="00235DD5"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Reducing the accessibility and availability of state-regulated gambling to underage youth through effective institutional policies and government legislation;</w:t>
      </w:r>
    </w:p>
    <w:p w:rsidR="00235DD5" w:rsidRDefault="00235DD5"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 xml:space="preserve">Protecting youth from direct and indirect marketing of gambling products and venues. </w:t>
      </w:r>
    </w:p>
    <w:p w:rsidR="00235DD5" w:rsidRDefault="00235DD5" w:rsidP="00235DD5">
      <w:pPr>
        <w:pStyle w:val="ListParagraph"/>
        <w:numPr>
          <w:ilvl w:val="0"/>
          <w:numId w:val="9"/>
        </w:numPr>
        <w:spacing w:line="360" w:lineRule="auto"/>
        <w:ind w:left="709"/>
        <w:rPr>
          <w:rFonts w:asciiTheme="minorHAnsi" w:hAnsiTheme="minorHAnsi" w:cstheme="minorHAnsi"/>
        </w:rPr>
      </w:pPr>
      <w:r>
        <w:rPr>
          <w:rFonts w:asciiTheme="minorHAnsi" w:hAnsiTheme="minorHAnsi" w:cstheme="minorHAnsi"/>
        </w:rPr>
        <w:t>Harm reduction:</w:t>
      </w:r>
    </w:p>
    <w:p w:rsidR="0010082B" w:rsidRDefault="00235DD5" w:rsidP="00235DD5">
      <w:pPr>
        <w:pStyle w:val="ListParagraph"/>
        <w:numPr>
          <w:ilvl w:val="1"/>
          <w:numId w:val="9"/>
        </w:numPr>
        <w:spacing w:line="360" w:lineRule="auto"/>
        <w:ind w:left="1134"/>
        <w:rPr>
          <w:rFonts w:asciiTheme="minorHAnsi" w:hAnsiTheme="minorHAnsi" w:cstheme="minorHAnsi"/>
        </w:rPr>
      </w:pPr>
      <w:r>
        <w:rPr>
          <w:rFonts w:asciiTheme="minorHAnsi" w:hAnsiTheme="minorHAnsi" w:cstheme="minorHAnsi"/>
        </w:rPr>
        <w:t xml:space="preserve">Preventing unhealthy youth gambling from developing through targeting of all youth, particularly those identified as being at-risk. </w:t>
      </w:r>
    </w:p>
    <w:p w:rsidR="00273C0F" w:rsidRDefault="0010082B" w:rsidP="00273C0F">
      <w:pPr>
        <w:spacing w:line="360" w:lineRule="auto"/>
        <w:rPr>
          <w:rFonts w:asciiTheme="minorHAnsi" w:hAnsiTheme="minorHAnsi" w:cstheme="minorHAnsi"/>
        </w:rPr>
      </w:pPr>
      <w:r>
        <w:rPr>
          <w:rFonts w:asciiTheme="minorHAnsi" w:hAnsiTheme="minorHAnsi" w:cstheme="minorHAnsi"/>
        </w:rPr>
        <w:t>This framework entails a multi-level approach with actions required at the intra-/inter-personal, community, policy, and institutional level</w:t>
      </w:r>
      <w:r w:rsidR="002B3E83">
        <w:rPr>
          <w:rFonts w:asciiTheme="minorHAnsi" w:hAnsiTheme="minorHAnsi" w:cstheme="minorHAnsi"/>
        </w:rPr>
        <w:t>s</w:t>
      </w:r>
      <w:r>
        <w:rPr>
          <w:rFonts w:asciiTheme="minorHAnsi" w:hAnsiTheme="minorHAnsi" w:cstheme="minorHAnsi"/>
        </w:rPr>
        <w:t xml:space="preserve">. </w:t>
      </w:r>
      <w:r w:rsidR="008E6625">
        <w:rPr>
          <w:rFonts w:asciiTheme="minorHAnsi" w:hAnsiTheme="minorHAnsi" w:cstheme="minorHAnsi"/>
        </w:rPr>
        <w:t xml:space="preserve"> However, while the </w:t>
      </w:r>
      <w:r w:rsidR="008E6625" w:rsidRPr="00F3429C">
        <w:rPr>
          <w:rFonts w:asciiTheme="minorHAnsi" w:hAnsiTheme="minorHAnsi" w:cstheme="minorHAnsi"/>
        </w:rPr>
        <w:t xml:space="preserve">Messerlian et al., (2005) </w:t>
      </w:r>
      <w:r w:rsidR="008E6625">
        <w:rPr>
          <w:rFonts w:asciiTheme="minorHAnsi" w:hAnsiTheme="minorHAnsi" w:cstheme="minorHAnsi"/>
        </w:rPr>
        <w:t xml:space="preserve">model </w:t>
      </w:r>
      <w:r w:rsidR="008744AE">
        <w:rPr>
          <w:rFonts w:asciiTheme="minorHAnsi" w:hAnsiTheme="minorHAnsi" w:cstheme="minorHAnsi"/>
        </w:rPr>
        <w:t>is</w:t>
      </w:r>
      <w:r w:rsidR="008E6625">
        <w:rPr>
          <w:rFonts w:asciiTheme="minorHAnsi" w:hAnsiTheme="minorHAnsi" w:cstheme="minorHAnsi"/>
        </w:rPr>
        <w:t xml:space="preserve"> based on a review of international youth gambling research</w:t>
      </w:r>
      <w:r w:rsidR="00EA266D">
        <w:rPr>
          <w:rFonts w:asciiTheme="minorHAnsi" w:hAnsiTheme="minorHAnsi" w:cstheme="minorHAnsi"/>
        </w:rPr>
        <w:t xml:space="preserve">, it </w:t>
      </w:r>
      <w:r w:rsidR="008E6625">
        <w:rPr>
          <w:rFonts w:asciiTheme="minorHAnsi" w:hAnsiTheme="minorHAnsi" w:cstheme="minorHAnsi"/>
        </w:rPr>
        <w:t>doe</w:t>
      </w:r>
      <w:r w:rsidR="00EA266D">
        <w:rPr>
          <w:rFonts w:asciiTheme="minorHAnsi" w:hAnsiTheme="minorHAnsi" w:cstheme="minorHAnsi"/>
        </w:rPr>
        <w:t xml:space="preserve">s </w:t>
      </w:r>
      <w:r w:rsidR="008E6625">
        <w:rPr>
          <w:rFonts w:asciiTheme="minorHAnsi" w:hAnsiTheme="minorHAnsi" w:cstheme="minorHAnsi"/>
        </w:rPr>
        <w:t xml:space="preserve">not </w:t>
      </w:r>
      <w:r w:rsidR="003404CC">
        <w:rPr>
          <w:rFonts w:asciiTheme="minorHAnsi" w:hAnsiTheme="minorHAnsi" w:cstheme="minorHAnsi"/>
        </w:rPr>
        <w:t xml:space="preserve">specifically </w:t>
      </w:r>
      <w:r w:rsidR="008E6625">
        <w:rPr>
          <w:rFonts w:asciiTheme="minorHAnsi" w:hAnsiTheme="minorHAnsi" w:cstheme="minorHAnsi"/>
        </w:rPr>
        <w:t xml:space="preserve">consider the needs of New Zealand’s population. </w:t>
      </w:r>
      <w:r w:rsidR="00273C0F">
        <w:rPr>
          <w:rFonts w:asciiTheme="minorHAnsi" w:hAnsiTheme="minorHAnsi" w:cstheme="minorHAnsi"/>
        </w:rPr>
        <w:t>T</w:t>
      </w:r>
      <w:r w:rsidR="008E6625">
        <w:rPr>
          <w:rFonts w:asciiTheme="minorHAnsi" w:hAnsiTheme="minorHAnsi" w:cstheme="minorHAnsi"/>
        </w:rPr>
        <w:t>he current re</w:t>
      </w:r>
      <w:r w:rsidR="00AC30C4">
        <w:rPr>
          <w:rFonts w:asciiTheme="minorHAnsi" w:hAnsiTheme="minorHAnsi" w:cstheme="minorHAnsi"/>
        </w:rPr>
        <w:t>search</w:t>
      </w:r>
      <w:r w:rsidR="008E6625">
        <w:rPr>
          <w:rFonts w:asciiTheme="minorHAnsi" w:hAnsiTheme="minorHAnsi" w:cstheme="minorHAnsi"/>
        </w:rPr>
        <w:t xml:space="preserve"> has </w:t>
      </w:r>
      <w:r w:rsidR="004E59B3">
        <w:rPr>
          <w:rFonts w:asciiTheme="minorHAnsi" w:hAnsiTheme="minorHAnsi" w:cstheme="minorHAnsi"/>
        </w:rPr>
        <w:t>identified</w:t>
      </w:r>
      <w:r w:rsidR="008E6625">
        <w:rPr>
          <w:rFonts w:asciiTheme="minorHAnsi" w:hAnsiTheme="minorHAnsi" w:cstheme="minorHAnsi"/>
        </w:rPr>
        <w:t xml:space="preserve"> that </w:t>
      </w:r>
      <w:r w:rsidR="00670E63">
        <w:rPr>
          <w:rFonts w:asciiTheme="minorHAnsi" w:hAnsiTheme="minorHAnsi" w:cstheme="minorHAnsi"/>
        </w:rPr>
        <w:t xml:space="preserve">youth living in neighbourhoods with high levels of deprivation, and </w:t>
      </w:r>
      <w:r w:rsidR="000666FE">
        <w:rPr>
          <w:rFonts w:asciiTheme="minorHAnsi" w:hAnsiTheme="minorHAnsi" w:cstheme="minorHAnsi"/>
        </w:rPr>
        <w:lastRenderedPageBreak/>
        <w:t xml:space="preserve">students who identify as </w:t>
      </w:r>
      <w:r w:rsidR="008E6625">
        <w:rPr>
          <w:rFonts w:asciiTheme="minorHAnsi" w:hAnsiTheme="minorHAnsi" w:cstheme="minorHAnsi"/>
        </w:rPr>
        <w:t>Māori, Pacific and Asian</w:t>
      </w:r>
      <w:r w:rsidR="00670E63">
        <w:rPr>
          <w:rFonts w:asciiTheme="minorHAnsi" w:hAnsiTheme="minorHAnsi" w:cstheme="minorHAnsi"/>
        </w:rPr>
        <w:t>,</w:t>
      </w:r>
      <w:r w:rsidR="008E6625">
        <w:rPr>
          <w:rFonts w:asciiTheme="minorHAnsi" w:hAnsiTheme="minorHAnsi" w:cstheme="minorHAnsi"/>
        </w:rPr>
        <w:t xml:space="preserve"> are disproportionately affected by gambling and unhealthy gambling. </w:t>
      </w:r>
      <w:r w:rsidR="00273C0F">
        <w:rPr>
          <w:rFonts w:asciiTheme="minorHAnsi" w:hAnsiTheme="minorHAnsi" w:cstheme="minorHAnsi"/>
        </w:rPr>
        <w:t xml:space="preserve">As such, these findings suggest that </w:t>
      </w:r>
      <w:r w:rsidR="00273C0F" w:rsidRPr="00F677AE">
        <w:rPr>
          <w:rFonts w:asciiTheme="minorHAnsi" w:hAnsiTheme="minorHAnsi" w:cstheme="minorHAnsi"/>
        </w:rPr>
        <w:t xml:space="preserve">Māori, Pacific and Asian </w:t>
      </w:r>
      <w:r w:rsidR="00273C0F">
        <w:rPr>
          <w:rFonts w:asciiTheme="minorHAnsi" w:hAnsiTheme="minorHAnsi" w:cstheme="minorHAnsi"/>
        </w:rPr>
        <w:t>youth and their families/whānau should be prioritised with regard to resource allocation for each of the public health goals identified in the Messerlian et al., (2005) model. The findings also indicate that youth and families/whānau living in neighbourhoods with higher levels of deprivation are a priority for public health initiatives and confirm the status of communities as key stakeholders with regard to the provision of gambling in their neighbourhoods.</w:t>
      </w:r>
    </w:p>
    <w:p w:rsidR="00273C0F" w:rsidRDefault="002B3E83" w:rsidP="00273C0F">
      <w:pPr>
        <w:spacing w:line="360" w:lineRule="auto"/>
        <w:rPr>
          <w:rFonts w:asciiTheme="minorHAnsi" w:hAnsiTheme="minorHAnsi" w:cstheme="minorHAnsi"/>
        </w:rPr>
      </w:pPr>
      <w:r>
        <w:rPr>
          <w:rFonts w:asciiTheme="minorHAnsi" w:hAnsiTheme="minorHAnsi" w:cstheme="minorHAnsi"/>
        </w:rPr>
        <w:t xml:space="preserve">While </w:t>
      </w:r>
      <w:r w:rsidRPr="00F3429C">
        <w:rPr>
          <w:rFonts w:asciiTheme="minorHAnsi" w:hAnsiTheme="minorHAnsi" w:cstheme="minorHAnsi"/>
        </w:rPr>
        <w:t xml:space="preserve">Messerlian et al., (2005) </w:t>
      </w:r>
      <w:r>
        <w:rPr>
          <w:rFonts w:asciiTheme="minorHAnsi" w:hAnsiTheme="minorHAnsi" w:cstheme="minorHAnsi"/>
        </w:rPr>
        <w:t xml:space="preserve">provide a comprehensive model for delivering public health initiatives, there is a lack of empirical evidence on the efficacy of </w:t>
      </w:r>
      <w:r w:rsidR="008744AE">
        <w:rPr>
          <w:rFonts w:asciiTheme="minorHAnsi" w:hAnsiTheme="minorHAnsi" w:cstheme="minorHAnsi"/>
        </w:rPr>
        <w:t xml:space="preserve">specific interventions </w:t>
      </w:r>
      <w:r w:rsidR="008744AE" w:rsidRPr="00F80E4D">
        <w:rPr>
          <w:rFonts w:asciiTheme="minorHAnsi" w:hAnsiTheme="minorHAnsi" w:cstheme="minorHAnsi"/>
        </w:rPr>
        <w:t>(Rigbye, 2010)</w:t>
      </w:r>
      <w:r>
        <w:rPr>
          <w:rFonts w:asciiTheme="minorHAnsi" w:hAnsiTheme="minorHAnsi" w:cstheme="minorHAnsi"/>
        </w:rPr>
        <w:t xml:space="preserve">.  </w:t>
      </w:r>
      <w:r w:rsidR="00532FCC">
        <w:rPr>
          <w:rFonts w:asciiTheme="minorHAnsi" w:hAnsiTheme="minorHAnsi" w:cstheme="minorHAnsi"/>
        </w:rPr>
        <w:t>For example, a</w:t>
      </w:r>
      <w:r w:rsidR="00273C0F">
        <w:rPr>
          <w:rFonts w:asciiTheme="minorHAnsi" w:hAnsiTheme="minorHAnsi" w:cstheme="minorHAnsi"/>
        </w:rPr>
        <w:t xml:space="preserve"> recent study in the UK noted that  growing concern around youth problem gambling has resulted in </w:t>
      </w:r>
      <w:r w:rsidR="008B1BE5">
        <w:rPr>
          <w:rFonts w:asciiTheme="minorHAnsi" w:hAnsiTheme="minorHAnsi" w:cstheme="minorHAnsi"/>
        </w:rPr>
        <w:t xml:space="preserve">the implementation of </w:t>
      </w:r>
      <w:r w:rsidR="00273C0F">
        <w:rPr>
          <w:rFonts w:asciiTheme="minorHAnsi" w:hAnsiTheme="minorHAnsi" w:cstheme="minorHAnsi"/>
        </w:rPr>
        <w:t xml:space="preserve">a wide range of </w:t>
      </w:r>
      <w:r w:rsidR="00273C0F" w:rsidRPr="00F80E4D">
        <w:rPr>
          <w:rFonts w:asciiTheme="minorHAnsi" w:hAnsiTheme="minorHAnsi" w:cstheme="minorHAnsi"/>
        </w:rPr>
        <w:t>initiatives</w:t>
      </w:r>
      <w:r w:rsidR="008B1BE5">
        <w:rPr>
          <w:rFonts w:asciiTheme="minorHAnsi" w:hAnsiTheme="minorHAnsi" w:cstheme="minorHAnsi"/>
        </w:rPr>
        <w:t xml:space="preserve"> but that</w:t>
      </w:r>
      <w:r w:rsidR="00273C0F">
        <w:rPr>
          <w:rFonts w:asciiTheme="minorHAnsi" w:hAnsiTheme="minorHAnsi" w:cstheme="minorHAnsi"/>
        </w:rPr>
        <w:t xml:space="preserve"> there is </w:t>
      </w:r>
      <w:r w:rsidR="008B1BE5">
        <w:rPr>
          <w:rFonts w:asciiTheme="minorHAnsi" w:hAnsiTheme="minorHAnsi" w:cstheme="minorHAnsi"/>
        </w:rPr>
        <w:t xml:space="preserve">also </w:t>
      </w:r>
      <w:r w:rsidR="00273C0F">
        <w:rPr>
          <w:rFonts w:asciiTheme="minorHAnsi" w:hAnsiTheme="minorHAnsi" w:cstheme="minorHAnsi"/>
        </w:rPr>
        <w:t>a lack of empirical evaluation on the effect</w:t>
      </w:r>
      <w:r w:rsidR="00410534">
        <w:rPr>
          <w:rFonts w:asciiTheme="minorHAnsi" w:hAnsiTheme="minorHAnsi" w:cstheme="minorHAnsi"/>
        </w:rPr>
        <w:t>iveness of such init</w:t>
      </w:r>
      <w:r w:rsidR="00273C0F">
        <w:rPr>
          <w:rFonts w:asciiTheme="minorHAnsi" w:hAnsiTheme="minorHAnsi" w:cstheme="minorHAnsi"/>
        </w:rPr>
        <w:t>ia</w:t>
      </w:r>
      <w:r w:rsidR="00410534">
        <w:rPr>
          <w:rFonts w:asciiTheme="minorHAnsi" w:hAnsiTheme="minorHAnsi" w:cstheme="minorHAnsi"/>
        </w:rPr>
        <w:t>t</w:t>
      </w:r>
      <w:r w:rsidR="00273C0F">
        <w:rPr>
          <w:rFonts w:asciiTheme="minorHAnsi" w:hAnsiTheme="minorHAnsi" w:cstheme="minorHAnsi"/>
        </w:rPr>
        <w:t>ives</w:t>
      </w:r>
      <w:r w:rsidR="008744AE">
        <w:rPr>
          <w:rFonts w:asciiTheme="minorHAnsi" w:hAnsiTheme="minorHAnsi" w:cstheme="minorHAnsi"/>
        </w:rPr>
        <w:t xml:space="preserve"> </w:t>
      </w:r>
      <w:r w:rsidR="008744AE" w:rsidRPr="00F80E4D">
        <w:rPr>
          <w:rFonts w:asciiTheme="minorHAnsi" w:hAnsiTheme="minorHAnsi" w:cstheme="minorHAnsi"/>
        </w:rPr>
        <w:t>(Rigbye, 2010)</w:t>
      </w:r>
      <w:r w:rsidR="008744AE">
        <w:rPr>
          <w:rFonts w:asciiTheme="minorHAnsi" w:hAnsiTheme="minorHAnsi" w:cstheme="minorHAnsi"/>
        </w:rPr>
        <w:t xml:space="preserve">.  </w:t>
      </w:r>
      <w:r w:rsidR="008B1BE5">
        <w:rPr>
          <w:rFonts w:asciiTheme="minorHAnsi" w:hAnsiTheme="minorHAnsi" w:cstheme="minorHAnsi"/>
        </w:rPr>
        <w:t>This has been</w:t>
      </w:r>
      <w:r w:rsidR="00273C0F">
        <w:rPr>
          <w:rFonts w:asciiTheme="minorHAnsi" w:hAnsiTheme="minorHAnsi" w:cstheme="minorHAnsi"/>
        </w:rPr>
        <w:t xml:space="preserve"> </w:t>
      </w:r>
      <w:r w:rsidR="008B1BE5">
        <w:rPr>
          <w:rFonts w:asciiTheme="minorHAnsi" w:hAnsiTheme="minorHAnsi" w:cstheme="minorHAnsi"/>
        </w:rPr>
        <w:t xml:space="preserve">partially </w:t>
      </w:r>
      <w:r w:rsidR="00273C0F">
        <w:rPr>
          <w:rFonts w:asciiTheme="minorHAnsi" w:hAnsiTheme="minorHAnsi" w:cstheme="minorHAnsi"/>
        </w:rPr>
        <w:t>attribut</w:t>
      </w:r>
      <w:r w:rsidR="008B1BE5">
        <w:rPr>
          <w:rFonts w:asciiTheme="minorHAnsi" w:hAnsiTheme="minorHAnsi" w:cstheme="minorHAnsi"/>
        </w:rPr>
        <w:t>ed</w:t>
      </w:r>
      <w:r w:rsidR="00273C0F">
        <w:rPr>
          <w:rFonts w:asciiTheme="minorHAnsi" w:hAnsiTheme="minorHAnsi" w:cstheme="minorHAnsi"/>
        </w:rPr>
        <w:t xml:space="preserve"> to a lack of ‘best practice’ guidelines in this </w:t>
      </w:r>
      <w:r w:rsidR="00273C0F" w:rsidRPr="00FF6445">
        <w:rPr>
          <w:rFonts w:asciiTheme="minorHAnsi" w:hAnsiTheme="minorHAnsi" w:cstheme="minorHAnsi"/>
        </w:rPr>
        <w:t xml:space="preserve">field (Marotta and Hynes, 2003; Griffiths, 2008; Rigbye, 2010; Derevensky et al., 2002). </w:t>
      </w:r>
      <w:r w:rsidR="001C5C20" w:rsidRPr="00FF6445">
        <w:rPr>
          <w:rFonts w:asciiTheme="minorHAnsi" w:hAnsiTheme="minorHAnsi" w:cstheme="minorHAnsi"/>
        </w:rPr>
        <w:t>I</w:t>
      </w:r>
      <w:r w:rsidR="00273C0F" w:rsidRPr="00FF6445">
        <w:rPr>
          <w:rFonts w:asciiTheme="minorHAnsi" w:hAnsiTheme="minorHAnsi" w:cstheme="minorHAnsi"/>
        </w:rPr>
        <w:t>n their review of adole</w:t>
      </w:r>
      <w:r w:rsidR="00273C0F" w:rsidRPr="00AB48B4">
        <w:rPr>
          <w:rFonts w:asciiTheme="minorHAnsi" w:hAnsiTheme="minorHAnsi" w:cstheme="minorHAnsi"/>
        </w:rPr>
        <w:t>scent gambling research, Blinn-Pike and colleagues identified only three such evaluations</w:t>
      </w:r>
      <w:r w:rsidR="00273C0F" w:rsidRPr="007E2721">
        <w:rPr>
          <w:rFonts w:asciiTheme="minorHAnsi" w:hAnsiTheme="minorHAnsi" w:cstheme="minorHAnsi"/>
          <w:vertAlign w:val="superscript"/>
        </w:rPr>
        <w:footnoteReference w:id="24"/>
      </w:r>
      <w:r w:rsidR="00273C0F" w:rsidRPr="00AB48B4">
        <w:rPr>
          <w:rFonts w:asciiTheme="minorHAnsi" w:hAnsiTheme="minorHAnsi" w:cstheme="minorHAnsi"/>
        </w:rPr>
        <w:t xml:space="preserve"> and recommended that more work is required in this area </w:t>
      </w:r>
      <w:r w:rsidR="007B447B" w:rsidRPr="00AB48B4">
        <w:rPr>
          <w:rFonts w:asciiTheme="minorHAnsi" w:hAnsiTheme="minorHAnsi" w:cstheme="minorHAnsi"/>
        </w:rPr>
        <w:fldChar w:fldCharType="begin"/>
      </w:r>
      <w:r w:rsidR="00273C0F" w:rsidRPr="00AB48B4">
        <w:rPr>
          <w:rFonts w:asciiTheme="minorHAnsi" w:hAnsiTheme="minorHAnsi" w:cstheme="minorHAnsi"/>
        </w:rPr>
        <w:instrText xml:space="preserve"> ADDIN EN.CITE &lt;EndNote&gt;&lt;Cite&gt;&lt;Author&gt;Blinn-Pike&lt;/Author&gt;&lt;Year&gt;2010&lt;/Year&gt;&lt;RecNum&gt;25&lt;/RecNum&gt;&lt;DisplayText&gt;(Blinn-Pike et al., 2010)&lt;/DisplayText&gt;&lt;record&gt;&lt;rec-number&gt;25&lt;/rec-number&gt;&lt;foreign-keys&gt;&lt;key app="EN" db-id="5xvwfd0xjetax5e9svov0ran9frd5dae9vse"&gt;25&lt;/key&gt;&lt;/foreign-keys&gt;&lt;ref-type name="Journal Article"&gt;17&lt;/ref-type&gt;&lt;contributors&gt;&lt;authors&gt;&lt;author&gt;Blinn-Pike, Lynn&lt;/author&gt;&lt;author&gt;Worthy, Sheri Lokken&lt;/author&gt;&lt;author&gt;Jonkman, Jeffrey N.&lt;/author&gt;&lt;/authors&gt;&lt;/contributors&gt;&lt;titles&gt;&lt;title&gt;Adolescent Gambling: A Review of an Emerging Field of Research&lt;/title&gt;&lt;secondary-title&gt;Journal of Adolescent Health&lt;/secondary-title&gt;&lt;/titles&gt;&lt;pages&gt;223-236&lt;/pages&gt;&lt;volume&gt;47&lt;/volume&gt;&lt;number&gt;3&lt;/number&gt;&lt;keywords&gt;&lt;keyword&gt;Adolescents&lt;/keyword&gt;&lt;keyword&gt;Gambling&lt;/keyword&gt;&lt;keyword&gt;Literature review&lt;/keyword&gt;&lt;/keywords&gt;&lt;dates&gt;&lt;year&gt;2010&lt;/year&gt;&lt;/dates&gt;&lt;isbn&gt;1054-139X&lt;/isbn&gt;&lt;urls&gt;&lt;related-urls&gt;&lt;url&gt;http://www.sciencedirect.com/science/article/B6T80-50S3FWG-4/2/249d7c37ce940bcb7762e778d9d1f350&lt;/url&gt;&lt;/related-urls&gt;&lt;/urls&gt;&lt;electronic-resource-num&gt;DOI: 10.1016/j.jadohealth.2010.05.003&lt;/electronic-resource-num&gt;&lt;/record&gt;&lt;/Cite&gt;&lt;/EndNote&gt;</w:instrText>
      </w:r>
      <w:r w:rsidR="007B447B" w:rsidRPr="00AB48B4">
        <w:rPr>
          <w:rFonts w:asciiTheme="minorHAnsi" w:hAnsiTheme="minorHAnsi" w:cstheme="minorHAnsi"/>
        </w:rPr>
        <w:fldChar w:fldCharType="separate"/>
      </w:r>
      <w:r w:rsidR="00273C0F" w:rsidRPr="00AB48B4">
        <w:rPr>
          <w:rFonts w:asciiTheme="minorHAnsi" w:hAnsiTheme="minorHAnsi" w:cstheme="minorHAnsi"/>
        </w:rPr>
        <w:t>(Blinn-Pike et al., 2010)</w:t>
      </w:r>
      <w:r w:rsidR="007B447B" w:rsidRPr="00AB48B4">
        <w:rPr>
          <w:rFonts w:asciiTheme="minorHAnsi" w:hAnsiTheme="minorHAnsi" w:cstheme="minorHAnsi"/>
        </w:rPr>
        <w:fldChar w:fldCharType="end"/>
      </w:r>
      <w:r w:rsidR="00273C0F" w:rsidRPr="00AB48B4">
        <w:rPr>
          <w:rFonts w:asciiTheme="minorHAnsi" w:hAnsiTheme="minorHAnsi" w:cstheme="minorHAnsi"/>
        </w:rPr>
        <w:t xml:space="preserve">.  </w:t>
      </w:r>
    </w:p>
    <w:p w:rsidR="00273C0F" w:rsidRDefault="00F06B39" w:rsidP="00273C0F">
      <w:pPr>
        <w:spacing w:line="360" w:lineRule="auto"/>
        <w:rPr>
          <w:rFonts w:asciiTheme="minorHAnsi" w:hAnsiTheme="minorHAnsi" w:cstheme="minorHAnsi"/>
        </w:rPr>
      </w:pPr>
      <w:r w:rsidRPr="00410534">
        <w:rPr>
          <w:rFonts w:asciiTheme="minorHAnsi" w:hAnsiTheme="minorHAnsi" w:cstheme="minorHAnsi"/>
        </w:rPr>
        <w:t>Article 3 of the Treaty of Waitangi confers Māori with rights of equality and opportunity. This means that Māori youth require culturally responsive strategies</w:t>
      </w:r>
      <w:r w:rsidR="00787F4C" w:rsidRPr="00410534">
        <w:rPr>
          <w:rFonts w:asciiTheme="minorHAnsi" w:hAnsiTheme="minorHAnsi" w:cstheme="minorHAnsi"/>
        </w:rPr>
        <w:t>, particularly as they are disproportionately affected</w:t>
      </w:r>
      <w:r w:rsidRPr="00410534">
        <w:rPr>
          <w:rFonts w:asciiTheme="minorHAnsi" w:hAnsiTheme="minorHAnsi" w:cstheme="minorHAnsi"/>
        </w:rPr>
        <w:t xml:space="preserve">. It is unclear how current public health </w:t>
      </w:r>
      <w:r w:rsidR="00787F4C" w:rsidRPr="00410534">
        <w:rPr>
          <w:rFonts w:asciiTheme="minorHAnsi" w:hAnsiTheme="minorHAnsi" w:cstheme="minorHAnsi"/>
        </w:rPr>
        <w:t>strategies</w:t>
      </w:r>
      <w:r w:rsidR="00532FCC" w:rsidRPr="00410534">
        <w:rPr>
          <w:rFonts w:asciiTheme="minorHAnsi" w:hAnsiTheme="minorHAnsi" w:cstheme="minorHAnsi"/>
        </w:rPr>
        <w:t xml:space="preserve"> for gambling </w:t>
      </w:r>
      <w:r w:rsidRPr="00410534">
        <w:rPr>
          <w:rFonts w:asciiTheme="minorHAnsi" w:hAnsiTheme="minorHAnsi" w:cstheme="minorHAnsi"/>
        </w:rPr>
        <w:t>affect Māori</w:t>
      </w:r>
      <w:r w:rsidR="00787F4C" w:rsidRPr="00410534">
        <w:rPr>
          <w:rFonts w:asciiTheme="minorHAnsi" w:hAnsiTheme="minorHAnsi" w:cstheme="minorHAnsi"/>
        </w:rPr>
        <w:t xml:space="preserve"> youth</w:t>
      </w:r>
      <w:r w:rsidRPr="00410534">
        <w:rPr>
          <w:rFonts w:asciiTheme="minorHAnsi" w:hAnsiTheme="minorHAnsi" w:cstheme="minorHAnsi"/>
        </w:rPr>
        <w:t xml:space="preserve">. </w:t>
      </w:r>
      <w:r w:rsidR="00787F4C" w:rsidRPr="00410534">
        <w:rPr>
          <w:rFonts w:asciiTheme="minorHAnsi" w:hAnsiTheme="minorHAnsi" w:cstheme="minorHAnsi"/>
        </w:rPr>
        <w:t xml:space="preserve">Evaluation of current programmes and development of specific strategies for Māori youth are required. </w:t>
      </w:r>
      <w:r w:rsidR="00800C94" w:rsidRPr="00410534">
        <w:rPr>
          <w:rFonts w:asciiTheme="minorHAnsi" w:hAnsiTheme="minorHAnsi" w:cstheme="minorHAnsi"/>
        </w:rPr>
        <w:t>It should also be noted that</w:t>
      </w:r>
      <w:r w:rsidR="00273C0F" w:rsidRPr="00410534">
        <w:rPr>
          <w:rFonts w:asciiTheme="minorHAnsi" w:hAnsiTheme="minorHAnsi" w:cstheme="minorHAnsi"/>
        </w:rPr>
        <w:t xml:space="preserve"> there is </w:t>
      </w:r>
      <w:r w:rsidR="00532FCC" w:rsidRPr="00410534">
        <w:rPr>
          <w:rFonts w:asciiTheme="minorHAnsi" w:hAnsiTheme="minorHAnsi" w:cstheme="minorHAnsi"/>
        </w:rPr>
        <w:t xml:space="preserve">a </w:t>
      </w:r>
      <w:r w:rsidR="00273C0F" w:rsidRPr="00410534">
        <w:rPr>
          <w:rFonts w:asciiTheme="minorHAnsi" w:hAnsiTheme="minorHAnsi" w:cstheme="minorHAnsi"/>
        </w:rPr>
        <w:t xml:space="preserve">dearth of intervention research conducted with indigenous populations and </w:t>
      </w:r>
      <w:r w:rsidRPr="00410534">
        <w:rPr>
          <w:rFonts w:asciiTheme="minorHAnsi" w:hAnsiTheme="minorHAnsi" w:cstheme="minorHAnsi"/>
        </w:rPr>
        <w:t xml:space="preserve">other </w:t>
      </w:r>
      <w:r w:rsidR="00273C0F" w:rsidRPr="00410534">
        <w:rPr>
          <w:rFonts w:asciiTheme="minorHAnsi" w:hAnsiTheme="minorHAnsi" w:cstheme="minorHAnsi"/>
        </w:rPr>
        <w:t xml:space="preserve">ethnic groups in relation to gambling. Therefore research in the area of effective approaches for addressing gambling with </w:t>
      </w:r>
      <w:r w:rsidR="008744AE" w:rsidRPr="00410534">
        <w:rPr>
          <w:rFonts w:asciiTheme="minorHAnsi" w:hAnsiTheme="minorHAnsi" w:cstheme="minorHAnsi"/>
        </w:rPr>
        <w:t xml:space="preserve">Māori </w:t>
      </w:r>
      <w:r w:rsidR="00273C0F" w:rsidRPr="00410534">
        <w:rPr>
          <w:rFonts w:asciiTheme="minorHAnsi" w:hAnsiTheme="minorHAnsi" w:cstheme="minorHAnsi"/>
        </w:rPr>
        <w:t xml:space="preserve">and </w:t>
      </w:r>
      <w:r w:rsidR="009E3D1C" w:rsidRPr="00410534">
        <w:rPr>
          <w:rFonts w:asciiTheme="minorHAnsi" w:hAnsiTheme="minorHAnsi" w:cstheme="minorHAnsi"/>
        </w:rPr>
        <w:t>other</w:t>
      </w:r>
      <w:r w:rsidR="00273C0F" w:rsidRPr="00410534">
        <w:rPr>
          <w:rFonts w:asciiTheme="minorHAnsi" w:hAnsiTheme="minorHAnsi" w:cstheme="minorHAnsi"/>
        </w:rPr>
        <w:t xml:space="preserve"> ethnic groups (specifically Pacific and Asian communities) should be prioritised amongst young people and adults.</w:t>
      </w:r>
      <w:r w:rsidR="00273C0F">
        <w:rPr>
          <w:rFonts w:asciiTheme="minorHAnsi" w:hAnsiTheme="minorHAnsi" w:cstheme="minorHAnsi"/>
        </w:rPr>
        <w:t xml:space="preserve"> </w:t>
      </w:r>
    </w:p>
    <w:p w:rsidR="00CA6852" w:rsidRDefault="00532FCC" w:rsidP="0010082B">
      <w:pPr>
        <w:spacing w:line="360" w:lineRule="auto"/>
        <w:rPr>
          <w:rFonts w:asciiTheme="minorHAnsi" w:hAnsiTheme="minorHAnsi" w:cstheme="minorHAnsi"/>
        </w:rPr>
      </w:pPr>
      <w:r>
        <w:rPr>
          <w:rFonts w:asciiTheme="minorHAnsi" w:hAnsiTheme="minorHAnsi" w:cstheme="minorHAnsi"/>
        </w:rPr>
        <w:t>Overall, t</w:t>
      </w:r>
      <w:r w:rsidR="00273C0F">
        <w:rPr>
          <w:rFonts w:asciiTheme="minorHAnsi" w:hAnsiTheme="minorHAnsi" w:cstheme="minorHAnsi"/>
        </w:rPr>
        <w:t xml:space="preserve">here is a paucity of empirical evidence for the effectiveness of youth gambling prevention initiatives, particularly with regard to young people in New Zealand. </w:t>
      </w:r>
      <w:r w:rsidR="00800C94">
        <w:rPr>
          <w:rFonts w:asciiTheme="minorHAnsi" w:hAnsiTheme="minorHAnsi" w:cstheme="minorHAnsi"/>
        </w:rPr>
        <w:t xml:space="preserve"> </w:t>
      </w:r>
      <w:r w:rsidR="005305A8">
        <w:rPr>
          <w:rFonts w:asciiTheme="minorHAnsi" w:hAnsiTheme="minorHAnsi" w:cstheme="minorHAnsi"/>
        </w:rPr>
        <w:t xml:space="preserve">The authors of this report and the </w:t>
      </w:r>
      <w:r w:rsidR="005305A8" w:rsidRPr="00CA6852">
        <w:rPr>
          <w:rFonts w:asciiTheme="minorHAnsi" w:hAnsiTheme="minorHAnsi" w:cstheme="minorHAnsi"/>
        </w:rPr>
        <w:t>Adolescent Health Research Group</w:t>
      </w:r>
      <w:r w:rsidR="005305A8">
        <w:rPr>
          <w:rFonts w:asciiTheme="minorHAnsi" w:hAnsiTheme="minorHAnsi" w:cstheme="minorHAnsi"/>
        </w:rPr>
        <w:t xml:space="preserve"> hope that the findings </w:t>
      </w:r>
      <w:r w:rsidR="00800C94">
        <w:rPr>
          <w:rFonts w:asciiTheme="minorHAnsi" w:hAnsiTheme="minorHAnsi" w:cstheme="minorHAnsi"/>
        </w:rPr>
        <w:t>of this research</w:t>
      </w:r>
      <w:r w:rsidR="005305A8">
        <w:rPr>
          <w:rFonts w:asciiTheme="minorHAnsi" w:hAnsiTheme="minorHAnsi" w:cstheme="minorHAnsi"/>
        </w:rPr>
        <w:t xml:space="preserve"> can be used to advocate for public health initiatives that will improve the health and wellbeing of young people in New Zealand with regard to gambling and unhealthy gambling. The</w:t>
      </w:r>
      <w:r w:rsidR="0010082B" w:rsidRPr="0010082B">
        <w:rPr>
          <w:rFonts w:asciiTheme="minorHAnsi" w:hAnsiTheme="minorHAnsi" w:cstheme="minorHAnsi"/>
        </w:rPr>
        <w:t xml:space="preserve"> </w:t>
      </w:r>
      <w:r w:rsidR="005305A8">
        <w:rPr>
          <w:rFonts w:asciiTheme="minorHAnsi" w:hAnsiTheme="minorHAnsi" w:cstheme="minorHAnsi"/>
        </w:rPr>
        <w:t xml:space="preserve">four public health </w:t>
      </w:r>
      <w:r w:rsidR="0010082B" w:rsidRPr="0010082B">
        <w:rPr>
          <w:rFonts w:asciiTheme="minorHAnsi" w:hAnsiTheme="minorHAnsi" w:cstheme="minorHAnsi"/>
        </w:rPr>
        <w:t>goals</w:t>
      </w:r>
      <w:r w:rsidR="005305A8">
        <w:rPr>
          <w:rFonts w:asciiTheme="minorHAnsi" w:hAnsiTheme="minorHAnsi" w:cstheme="minorHAnsi"/>
        </w:rPr>
        <w:t xml:space="preserve"> outlined above</w:t>
      </w:r>
      <w:r w:rsidR="0010082B" w:rsidRPr="0010082B">
        <w:rPr>
          <w:rFonts w:asciiTheme="minorHAnsi" w:hAnsiTheme="minorHAnsi" w:cstheme="minorHAnsi"/>
        </w:rPr>
        <w:t xml:space="preserve"> have implications for all youth gambling stakeholders</w:t>
      </w:r>
      <w:r w:rsidR="004873D8">
        <w:rPr>
          <w:rFonts w:asciiTheme="minorHAnsi" w:hAnsiTheme="minorHAnsi" w:cstheme="minorHAnsi"/>
        </w:rPr>
        <w:t xml:space="preserve"> in New Zealand</w:t>
      </w:r>
      <w:r w:rsidR="0061632D">
        <w:rPr>
          <w:rFonts w:asciiTheme="minorHAnsi" w:hAnsiTheme="minorHAnsi" w:cstheme="minorHAnsi"/>
        </w:rPr>
        <w:t xml:space="preserve">: </w:t>
      </w:r>
      <w:r w:rsidR="0010082B" w:rsidRPr="0010082B">
        <w:rPr>
          <w:rFonts w:asciiTheme="minorHAnsi" w:hAnsiTheme="minorHAnsi" w:cstheme="minorHAnsi"/>
        </w:rPr>
        <w:t>health promotion workers, researchers, policy makers, members of the gambling industries, youth, their families/whānau, schools and communities.</w:t>
      </w:r>
      <w:r w:rsidR="0010082B">
        <w:rPr>
          <w:rFonts w:asciiTheme="minorHAnsi" w:hAnsiTheme="minorHAnsi" w:cstheme="minorHAnsi"/>
        </w:rPr>
        <w:t xml:space="preserve"> </w:t>
      </w:r>
    </w:p>
    <w:p w:rsidR="00043311" w:rsidRDefault="00082F17" w:rsidP="0042130F">
      <w:pPr>
        <w:spacing w:line="360" w:lineRule="auto"/>
        <w:rPr>
          <w:rFonts w:asciiTheme="minorHAnsi" w:hAnsiTheme="minorHAnsi" w:cstheme="minorHAnsi"/>
        </w:rPr>
      </w:pPr>
      <w:r>
        <w:rPr>
          <w:rFonts w:asciiTheme="minorHAnsi" w:hAnsiTheme="minorHAnsi" w:cstheme="minorHAnsi"/>
          <w:noProof/>
          <w:lang w:eastAsia="en-NZ"/>
        </w:rPr>
      </w:r>
      <w:r>
        <w:rPr>
          <w:rFonts w:asciiTheme="minorHAnsi" w:hAnsiTheme="minorHAnsi" w:cstheme="minorHAnsi"/>
          <w:noProof/>
          <w:lang w:eastAsia="en-NZ"/>
        </w:rPr>
        <w:pict>
          <v:shape id="Text Box 14" o:spid="_x0000_s1038" type="#_x0000_t202" style="width:524.45pt;height:419.2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" fillcolor="#c6d9f1 [671]" stroked="f">
            <v:textbox style="mso-fit-shape-to-text:t">
              <w:txbxContent>
                <w:p w:rsidR="00B45826" w:rsidRDefault="00B45826" w:rsidP="0042130F">
                  <w:pPr>
                    <w:spacing w:line="360" w:lineRule="auto"/>
                    <w:rPr>
                      <w:rFonts w:asciiTheme="minorHAnsi" w:hAnsiTheme="minorHAnsi" w:cstheme="minorHAnsi"/>
                    </w:rPr>
                  </w:pPr>
                  <w:r w:rsidRPr="00301621">
                    <w:rPr>
                      <w:rFonts w:asciiTheme="minorHAnsi" w:hAnsiTheme="minorHAnsi" w:cstheme="minorHAnsi"/>
                    </w:rPr>
                    <w:t xml:space="preserve"> </w:t>
                  </w:r>
                  <w:r>
                    <w:rPr>
                      <w:rFonts w:asciiTheme="minorHAnsi" w:hAnsiTheme="minorHAnsi" w:cstheme="minorHAnsi"/>
                    </w:rPr>
                    <w:t xml:space="preserve">In closing, </w:t>
                  </w:r>
                  <w:r w:rsidRPr="00301621">
                    <w:rPr>
                      <w:rFonts w:asciiTheme="minorHAnsi" w:hAnsiTheme="minorHAnsi" w:cstheme="minorHAnsi"/>
                    </w:rPr>
                    <w:t>this research has shown that the majority of secondary school students had not engaged with gambling in the past year. It has also demonstrated that a wide range of social</w:t>
                  </w:r>
                  <w:r>
                    <w:rPr>
                      <w:rFonts w:asciiTheme="minorHAnsi" w:hAnsiTheme="minorHAnsi" w:cstheme="minorHAnsi"/>
                    </w:rPr>
                    <w:t xml:space="preserve"> and ecological factors play a role in determining youth gambling behaviour; the </w:t>
                  </w:r>
                  <w:r w:rsidRPr="001D61CA">
                    <w:rPr>
                      <w:rFonts w:asciiTheme="minorHAnsi" w:hAnsiTheme="minorHAnsi" w:cstheme="minorHAnsi"/>
                    </w:rPr>
                    <w:t>factors</w:t>
                  </w:r>
                  <w:r>
                    <w:rPr>
                      <w:rFonts w:asciiTheme="minorHAnsi" w:hAnsiTheme="minorHAnsi" w:cstheme="minorHAnsi"/>
                    </w:rPr>
                    <w:t xml:space="preserve"> which increase </w:t>
                  </w:r>
                  <w:r w:rsidRPr="001D61CA">
                    <w:rPr>
                      <w:rFonts w:asciiTheme="minorHAnsi" w:hAnsiTheme="minorHAnsi" w:cstheme="minorHAnsi"/>
                    </w:rPr>
                    <w:t>risk</w:t>
                  </w:r>
                  <w:r>
                    <w:rPr>
                      <w:rFonts w:asciiTheme="minorHAnsi" w:hAnsiTheme="minorHAnsi" w:cstheme="minorHAnsi"/>
                    </w:rPr>
                    <w:t xml:space="preserve"> and/or moderate (protect)</w:t>
                  </w:r>
                  <w:r w:rsidRPr="001D61CA">
                    <w:rPr>
                      <w:rFonts w:asciiTheme="minorHAnsi" w:hAnsiTheme="minorHAnsi" w:cstheme="minorHAnsi"/>
                    </w:rPr>
                    <w:t xml:space="preserve"> </w:t>
                  </w:r>
                  <w:r>
                    <w:rPr>
                      <w:rFonts w:asciiTheme="minorHAnsi" w:hAnsiTheme="minorHAnsi" w:cstheme="minorHAnsi"/>
                    </w:rPr>
                    <w:t xml:space="preserve">against unhealthy youth gambling behaviour are varied and diverse. As such, preventative efforts aimed at enabling young people to engage with gambling in a safe manner will require the concerted efforts of family/whānau, schools, members of the various gambling industries, and government agencies. </w:t>
                  </w:r>
                </w:p>
                <w:p w:rsidR="00B45826" w:rsidRDefault="00B45826" w:rsidP="0042130F">
                  <w:pPr>
                    <w:spacing w:line="360" w:lineRule="auto"/>
                    <w:rPr>
                      <w:rFonts w:asciiTheme="minorHAnsi" w:hAnsiTheme="minorHAnsi" w:cstheme="minorHAnsi"/>
                    </w:rPr>
                  </w:pPr>
                  <w:r>
                    <w:rPr>
                      <w:rFonts w:asciiTheme="minorHAnsi" w:hAnsiTheme="minorHAnsi" w:cstheme="minorHAnsi"/>
                    </w:rPr>
                    <w:t>These findings also indicate that interventions to reduce gambling harm are not necessarily required for all students and that special consideration should be given to:</w:t>
                  </w:r>
                </w:p>
                <w:p w:rsidR="00B45826" w:rsidRPr="00182CE1" w:rsidRDefault="00B45826" w:rsidP="00043311">
                  <w:pPr>
                    <w:pStyle w:val="ListParagraph"/>
                    <w:numPr>
                      <w:ilvl w:val="0"/>
                      <w:numId w:val="44"/>
                    </w:numPr>
                    <w:spacing w:line="360" w:lineRule="auto"/>
                    <w:rPr>
                      <w:rFonts w:asciiTheme="minorHAnsi" w:hAnsiTheme="minorHAnsi" w:cstheme="minorHAnsi"/>
                    </w:rPr>
                  </w:pPr>
                  <w:r>
                    <w:rPr>
                      <w:rFonts w:asciiTheme="minorHAnsi" w:hAnsiTheme="minorHAnsi" w:cstheme="minorHAnsi"/>
                    </w:rPr>
                    <w:t>U</w:t>
                  </w:r>
                  <w:r w:rsidRPr="00182CE1">
                    <w:rPr>
                      <w:rFonts w:asciiTheme="minorHAnsi" w:hAnsiTheme="minorHAnsi" w:cstheme="minorHAnsi"/>
                    </w:rPr>
                    <w:t xml:space="preserve">nderage access to harmful gambling (i.e. monitoring and enforcement of age restrictions); </w:t>
                  </w:r>
                </w:p>
                <w:p w:rsidR="00B45826" w:rsidRPr="00182CE1" w:rsidRDefault="00B45826" w:rsidP="00043311">
                  <w:pPr>
                    <w:pStyle w:val="ListParagraph"/>
                    <w:numPr>
                      <w:ilvl w:val="0"/>
                      <w:numId w:val="44"/>
                    </w:numPr>
                    <w:spacing w:line="360" w:lineRule="auto"/>
                    <w:rPr>
                      <w:rFonts w:asciiTheme="minorHAnsi" w:hAnsiTheme="minorHAnsi" w:cstheme="minorHAnsi"/>
                    </w:rPr>
                  </w:pPr>
                  <w:r>
                    <w:rPr>
                      <w:rFonts w:asciiTheme="minorHAnsi" w:hAnsiTheme="minorHAnsi" w:cstheme="minorHAnsi"/>
                    </w:rPr>
                    <w:t>Y</w:t>
                  </w:r>
                  <w:r w:rsidRPr="00182CE1">
                    <w:rPr>
                      <w:rFonts w:asciiTheme="minorHAnsi" w:hAnsiTheme="minorHAnsi" w:cstheme="minorHAnsi"/>
                    </w:rPr>
                    <w:t xml:space="preserve">oung people who are actively engaged with gambling; and, </w:t>
                  </w:r>
                </w:p>
                <w:p w:rsidR="00B45826" w:rsidRPr="00182CE1" w:rsidRDefault="00B45826" w:rsidP="00043311">
                  <w:pPr>
                    <w:pStyle w:val="ListParagraph"/>
                    <w:numPr>
                      <w:ilvl w:val="0"/>
                      <w:numId w:val="44"/>
                    </w:numPr>
                    <w:spacing w:line="360" w:lineRule="auto"/>
                    <w:rPr>
                      <w:rFonts w:asciiTheme="minorHAnsi" w:hAnsiTheme="minorHAnsi" w:cstheme="minorHAnsi"/>
                    </w:rPr>
                  </w:pPr>
                  <w:r>
                    <w:rPr>
                      <w:rFonts w:asciiTheme="minorHAnsi" w:hAnsiTheme="minorHAnsi" w:cstheme="minorHAnsi"/>
                    </w:rPr>
                    <w:t>Y</w:t>
                  </w:r>
                  <w:r w:rsidRPr="00182CE1">
                    <w:rPr>
                      <w:rFonts w:asciiTheme="minorHAnsi" w:hAnsiTheme="minorHAnsi" w:cstheme="minorHAnsi"/>
                    </w:rPr>
                    <w:t xml:space="preserve">outh who are concerned about </w:t>
                  </w:r>
                  <w:r>
                    <w:rPr>
                      <w:rFonts w:asciiTheme="minorHAnsi" w:hAnsiTheme="minorHAnsi" w:cstheme="minorHAnsi"/>
                    </w:rPr>
                    <w:t xml:space="preserve">their own </w:t>
                  </w:r>
                  <w:r w:rsidRPr="00182CE1">
                    <w:rPr>
                      <w:rFonts w:asciiTheme="minorHAnsi" w:hAnsiTheme="minorHAnsi" w:cstheme="minorHAnsi"/>
                    </w:rPr>
                    <w:t xml:space="preserve">gambling and/or the impacts of gambling within their family/whānau. </w:t>
                  </w:r>
                </w:p>
                <w:p w:rsidR="00B45826" w:rsidRDefault="00B45826" w:rsidP="006245C5">
                  <w:pPr>
                    <w:spacing w:line="360" w:lineRule="auto"/>
                    <w:rPr>
                      <w:rFonts w:asciiTheme="minorHAnsi" w:hAnsiTheme="minorHAnsi" w:cstheme="minorHAnsi"/>
                    </w:rPr>
                  </w:pPr>
                  <w:r>
                    <w:rPr>
                      <w:rFonts w:asciiTheme="minorHAnsi" w:hAnsiTheme="minorHAnsi" w:cstheme="minorHAnsi"/>
                    </w:rPr>
                    <w:t xml:space="preserve">The contextual information provided in this report indicate that it is important for clinical interventions aimed at addressing problematic youth gambling to consider family-centred approaches, co-existing mental health issues and/or involvement in other ‘risky’ behaviours. </w:t>
                  </w:r>
                </w:p>
                <w:p w:rsidR="00B45826" w:rsidRPr="0010082B" w:rsidRDefault="00B45826" w:rsidP="007831B4">
                  <w:pPr>
                    <w:spacing w:line="360" w:lineRule="auto"/>
                    <w:rPr>
                      <w:rFonts w:asciiTheme="minorHAnsi" w:hAnsiTheme="minorHAnsi" w:cstheme="minorHAnsi"/>
                    </w:rPr>
                  </w:pPr>
                  <w:r>
                    <w:rPr>
                      <w:rFonts w:asciiTheme="minorHAnsi" w:hAnsiTheme="minorHAnsi" w:cstheme="minorHAnsi"/>
                    </w:rPr>
                    <w:t xml:space="preserve">The current research has also identified that youth living in neighbourhoods with high levels of deprivation, and students who identify as Māori, Pacific and Asian, are disproportionately affected by gambling and unhealthy gambling. </w:t>
                  </w:r>
                  <w:r w:rsidRPr="00F677AE">
                    <w:rPr>
                      <w:rFonts w:asciiTheme="minorHAnsi" w:hAnsiTheme="minorHAnsi" w:cstheme="minorHAnsi"/>
                    </w:rPr>
                    <w:t xml:space="preserve">Māori, Pacific and Asian </w:t>
                  </w:r>
                  <w:r>
                    <w:rPr>
                      <w:rFonts w:asciiTheme="minorHAnsi" w:hAnsiTheme="minorHAnsi" w:cstheme="minorHAnsi"/>
                    </w:rPr>
                    <w:t>youth and their families/whānau require culturally responsive public health strategies and should be prioritised with regard to resource allocation for the delivery of public health initiatives. The results support the public health framework for youth gambling that has been proposed by Messerlian et al., (2005). This multi-level approach emphasises action at the intra-/inter-personal level, community level, policy level, and institutional level. The four public health goals of this model (denormalisation, prevention, protection, and harm reduction)</w:t>
                  </w:r>
                  <w:r w:rsidRPr="000562CB">
                    <w:rPr>
                      <w:rFonts w:asciiTheme="minorHAnsi" w:hAnsiTheme="minorHAnsi" w:cstheme="minorHAnsi"/>
                    </w:rPr>
                    <w:t xml:space="preserve"> </w:t>
                  </w:r>
                  <w:r w:rsidRPr="0010082B">
                    <w:rPr>
                      <w:rFonts w:asciiTheme="minorHAnsi" w:hAnsiTheme="minorHAnsi" w:cstheme="minorHAnsi"/>
                    </w:rPr>
                    <w:t>have implications for all youth gambling stakeholders, i.e. health promotion workers, researchers, policy makers, members of the gambling industries, youth, their families/whānau, schools and communities.</w:t>
                  </w:r>
                  <w:r>
                    <w:rPr>
                      <w:rFonts w:asciiTheme="minorHAnsi" w:hAnsiTheme="minorHAnsi" w:cstheme="minorHAnsi"/>
                    </w:rPr>
                    <w:t xml:space="preserve"> </w:t>
                  </w:r>
                </w:p>
              </w:txbxContent>
            </v:textbox>
            <w10:wrap type="none"/>
            <w10:anchorlock/>
          </v:shape>
        </w:pict>
      </w:r>
    </w:p>
    <w:p w:rsidR="00EC173A" w:rsidRDefault="00EC173A" w:rsidP="0042130F">
      <w:pPr>
        <w:spacing w:line="360" w:lineRule="auto"/>
        <w:rPr>
          <w:rFonts w:asciiTheme="minorHAnsi" w:hAnsiTheme="minorHAnsi" w:cstheme="minorHAnsi"/>
        </w:rPr>
      </w:pPr>
    </w:p>
    <w:p w:rsidR="00BC4F94" w:rsidRDefault="00BC4F94">
      <w:pPr>
        <w:spacing w:before="0" w:after="200" w:line="276" w:lineRule="auto"/>
        <w:jc w:val="left"/>
        <w:rPr>
          <w:rFonts w:asciiTheme="minorHAnsi" w:hAnsiTheme="minorHAnsi" w:cstheme="minorHAnsi"/>
          <w:b/>
          <w:bCs/>
          <w:iCs/>
          <w:color w:val="1F497D"/>
          <w:szCs w:val="22"/>
        </w:rPr>
      </w:pPr>
      <w:bookmarkStart w:id="204" w:name="_Toc367284470"/>
      <w:r>
        <w:br w:type="page"/>
      </w:r>
    </w:p>
    <w:p w:rsidR="00043311" w:rsidRPr="00234F53" w:rsidRDefault="00043311" w:rsidP="0042130F">
      <w:pPr>
        <w:pStyle w:val="Heading2"/>
        <w:spacing w:line="360" w:lineRule="auto"/>
      </w:pPr>
      <w:r>
        <w:lastRenderedPageBreak/>
        <w:t>Limitations</w:t>
      </w:r>
      <w:r w:rsidR="000F7645">
        <w:t xml:space="preserve"> and future research</w:t>
      </w:r>
      <w:bookmarkEnd w:id="204"/>
    </w:p>
    <w:p w:rsidR="00C6005A" w:rsidRDefault="00043311" w:rsidP="0042130F">
      <w:pPr>
        <w:spacing w:line="360" w:lineRule="auto"/>
        <w:rPr>
          <w:rFonts w:asciiTheme="minorHAnsi" w:hAnsiTheme="minorHAnsi" w:cstheme="minorHAnsi"/>
        </w:rPr>
      </w:pPr>
      <w:r>
        <w:rPr>
          <w:rFonts w:asciiTheme="minorHAnsi" w:hAnsiTheme="minorHAnsi" w:cstheme="minorHAnsi"/>
        </w:rPr>
        <w:t xml:space="preserve">The data presented in this report relates to a representative sample of secondary school students in New Zealand. As such, young people who are disengaged from a mainstream school environment (e.g. alternative education students and young people who have ‘dropped out’ of school) are not represented by these findings. Moreover, only students who were at school on the day of the survey were included. </w:t>
      </w:r>
      <w:r w:rsidR="00C6005A">
        <w:rPr>
          <w:rFonts w:asciiTheme="minorHAnsi" w:hAnsiTheme="minorHAnsi" w:cstheme="minorHAnsi"/>
        </w:rPr>
        <w:t>It is also important to note that a technological</w:t>
      </w:r>
      <w:r w:rsidR="00C6005A" w:rsidRPr="00ED34B7">
        <w:rPr>
          <w:rFonts w:asciiTheme="minorHAnsi" w:hAnsiTheme="minorHAnsi" w:cstheme="minorHAnsi"/>
        </w:rPr>
        <w:t xml:space="preserve"> error</w:t>
      </w:r>
      <w:r w:rsidR="00C6005A">
        <w:rPr>
          <w:rFonts w:asciiTheme="minorHAnsi" w:hAnsiTheme="minorHAnsi" w:cstheme="minorHAnsi"/>
        </w:rPr>
        <w:t xml:space="preserve"> resulted in the five-item question on problematic gambling </w:t>
      </w:r>
      <w:r w:rsidR="00FE2E35">
        <w:rPr>
          <w:rFonts w:asciiTheme="minorHAnsi" w:hAnsiTheme="minorHAnsi" w:cstheme="minorHAnsi"/>
        </w:rPr>
        <w:t>being</w:t>
      </w:r>
      <w:r w:rsidR="00C6005A">
        <w:rPr>
          <w:rFonts w:asciiTheme="minorHAnsi" w:hAnsiTheme="minorHAnsi" w:cstheme="minorHAnsi"/>
        </w:rPr>
        <w:t xml:space="preserve"> </w:t>
      </w:r>
      <w:r w:rsidR="00C6005A" w:rsidRPr="00ED34B7">
        <w:rPr>
          <w:rFonts w:asciiTheme="minorHAnsi" w:hAnsiTheme="minorHAnsi" w:cstheme="minorHAnsi"/>
        </w:rPr>
        <w:t>omi</w:t>
      </w:r>
      <w:r w:rsidR="00FE2E35">
        <w:rPr>
          <w:rFonts w:asciiTheme="minorHAnsi" w:hAnsiTheme="minorHAnsi" w:cstheme="minorHAnsi"/>
        </w:rPr>
        <w:t>tted</w:t>
      </w:r>
      <w:r w:rsidR="00C6005A" w:rsidRPr="00ED34B7">
        <w:rPr>
          <w:rFonts w:asciiTheme="minorHAnsi" w:hAnsiTheme="minorHAnsi" w:cstheme="minorHAnsi"/>
        </w:rPr>
        <w:t xml:space="preserve"> from the questionnaire.</w:t>
      </w:r>
      <w:r w:rsidR="00375DB5" w:rsidRPr="00375DB5">
        <w:rPr>
          <w:rFonts w:asciiTheme="minorHAnsi" w:hAnsiTheme="minorHAnsi" w:cstheme="minorHAnsi"/>
        </w:rPr>
        <w:t xml:space="preserve"> </w:t>
      </w:r>
      <w:r w:rsidR="00375DB5">
        <w:rPr>
          <w:rFonts w:asciiTheme="minorHAnsi" w:hAnsiTheme="minorHAnsi" w:cstheme="minorHAnsi"/>
        </w:rPr>
        <w:t xml:space="preserve"> As such, the findings provided in this report are likely to represent a slightly more positive view of gambling related issues of students in schools</w:t>
      </w:r>
      <w:r w:rsidR="00FE2E35">
        <w:rPr>
          <w:rFonts w:asciiTheme="minorHAnsi" w:hAnsiTheme="minorHAnsi" w:cstheme="minorHAnsi"/>
        </w:rPr>
        <w:t xml:space="preserve">. </w:t>
      </w:r>
    </w:p>
    <w:p w:rsidR="00043311" w:rsidRDefault="00043311" w:rsidP="0042130F">
      <w:pPr>
        <w:spacing w:line="360" w:lineRule="auto"/>
        <w:rPr>
          <w:rFonts w:asciiTheme="minorHAnsi" w:hAnsiTheme="minorHAnsi" w:cstheme="minorHAnsi"/>
        </w:rPr>
      </w:pPr>
      <w:r w:rsidRPr="00C400A5">
        <w:rPr>
          <w:rFonts w:asciiTheme="minorHAnsi" w:hAnsiTheme="minorHAnsi" w:cstheme="minorHAnsi"/>
        </w:rPr>
        <w:t>Secondly, the Youth’12 survey is a cross-sectional survey</w:t>
      </w:r>
      <w:r>
        <w:rPr>
          <w:rFonts w:asciiTheme="minorHAnsi" w:hAnsiTheme="minorHAnsi" w:cstheme="minorHAnsi"/>
        </w:rPr>
        <w:t xml:space="preserve">. As such, it is important to note that while a number of relationships/associations have been observed between variables, these are not necessarily indicative of cause and effect. </w:t>
      </w:r>
    </w:p>
    <w:p w:rsidR="00043311" w:rsidRDefault="00043311" w:rsidP="0042130F">
      <w:pPr>
        <w:spacing w:line="360" w:lineRule="auto"/>
        <w:rPr>
          <w:rFonts w:asciiTheme="minorHAnsi" w:hAnsiTheme="minorHAnsi" w:cstheme="minorHAnsi"/>
        </w:rPr>
      </w:pPr>
      <w:r>
        <w:rPr>
          <w:rFonts w:asciiTheme="minorHAnsi" w:hAnsiTheme="minorHAnsi" w:cstheme="minorHAnsi"/>
        </w:rPr>
        <w:t>A number of results are presented for ‘Pacific’ and ‘Asian’ students. In this study, P</w:t>
      </w:r>
      <w:r w:rsidRPr="00811542">
        <w:rPr>
          <w:rFonts w:asciiTheme="minorHAnsi" w:hAnsiTheme="minorHAnsi" w:cstheme="minorHAnsi"/>
        </w:rPr>
        <w:t>acific young people included students who identified as Samoan, Cook Island Māori, Tongan, Niuean, Tokelauan, Fijian or ‘Other Pacific Peoples’. Pacific students therefore constitute a range of different ethnic groups, and as such there may be meaningful differences in relation to gambling and the various Pacific ethnic groups</w:t>
      </w:r>
      <w:r>
        <w:rPr>
          <w:rFonts w:asciiTheme="minorHAnsi" w:hAnsiTheme="minorHAnsi" w:cstheme="minorHAnsi"/>
        </w:rPr>
        <w:t xml:space="preserve"> that have not been presented here</w:t>
      </w:r>
      <w:r w:rsidRPr="00811542">
        <w:rPr>
          <w:rFonts w:asciiTheme="minorHAnsi" w:hAnsiTheme="minorHAnsi" w:cstheme="minorHAnsi"/>
        </w:rPr>
        <w:t xml:space="preserve">.  </w:t>
      </w:r>
      <w:r>
        <w:rPr>
          <w:rFonts w:asciiTheme="minorHAnsi" w:hAnsiTheme="minorHAnsi" w:cstheme="minorHAnsi"/>
        </w:rPr>
        <w:t xml:space="preserve">Similarly, </w:t>
      </w:r>
      <w:r w:rsidRPr="00C31F28">
        <w:rPr>
          <w:rFonts w:asciiTheme="minorHAnsi" w:hAnsiTheme="minorHAnsi" w:cstheme="minorHAnsi"/>
        </w:rPr>
        <w:t xml:space="preserve">Asian young people included students who identified as Filipino, Chinese, Indian, Japanese, Korean, Cambodian, or ‘Other Asian’.  Asian students </w:t>
      </w:r>
      <w:r>
        <w:rPr>
          <w:rFonts w:asciiTheme="minorHAnsi" w:hAnsiTheme="minorHAnsi" w:cstheme="minorHAnsi"/>
        </w:rPr>
        <w:t>also</w:t>
      </w:r>
      <w:r w:rsidRPr="00C31F28">
        <w:rPr>
          <w:rFonts w:asciiTheme="minorHAnsi" w:hAnsiTheme="minorHAnsi" w:cstheme="minorHAnsi"/>
        </w:rPr>
        <w:t xml:space="preserve"> constitute a range of different ethnic groups, and there may be meaningful differences in relation to gambling and the various Asian ethnic groups. However, due to the small number of participants from certain Pacific and Asian ethnic groups, further sub-group analyses were not possible.  </w:t>
      </w:r>
    </w:p>
    <w:p w:rsidR="00043311" w:rsidRPr="008E3A0B" w:rsidRDefault="00043311" w:rsidP="0042130F">
      <w:pPr>
        <w:spacing w:line="360" w:lineRule="auto"/>
        <w:rPr>
          <w:rFonts w:asciiTheme="minorHAnsi" w:hAnsiTheme="minorHAnsi" w:cstheme="minorHAnsi"/>
          <w:b/>
          <w:highlight w:val="yellow"/>
        </w:rPr>
      </w:pPr>
      <w:r w:rsidRPr="00053663">
        <w:rPr>
          <w:rFonts w:asciiTheme="minorHAnsi" w:hAnsiTheme="minorHAnsi" w:cstheme="minorHAnsi"/>
        </w:rPr>
        <w:t xml:space="preserve">Finally, our analysis is limited by the survey questions, response options and the measures used within this report.  For example, </w:t>
      </w:r>
      <w:r w:rsidR="00C6005A">
        <w:rPr>
          <w:rFonts w:asciiTheme="minorHAnsi" w:hAnsiTheme="minorHAnsi" w:cstheme="minorHAnsi"/>
        </w:rPr>
        <w:t xml:space="preserve">an indication of </w:t>
      </w:r>
      <w:r w:rsidRPr="00053663">
        <w:rPr>
          <w:rFonts w:asciiTheme="minorHAnsi" w:hAnsiTheme="minorHAnsi" w:cstheme="minorHAnsi"/>
        </w:rPr>
        <w:t>cultural ‘attachment’ was only measured in this report by one item (‘student is satisfied with their knowledge of their cultural group’</w:t>
      </w:r>
      <w:r w:rsidR="00410534" w:rsidRPr="00053663">
        <w:rPr>
          <w:rFonts w:asciiTheme="minorHAnsi" w:hAnsiTheme="minorHAnsi" w:cstheme="minorHAnsi"/>
        </w:rPr>
        <w:t>) and</w:t>
      </w:r>
      <w:r w:rsidRPr="00053663">
        <w:rPr>
          <w:rFonts w:asciiTheme="minorHAnsi" w:hAnsiTheme="minorHAnsi" w:cstheme="minorHAnsi"/>
        </w:rPr>
        <w:t>, in contrast to other studies/hypothesised effects it was not found to be significant.</w:t>
      </w:r>
      <w:r w:rsidRPr="00053663">
        <w:rPr>
          <w:rFonts w:asciiTheme="minorHAnsi" w:hAnsiTheme="minorHAnsi" w:cstheme="minorHAnsi"/>
          <w:b/>
        </w:rPr>
        <w:t xml:space="preserve">  </w:t>
      </w:r>
      <w:r w:rsidRPr="00053663">
        <w:rPr>
          <w:rFonts w:asciiTheme="minorHAnsi" w:hAnsiTheme="minorHAnsi" w:cstheme="minorHAnsi"/>
        </w:rPr>
        <w:t xml:space="preserve">Measures of various risk factors have evolved and been refined over many decades. For example, there is a large body of literature on the measurement of depression, and multi-item, extensively validated scales are employed.  It will be important to further develop and employ more sophisticated measures of hypothesised protective factors in future research. This is a challenge for the AHRG </w:t>
      </w:r>
      <w:r>
        <w:rPr>
          <w:rFonts w:asciiTheme="minorHAnsi" w:hAnsiTheme="minorHAnsi" w:cstheme="minorHAnsi"/>
        </w:rPr>
        <w:t xml:space="preserve">and its various research activities </w:t>
      </w:r>
      <w:r w:rsidRPr="00053663">
        <w:rPr>
          <w:rFonts w:asciiTheme="minorHAnsi" w:hAnsiTheme="minorHAnsi" w:cstheme="minorHAnsi"/>
        </w:rPr>
        <w:t>and for the youth-health field in the future.</w:t>
      </w:r>
      <w:r w:rsidRPr="00053663">
        <w:rPr>
          <w:rFonts w:asciiTheme="minorHAnsi" w:hAnsiTheme="minorHAnsi" w:cstheme="minorHAnsi"/>
          <w:b/>
        </w:rPr>
        <w:t xml:space="preserve"> </w:t>
      </w:r>
    </w:p>
    <w:p w:rsidR="00043311" w:rsidRPr="00160F0E" w:rsidRDefault="00043311" w:rsidP="0042130F">
      <w:pPr>
        <w:keepNext/>
        <w:spacing w:line="360" w:lineRule="auto"/>
        <w:rPr>
          <w:rFonts w:asciiTheme="minorHAnsi" w:hAnsiTheme="minorHAnsi" w:cstheme="minorHAnsi"/>
        </w:rPr>
      </w:pPr>
      <w:r w:rsidRPr="00053663">
        <w:rPr>
          <w:rFonts w:asciiTheme="minorHAnsi" w:hAnsiTheme="minorHAnsi" w:cstheme="minorHAnsi"/>
        </w:rPr>
        <w:lastRenderedPageBreak/>
        <w:t>There are further opportunities to explore Youth’12 data. For example, future research could create multi-item protective factor scales and conduct in-depth investigations of their role in gambling and unhealthy gambling.</w:t>
      </w:r>
      <w:r w:rsidRPr="00053663">
        <w:rPr>
          <w:rFonts w:asciiTheme="minorHAnsi" w:hAnsiTheme="minorHAnsi" w:cstheme="minorHAnsi"/>
          <w:b/>
        </w:rPr>
        <w:t xml:space="preserve">  </w:t>
      </w:r>
      <w:r>
        <w:rPr>
          <w:rFonts w:asciiTheme="minorHAnsi" w:hAnsiTheme="minorHAnsi" w:cstheme="minorHAnsi"/>
        </w:rPr>
        <w:t xml:space="preserve">The </w:t>
      </w:r>
      <w:r w:rsidRPr="00160F0E">
        <w:rPr>
          <w:rFonts w:asciiTheme="minorHAnsi" w:hAnsiTheme="minorHAnsi" w:cstheme="minorHAnsi"/>
        </w:rPr>
        <w:t xml:space="preserve">current research indicates that </w:t>
      </w:r>
      <w:r>
        <w:rPr>
          <w:rFonts w:asciiTheme="minorHAnsi" w:hAnsiTheme="minorHAnsi" w:cstheme="minorHAnsi"/>
        </w:rPr>
        <w:t xml:space="preserve">in-depth </w:t>
      </w:r>
      <w:r w:rsidRPr="00160F0E">
        <w:rPr>
          <w:rFonts w:asciiTheme="minorHAnsi" w:hAnsiTheme="minorHAnsi" w:cstheme="minorHAnsi"/>
        </w:rPr>
        <w:t>exploration</w:t>
      </w:r>
      <w:r>
        <w:rPr>
          <w:rFonts w:asciiTheme="minorHAnsi" w:hAnsiTheme="minorHAnsi" w:cstheme="minorHAnsi"/>
        </w:rPr>
        <w:t>s</w:t>
      </w:r>
      <w:r w:rsidRPr="00160F0E">
        <w:rPr>
          <w:rFonts w:asciiTheme="minorHAnsi" w:hAnsiTheme="minorHAnsi" w:cstheme="minorHAnsi"/>
        </w:rPr>
        <w:t xml:space="preserve"> of the following two questions would be beneficial:</w:t>
      </w:r>
    </w:p>
    <w:p w:rsidR="00043311" w:rsidRPr="00160F0E" w:rsidRDefault="00043311" w:rsidP="0042130F">
      <w:pPr>
        <w:pStyle w:val="ListParagraph"/>
        <w:numPr>
          <w:ilvl w:val="0"/>
          <w:numId w:val="9"/>
        </w:numPr>
        <w:spacing w:line="360" w:lineRule="auto"/>
        <w:rPr>
          <w:rFonts w:asciiTheme="minorHAnsi" w:hAnsiTheme="minorHAnsi" w:cstheme="minorHAnsi"/>
        </w:rPr>
      </w:pPr>
      <w:r w:rsidRPr="00160F0E">
        <w:rPr>
          <w:rFonts w:asciiTheme="minorHAnsi" w:hAnsiTheme="minorHAnsi" w:cstheme="minorHAnsi"/>
          <w:i/>
        </w:rPr>
        <w:t>Does (unhealthy) youth gambling mainly occur within the context of multiple other health risks?</w:t>
      </w:r>
      <w:r w:rsidRPr="00160F0E">
        <w:rPr>
          <w:rFonts w:asciiTheme="minorHAnsi" w:hAnsiTheme="minorHAnsi" w:cstheme="minorHAnsi"/>
        </w:rPr>
        <w:t xml:space="preserve">  Preliminary evidence in this report indicates significant associations between unhealthy gambling and depression, poor wellbeing, and the use of alcohol and cigarettes. The co-occurrence of gambling and other health risks would have important implications with regard to the integration of gambling interventions into approaches to address other youth problems.</w:t>
      </w:r>
    </w:p>
    <w:p w:rsidR="00043311" w:rsidRPr="00EC173A" w:rsidRDefault="00043311" w:rsidP="00EC173A">
      <w:pPr>
        <w:pStyle w:val="ListParagraph"/>
        <w:numPr>
          <w:ilvl w:val="0"/>
          <w:numId w:val="9"/>
        </w:numPr>
        <w:spacing w:line="360" w:lineRule="auto"/>
        <w:rPr>
          <w:rFonts w:asciiTheme="minorHAnsi" w:hAnsiTheme="minorHAnsi" w:cstheme="minorHAnsi"/>
          <w:b/>
        </w:rPr>
      </w:pPr>
      <w:r w:rsidRPr="00160F0E">
        <w:rPr>
          <w:rFonts w:asciiTheme="minorHAnsi" w:hAnsiTheme="minorHAnsi" w:cstheme="minorHAnsi"/>
          <w:i/>
        </w:rPr>
        <w:t>Does (unhealthy) youth gambling mainly occur within the context of family gambling?</w:t>
      </w:r>
      <w:r w:rsidRPr="00160F0E">
        <w:rPr>
          <w:rFonts w:asciiTheme="minorHAnsi" w:hAnsiTheme="minorHAnsi" w:cstheme="minorHAnsi"/>
        </w:rPr>
        <w:t xml:space="preserve"> This research found that worrying about parent/caregiver gambling and being negatively impacted by familial gambling was associated with an increased risk of unhealthy gambling. The importance of family gambling would indicate the need for family-based interventions and public health measures. </w:t>
      </w:r>
    </w:p>
    <w:p w:rsidR="00043311" w:rsidRPr="00A05C5D" w:rsidRDefault="00043311" w:rsidP="0042130F">
      <w:pPr>
        <w:pStyle w:val="Heading2"/>
        <w:spacing w:line="360" w:lineRule="auto"/>
      </w:pPr>
      <w:bookmarkStart w:id="205" w:name="_Toc367284471"/>
      <w:r w:rsidRPr="00A05C5D">
        <w:t>S</w:t>
      </w:r>
      <w:r>
        <w:t>ummary</w:t>
      </w:r>
      <w:bookmarkEnd w:id="205"/>
    </w:p>
    <w:p w:rsidR="00043311" w:rsidRDefault="00043311" w:rsidP="0042130F">
      <w:pPr>
        <w:spacing w:line="360" w:lineRule="auto"/>
        <w:rPr>
          <w:rFonts w:asciiTheme="minorHAnsi" w:hAnsiTheme="minorHAnsi" w:cstheme="minorHAnsi"/>
        </w:rPr>
      </w:pPr>
      <w:r>
        <w:rPr>
          <w:rFonts w:asciiTheme="minorHAnsi" w:hAnsiTheme="minorHAnsi" w:cstheme="minorHAnsi"/>
        </w:rPr>
        <w:t xml:space="preserve">This research indicates that many young people engage with gambling to a limited extent and that a relatively small, but important proportion of students, report unhealthy levels of gambling that are negatively impacting on their lives and the lives of others. </w:t>
      </w:r>
      <w:r w:rsidR="00FC6796">
        <w:rPr>
          <w:rFonts w:asciiTheme="minorHAnsi" w:hAnsiTheme="minorHAnsi" w:cstheme="minorHAnsi"/>
        </w:rPr>
        <w:t xml:space="preserve"> </w:t>
      </w:r>
      <w:r>
        <w:rPr>
          <w:rFonts w:asciiTheme="minorHAnsi" w:hAnsiTheme="minorHAnsi" w:cstheme="minorHAnsi"/>
        </w:rPr>
        <w:t>Students who gamble at unhealthy levels were significantly more likely to be male, from n</w:t>
      </w:r>
      <w:r w:rsidRPr="007C5336">
        <w:rPr>
          <w:rFonts w:asciiTheme="minorHAnsi" w:hAnsiTheme="minorHAnsi" w:cstheme="minorHAnsi"/>
        </w:rPr>
        <w:t>on-New Zealand European ethnic</w:t>
      </w:r>
      <w:r>
        <w:rPr>
          <w:rFonts w:asciiTheme="minorHAnsi" w:hAnsiTheme="minorHAnsi" w:cstheme="minorHAnsi"/>
        </w:rPr>
        <w:t xml:space="preserve"> groups</w:t>
      </w:r>
      <w:r w:rsidRPr="007C5336">
        <w:rPr>
          <w:rFonts w:asciiTheme="minorHAnsi" w:hAnsiTheme="minorHAnsi" w:cstheme="minorHAnsi"/>
        </w:rPr>
        <w:t xml:space="preserve">, </w:t>
      </w:r>
      <w:r>
        <w:rPr>
          <w:rFonts w:asciiTheme="minorHAnsi" w:hAnsiTheme="minorHAnsi" w:cstheme="minorHAnsi"/>
        </w:rPr>
        <w:t xml:space="preserve">and </w:t>
      </w:r>
      <w:r w:rsidRPr="007C5336">
        <w:rPr>
          <w:rFonts w:asciiTheme="minorHAnsi" w:hAnsiTheme="minorHAnsi" w:cstheme="minorHAnsi"/>
        </w:rPr>
        <w:t>living in neighbourhoods with higher levels of deprivation</w:t>
      </w:r>
      <w:r>
        <w:rPr>
          <w:rFonts w:asciiTheme="minorHAnsi" w:hAnsiTheme="minorHAnsi" w:cstheme="minorHAnsi"/>
        </w:rPr>
        <w:t xml:space="preserve">. However, even within these groups the majority of students had not gambled in the past year.  Most students who reported unhealthy levels of gambling reported other health needs/issues and were worried about the gambling behaviour of a family member(s). </w:t>
      </w:r>
    </w:p>
    <w:p w:rsidR="00043311" w:rsidRDefault="00043311" w:rsidP="0042130F">
      <w:pPr>
        <w:spacing w:line="360" w:lineRule="auto"/>
        <w:rPr>
          <w:rFonts w:asciiTheme="minorHAnsi" w:hAnsiTheme="minorHAnsi" w:cstheme="minorHAnsi"/>
        </w:rPr>
      </w:pPr>
    </w:p>
    <w:p w:rsidR="00043311" w:rsidRDefault="00043311" w:rsidP="0042130F">
      <w:pPr>
        <w:spacing w:line="360" w:lineRule="auto"/>
        <w:rPr>
          <w:rFonts w:asciiTheme="minorHAnsi" w:hAnsiTheme="minorHAnsi" w:cstheme="minorHAnsi"/>
        </w:rPr>
      </w:pPr>
    </w:p>
    <w:p w:rsidR="00043311" w:rsidRDefault="00043311" w:rsidP="0042130F">
      <w:pPr>
        <w:spacing w:line="360" w:lineRule="auto"/>
        <w:rPr>
          <w:rFonts w:asciiTheme="minorHAnsi" w:hAnsiTheme="minorHAnsi" w:cstheme="minorHAnsi"/>
        </w:rPr>
      </w:pPr>
    </w:p>
    <w:p w:rsidR="00043311" w:rsidRDefault="00043311" w:rsidP="0042130F">
      <w:pPr>
        <w:spacing w:line="360" w:lineRule="auto"/>
        <w:rPr>
          <w:rFonts w:asciiTheme="minorHAnsi" w:hAnsiTheme="minorHAnsi" w:cstheme="minorHAnsi"/>
        </w:rPr>
      </w:pPr>
    </w:p>
    <w:p w:rsidR="00043311" w:rsidRPr="00083D11" w:rsidRDefault="00043311" w:rsidP="0042130F">
      <w:pPr>
        <w:pStyle w:val="Heading1"/>
        <w:numPr>
          <w:ilvl w:val="0"/>
          <w:numId w:val="0"/>
        </w:numPr>
        <w:ind w:left="360" w:hanging="360"/>
        <w:rPr>
          <w:rFonts w:asciiTheme="minorHAnsi" w:hAnsiTheme="minorHAnsi" w:cstheme="minorHAnsi"/>
          <w:caps w:val="0"/>
          <w:szCs w:val="22"/>
        </w:rPr>
      </w:pPr>
      <w:bookmarkStart w:id="206" w:name="_Toc294258211"/>
      <w:bookmarkStart w:id="207" w:name="_Toc367284472"/>
      <w:r w:rsidRPr="00083D11">
        <w:rPr>
          <w:rFonts w:asciiTheme="minorHAnsi" w:hAnsiTheme="minorHAnsi" w:cstheme="minorHAnsi"/>
          <w:caps w:val="0"/>
          <w:szCs w:val="22"/>
        </w:rPr>
        <w:lastRenderedPageBreak/>
        <w:t>REFERENCES</w:t>
      </w:r>
      <w:bookmarkEnd w:id="206"/>
      <w:bookmarkEnd w:id="207"/>
    </w:p>
    <w:p w:rsidR="00043311" w:rsidRPr="00001F8B" w:rsidRDefault="00043311" w:rsidP="008B4C8B">
      <w:pPr>
        <w:spacing w:line="240" w:lineRule="auto"/>
        <w:ind w:left="426" w:hanging="426"/>
        <w:rPr>
          <w:rFonts w:asciiTheme="minorHAnsi" w:hAnsiTheme="minorHAnsi" w:cstheme="minorHAnsi"/>
          <w:noProof/>
          <w:szCs w:val="22"/>
        </w:rPr>
      </w:pPr>
      <w:bookmarkStart w:id="208" w:name="_ENREF_1"/>
      <w:r w:rsidRPr="00001F8B">
        <w:rPr>
          <w:rFonts w:asciiTheme="minorHAnsi" w:hAnsiTheme="minorHAnsi" w:cstheme="minorHAnsi"/>
          <w:noProof/>
          <w:szCs w:val="22"/>
        </w:rPr>
        <w:t xml:space="preserve">Abbott, D., &amp; Cramer, S. (1993). Gambling attitudes and participation: A midwestern survey. </w:t>
      </w:r>
      <w:r w:rsidRPr="00001F8B">
        <w:rPr>
          <w:rFonts w:asciiTheme="minorHAnsi" w:hAnsiTheme="minorHAnsi" w:cstheme="minorHAnsi"/>
          <w:i/>
          <w:noProof/>
          <w:szCs w:val="22"/>
        </w:rPr>
        <w:t>Journal of Gambling Studies, 9</w:t>
      </w:r>
      <w:r w:rsidRPr="00001F8B">
        <w:rPr>
          <w:rFonts w:asciiTheme="minorHAnsi" w:hAnsiTheme="minorHAnsi" w:cstheme="minorHAnsi"/>
          <w:noProof/>
          <w:szCs w:val="22"/>
        </w:rPr>
        <w:t>(3), 247–263.</w:t>
      </w:r>
      <w:bookmarkEnd w:id="208"/>
    </w:p>
    <w:p w:rsidR="00043311" w:rsidRPr="00001F8B" w:rsidRDefault="00043311" w:rsidP="008B4C8B">
      <w:pPr>
        <w:spacing w:line="240" w:lineRule="auto"/>
        <w:ind w:left="426" w:hanging="426"/>
        <w:rPr>
          <w:rFonts w:asciiTheme="minorHAnsi" w:hAnsiTheme="minorHAnsi" w:cstheme="minorHAnsi"/>
          <w:noProof/>
          <w:szCs w:val="22"/>
        </w:rPr>
      </w:pPr>
      <w:bookmarkStart w:id="209" w:name="_ENREF_2"/>
      <w:r w:rsidRPr="00001F8B">
        <w:rPr>
          <w:rFonts w:asciiTheme="minorHAnsi" w:hAnsiTheme="minorHAnsi" w:cstheme="minorHAnsi"/>
          <w:noProof/>
          <w:szCs w:val="22"/>
        </w:rPr>
        <w:t xml:space="preserve">Abbott, D., Cramer, S., &amp; Sherrets, S. (1995). Pathological gambling and the family: practice implications. </w:t>
      </w:r>
      <w:r w:rsidRPr="00001F8B">
        <w:rPr>
          <w:rFonts w:asciiTheme="minorHAnsi" w:hAnsiTheme="minorHAnsi" w:cstheme="minorHAnsi"/>
          <w:i/>
          <w:noProof/>
          <w:szCs w:val="22"/>
        </w:rPr>
        <w:t>Families in Society; the Journal of Contemporary Human Services, 76</w:t>
      </w:r>
      <w:r w:rsidRPr="00001F8B">
        <w:rPr>
          <w:rFonts w:asciiTheme="minorHAnsi" w:hAnsiTheme="minorHAnsi" w:cstheme="minorHAnsi"/>
          <w:noProof/>
          <w:szCs w:val="22"/>
        </w:rPr>
        <w:t>(4), 213-219.</w:t>
      </w:r>
      <w:bookmarkEnd w:id="209"/>
    </w:p>
    <w:p w:rsidR="00043311" w:rsidRPr="00001F8B" w:rsidRDefault="00043311" w:rsidP="008B4C8B">
      <w:pPr>
        <w:spacing w:line="240" w:lineRule="auto"/>
        <w:ind w:left="426" w:hanging="426"/>
        <w:rPr>
          <w:rFonts w:asciiTheme="minorHAnsi" w:hAnsiTheme="minorHAnsi" w:cstheme="minorHAnsi"/>
          <w:noProof/>
          <w:szCs w:val="22"/>
        </w:rPr>
      </w:pPr>
      <w:bookmarkStart w:id="210" w:name="_ENREF_3"/>
      <w:r w:rsidRPr="00001F8B">
        <w:rPr>
          <w:rFonts w:asciiTheme="minorHAnsi" w:hAnsiTheme="minorHAnsi" w:cstheme="minorHAnsi"/>
          <w:noProof/>
          <w:szCs w:val="22"/>
        </w:rPr>
        <w:t xml:space="preserve">Abbott, M., &amp; Volberg, R. A. (1991). </w:t>
      </w:r>
      <w:r w:rsidRPr="00001F8B">
        <w:rPr>
          <w:rFonts w:asciiTheme="minorHAnsi" w:hAnsiTheme="minorHAnsi" w:cstheme="minorHAnsi"/>
          <w:i/>
          <w:noProof/>
          <w:szCs w:val="22"/>
        </w:rPr>
        <w:t xml:space="preserve">Gambling and problem gambling in New Zealand (Research Series 12) </w:t>
      </w:r>
      <w:r w:rsidRPr="00001F8B">
        <w:rPr>
          <w:rFonts w:asciiTheme="minorHAnsi" w:hAnsiTheme="minorHAnsi" w:cstheme="minorHAnsi"/>
          <w:noProof/>
          <w:szCs w:val="22"/>
        </w:rPr>
        <w:t>Wellington: Department of Internal Affairs.</w:t>
      </w:r>
      <w:bookmarkEnd w:id="210"/>
    </w:p>
    <w:p w:rsidR="00043311" w:rsidRPr="00001F8B" w:rsidRDefault="00043311" w:rsidP="008B4C8B">
      <w:pPr>
        <w:spacing w:line="240" w:lineRule="auto"/>
        <w:ind w:left="426" w:hanging="426"/>
        <w:rPr>
          <w:rFonts w:asciiTheme="minorHAnsi" w:hAnsiTheme="minorHAnsi" w:cstheme="minorHAnsi"/>
          <w:noProof/>
          <w:szCs w:val="22"/>
        </w:rPr>
      </w:pPr>
      <w:bookmarkStart w:id="211" w:name="_ENREF_4"/>
      <w:r w:rsidRPr="00001F8B">
        <w:rPr>
          <w:rFonts w:asciiTheme="minorHAnsi" w:hAnsiTheme="minorHAnsi" w:cstheme="minorHAnsi"/>
          <w:noProof/>
          <w:szCs w:val="22"/>
        </w:rPr>
        <w:t xml:space="preserve">Abbott, M. W., &amp; Volberg, R. A. (2000). </w:t>
      </w:r>
      <w:r w:rsidRPr="00001F8B">
        <w:rPr>
          <w:rFonts w:asciiTheme="minorHAnsi" w:hAnsiTheme="minorHAnsi" w:cstheme="minorHAnsi"/>
          <w:i/>
          <w:noProof/>
          <w:szCs w:val="22"/>
        </w:rPr>
        <w:t>Taking the pulse on gambling and problem gambling in New Zealand: A report on phase one of the 1999 national prevalence survey</w:t>
      </w:r>
      <w:r w:rsidRPr="00001F8B">
        <w:rPr>
          <w:rFonts w:asciiTheme="minorHAnsi" w:hAnsiTheme="minorHAnsi" w:cstheme="minorHAnsi"/>
          <w:noProof/>
          <w:szCs w:val="22"/>
        </w:rPr>
        <w:t>. Wellington: The Department of Internal Affairs.</w:t>
      </w:r>
      <w:bookmarkEnd w:id="211"/>
    </w:p>
    <w:p w:rsidR="00043311" w:rsidRPr="00001F8B" w:rsidRDefault="00043311" w:rsidP="008B4C8B">
      <w:pPr>
        <w:spacing w:line="240" w:lineRule="auto"/>
        <w:ind w:left="426" w:hanging="426"/>
        <w:rPr>
          <w:rFonts w:asciiTheme="minorHAnsi" w:hAnsiTheme="minorHAnsi" w:cstheme="minorHAnsi"/>
          <w:noProof/>
          <w:szCs w:val="22"/>
        </w:rPr>
      </w:pPr>
      <w:bookmarkStart w:id="212" w:name="_ENREF_5"/>
      <w:r w:rsidRPr="00001F8B">
        <w:rPr>
          <w:rFonts w:asciiTheme="minorHAnsi" w:hAnsiTheme="minorHAnsi" w:cstheme="minorHAnsi"/>
          <w:noProof/>
          <w:szCs w:val="22"/>
        </w:rPr>
        <w:t xml:space="preserve">Adams, P., Rossen, F., Perese, L., Townsend, S., Brown, R., &amp; Garland, J. (2004). </w:t>
      </w:r>
      <w:r w:rsidRPr="00001F8B">
        <w:rPr>
          <w:rFonts w:asciiTheme="minorHAnsi" w:hAnsiTheme="minorHAnsi" w:cstheme="minorHAnsi"/>
          <w:i/>
          <w:noProof/>
          <w:szCs w:val="22"/>
        </w:rPr>
        <w:t>Gambling Impact Assessment for Seven Auckland Territorial Authorities. Part One: Introduction and Overview.</w:t>
      </w:r>
      <w:r w:rsidRPr="00001F8B">
        <w:rPr>
          <w:rFonts w:asciiTheme="minorHAnsi" w:hAnsiTheme="minorHAnsi" w:cstheme="minorHAnsi"/>
          <w:noProof/>
          <w:szCs w:val="22"/>
        </w:rPr>
        <w:t xml:space="preserve"> Auckland: Centre for Gambling Studies, University of Auckland.</w:t>
      </w:r>
      <w:bookmarkEnd w:id="212"/>
    </w:p>
    <w:p w:rsidR="00043311" w:rsidRPr="00001F8B" w:rsidRDefault="00043311" w:rsidP="008B4C8B">
      <w:pPr>
        <w:spacing w:line="240" w:lineRule="auto"/>
        <w:ind w:left="426" w:hanging="426"/>
        <w:rPr>
          <w:rFonts w:asciiTheme="minorHAnsi" w:hAnsiTheme="minorHAnsi" w:cstheme="minorHAnsi"/>
          <w:noProof/>
          <w:szCs w:val="22"/>
        </w:rPr>
      </w:pPr>
      <w:bookmarkStart w:id="213" w:name="_ENREF_6"/>
      <w:r w:rsidRPr="00001F8B">
        <w:rPr>
          <w:rFonts w:asciiTheme="minorHAnsi" w:hAnsiTheme="minorHAnsi" w:cstheme="minorHAnsi"/>
          <w:noProof/>
          <w:szCs w:val="22"/>
        </w:rPr>
        <w:t xml:space="preserve">Australian Institute for Gambling Research Studies. (1998). </w:t>
      </w:r>
      <w:r w:rsidRPr="00001F8B">
        <w:rPr>
          <w:rFonts w:asciiTheme="minorHAnsi" w:hAnsiTheme="minorHAnsi" w:cstheme="minorHAnsi"/>
          <w:i/>
          <w:noProof/>
          <w:szCs w:val="22"/>
        </w:rPr>
        <w:t>Social and economic impacts of New Zealand casinos</w:t>
      </w:r>
      <w:r w:rsidRPr="00001F8B">
        <w:rPr>
          <w:rFonts w:asciiTheme="minorHAnsi" w:hAnsiTheme="minorHAnsi" w:cstheme="minorHAnsi"/>
          <w:noProof/>
          <w:szCs w:val="22"/>
        </w:rPr>
        <w:t>. Auckland, New Zealand: Casino Control Authority.</w:t>
      </w:r>
      <w:bookmarkEnd w:id="213"/>
    </w:p>
    <w:p w:rsidR="00043311" w:rsidRPr="00001F8B" w:rsidRDefault="00043311" w:rsidP="008B4C8B">
      <w:pPr>
        <w:spacing w:line="240" w:lineRule="auto"/>
        <w:ind w:left="426" w:hanging="426"/>
        <w:rPr>
          <w:rFonts w:asciiTheme="minorHAnsi" w:hAnsiTheme="minorHAnsi" w:cstheme="minorHAnsi"/>
          <w:noProof/>
          <w:szCs w:val="22"/>
        </w:rPr>
      </w:pPr>
      <w:bookmarkStart w:id="214" w:name="_ENREF_7"/>
      <w:r w:rsidRPr="00001F8B">
        <w:rPr>
          <w:rFonts w:asciiTheme="minorHAnsi" w:hAnsiTheme="minorHAnsi" w:cstheme="minorHAnsi"/>
          <w:noProof/>
          <w:szCs w:val="22"/>
        </w:rPr>
        <w:t xml:space="preserve">Bellringer, M., Perese, L., Abbott, M., &amp; Williams, M. (2006). Gambling Among Pacific Mothers Living in New Zealand. </w:t>
      </w:r>
      <w:r w:rsidRPr="00001F8B">
        <w:rPr>
          <w:rFonts w:asciiTheme="minorHAnsi" w:hAnsiTheme="minorHAnsi" w:cstheme="minorHAnsi"/>
          <w:i/>
          <w:noProof/>
          <w:szCs w:val="22"/>
        </w:rPr>
        <w:t>International Gambling Studies, 6</w:t>
      </w:r>
      <w:r w:rsidRPr="00001F8B">
        <w:rPr>
          <w:rFonts w:asciiTheme="minorHAnsi" w:hAnsiTheme="minorHAnsi" w:cstheme="minorHAnsi"/>
          <w:noProof/>
          <w:szCs w:val="22"/>
        </w:rPr>
        <w:t>(2), 217-235.</w:t>
      </w:r>
      <w:bookmarkEnd w:id="214"/>
    </w:p>
    <w:p w:rsidR="00043311" w:rsidRPr="00001F8B" w:rsidRDefault="00043311" w:rsidP="008B4C8B">
      <w:pPr>
        <w:spacing w:line="240" w:lineRule="auto"/>
        <w:ind w:left="426" w:hanging="426"/>
        <w:rPr>
          <w:rFonts w:asciiTheme="minorHAnsi" w:hAnsiTheme="minorHAnsi" w:cstheme="minorHAnsi"/>
          <w:noProof/>
          <w:szCs w:val="22"/>
        </w:rPr>
      </w:pPr>
      <w:bookmarkStart w:id="215" w:name="_ENREF_8"/>
      <w:r w:rsidRPr="00001F8B">
        <w:rPr>
          <w:rFonts w:asciiTheme="minorHAnsi" w:hAnsiTheme="minorHAnsi" w:cstheme="minorHAnsi"/>
          <w:noProof/>
          <w:szCs w:val="22"/>
        </w:rPr>
        <w:t xml:space="preserve">Bellringer, M. E., Perese, P., Rossen, F., Tse, S., Adams, P., Brown, R., et al. (2003). </w:t>
      </w:r>
      <w:r w:rsidRPr="00001F8B">
        <w:rPr>
          <w:rFonts w:asciiTheme="minorHAnsi" w:hAnsiTheme="minorHAnsi" w:cstheme="minorHAnsi"/>
          <w:i/>
          <w:noProof/>
          <w:szCs w:val="22"/>
        </w:rPr>
        <w:t>Supporting the Wellbeing of Young People in Relation to Gambling in New Zealand: Final Report and Recommendations</w:t>
      </w:r>
      <w:r w:rsidRPr="00001F8B">
        <w:rPr>
          <w:rFonts w:asciiTheme="minorHAnsi" w:hAnsiTheme="minorHAnsi" w:cstheme="minorHAnsi"/>
          <w:noProof/>
          <w:szCs w:val="22"/>
        </w:rPr>
        <w:t>. Auckland: Problem Gambling Foundation of New Zealand.</w:t>
      </w:r>
      <w:bookmarkEnd w:id="215"/>
    </w:p>
    <w:p w:rsidR="00043311" w:rsidRPr="00001F8B" w:rsidRDefault="00043311" w:rsidP="008B4C8B">
      <w:pPr>
        <w:spacing w:line="240" w:lineRule="auto"/>
        <w:ind w:left="426" w:hanging="426"/>
        <w:rPr>
          <w:rFonts w:asciiTheme="minorHAnsi" w:hAnsiTheme="minorHAnsi" w:cstheme="minorHAnsi"/>
          <w:noProof/>
          <w:szCs w:val="22"/>
        </w:rPr>
      </w:pPr>
      <w:bookmarkStart w:id="216" w:name="_ENREF_9"/>
      <w:r w:rsidRPr="00001F8B">
        <w:rPr>
          <w:rFonts w:asciiTheme="minorHAnsi" w:hAnsiTheme="minorHAnsi" w:cstheme="minorHAnsi"/>
          <w:noProof/>
          <w:szCs w:val="22"/>
        </w:rPr>
        <w:t xml:space="preserve">Blinn-Pike, L., Worthy, S. L., &amp; Jonkman, J. N. (2010). Adolescent Gambling: A Review of an Emerging Field of Research. </w:t>
      </w:r>
      <w:r w:rsidRPr="00001F8B">
        <w:rPr>
          <w:rFonts w:asciiTheme="minorHAnsi" w:hAnsiTheme="minorHAnsi" w:cstheme="minorHAnsi"/>
          <w:i/>
          <w:noProof/>
          <w:szCs w:val="22"/>
        </w:rPr>
        <w:t>Journal of Adolescent Health, 47</w:t>
      </w:r>
      <w:r w:rsidRPr="00001F8B">
        <w:rPr>
          <w:rFonts w:asciiTheme="minorHAnsi" w:hAnsiTheme="minorHAnsi" w:cstheme="minorHAnsi"/>
          <w:noProof/>
          <w:szCs w:val="22"/>
        </w:rPr>
        <w:t>(3), 223-236.</w:t>
      </w:r>
      <w:bookmarkEnd w:id="216"/>
    </w:p>
    <w:p w:rsidR="00043311" w:rsidRPr="00001F8B" w:rsidRDefault="00043311" w:rsidP="008B4C8B">
      <w:pPr>
        <w:spacing w:line="240" w:lineRule="auto"/>
        <w:ind w:left="426" w:hanging="426"/>
        <w:rPr>
          <w:rFonts w:asciiTheme="minorHAnsi" w:hAnsiTheme="minorHAnsi" w:cstheme="minorHAnsi"/>
          <w:noProof/>
          <w:szCs w:val="22"/>
        </w:rPr>
      </w:pPr>
      <w:bookmarkStart w:id="217" w:name="_ENREF_10"/>
      <w:r w:rsidRPr="00001F8B">
        <w:rPr>
          <w:rFonts w:asciiTheme="minorHAnsi" w:hAnsiTheme="minorHAnsi" w:cstheme="minorHAnsi"/>
          <w:noProof/>
          <w:szCs w:val="22"/>
        </w:rPr>
        <w:t xml:space="preserve">Brezing, C., Derevensky, J. L., &amp; Potenza, M. N. (2010). Non-substance-addictive behaviors in youth: pathological gambling and problematic Internet use. </w:t>
      </w:r>
      <w:r w:rsidRPr="00001F8B">
        <w:rPr>
          <w:rFonts w:asciiTheme="minorHAnsi" w:hAnsiTheme="minorHAnsi" w:cstheme="minorHAnsi"/>
          <w:i/>
          <w:noProof/>
          <w:szCs w:val="22"/>
        </w:rPr>
        <w:t>Child &amp; Adolescent Psychiatric Clinics of North America, 19</w:t>
      </w:r>
      <w:r w:rsidRPr="00001F8B">
        <w:rPr>
          <w:rFonts w:asciiTheme="minorHAnsi" w:hAnsiTheme="minorHAnsi" w:cstheme="minorHAnsi"/>
          <w:noProof/>
          <w:szCs w:val="22"/>
        </w:rPr>
        <w:t>(3), 625-641.</w:t>
      </w:r>
      <w:bookmarkEnd w:id="217"/>
    </w:p>
    <w:p w:rsidR="00043311" w:rsidRPr="00001F8B" w:rsidRDefault="00043311" w:rsidP="008B4C8B">
      <w:pPr>
        <w:spacing w:line="240" w:lineRule="auto"/>
        <w:ind w:left="426" w:hanging="426"/>
        <w:rPr>
          <w:rFonts w:asciiTheme="minorHAnsi" w:hAnsiTheme="minorHAnsi" w:cstheme="minorHAnsi"/>
          <w:noProof/>
          <w:szCs w:val="22"/>
        </w:rPr>
      </w:pPr>
      <w:bookmarkStart w:id="218" w:name="_ENREF_11"/>
      <w:r w:rsidRPr="00001F8B">
        <w:rPr>
          <w:rFonts w:asciiTheme="minorHAnsi" w:hAnsiTheme="minorHAnsi" w:cstheme="minorHAnsi"/>
          <w:noProof/>
          <w:szCs w:val="22"/>
        </w:rPr>
        <w:t xml:space="preserve">Buchta, R. M. (1995). Gambling among adolescents. </w:t>
      </w:r>
      <w:r w:rsidRPr="00001F8B">
        <w:rPr>
          <w:rFonts w:asciiTheme="minorHAnsi" w:hAnsiTheme="minorHAnsi" w:cstheme="minorHAnsi"/>
          <w:i/>
          <w:noProof/>
          <w:szCs w:val="22"/>
        </w:rPr>
        <w:t>Clinical Pediatrics, 34</w:t>
      </w:r>
      <w:r w:rsidRPr="00001F8B">
        <w:rPr>
          <w:rFonts w:asciiTheme="minorHAnsi" w:hAnsiTheme="minorHAnsi" w:cstheme="minorHAnsi"/>
          <w:noProof/>
          <w:szCs w:val="22"/>
        </w:rPr>
        <w:t>(7), 346-348.</w:t>
      </w:r>
      <w:bookmarkEnd w:id="218"/>
    </w:p>
    <w:p w:rsidR="00043311" w:rsidRPr="00001F8B" w:rsidRDefault="00043311" w:rsidP="008B4C8B">
      <w:pPr>
        <w:spacing w:line="240" w:lineRule="auto"/>
        <w:ind w:left="426" w:hanging="426"/>
        <w:rPr>
          <w:rFonts w:asciiTheme="minorHAnsi" w:hAnsiTheme="minorHAnsi" w:cstheme="minorHAnsi"/>
          <w:noProof/>
          <w:szCs w:val="22"/>
        </w:rPr>
      </w:pPr>
      <w:bookmarkStart w:id="219" w:name="_ENREF_12"/>
      <w:r w:rsidRPr="00001F8B">
        <w:rPr>
          <w:rFonts w:asciiTheme="minorHAnsi" w:hAnsiTheme="minorHAnsi" w:cstheme="minorHAnsi"/>
          <w:noProof/>
          <w:szCs w:val="22"/>
        </w:rPr>
        <w:t xml:space="preserve">Campbell, C., Derevensky, J., Meerkamper, E., &amp; Cutajar, J. (2011). Parents’ perceptions of adolescent gambling: A Canadian national study. </w:t>
      </w:r>
      <w:r w:rsidRPr="00001F8B">
        <w:rPr>
          <w:rFonts w:asciiTheme="minorHAnsi" w:hAnsiTheme="minorHAnsi" w:cstheme="minorHAnsi"/>
          <w:i/>
          <w:noProof/>
          <w:szCs w:val="22"/>
        </w:rPr>
        <w:t>Journal of Gambling Issues, 25</w:t>
      </w:r>
      <w:r w:rsidRPr="00001F8B">
        <w:rPr>
          <w:rFonts w:asciiTheme="minorHAnsi" w:hAnsiTheme="minorHAnsi" w:cstheme="minorHAnsi"/>
          <w:noProof/>
          <w:szCs w:val="22"/>
        </w:rPr>
        <w:t>, 36-53.</w:t>
      </w:r>
      <w:bookmarkEnd w:id="219"/>
    </w:p>
    <w:p w:rsidR="00146641" w:rsidRPr="00146641" w:rsidRDefault="00146641" w:rsidP="008B4C8B">
      <w:pPr>
        <w:spacing w:line="240" w:lineRule="auto"/>
        <w:ind w:left="426" w:hanging="426"/>
        <w:rPr>
          <w:rFonts w:asciiTheme="minorHAnsi" w:hAnsiTheme="minorHAnsi" w:cstheme="minorHAnsi"/>
          <w:noProof/>
          <w:szCs w:val="22"/>
        </w:rPr>
      </w:pPr>
      <w:bookmarkStart w:id="220" w:name="_ENREF_13"/>
      <w:r w:rsidRPr="00146641">
        <w:rPr>
          <w:rFonts w:asciiTheme="minorHAnsi" w:hAnsiTheme="minorHAnsi" w:cstheme="minorHAnsi"/>
          <w:noProof/>
          <w:szCs w:val="22"/>
        </w:rPr>
        <w:t xml:space="preserve">Carlson, J., &amp; Moore, T., L. (1998). </w:t>
      </w:r>
      <w:r w:rsidRPr="00146641">
        <w:rPr>
          <w:rFonts w:asciiTheme="minorHAnsi" w:hAnsiTheme="minorHAnsi" w:cstheme="minorHAnsi"/>
          <w:i/>
          <w:noProof/>
          <w:szCs w:val="22"/>
        </w:rPr>
        <w:t>Adolescent gambling in Oregon: A report to the Oregon Gambling Addiction Treatment Foundation</w:t>
      </w:r>
      <w:r w:rsidRPr="00146641">
        <w:rPr>
          <w:rFonts w:asciiTheme="minorHAnsi" w:hAnsiTheme="minorHAnsi" w:cstheme="minorHAnsi"/>
          <w:noProof/>
          <w:szCs w:val="22"/>
        </w:rPr>
        <w:t>. Salem: Oregon Gambling Addiction Treatment Foundation.</w:t>
      </w:r>
    </w:p>
    <w:p w:rsidR="00043311" w:rsidRPr="00001F8B" w:rsidRDefault="00043311" w:rsidP="008B4C8B">
      <w:pPr>
        <w:spacing w:line="240" w:lineRule="auto"/>
        <w:ind w:left="426" w:hanging="426"/>
        <w:rPr>
          <w:rFonts w:asciiTheme="minorHAnsi" w:hAnsiTheme="minorHAnsi" w:cstheme="minorHAnsi"/>
          <w:noProof/>
          <w:szCs w:val="22"/>
        </w:rPr>
      </w:pPr>
      <w:r w:rsidRPr="00001F8B">
        <w:rPr>
          <w:rFonts w:asciiTheme="minorHAnsi" w:hAnsiTheme="minorHAnsi" w:cstheme="minorHAnsi"/>
          <w:noProof/>
          <w:szCs w:val="22"/>
        </w:rPr>
        <w:t xml:space="preserve">Carroll, D., &amp; Huxley, J. A. A. (1994). Cognitive, dispositional, and psychophysiological correlates of dependent slot machine gambling in young people. </w:t>
      </w:r>
      <w:r w:rsidRPr="00001F8B">
        <w:rPr>
          <w:rFonts w:asciiTheme="minorHAnsi" w:hAnsiTheme="minorHAnsi" w:cstheme="minorHAnsi"/>
          <w:i/>
          <w:noProof/>
          <w:szCs w:val="22"/>
        </w:rPr>
        <w:t>Journal of Applied Social Psychology, 24</w:t>
      </w:r>
      <w:r w:rsidRPr="00001F8B">
        <w:rPr>
          <w:rFonts w:asciiTheme="minorHAnsi" w:hAnsiTheme="minorHAnsi" w:cstheme="minorHAnsi"/>
          <w:noProof/>
          <w:szCs w:val="22"/>
        </w:rPr>
        <w:t>(12), 1070-1083.</w:t>
      </w:r>
      <w:bookmarkEnd w:id="220"/>
    </w:p>
    <w:p w:rsidR="00043311" w:rsidRPr="00001F8B" w:rsidRDefault="00043311" w:rsidP="008B4C8B">
      <w:pPr>
        <w:spacing w:line="240" w:lineRule="auto"/>
        <w:ind w:left="426" w:hanging="426"/>
        <w:rPr>
          <w:rFonts w:asciiTheme="minorHAnsi" w:hAnsiTheme="minorHAnsi" w:cstheme="minorHAnsi"/>
          <w:noProof/>
          <w:szCs w:val="22"/>
        </w:rPr>
      </w:pPr>
      <w:bookmarkStart w:id="221" w:name="_ENREF_14"/>
      <w:r w:rsidRPr="00001F8B">
        <w:rPr>
          <w:rFonts w:asciiTheme="minorHAnsi" w:hAnsiTheme="minorHAnsi" w:cstheme="minorHAnsi"/>
          <w:noProof/>
          <w:szCs w:val="22"/>
        </w:rPr>
        <w:t xml:space="preserve">Centre for Social and Health Outcomes Research and Evaluation &amp; Te Ropu Whariki. (2008). </w:t>
      </w:r>
      <w:r w:rsidRPr="00001F8B">
        <w:rPr>
          <w:rFonts w:asciiTheme="minorHAnsi" w:hAnsiTheme="minorHAnsi" w:cstheme="minorHAnsi"/>
          <w:i/>
          <w:noProof/>
          <w:szCs w:val="22"/>
        </w:rPr>
        <w:t>Assessment of the Social Impacts of Gambling in New Zealand</w:t>
      </w:r>
      <w:r w:rsidRPr="00001F8B">
        <w:rPr>
          <w:rFonts w:asciiTheme="minorHAnsi" w:hAnsiTheme="minorHAnsi" w:cstheme="minorHAnsi"/>
          <w:noProof/>
          <w:szCs w:val="22"/>
        </w:rPr>
        <w:t>. Auckland: Centre for Social and Health Outcomes Research and Evaluation &amp; Te Ropu Whariki, Prepared for the Ministry of Health.</w:t>
      </w:r>
      <w:bookmarkEnd w:id="221"/>
    </w:p>
    <w:p w:rsidR="00043311" w:rsidRPr="00001F8B" w:rsidRDefault="00043311" w:rsidP="008B4C8B">
      <w:pPr>
        <w:spacing w:line="240" w:lineRule="auto"/>
        <w:ind w:left="426" w:hanging="426"/>
        <w:rPr>
          <w:rFonts w:asciiTheme="minorHAnsi" w:hAnsiTheme="minorHAnsi" w:cstheme="minorHAnsi"/>
          <w:noProof/>
          <w:szCs w:val="22"/>
        </w:rPr>
      </w:pPr>
      <w:bookmarkStart w:id="222" w:name="_ENREF_15"/>
      <w:r w:rsidRPr="00001F8B">
        <w:rPr>
          <w:rFonts w:asciiTheme="minorHAnsi" w:hAnsiTheme="minorHAnsi" w:cstheme="minorHAnsi"/>
          <w:noProof/>
          <w:szCs w:val="22"/>
        </w:rPr>
        <w:t xml:space="preserve">Clark, C., &amp; Walker, D. M. (2009). Are gamblers more likely to commit crimes? An empirical analysis of a nationally representative survey of US young adults. </w:t>
      </w:r>
      <w:r w:rsidRPr="00001F8B">
        <w:rPr>
          <w:rFonts w:asciiTheme="minorHAnsi" w:hAnsiTheme="minorHAnsi" w:cstheme="minorHAnsi"/>
          <w:i/>
          <w:noProof/>
          <w:szCs w:val="22"/>
        </w:rPr>
        <w:t>International Gambling Studies, 9</w:t>
      </w:r>
      <w:r w:rsidRPr="00001F8B">
        <w:rPr>
          <w:rFonts w:asciiTheme="minorHAnsi" w:hAnsiTheme="minorHAnsi" w:cstheme="minorHAnsi"/>
          <w:noProof/>
          <w:szCs w:val="22"/>
        </w:rPr>
        <w:t>(2), 119-134.</w:t>
      </w:r>
      <w:bookmarkEnd w:id="222"/>
    </w:p>
    <w:p w:rsidR="00043311" w:rsidRPr="00001F8B" w:rsidRDefault="00043311" w:rsidP="008B4C8B">
      <w:pPr>
        <w:spacing w:line="240" w:lineRule="auto"/>
        <w:ind w:left="426" w:hanging="426"/>
        <w:rPr>
          <w:rFonts w:asciiTheme="minorHAnsi" w:hAnsiTheme="minorHAnsi" w:cstheme="minorHAnsi"/>
          <w:noProof/>
          <w:szCs w:val="22"/>
        </w:rPr>
      </w:pPr>
      <w:bookmarkStart w:id="223" w:name="_ENREF_16"/>
      <w:r w:rsidRPr="00001F8B">
        <w:rPr>
          <w:rFonts w:asciiTheme="minorHAnsi" w:hAnsiTheme="minorHAnsi" w:cstheme="minorHAnsi"/>
          <w:noProof/>
          <w:szCs w:val="22"/>
        </w:rPr>
        <w:t xml:space="preserve">Clark, T. C., Fleming, T., Bullen, P., Crengle, S., Denny, S., Dyson, B., et al. (2013). </w:t>
      </w:r>
      <w:r w:rsidRPr="00001F8B">
        <w:rPr>
          <w:rFonts w:asciiTheme="minorHAnsi" w:hAnsiTheme="minorHAnsi" w:cstheme="minorHAnsi"/>
          <w:i/>
          <w:noProof/>
          <w:szCs w:val="22"/>
        </w:rPr>
        <w:t>Youth’12 Prevalence Tables: The Health and Wellbeing of New Zealand Secondary School Students in 2012</w:t>
      </w:r>
      <w:r w:rsidRPr="00001F8B">
        <w:rPr>
          <w:rFonts w:asciiTheme="minorHAnsi" w:hAnsiTheme="minorHAnsi" w:cstheme="minorHAnsi"/>
          <w:noProof/>
          <w:szCs w:val="22"/>
        </w:rPr>
        <w:t>. Auckland: The University of Auckland.</w:t>
      </w:r>
      <w:bookmarkEnd w:id="223"/>
    </w:p>
    <w:p w:rsidR="00043311" w:rsidRPr="00001F8B" w:rsidRDefault="00043311" w:rsidP="008B4C8B">
      <w:pPr>
        <w:spacing w:line="240" w:lineRule="auto"/>
        <w:ind w:left="426" w:hanging="426"/>
        <w:rPr>
          <w:rFonts w:asciiTheme="minorHAnsi" w:hAnsiTheme="minorHAnsi" w:cstheme="minorHAnsi"/>
          <w:noProof/>
          <w:szCs w:val="22"/>
        </w:rPr>
      </w:pPr>
      <w:bookmarkStart w:id="224" w:name="_ENREF_17"/>
      <w:r w:rsidRPr="00001F8B">
        <w:rPr>
          <w:rFonts w:asciiTheme="minorHAnsi" w:hAnsiTheme="minorHAnsi" w:cstheme="minorHAnsi"/>
          <w:noProof/>
          <w:szCs w:val="22"/>
        </w:rPr>
        <w:lastRenderedPageBreak/>
        <w:t xml:space="preserve">Darbyshire, P., Oster, C., &amp; Carrig, H. (2001a). Children of parent(s) who have a gambling problem: a review of the literature and commentary on research approaches. </w:t>
      </w:r>
      <w:r w:rsidRPr="00001F8B">
        <w:rPr>
          <w:rFonts w:asciiTheme="minorHAnsi" w:hAnsiTheme="minorHAnsi" w:cstheme="minorHAnsi"/>
          <w:i/>
          <w:noProof/>
          <w:szCs w:val="22"/>
        </w:rPr>
        <w:t>Health &amp; Social Care in the Community, 9</w:t>
      </w:r>
      <w:r w:rsidRPr="00001F8B">
        <w:rPr>
          <w:rFonts w:asciiTheme="minorHAnsi" w:hAnsiTheme="minorHAnsi" w:cstheme="minorHAnsi"/>
          <w:noProof/>
          <w:szCs w:val="22"/>
        </w:rPr>
        <w:t>(4), 185-193.</w:t>
      </w:r>
      <w:bookmarkEnd w:id="224"/>
    </w:p>
    <w:p w:rsidR="00043311" w:rsidRPr="00001F8B" w:rsidRDefault="00043311" w:rsidP="008B4C8B">
      <w:pPr>
        <w:spacing w:line="240" w:lineRule="auto"/>
        <w:ind w:left="426" w:hanging="426"/>
        <w:rPr>
          <w:rFonts w:asciiTheme="minorHAnsi" w:hAnsiTheme="minorHAnsi" w:cstheme="minorHAnsi"/>
          <w:noProof/>
          <w:szCs w:val="22"/>
        </w:rPr>
      </w:pPr>
      <w:bookmarkStart w:id="225" w:name="_ENREF_18"/>
      <w:r w:rsidRPr="00001F8B">
        <w:rPr>
          <w:rFonts w:asciiTheme="minorHAnsi" w:hAnsiTheme="minorHAnsi" w:cstheme="minorHAnsi"/>
          <w:noProof/>
          <w:szCs w:val="22"/>
        </w:rPr>
        <w:t xml:space="preserve">Darbyshire, P., Oster, C., &amp; Carrig, H. (2001b). The experience of pervasive loss: Children and young people living in a family where parental gambling is a problem. </w:t>
      </w:r>
      <w:r w:rsidRPr="00001F8B">
        <w:rPr>
          <w:rFonts w:asciiTheme="minorHAnsi" w:hAnsiTheme="minorHAnsi" w:cstheme="minorHAnsi"/>
          <w:i/>
          <w:noProof/>
          <w:szCs w:val="22"/>
        </w:rPr>
        <w:t>Journal of Gambling Studies, 17</w:t>
      </w:r>
      <w:r w:rsidRPr="00001F8B">
        <w:rPr>
          <w:rFonts w:asciiTheme="minorHAnsi" w:hAnsiTheme="minorHAnsi" w:cstheme="minorHAnsi"/>
          <w:noProof/>
          <w:szCs w:val="22"/>
        </w:rPr>
        <w:t>(1), 23-45.</w:t>
      </w:r>
      <w:bookmarkEnd w:id="225"/>
    </w:p>
    <w:p w:rsidR="00043311" w:rsidRPr="00001F8B" w:rsidRDefault="00043311" w:rsidP="008B4C8B">
      <w:pPr>
        <w:spacing w:line="240" w:lineRule="auto"/>
        <w:ind w:left="426" w:hanging="426"/>
        <w:rPr>
          <w:rFonts w:asciiTheme="minorHAnsi" w:hAnsiTheme="minorHAnsi" w:cstheme="minorHAnsi"/>
          <w:noProof/>
          <w:szCs w:val="22"/>
        </w:rPr>
      </w:pPr>
      <w:bookmarkStart w:id="226" w:name="_ENREF_19"/>
      <w:r w:rsidRPr="00001F8B">
        <w:rPr>
          <w:rFonts w:asciiTheme="minorHAnsi" w:hAnsiTheme="minorHAnsi" w:cstheme="minorHAnsi"/>
          <w:noProof/>
          <w:szCs w:val="22"/>
        </w:rPr>
        <w:t xml:space="preserve">Darling, H., Reeder, A. I., McGee, R., &amp; Williams, S. (2006). Brief report: Disposable income, and spending on fast food, alcohol, cigarettes, and gambling by New Zealand secondary school students. </w:t>
      </w:r>
      <w:r w:rsidRPr="00001F8B">
        <w:rPr>
          <w:rFonts w:asciiTheme="minorHAnsi" w:hAnsiTheme="minorHAnsi" w:cstheme="minorHAnsi"/>
          <w:i/>
          <w:noProof/>
          <w:szCs w:val="22"/>
        </w:rPr>
        <w:t>Journal of Adolescence, 29</w:t>
      </w:r>
      <w:r w:rsidRPr="00001F8B">
        <w:rPr>
          <w:rFonts w:asciiTheme="minorHAnsi" w:hAnsiTheme="minorHAnsi" w:cstheme="minorHAnsi"/>
          <w:noProof/>
          <w:szCs w:val="22"/>
        </w:rPr>
        <w:t>, 834-843.</w:t>
      </w:r>
      <w:bookmarkEnd w:id="226"/>
    </w:p>
    <w:p w:rsidR="00043311" w:rsidRPr="00001F8B" w:rsidRDefault="00043311" w:rsidP="008B4C8B">
      <w:pPr>
        <w:spacing w:line="240" w:lineRule="auto"/>
        <w:ind w:left="426" w:hanging="426"/>
        <w:rPr>
          <w:rFonts w:asciiTheme="minorHAnsi" w:hAnsiTheme="minorHAnsi" w:cstheme="minorHAnsi"/>
          <w:noProof/>
          <w:szCs w:val="22"/>
        </w:rPr>
      </w:pPr>
      <w:bookmarkStart w:id="227" w:name="_ENREF_20"/>
      <w:r w:rsidRPr="00001F8B">
        <w:rPr>
          <w:rFonts w:asciiTheme="minorHAnsi" w:hAnsiTheme="minorHAnsi" w:cstheme="minorHAnsi"/>
          <w:noProof/>
          <w:szCs w:val="22"/>
        </w:rPr>
        <w:t xml:space="preserve">Delfabbro, P., Lahn, J., &amp; Grabosky, P. (2005). Further Evidence Concerning the Prevalence of Adolescent Gambling and Problem Gambling in Australia: A Study of the ACT. </w:t>
      </w:r>
      <w:r w:rsidRPr="00001F8B">
        <w:rPr>
          <w:rFonts w:asciiTheme="minorHAnsi" w:hAnsiTheme="minorHAnsi" w:cstheme="minorHAnsi"/>
          <w:i/>
          <w:noProof/>
          <w:szCs w:val="22"/>
        </w:rPr>
        <w:t>International Gambling Studies, 5</w:t>
      </w:r>
      <w:r w:rsidRPr="00001F8B">
        <w:rPr>
          <w:rFonts w:asciiTheme="minorHAnsi" w:hAnsiTheme="minorHAnsi" w:cstheme="minorHAnsi"/>
          <w:noProof/>
          <w:szCs w:val="22"/>
        </w:rPr>
        <w:t>(2), 209-228. doi:doi:</w:t>
      </w:r>
      <w:r w:rsidRPr="00043311">
        <w:rPr>
          <w:rFonts w:asciiTheme="minorHAnsi" w:hAnsiTheme="minorHAnsi" w:cstheme="minorHAnsi"/>
          <w:noProof/>
          <w:szCs w:val="22"/>
        </w:rPr>
        <w:t>http://dx.doi.org/10.1080/14459790500303469</w:t>
      </w:r>
      <w:r w:rsidRPr="00001F8B">
        <w:rPr>
          <w:rFonts w:asciiTheme="minorHAnsi" w:hAnsiTheme="minorHAnsi" w:cstheme="minorHAnsi"/>
          <w:noProof/>
          <w:szCs w:val="22"/>
        </w:rPr>
        <w:t>.</w:t>
      </w:r>
      <w:bookmarkEnd w:id="227"/>
    </w:p>
    <w:p w:rsidR="00043311" w:rsidRPr="00001F8B" w:rsidRDefault="00043311" w:rsidP="008B4C8B">
      <w:pPr>
        <w:spacing w:line="240" w:lineRule="auto"/>
        <w:ind w:left="426" w:hanging="426"/>
        <w:rPr>
          <w:rFonts w:asciiTheme="minorHAnsi" w:hAnsiTheme="minorHAnsi" w:cstheme="minorHAnsi"/>
          <w:noProof/>
          <w:szCs w:val="22"/>
        </w:rPr>
      </w:pPr>
      <w:bookmarkStart w:id="228" w:name="_ENREF_21"/>
      <w:r w:rsidRPr="00001F8B">
        <w:rPr>
          <w:rFonts w:asciiTheme="minorHAnsi" w:hAnsiTheme="minorHAnsi" w:cstheme="minorHAnsi"/>
          <w:noProof/>
          <w:szCs w:val="22"/>
        </w:rPr>
        <w:t xml:space="preserve">Delfabbro, P., Lahn, J., &amp; Grabosky, P. (2006). It's Not What You Know, but How You Use It: Statistical Knowledge and Adolescent Problem Gambling. </w:t>
      </w:r>
      <w:r w:rsidRPr="00001F8B">
        <w:rPr>
          <w:rFonts w:asciiTheme="minorHAnsi" w:hAnsiTheme="minorHAnsi" w:cstheme="minorHAnsi"/>
          <w:i/>
          <w:noProof/>
          <w:szCs w:val="22"/>
        </w:rPr>
        <w:t>Journal of Gambling Studies, 22</w:t>
      </w:r>
      <w:r w:rsidRPr="00001F8B">
        <w:rPr>
          <w:rFonts w:asciiTheme="minorHAnsi" w:hAnsiTheme="minorHAnsi" w:cstheme="minorHAnsi"/>
          <w:noProof/>
          <w:szCs w:val="22"/>
        </w:rPr>
        <w:t>(2), 179-193.</w:t>
      </w:r>
      <w:bookmarkEnd w:id="228"/>
    </w:p>
    <w:p w:rsidR="00043311" w:rsidRPr="00001F8B" w:rsidRDefault="00043311" w:rsidP="008B4C8B">
      <w:pPr>
        <w:spacing w:line="240" w:lineRule="auto"/>
        <w:ind w:left="426" w:hanging="426"/>
        <w:rPr>
          <w:rFonts w:asciiTheme="minorHAnsi" w:hAnsiTheme="minorHAnsi" w:cstheme="minorHAnsi"/>
          <w:noProof/>
          <w:szCs w:val="22"/>
        </w:rPr>
      </w:pPr>
      <w:bookmarkStart w:id="229" w:name="_ENREF_22"/>
      <w:r w:rsidRPr="00001F8B">
        <w:rPr>
          <w:rFonts w:asciiTheme="minorHAnsi" w:hAnsiTheme="minorHAnsi" w:cstheme="minorHAnsi"/>
          <w:noProof/>
          <w:szCs w:val="22"/>
        </w:rPr>
        <w:t xml:space="preserve">Delfabbro, P., &amp; Thrupp, L. (2003). The social determinants of youth gambling in South Australian adolescents. </w:t>
      </w:r>
      <w:r w:rsidRPr="00001F8B">
        <w:rPr>
          <w:rFonts w:asciiTheme="minorHAnsi" w:hAnsiTheme="minorHAnsi" w:cstheme="minorHAnsi"/>
          <w:i/>
          <w:noProof/>
          <w:szCs w:val="22"/>
        </w:rPr>
        <w:t>Journal of Adolescence, 26</w:t>
      </w:r>
      <w:r w:rsidRPr="00001F8B">
        <w:rPr>
          <w:rFonts w:asciiTheme="minorHAnsi" w:hAnsiTheme="minorHAnsi" w:cstheme="minorHAnsi"/>
          <w:noProof/>
          <w:szCs w:val="22"/>
        </w:rPr>
        <w:t>(3), 313-330.</w:t>
      </w:r>
      <w:bookmarkEnd w:id="229"/>
    </w:p>
    <w:p w:rsidR="00043311" w:rsidRPr="00001F8B" w:rsidRDefault="00043311" w:rsidP="008B4C8B">
      <w:pPr>
        <w:spacing w:line="240" w:lineRule="auto"/>
        <w:ind w:left="426" w:hanging="426"/>
        <w:rPr>
          <w:rFonts w:asciiTheme="minorHAnsi" w:hAnsiTheme="minorHAnsi" w:cstheme="minorHAnsi"/>
          <w:noProof/>
          <w:szCs w:val="22"/>
        </w:rPr>
      </w:pPr>
      <w:bookmarkStart w:id="230" w:name="_ENREF_23"/>
      <w:r w:rsidRPr="00001F8B">
        <w:rPr>
          <w:rFonts w:asciiTheme="minorHAnsi" w:hAnsiTheme="minorHAnsi" w:cstheme="minorHAnsi"/>
          <w:noProof/>
          <w:szCs w:val="22"/>
        </w:rPr>
        <w:t xml:space="preserve">Department of Internal Affairs. (1995). </w:t>
      </w:r>
      <w:r w:rsidRPr="00001F8B">
        <w:rPr>
          <w:rFonts w:asciiTheme="minorHAnsi" w:hAnsiTheme="minorHAnsi" w:cstheme="minorHAnsi"/>
          <w:i/>
          <w:noProof/>
          <w:szCs w:val="22"/>
        </w:rPr>
        <w:t>The Social Impact of Gaming in New Zealand: A Report Prepared for the 1995 Review of Gaming</w:t>
      </w:r>
      <w:r w:rsidRPr="00001F8B">
        <w:rPr>
          <w:rFonts w:asciiTheme="minorHAnsi" w:hAnsiTheme="minorHAnsi" w:cstheme="minorHAnsi"/>
          <w:noProof/>
          <w:szCs w:val="22"/>
        </w:rPr>
        <w:t>. Wellington: Department of Internal Affairs.</w:t>
      </w:r>
      <w:bookmarkEnd w:id="230"/>
    </w:p>
    <w:p w:rsidR="00043311" w:rsidRPr="00001F8B" w:rsidRDefault="00043311" w:rsidP="008B4C8B">
      <w:pPr>
        <w:spacing w:line="240" w:lineRule="auto"/>
        <w:ind w:left="426" w:hanging="426"/>
        <w:rPr>
          <w:rFonts w:asciiTheme="minorHAnsi" w:hAnsiTheme="minorHAnsi" w:cstheme="minorHAnsi"/>
          <w:noProof/>
          <w:szCs w:val="22"/>
        </w:rPr>
      </w:pPr>
      <w:bookmarkStart w:id="231" w:name="_ENREF_24"/>
      <w:r w:rsidRPr="00001F8B">
        <w:rPr>
          <w:rFonts w:asciiTheme="minorHAnsi" w:hAnsiTheme="minorHAnsi" w:cstheme="minorHAnsi"/>
          <w:noProof/>
          <w:szCs w:val="22"/>
        </w:rPr>
        <w:t xml:space="preserve">Department of Internal Affairs. (2008). </w:t>
      </w:r>
      <w:r w:rsidRPr="00001F8B">
        <w:rPr>
          <w:rFonts w:asciiTheme="minorHAnsi" w:hAnsiTheme="minorHAnsi" w:cstheme="minorHAnsi"/>
          <w:i/>
          <w:noProof/>
          <w:szCs w:val="22"/>
        </w:rPr>
        <w:t>People's Participation in, and Attitudes to, Gambling, 1985-2005. Results of the 2005 survey</w:t>
      </w:r>
      <w:r w:rsidRPr="00001F8B">
        <w:rPr>
          <w:rFonts w:asciiTheme="minorHAnsi" w:hAnsiTheme="minorHAnsi" w:cstheme="minorHAnsi"/>
          <w:noProof/>
          <w:szCs w:val="22"/>
        </w:rPr>
        <w:t>. Wellington: The Department of Internal Affairs.</w:t>
      </w:r>
      <w:bookmarkEnd w:id="231"/>
    </w:p>
    <w:p w:rsidR="00043311" w:rsidRPr="00001F8B" w:rsidRDefault="00043311" w:rsidP="008B4C8B">
      <w:pPr>
        <w:spacing w:line="240" w:lineRule="auto"/>
        <w:ind w:left="426" w:hanging="426"/>
        <w:rPr>
          <w:rFonts w:asciiTheme="minorHAnsi" w:hAnsiTheme="minorHAnsi" w:cstheme="minorHAnsi"/>
          <w:noProof/>
          <w:szCs w:val="22"/>
        </w:rPr>
      </w:pPr>
      <w:bookmarkStart w:id="232" w:name="_ENREF_25"/>
      <w:r w:rsidRPr="00001F8B">
        <w:rPr>
          <w:rFonts w:asciiTheme="minorHAnsi" w:hAnsiTheme="minorHAnsi" w:cstheme="minorHAnsi"/>
          <w:noProof/>
          <w:szCs w:val="22"/>
        </w:rPr>
        <w:t xml:space="preserve">Derevensky, J., &amp; Gupta, R. (2000). Youth Gambling: A Clinical and Research Perspective. </w:t>
      </w:r>
      <w:r w:rsidRPr="00001F8B">
        <w:rPr>
          <w:rFonts w:asciiTheme="minorHAnsi" w:hAnsiTheme="minorHAnsi" w:cstheme="minorHAnsi"/>
          <w:i/>
          <w:noProof/>
          <w:szCs w:val="22"/>
        </w:rPr>
        <w:t>Journal of Gambling Issues, 2</w:t>
      </w:r>
      <w:r w:rsidRPr="00001F8B">
        <w:rPr>
          <w:rFonts w:asciiTheme="minorHAnsi" w:hAnsiTheme="minorHAnsi" w:cstheme="minorHAnsi"/>
          <w:noProof/>
          <w:szCs w:val="22"/>
        </w:rPr>
        <w:t>, 1-11.</w:t>
      </w:r>
      <w:bookmarkEnd w:id="232"/>
    </w:p>
    <w:p w:rsidR="00043311" w:rsidRPr="00001F8B" w:rsidRDefault="00043311" w:rsidP="008B4C8B">
      <w:pPr>
        <w:spacing w:line="240" w:lineRule="auto"/>
        <w:ind w:left="426" w:hanging="426"/>
        <w:rPr>
          <w:rFonts w:asciiTheme="minorHAnsi" w:hAnsiTheme="minorHAnsi" w:cstheme="minorHAnsi"/>
          <w:noProof/>
          <w:szCs w:val="22"/>
        </w:rPr>
      </w:pPr>
      <w:bookmarkStart w:id="233" w:name="_ENREF_26"/>
      <w:r w:rsidRPr="00001F8B">
        <w:rPr>
          <w:rFonts w:asciiTheme="minorHAnsi" w:hAnsiTheme="minorHAnsi" w:cstheme="minorHAnsi"/>
          <w:noProof/>
          <w:szCs w:val="22"/>
        </w:rPr>
        <w:t xml:space="preserve">Derevensky, J., &amp; Gupta, R. (2004). Adolescents with gambling problems: A synopsis of our current knowledge. </w:t>
      </w:r>
      <w:r w:rsidRPr="00001F8B">
        <w:rPr>
          <w:rFonts w:asciiTheme="minorHAnsi" w:hAnsiTheme="minorHAnsi" w:cstheme="minorHAnsi"/>
          <w:i/>
          <w:noProof/>
          <w:szCs w:val="22"/>
        </w:rPr>
        <w:t>The Electronic Journal of Gambling Issues, 10</w:t>
      </w:r>
      <w:r w:rsidRPr="00001F8B">
        <w:rPr>
          <w:rFonts w:asciiTheme="minorHAnsi" w:hAnsiTheme="minorHAnsi" w:cstheme="minorHAnsi"/>
          <w:noProof/>
          <w:szCs w:val="22"/>
        </w:rPr>
        <w:t>.</w:t>
      </w:r>
      <w:bookmarkEnd w:id="233"/>
    </w:p>
    <w:p w:rsidR="00043311" w:rsidRPr="00001F8B" w:rsidRDefault="00043311" w:rsidP="008B4C8B">
      <w:pPr>
        <w:spacing w:line="240" w:lineRule="auto"/>
        <w:ind w:left="426" w:hanging="426"/>
        <w:rPr>
          <w:rFonts w:asciiTheme="minorHAnsi" w:hAnsiTheme="minorHAnsi" w:cstheme="minorHAnsi"/>
          <w:noProof/>
          <w:szCs w:val="22"/>
        </w:rPr>
      </w:pPr>
      <w:bookmarkStart w:id="234" w:name="_ENREF_27"/>
      <w:r w:rsidRPr="00001F8B">
        <w:rPr>
          <w:rFonts w:asciiTheme="minorHAnsi" w:hAnsiTheme="minorHAnsi" w:cstheme="minorHAnsi"/>
          <w:noProof/>
          <w:szCs w:val="22"/>
        </w:rPr>
        <w:t xml:space="preserve">Derevensky, J. L., Gupta, R., &amp; Della Cioppa, G. (1996). A developmental perspective of gambling behavior in children and adolescents. </w:t>
      </w:r>
      <w:r w:rsidRPr="00001F8B">
        <w:rPr>
          <w:rFonts w:asciiTheme="minorHAnsi" w:hAnsiTheme="minorHAnsi" w:cstheme="minorHAnsi"/>
          <w:i/>
          <w:noProof/>
          <w:szCs w:val="22"/>
        </w:rPr>
        <w:t>Journal of Gambling Studies, 12</w:t>
      </w:r>
      <w:r w:rsidRPr="00001F8B">
        <w:rPr>
          <w:rFonts w:asciiTheme="minorHAnsi" w:hAnsiTheme="minorHAnsi" w:cstheme="minorHAnsi"/>
          <w:noProof/>
          <w:szCs w:val="22"/>
        </w:rPr>
        <w:t>(1), 49-66.</w:t>
      </w:r>
      <w:bookmarkEnd w:id="234"/>
    </w:p>
    <w:p w:rsidR="00C2192B" w:rsidRPr="00C2192B" w:rsidRDefault="00C2192B" w:rsidP="008B4C8B">
      <w:pPr>
        <w:spacing w:line="240" w:lineRule="auto"/>
        <w:ind w:left="426" w:hanging="426"/>
        <w:rPr>
          <w:rFonts w:asciiTheme="minorHAnsi" w:hAnsiTheme="minorHAnsi" w:cstheme="minorHAnsi"/>
          <w:noProof/>
          <w:szCs w:val="22"/>
        </w:rPr>
      </w:pPr>
      <w:bookmarkStart w:id="235" w:name="_ENREF_28"/>
      <w:r w:rsidRPr="00001F8B">
        <w:rPr>
          <w:rFonts w:asciiTheme="minorHAnsi" w:hAnsiTheme="minorHAnsi" w:cstheme="minorHAnsi"/>
          <w:noProof/>
          <w:szCs w:val="22"/>
        </w:rPr>
        <w:t xml:space="preserve">Derevensky, J. L., Gupta, R., Dickson, L., </w:t>
      </w:r>
      <w:r w:rsidRPr="00C2192B">
        <w:rPr>
          <w:rFonts w:asciiTheme="minorHAnsi" w:hAnsiTheme="minorHAnsi" w:cstheme="minorHAnsi"/>
          <w:noProof/>
          <w:szCs w:val="22"/>
        </w:rPr>
        <w:t>&amp; D</w:t>
      </w:r>
      <w:r>
        <w:rPr>
          <w:rFonts w:asciiTheme="minorHAnsi" w:hAnsiTheme="minorHAnsi" w:cstheme="minorHAnsi"/>
          <w:noProof/>
          <w:szCs w:val="22"/>
        </w:rPr>
        <w:t>eguire</w:t>
      </w:r>
      <w:r w:rsidRPr="00C2192B">
        <w:rPr>
          <w:rFonts w:asciiTheme="minorHAnsi" w:hAnsiTheme="minorHAnsi" w:cstheme="minorHAnsi"/>
          <w:noProof/>
          <w:szCs w:val="22"/>
        </w:rPr>
        <w:t>, A.</w:t>
      </w:r>
      <w:r>
        <w:rPr>
          <w:rFonts w:asciiTheme="minorHAnsi" w:hAnsiTheme="minorHAnsi" w:cstheme="minorHAnsi"/>
          <w:noProof/>
          <w:szCs w:val="22"/>
        </w:rPr>
        <w:t xml:space="preserve"> </w:t>
      </w:r>
      <w:r w:rsidRPr="00C2192B">
        <w:rPr>
          <w:rFonts w:asciiTheme="minorHAnsi" w:hAnsiTheme="minorHAnsi" w:cstheme="minorHAnsi"/>
          <w:noProof/>
          <w:szCs w:val="22"/>
        </w:rPr>
        <w:t>E.</w:t>
      </w:r>
      <w:r>
        <w:rPr>
          <w:rFonts w:asciiTheme="minorHAnsi" w:hAnsiTheme="minorHAnsi" w:cstheme="minorHAnsi"/>
          <w:noProof/>
          <w:szCs w:val="22"/>
        </w:rPr>
        <w:t xml:space="preserve"> (</w:t>
      </w:r>
      <w:r w:rsidRPr="00C2192B">
        <w:rPr>
          <w:rFonts w:asciiTheme="minorHAnsi" w:hAnsiTheme="minorHAnsi" w:cstheme="minorHAnsi"/>
          <w:noProof/>
          <w:szCs w:val="22"/>
        </w:rPr>
        <w:t>2002</w:t>
      </w:r>
      <w:r>
        <w:rPr>
          <w:rFonts w:asciiTheme="minorHAnsi" w:hAnsiTheme="minorHAnsi" w:cstheme="minorHAnsi"/>
          <w:noProof/>
          <w:szCs w:val="22"/>
        </w:rPr>
        <w:t>).</w:t>
      </w:r>
      <w:r w:rsidRPr="00C2192B">
        <w:rPr>
          <w:rFonts w:asciiTheme="minorHAnsi" w:hAnsiTheme="minorHAnsi" w:cstheme="minorHAnsi"/>
          <w:noProof/>
          <w:szCs w:val="22"/>
        </w:rPr>
        <w:t xml:space="preserve"> </w:t>
      </w:r>
      <w:r w:rsidRPr="00C2192B">
        <w:rPr>
          <w:rFonts w:asciiTheme="minorHAnsi" w:hAnsiTheme="minorHAnsi" w:cstheme="minorHAnsi"/>
          <w:i/>
          <w:noProof/>
          <w:szCs w:val="22"/>
        </w:rPr>
        <w:t>Prevention Efforts Toward Minimizing Gambling Problems</w:t>
      </w:r>
      <w:r w:rsidRPr="00C2192B">
        <w:rPr>
          <w:rFonts w:asciiTheme="minorHAnsi" w:hAnsiTheme="minorHAnsi" w:cstheme="minorHAnsi"/>
          <w:noProof/>
          <w:szCs w:val="22"/>
        </w:rPr>
        <w:t>. Report prepared for the National Council on Problem Gambling and SAMHSA Washington, D.C.: SAMHSA</w:t>
      </w:r>
      <w:r>
        <w:rPr>
          <w:rFonts w:asciiTheme="minorHAnsi" w:hAnsiTheme="minorHAnsi" w:cstheme="minorHAnsi"/>
          <w:noProof/>
          <w:szCs w:val="22"/>
        </w:rPr>
        <w:t>.</w:t>
      </w:r>
      <w:r w:rsidRPr="00C2192B">
        <w:rPr>
          <w:rFonts w:asciiTheme="minorHAnsi" w:hAnsiTheme="minorHAnsi" w:cstheme="minorHAnsi"/>
          <w:noProof/>
          <w:szCs w:val="22"/>
        </w:rPr>
        <w:t xml:space="preserve"> </w:t>
      </w:r>
    </w:p>
    <w:p w:rsidR="00043311" w:rsidRPr="00001F8B" w:rsidRDefault="00043311" w:rsidP="008B4C8B">
      <w:pPr>
        <w:spacing w:line="240" w:lineRule="auto"/>
        <w:ind w:left="426" w:hanging="426"/>
        <w:rPr>
          <w:rFonts w:asciiTheme="minorHAnsi" w:hAnsiTheme="minorHAnsi" w:cstheme="minorHAnsi"/>
          <w:noProof/>
          <w:szCs w:val="22"/>
        </w:rPr>
      </w:pPr>
      <w:r w:rsidRPr="00001F8B">
        <w:rPr>
          <w:rFonts w:asciiTheme="minorHAnsi" w:hAnsiTheme="minorHAnsi" w:cstheme="minorHAnsi"/>
          <w:noProof/>
          <w:szCs w:val="22"/>
        </w:rPr>
        <w:t xml:space="preserve">Derevensky, J. L., Gupta, R., &amp; Winters, K. (2003). Prevalence rates of youth gambling problems: are the current rates inflated? </w:t>
      </w:r>
      <w:r w:rsidRPr="00001F8B">
        <w:rPr>
          <w:rFonts w:asciiTheme="minorHAnsi" w:hAnsiTheme="minorHAnsi" w:cstheme="minorHAnsi"/>
          <w:i/>
          <w:noProof/>
          <w:szCs w:val="22"/>
        </w:rPr>
        <w:t>Journal of Gambling Studies, 19</w:t>
      </w:r>
      <w:r w:rsidRPr="00001F8B">
        <w:rPr>
          <w:rFonts w:asciiTheme="minorHAnsi" w:hAnsiTheme="minorHAnsi" w:cstheme="minorHAnsi"/>
          <w:noProof/>
          <w:szCs w:val="22"/>
        </w:rPr>
        <w:t>(4), 405-425.</w:t>
      </w:r>
      <w:bookmarkEnd w:id="235"/>
    </w:p>
    <w:p w:rsidR="00043311" w:rsidRPr="00001F8B" w:rsidRDefault="00043311" w:rsidP="008B4C8B">
      <w:pPr>
        <w:spacing w:line="240" w:lineRule="auto"/>
        <w:ind w:left="426" w:hanging="426"/>
        <w:rPr>
          <w:rFonts w:asciiTheme="minorHAnsi" w:hAnsiTheme="minorHAnsi" w:cstheme="minorHAnsi"/>
          <w:noProof/>
          <w:szCs w:val="22"/>
        </w:rPr>
      </w:pPr>
      <w:bookmarkStart w:id="236" w:name="_ENREF_29"/>
      <w:r w:rsidRPr="00001F8B">
        <w:rPr>
          <w:rFonts w:asciiTheme="minorHAnsi" w:hAnsiTheme="minorHAnsi" w:cstheme="minorHAnsi"/>
          <w:noProof/>
          <w:szCs w:val="22"/>
        </w:rPr>
        <w:t xml:space="preserve">Devlin, M. (2011). </w:t>
      </w:r>
      <w:r w:rsidRPr="00001F8B">
        <w:rPr>
          <w:rFonts w:asciiTheme="minorHAnsi" w:hAnsiTheme="minorHAnsi" w:cstheme="minorHAnsi"/>
          <w:i/>
          <w:noProof/>
          <w:szCs w:val="22"/>
        </w:rPr>
        <w:t>Technical report: Groups at risk of at-risk gambling.</w:t>
      </w:r>
      <w:r w:rsidRPr="00001F8B">
        <w:rPr>
          <w:rFonts w:asciiTheme="minorHAnsi" w:hAnsiTheme="minorHAnsi" w:cstheme="minorHAnsi"/>
          <w:noProof/>
          <w:szCs w:val="22"/>
        </w:rPr>
        <w:t xml:space="preserve"> Wellington: Health Sponsorship Council.</w:t>
      </w:r>
      <w:bookmarkEnd w:id="236"/>
    </w:p>
    <w:p w:rsidR="00043311" w:rsidRPr="00001F8B" w:rsidRDefault="00043311" w:rsidP="008B4C8B">
      <w:pPr>
        <w:spacing w:line="240" w:lineRule="auto"/>
        <w:ind w:left="426" w:hanging="426"/>
        <w:rPr>
          <w:rFonts w:asciiTheme="minorHAnsi" w:hAnsiTheme="minorHAnsi" w:cstheme="minorHAnsi"/>
          <w:noProof/>
          <w:szCs w:val="22"/>
        </w:rPr>
      </w:pPr>
      <w:bookmarkStart w:id="237" w:name="_ENREF_30"/>
      <w:r w:rsidRPr="00001F8B">
        <w:rPr>
          <w:rFonts w:asciiTheme="minorHAnsi" w:hAnsiTheme="minorHAnsi" w:cstheme="minorHAnsi"/>
          <w:noProof/>
          <w:szCs w:val="22"/>
        </w:rPr>
        <w:t xml:space="preserve">Dickson, L., Derevensky, J. L., &amp; Gupta, R. (2003). </w:t>
      </w:r>
      <w:r w:rsidRPr="00001F8B">
        <w:rPr>
          <w:rFonts w:asciiTheme="minorHAnsi" w:hAnsiTheme="minorHAnsi" w:cstheme="minorHAnsi"/>
          <w:i/>
          <w:noProof/>
          <w:szCs w:val="22"/>
        </w:rPr>
        <w:t>Youth Gambling Problems: The Identification of Risk and Protective Factors. Report to the Ontario Problem Gambling Research Centre</w:t>
      </w:r>
      <w:r w:rsidRPr="00001F8B">
        <w:rPr>
          <w:rFonts w:asciiTheme="minorHAnsi" w:hAnsiTheme="minorHAnsi" w:cstheme="minorHAnsi"/>
          <w:noProof/>
          <w:szCs w:val="22"/>
        </w:rPr>
        <w:t>. Ontario: Ontario Problem Gambling Research Centre.</w:t>
      </w:r>
      <w:bookmarkEnd w:id="237"/>
    </w:p>
    <w:p w:rsidR="00043311" w:rsidRPr="00001F8B" w:rsidRDefault="00043311" w:rsidP="008B4C8B">
      <w:pPr>
        <w:spacing w:line="240" w:lineRule="auto"/>
        <w:ind w:left="426" w:hanging="426"/>
        <w:rPr>
          <w:rFonts w:asciiTheme="minorHAnsi" w:hAnsiTheme="minorHAnsi" w:cstheme="minorHAnsi"/>
          <w:noProof/>
          <w:szCs w:val="22"/>
        </w:rPr>
      </w:pPr>
      <w:bookmarkStart w:id="238" w:name="_ENREF_31"/>
      <w:r w:rsidRPr="00001F8B">
        <w:rPr>
          <w:rFonts w:asciiTheme="minorHAnsi" w:hAnsiTheme="minorHAnsi" w:cstheme="minorHAnsi"/>
          <w:noProof/>
          <w:szCs w:val="22"/>
        </w:rPr>
        <w:t xml:space="preserve">Dickson, L., Derevensky, J. L., &amp; Gupta, R. (2008). Youth gambling problems: Examining risk and protective factors. </w:t>
      </w:r>
      <w:r w:rsidRPr="00001F8B">
        <w:rPr>
          <w:rFonts w:asciiTheme="minorHAnsi" w:hAnsiTheme="minorHAnsi" w:cstheme="minorHAnsi"/>
          <w:i/>
          <w:noProof/>
          <w:szCs w:val="22"/>
        </w:rPr>
        <w:t>International Gambling Studies, 8</w:t>
      </w:r>
      <w:r w:rsidRPr="00001F8B">
        <w:rPr>
          <w:rFonts w:asciiTheme="minorHAnsi" w:hAnsiTheme="minorHAnsi" w:cstheme="minorHAnsi"/>
          <w:noProof/>
          <w:szCs w:val="22"/>
        </w:rPr>
        <w:t>(1), 25-47.</w:t>
      </w:r>
      <w:bookmarkEnd w:id="238"/>
    </w:p>
    <w:p w:rsidR="00043311" w:rsidRPr="00001F8B" w:rsidRDefault="00043311" w:rsidP="008B4C8B">
      <w:pPr>
        <w:spacing w:line="240" w:lineRule="auto"/>
        <w:ind w:left="426" w:hanging="426"/>
        <w:rPr>
          <w:rFonts w:asciiTheme="minorHAnsi" w:hAnsiTheme="minorHAnsi" w:cstheme="minorHAnsi"/>
          <w:noProof/>
          <w:szCs w:val="22"/>
        </w:rPr>
      </w:pPr>
      <w:bookmarkStart w:id="239" w:name="_ENREF_32"/>
      <w:r w:rsidRPr="00001F8B">
        <w:rPr>
          <w:rFonts w:asciiTheme="minorHAnsi" w:hAnsiTheme="minorHAnsi" w:cstheme="minorHAnsi"/>
          <w:noProof/>
          <w:szCs w:val="22"/>
        </w:rPr>
        <w:t xml:space="preserve">Dickson, L. M. (2006). </w:t>
      </w:r>
      <w:r w:rsidRPr="00001F8B">
        <w:rPr>
          <w:rFonts w:asciiTheme="minorHAnsi" w:hAnsiTheme="minorHAnsi" w:cstheme="minorHAnsi"/>
          <w:i/>
          <w:noProof/>
          <w:szCs w:val="22"/>
        </w:rPr>
        <w:t>Youth gambling problems: The identification of risk and protective factors</w:t>
      </w:r>
      <w:r w:rsidRPr="00001F8B">
        <w:rPr>
          <w:rFonts w:asciiTheme="minorHAnsi" w:hAnsiTheme="minorHAnsi" w:cstheme="minorHAnsi"/>
          <w:noProof/>
          <w:szCs w:val="22"/>
        </w:rPr>
        <w:t>. Dickson, Laurie M : Mcgill University, Canada.Dissertation Abstract: 2006-99015-121)</w:t>
      </w:r>
      <w:bookmarkEnd w:id="239"/>
    </w:p>
    <w:p w:rsidR="00043311" w:rsidRPr="00001F8B" w:rsidRDefault="00043311" w:rsidP="008B4C8B">
      <w:pPr>
        <w:spacing w:line="240" w:lineRule="auto"/>
        <w:ind w:left="426" w:hanging="426"/>
        <w:rPr>
          <w:rFonts w:asciiTheme="minorHAnsi" w:hAnsiTheme="minorHAnsi" w:cstheme="minorHAnsi"/>
          <w:noProof/>
          <w:szCs w:val="22"/>
        </w:rPr>
      </w:pPr>
      <w:bookmarkStart w:id="240" w:name="_ENREF_33"/>
      <w:r w:rsidRPr="00001F8B">
        <w:rPr>
          <w:rFonts w:asciiTheme="minorHAnsi" w:hAnsiTheme="minorHAnsi" w:cstheme="minorHAnsi"/>
          <w:noProof/>
          <w:szCs w:val="22"/>
        </w:rPr>
        <w:t xml:space="preserve">Dickson, L. M., Derevensky, J. L., &amp; Gupta, R. (2002). The prevention of gambling problems in youth: a conceptual framework. </w:t>
      </w:r>
      <w:r w:rsidRPr="00001F8B">
        <w:rPr>
          <w:rFonts w:asciiTheme="minorHAnsi" w:hAnsiTheme="minorHAnsi" w:cstheme="minorHAnsi"/>
          <w:i/>
          <w:noProof/>
          <w:szCs w:val="22"/>
        </w:rPr>
        <w:t>Journal of Gambling Studies, 18</w:t>
      </w:r>
      <w:r w:rsidRPr="00001F8B">
        <w:rPr>
          <w:rFonts w:asciiTheme="minorHAnsi" w:hAnsiTheme="minorHAnsi" w:cstheme="minorHAnsi"/>
          <w:noProof/>
          <w:szCs w:val="22"/>
        </w:rPr>
        <w:t>(2), 97-159.</w:t>
      </w:r>
      <w:bookmarkEnd w:id="240"/>
    </w:p>
    <w:p w:rsidR="00043311" w:rsidRPr="00001F8B" w:rsidRDefault="00043311" w:rsidP="008B4C8B">
      <w:pPr>
        <w:spacing w:line="240" w:lineRule="auto"/>
        <w:ind w:left="426" w:hanging="426"/>
        <w:rPr>
          <w:rFonts w:asciiTheme="minorHAnsi" w:hAnsiTheme="minorHAnsi" w:cstheme="minorHAnsi"/>
          <w:noProof/>
          <w:szCs w:val="22"/>
        </w:rPr>
      </w:pPr>
      <w:bookmarkStart w:id="241" w:name="_ENREF_34"/>
      <w:r w:rsidRPr="00001F8B">
        <w:rPr>
          <w:rFonts w:asciiTheme="minorHAnsi" w:hAnsiTheme="minorHAnsi" w:cstheme="minorHAnsi"/>
          <w:noProof/>
          <w:szCs w:val="22"/>
        </w:rPr>
        <w:lastRenderedPageBreak/>
        <w:t xml:space="preserve">Dowling, N., Jackson, A., Thomas, S., &amp; Frydenberg, E. (2010). </w:t>
      </w:r>
      <w:r w:rsidRPr="00001F8B">
        <w:rPr>
          <w:rFonts w:asciiTheme="minorHAnsi" w:hAnsiTheme="minorHAnsi" w:cstheme="minorHAnsi"/>
          <w:i/>
          <w:noProof/>
          <w:szCs w:val="22"/>
        </w:rPr>
        <w:t>Children at Risk of Developing Problem Gambling. Final Report. A Report to Gambling Research Australia in fulfilment of Tender 103/06</w:t>
      </w:r>
      <w:r w:rsidRPr="00001F8B">
        <w:rPr>
          <w:rFonts w:asciiTheme="minorHAnsi" w:hAnsiTheme="minorHAnsi" w:cstheme="minorHAnsi"/>
          <w:noProof/>
          <w:szCs w:val="22"/>
        </w:rPr>
        <w:t>. Melbourne: The Problem Gambling Research and Treatment Centre.</w:t>
      </w:r>
      <w:bookmarkEnd w:id="241"/>
    </w:p>
    <w:p w:rsidR="00043311" w:rsidRPr="00001F8B" w:rsidRDefault="00043311" w:rsidP="008B4C8B">
      <w:pPr>
        <w:spacing w:line="240" w:lineRule="auto"/>
        <w:ind w:left="426" w:hanging="426"/>
        <w:rPr>
          <w:rFonts w:asciiTheme="minorHAnsi" w:hAnsiTheme="minorHAnsi" w:cstheme="minorHAnsi"/>
          <w:noProof/>
          <w:szCs w:val="22"/>
        </w:rPr>
      </w:pPr>
      <w:bookmarkStart w:id="242" w:name="_ENREF_35"/>
      <w:r w:rsidRPr="00001F8B">
        <w:rPr>
          <w:rFonts w:asciiTheme="minorHAnsi" w:hAnsiTheme="minorHAnsi" w:cstheme="minorHAnsi"/>
          <w:noProof/>
          <w:szCs w:val="22"/>
        </w:rPr>
        <w:t xml:space="preserve">Dowling, N., Jackson, A., Thomas, S., &amp; Frydenberg, E. (2010). </w:t>
      </w:r>
      <w:r w:rsidRPr="00001F8B">
        <w:rPr>
          <w:rFonts w:asciiTheme="minorHAnsi" w:hAnsiTheme="minorHAnsi" w:cstheme="minorHAnsi"/>
          <w:i/>
          <w:noProof/>
          <w:szCs w:val="22"/>
        </w:rPr>
        <w:t>Children at Risk of Developing Problem Gambling. Final Report. A Report to Gambling Research Australia in fulfilment of Tender 103/06</w:t>
      </w:r>
      <w:r w:rsidRPr="00001F8B">
        <w:rPr>
          <w:rFonts w:asciiTheme="minorHAnsi" w:hAnsiTheme="minorHAnsi" w:cstheme="minorHAnsi"/>
          <w:noProof/>
          <w:szCs w:val="22"/>
        </w:rPr>
        <w:t>. Melbourne: The Problem Gambling Research and Treatment Centre.</w:t>
      </w:r>
      <w:bookmarkEnd w:id="242"/>
    </w:p>
    <w:p w:rsidR="00043311" w:rsidRPr="00001F8B" w:rsidRDefault="00043311" w:rsidP="008B4C8B">
      <w:pPr>
        <w:spacing w:line="240" w:lineRule="auto"/>
        <w:ind w:left="426" w:hanging="426"/>
        <w:rPr>
          <w:rFonts w:asciiTheme="minorHAnsi" w:hAnsiTheme="minorHAnsi" w:cstheme="minorHAnsi"/>
          <w:noProof/>
          <w:szCs w:val="22"/>
        </w:rPr>
      </w:pPr>
      <w:bookmarkStart w:id="243" w:name="_ENREF_36"/>
      <w:r w:rsidRPr="00001F8B">
        <w:rPr>
          <w:rFonts w:asciiTheme="minorHAnsi" w:hAnsiTheme="minorHAnsi" w:cstheme="minorHAnsi"/>
          <w:noProof/>
          <w:szCs w:val="22"/>
        </w:rPr>
        <w:t xml:space="preserve">Felsher, J. R., Derevensky, J. L., &amp; Gupta, R. (2003). Parental influences and social modelling of youth lottery participation. </w:t>
      </w:r>
      <w:r w:rsidRPr="00001F8B">
        <w:rPr>
          <w:rFonts w:asciiTheme="minorHAnsi" w:hAnsiTheme="minorHAnsi" w:cstheme="minorHAnsi"/>
          <w:i/>
          <w:noProof/>
          <w:szCs w:val="22"/>
        </w:rPr>
        <w:t>Journal of Community &amp; Applied Social Psychology, 13</w:t>
      </w:r>
      <w:r w:rsidRPr="00001F8B">
        <w:rPr>
          <w:rFonts w:asciiTheme="minorHAnsi" w:hAnsiTheme="minorHAnsi" w:cstheme="minorHAnsi"/>
          <w:noProof/>
          <w:szCs w:val="22"/>
        </w:rPr>
        <w:t>(5), 361-377.</w:t>
      </w:r>
      <w:bookmarkEnd w:id="243"/>
    </w:p>
    <w:p w:rsidR="00043311" w:rsidRPr="00001F8B" w:rsidRDefault="00043311" w:rsidP="008B4C8B">
      <w:pPr>
        <w:spacing w:line="240" w:lineRule="auto"/>
        <w:ind w:left="426" w:hanging="426"/>
        <w:rPr>
          <w:rFonts w:asciiTheme="minorHAnsi" w:hAnsiTheme="minorHAnsi" w:cstheme="minorHAnsi"/>
          <w:noProof/>
          <w:szCs w:val="22"/>
        </w:rPr>
      </w:pPr>
      <w:bookmarkStart w:id="244" w:name="_ENREF_37"/>
      <w:r w:rsidRPr="00001F8B">
        <w:rPr>
          <w:rFonts w:asciiTheme="minorHAnsi" w:hAnsiTheme="minorHAnsi" w:cstheme="minorHAnsi"/>
          <w:noProof/>
          <w:szCs w:val="22"/>
        </w:rPr>
        <w:t xml:space="preserve">Felsher, J. R., Derevensky, J. L., &amp; Gupta, R. (2004a). Lottery Participation by Youth With Gambling Problems: Are Lottery Tickets a Gateway to Other Gambling Venues? </w:t>
      </w:r>
      <w:r w:rsidRPr="00001F8B">
        <w:rPr>
          <w:rFonts w:asciiTheme="minorHAnsi" w:hAnsiTheme="minorHAnsi" w:cstheme="minorHAnsi"/>
          <w:i/>
          <w:noProof/>
          <w:szCs w:val="22"/>
        </w:rPr>
        <w:t>International Gambling Studies, 4</w:t>
      </w:r>
      <w:r w:rsidRPr="00001F8B">
        <w:rPr>
          <w:rFonts w:asciiTheme="minorHAnsi" w:hAnsiTheme="minorHAnsi" w:cstheme="minorHAnsi"/>
          <w:noProof/>
          <w:szCs w:val="22"/>
        </w:rPr>
        <w:t>(2), 109-125.</w:t>
      </w:r>
      <w:bookmarkEnd w:id="244"/>
    </w:p>
    <w:p w:rsidR="00043311" w:rsidRPr="00001F8B" w:rsidRDefault="00043311" w:rsidP="008B4C8B">
      <w:pPr>
        <w:spacing w:line="240" w:lineRule="auto"/>
        <w:ind w:left="426" w:hanging="426"/>
        <w:rPr>
          <w:rFonts w:asciiTheme="minorHAnsi" w:hAnsiTheme="minorHAnsi" w:cstheme="minorHAnsi"/>
          <w:noProof/>
          <w:szCs w:val="22"/>
        </w:rPr>
      </w:pPr>
      <w:bookmarkStart w:id="245" w:name="_ENREF_38"/>
      <w:r w:rsidRPr="00001F8B">
        <w:rPr>
          <w:rFonts w:asciiTheme="minorHAnsi" w:hAnsiTheme="minorHAnsi" w:cstheme="minorHAnsi"/>
          <w:noProof/>
          <w:szCs w:val="22"/>
        </w:rPr>
        <w:t xml:space="preserve">Felsher, J. R., Derevensky, J. L., &amp; Gupta, R. (2004b). Lottery playing amongst youth: implications for prevention and social policy. </w:t>
      </w:r>
      <w:r w:rsidRPr="00001F8B">
        <w:rPr>
          <w:rFonts w:asciiTheme="minorHAnsi" w:hAnsiTheme="minorHAnsi" w:cstheme="minorHAnsi"/>
          <w:i/>
          <w:noProof/>
          <w:szCs w:val="22"/>
        </w:rPr>
        <w:t>Journal of Gambling Studies, 20</w:t>
      </w:r>
      <w:r w:rsidRPr="00001F8B">
        <w:rPr>
          <w:rFonts w:asciiTheme="minorHAnsi" w:hAnsiTheme="minorHAnsi" w:cstheme="minorHAnsi"/>
          <w:noProof/>
          <w:szCs w:val="22"/>
        </w:rPr>
        <w:t>(2), 127-153.</w:t>
      </w:r>
      <w:bookmarkEnd w:id="245"/>
    </w:p>
    <w:p w:rsidR="00043311" w:rsidRPr="00001F8B" w:rsidRDefault="00043311" w:rsidP="008B4C8B">
      <w:pPr>
        <w:spacing w:line="240" w:lineRule="auto"/>
        <w:ind w:left="426" w:hanging="426"/>
        <w:rPr>
          <w:rFonts w:asciiTheme="minorHAnsi" w:hAnsiTheme="minorHAnsi" w:cstheme="minorHAnsi"/>
          <w:noProof/>
          <w:szCs w:val="22"/>
        </w:rPr>
      </w:pPr>
      <w:bookmarkStart w:id="246" w:name="_ENREF_39"/>
      <w:r w:rsidRPr="00001F8B">
        <w:rPr>
          <w:rFonts w:asciiTheme="minorHAnsi" w:hAnsiTheme="minorHAnsi" w:cstheme="minorHAnsi"/>
          <w:noProof/>
          <w:szCs w:val="22"/>
        </w:rPr>
        <w:t xml:space="preserve">Fisher, S. (1999). A prevalence study of gambling and problem gambling in British adolescents. </w:t>
      </w:r>
      <w:r w:rsidRPr="00001F8B">
        <w:rPr>
          <w:rFonts w:asciiTheme="minorHAnsi" w:hAnsiTheme="minorHAnsi" w:cstheme="minorHAnsi"/>
          <w:i/>
          <w:noProof/>
          <w:szCs w:val="22"/>
        </w:rPr>
        <w:t>Addiction Research and Theory, 7</w:t>
      </w:r>
      <w:r w:rsidRPr="00001F8B">
        <w:rPr>
          <w:rFonts w:asciiTheme="minorHAnsi" w:hAnsiTheme="minorHAnsi" w:cstheme="minorHAnsi"/>
          <w:noProof/>
          <w:szCs w:val="22"/>
        </w:rPr>
        <w:t>(6), 509-538.</w:t>
      </w:r>
      <w:bookmarkEnd w:id="246"/>
    </w:p>
    <w:p w:rsidR="00043311" w:rsidRPr="00001F8B" w:rsidRDefault="00043311" w:rsidP="008B4C8B">
      <w:pPr>
        <w:spacing w:line="240" w:lineRule="auto"/>
        <w:ind w:left="426" w:hanging="426"/>
        <w:rPr>
          <w:rFonts w:asciiTheme="minorHAnsi" w:hAnsiTheme="minorHAnsi" w:cstheme="minorHAnsi"/>
          <w:noProof/>
          <w:szCs w:val="22"/>
        </w:rPr>
      </w:pPr>
      <w:bookmarkStart w:id="247" w:name="_ENREF_40"/>
      <w:r w:rsidRPr="00001F8B">
        <w:rPr>
          <w:rFonts w:asciiTheme="minorHAnsi" w:hAnsiTheme="minorHAnsi" w:cstheme="minorHAnsi"/>
          <w:noProof/>
          <w:szCs w:val="22"/>
        </w:rPr>
        <w:t xml:space="preserve">Floros, G., Siomos, K., Fisoun, V., &amp; Geroukalis, D. (2013). Adolescent Online Gambling: The Impact of Parental Practices and Correlates with Online Activities. </w:t>
      </w:r>
      <w:r w:rsidRPr="00001F8B">
        <w:rPr>
          <w:rFonts w:asciiTheme="minorHAnsi" w:hAnsiTheme="minorHAnsi" w:cstheme="minorHAnsi"/>
          <w:i/>
          <w:noProof/>
          <w:szCs w:val="22"/>
        </w:rPr>
        <w:t>Journal of Gambling Studies, 29</w:t>
      </w:r>
      <w:r w:rsidRPr="00001F8B">
        <w:rPr>
          <w:rFonts w:asciiTheme="minorHAnsi" w:hAnsiTheme="minorHAnsi" w:cstheme="minorHAnsi"/>
          <w:noProof/>
          <w:szCs w:val="22"/>
        </w:rPr>
        <w:t>(1), 131-150.</w:t>
      </w:r>
      <w:bookmarkEnd w:id="247"/>
    </w:p>
    <w:p w:rsidR="00043311" w:rsidRPr="00001F8B" w:rsidRDefault="00043311" w:rsidP="008B4C8B">
      <w:pPr>
        <w:spacing w:line="240" w:lineRule="auto"/>
        <w:ind w:left="426" w:hanging="426"/>
        <w:rPr>
          <w:rFonts w:asciiTheme="minorHAnsi" w:hAnsiTheme="minorHAnsi" w:cstheme="minorHAnsi"/>
          <w:noProof/>
          <w:szCs w:val="22"/>
        </w:rPr>
      </w:pPr>
      <w:bookmarkStart w:id="248" w:name="_ENREF_41"/>
      <w:r w:rsidRPr="00001F8B">
        <w:rPr>
          <w:rFonts w:asciiTheme="minorHAnsi" w:hAnsiTheme="minorHAnsi" w:cstheme="minorHAnsi"/>
          <w:noProof/>
          <w:szCs w:val="22"/>
        </w:rPr>
        <w:t xml:space="preserve">Focal Research Consultants. (2008). </w:t>
      </w:r>
      <w:r w:rsidRPr="00001F8B">
        <w:rPr>
          <w:rFonts w:asciiTheme="minorHAnsi" w:hAnsiTheme="minorHAnsi" w:cstheme="minorHAnsi"/>
          <w:i/>
          <w:noProof/>
          <w:szCs w:val="22"/>
        </w:rPr>
        <w:t>2008 Nova Scotia Adolescent Gambling Exploratory Research. Identification of Risk and Gambling Harms among Youth (13-18 years)</w:t>
      </w:r>
      <w:r w:rsidRPr="00001F8B">
        <w:rPr>
          <w:rFonts w:asciiTheme="minorHAnsi" w:hAnsiTheme="minorHAnsi" w:cstheme="minorHAnsi"/>
          <w:noProof/>
          <w:szCs w:val="22"/>
        </w:rPr>
        <w:t>. Halifax, Nova Scotia: Nova Scotia Health Promotion and Protection.</w:t>
      </w:r>
      <w:bookmarkEnd w:id="248"/>
    </w:p>
    <w:p w:rsidR="00043311" w:rsidRPr="00001F8B" w:rsidRDefault="00043311" w:rsidP="008B4C8B">
      <w:pPr>
        <w:spacing w:line="240" w:lineRule="auto"/>
        <w:ind w:left="426" w:hanging="426"/>
        <w:rPr>
          <w:rFonts w:asciiTheme="minorHAnsi" w:hAnsiTheme="minorHAnsi" w:cstheme="minorHAnsi"/>
          <w:noProof/>
          <w:szCs w:val="22"/>
        </w:rPr>
      </w:pPr>
      <w:bookmarkStart w:id="249" w:name="_ENREF_42"/>
      <w:r w:rsidRPr="00001F8B">
        <w:rPr>
          <w:rFonts w:asciiTheme="minorHAnsi" w:hAnsiTheme="minorHAnsi" w:cstheme="minorHAnsi"/>
          <w:noProof/>
          <w:szCs w:val="22"/>
        </w:rPr>
        <w:t xml:space="preserve">Fortune, E. E., MacKillop, J., Miller, J. D., Campbell, W. K., Clifton, A. D., &amp; Goodie, A. S. (2013). Social density of gambling and its association with gambling problems: An initial investigation. </w:t>
      </w:r>
      <w:r w:rsidRPr="00001F8B">
        <w:rPr>
          <w:rFonts w:asciiTheme="minorHAnsi" w:hAnsiTheme="minorHAnsi" w:cstheme="minorHAnsi"/>
          <w:i/>
          <w:noProof/>
          <w:szCs w:val="22"/>
        </w:rPr>
        <w:t>Journal of Gambling Studies, 29</w:t>
      </w:r>
      <w:r w:rsidRPr="00001F8B">
        <w:rPr>
          <w:rFonts w:asciiTheme="minorHAnsi" w:hAnsiTheme="minorHAnsi" w:cstheme="minorHAnsi"/>
          <w:noProof/>
          <w:szCs w:val="22"/>
        </w:rPr>
        <w:t>, 329-342.</w:t>
      </w:r>
      <w:bookmarkEnd w:id="249"/>
    </w:p>
    <w:p w:rsidR="00043311" w:rsidRPr="00001F8B" w:rsidRDefault="00043311" w:rsidP="008B4C8B">
      <w:pPr>
        <w:spacing w:line="240" w:lineRule="auto"/>
        <w:ind w:left="426" w:hanging="426"/>
        <w:rPr>
          <w:rFonts w:asciiTheme="minorHAnsi" w:hAnsiTheme="minorHAnsi" w:cstheme="minorHAnsi"/>
          <w:noProof/>
          <w:szCs w:val="22"/>
        </w:rPr>
      </w:pPr>
      <w:bookmarkStart w:id="250" w:name="_ENREF_43"/>
      <w:r w:rsidRPr="00001F8B">
        <w:rPr>
          <w:rFonts w:asciiTheme="minorHAnsi" w:hAnsiTheme="minorHAnsi" w:cstheme="minorHAnsi"/>
          <w:noProof/>
          <w:szCs w:val="22"/>
        </w:rPr>
        <w:t xml:space="preserve">Goldstein, A. L., Faulkner, B., Cunningham, R. M., Zimmerman, M. A., Chermack, S., &amp; Walton, M. A. (2013). A latent class analysis of adolescent gambling: Application of resilience theory. </w:t>
      </w:r>
      <w:r w:rsidRPr="00001F8B">
        <w:rPr>
          <w:rFonts w:asciiTheme="minorHAnsi" w:hAnsiTheme="minorHAnsi" w:cstheme="minorHAnsi"/>
          <w:i/>
          <w:noProof/>
          <w:szCs w:val="22"/>
        </w:rPr>
        <w:t>International Journal of Mental Health and Addiction, 11</w:t>
      </w:r>
      <w:r w:rsidRPr="00001F8B">
        <w:rPr>
          <w:rFonts w:asciiTheme="minorHAnsi" w:hAnsiTheme="minorHAnsi" w:cstheme="minorHAnsi"/>
          <w:noProof/>
          <w:szCs w:val="22"/>
        </w:rPr>
        <w:t>, 13-30.</w:t>
      </w:r>
      <w:bookmarkEnd w:id="250"/>
    </w:p>
    <w:p w:rsidR="00043311" w:rsidRPr="00001F8B" w:rsidRDefault="00043311" w:rsidP="008B4C8B">
      <w:pPr>
        <w:spacing w:line="240" w:lineRule="auto"/>
        <w:ind w:left="426" w:hanging="426"/>
        <w:rPr>
          <w:rFonts w:asciiTheme="minorHAnsi" w:hAnsiTheme="minorHAnsi" w:cstheme="minorHAnsi"/>
          <w:noProof/>
          <w:szCs w:val="22"/>
        </w:rPr>
      </w:pPr>
      <w:bookmarkStart w:id="251" w:name="_ENREF_44"/>
      <w:r w:rsidRPr="00001F8B">
        <w:rPr>
          <w:rFonts w:asciiTheme="minorHAnsi" w:hAnsiTheme="minorHAnsi" w:cstheme="minorHAnsi"/>
          <w:noProof/>
          <w:szCs w:val="22"/>
        </w:rPr>
        <w:t xml:space="preserve">Gray, R. (2010). </w:t>
      </w:r>
      <w:r w:rsidRPr="00001F8B">
        <w:rPr>
          <w:rFonts w:asciiTheme="minorHAnsi" w:hAnsiTheme="minorHAnsi" w:cstheme="minorHAnsi"/>
          <w:i/>
          <w:noProof/>
          <w:szCs w:val="22"/>
        </w:rPr>
        <w:t>Young People and Gambling [In Fact]</w:t>
      </w:r>
      <w:r w:rsidRPr="00001F8B">
        <w:rPr>
          <w:rFonts w:asciiTheme="minorHAnsi" w:hAnsiTheme="minorHAnsi" w:cstheme="minorHAnsi"/>
          <w:noProof/>
          <w:szCs w:val="22"/>
        </w:rPr>
        <w:t>. Wellington: Health Sponsorship Council.</w:t>
      </w:r>
      <w:bookmarkEnd w:id="251"/>
    </w:p>
    <w:p w:rsidR="00043311" w:rsidRPr="00001F8B" w:rsidRDefault="00043311" w:rsidP="008B4C8B">
      <w:pPr>
        <w:spacing w:line="240" w:lineRule="auto"/>
        <w:ind w:left="426" w:hanging="426"/>
        <w:rPr>
          <w:rFonts w:asciiTheme="minorHAnsi" w:hAnsiTheme="minorHAnsi" w:cstheme="minorHAnsi"/>
          <w:noProof/>
          <w:szCs w:val="22"/>
        </w:rPr>
      </w:pPr>
      <w:bookmarkStart w:id="252" w:name="_ENREF_45"/>
      <w:r w:rsidRPr="00001F8B">
        <w:rPr>
          <w:rFonts w:asciiTheme="minorHAnsi" w:hAnsiTheme="minorHAnsi" w:cstheme="minorHAnsi"/>
          <w:noProof/>
          <w:szCs w:val="22"/>
        </w:rPr>
        <w:t xml:space="preserve">Gray, R. (2011). </w:t>
      </w:r>
      <w:r w:rsidRPr="00001F8B">
        <w:rPr>
          <w:rFonts w:asciiTheme="minorHAnsi" w:hAnsiTheme="minorHAnsi" w:cstheme="minorHAnsi"/>
          <w:i/>
          <w:noProof/>
          <w:szCs w:val="22"/>
        </w:rPr>
        <w:t>New Zealanders' Participation in Gambling: Results from the 2010 Health and Lifestyles Survey</w:t>
      </w:r>
      <w:r w:rsidRPr="00001F8B">
        <w:rPr>
          <w:rFonts w:asciiTheme="minorHAnsi" w:hAnsiTheme="minorHAnsi" w:cstheme="minorHAnsi"/>
          <w:noProof/>
          <w:szCs w:val="22"/>
        </w:rPr>
        <w:t>. Wellington: Health Sponsorship Council.</w:t>
      </w:r>
      <w:bookmarkEnd w:id="252"/>
    </w:p>
    <w:p w:rsidR="00043311" w:rsidRPr="00001F8B" w:rsidRDefault="00043311" w:rsidP="008B4C8B">
      <w:pPr>
        <w:spacing w:line="240" w:lineRule="auto"/>
        <w:ind w:left="426" w:hanging="426"/>
        <w:rPr>
          <w:rFonts w:asciiTheme="minorHAnsi" w:hAnsiTheme="minorHAnsi" w:cstheme="minorHAnsi"/>
          <w:noProof/>
          <w:szCs w:val="22"/>
        </w:rPr>
      </w:pPr>
      <w:bookmarkStart w:id="253" w:name="_ENREF_46"/>
      <w:r w:rsidRPr="00001F8B">
        <w:rPr>
          <w:rFonts w:asciiTheme="minorHAnsi" w:hAnsiTheme="minorHAnsi" w:cstheme="minorHAnsi"/>
          <w:noProof/>
          <w:szCs w:val="22"/>
        </w:rPr>
        <w:t xml:space="preserve">Griffiths, M. (1995). </w:t>
      </w:r>
      <w:r w:rsidRPr="00001F8B">
        <w:rPr>
          <w:rFonts w:asciiTheme="minorHAnsi" w:hAnsiTheme="minorHAnsi" w:cstheme="minorHAnsi"/>
          <w:i/>
          <w:noProof/>
          <w:szCs w:val="22"/>
        </w:rPr>
        <w:t>Adolescent Gambling</w:t>
      </w:r>
      <w:r w:rsidRPr="00001F8B">
        <w:rPr>
          <w:rFonts w:asciiTheme="minorHAnsi" w:hAnsiTheme="minorHAnsi" w:cstheme="minorHAnsi"/>
          <w:noProof/>
          <w:szCs w:val="22"/>
        </w:rPr>
        <w:t>. London: Routledge.</w:t>
      </w:r>
      <w:bookmarkEnd w:id="253"/>
    </w:p>
    <w:p w:rsidR="00043311" w:rsidRPr="00001F8B" w:rsidRDefault="00043311" w:rsidP="008B4C8B">
      <w:pPr>
        <w:spacing w:line="240" w:lineRule="auto"/>
        <w:ind w:left="426" w:hanging="426"/>
        <w:rPr>
          <w:rFonts w:asciiTheme="minorHAnsi" w:hAnsiTheme="minorHAnsi" w:cstheme="minorHAnsi"/>
          <w:noProof/>
          <w:szCs w:val="22"/>
        </w:rPr>
      </w:pPr>
      <w:bookmarkStart w:id="254" w:name="_ENREF_47"/>
      <w:r w:rsidRPr="00001F8B">
        <w:rPr>
          <w:rFonts w:asciiTheme="minorHAnsi" w:hAnsiTheme="minorHAnsi" w:cstheme="minorHAnsi"/>
          <w:noProof/>
          <w:szCs w:val="22"/>
        </w:rPr>
        <w:t xml:space="preserve">Griffiths, M. (2000). Scratchcard gambling among adolescent males. </w:t>
      </w:r>
      <w:r w:rsidRPr="00001F8B">
        <w:rPr>
          <w:rFonts w:asciiTheme="minorHAnsi" w:hAnsiTheme="minorHAnsi" w:cstheme="minorHAnsi"/>
          <w:i/>
          <w:noProof/>
          <w:szCs w:val="22"/>
        </w:rPr>
        <w:t>Journal of Gambling Studies, 16</w:t>
      </w:r>
      <w:r w:rsidRPr="00001F8B">
        <w:rPr>
          <w:rFonts w:asciiTheme="minorHAnsi" w:hAnsiTheme="minorHAnsi" w:cstheme="minorHAnsi"/>
          <w:noProof/>
          <w:szCs w:val="22"/>
        </w:rPr>
        <w:t>(1), 79-91.</w:t>
      </w:r>
      <w:bookmarkEnd w:id="254"/>
    </w:p>
    <w:p w:rsidR="00043311" w:rsidRDefault="00043311" w:rsidP="008B4C8B">
      <w:pPr>
        <w:spacing w:line="240" w:lineRule="auto"/>
        <w:ind w:left="426" w:hanging="426"/>
        <w:rPr>
          <w:rFonts w:asciiTheme="minorHAnsi" w:hAnsiTheme="minorHAnsi" w:cstheme="minorHAnsi"/>
          <w:noProof/>
          <w:szCs w:val="22"/>
        </w:rPr>
      </w:pPr>
      <w:bookmarkStart w:id="255" w:name="_ENREF_48"/>
      <w:r w:rsidRPr="00001F8B">
        <w:rPr>
          <w:rFonts w:asciiTheme="minorHAnsi" w:hAnsiTheme="minorHAnsi" w:cstheme="minorHAnsi"/>
          <w:noProof/>
          <w:szCs w:val="22"/>
        </w:rPr>
        <w:t xml:space="preserve">Griffiths, M. (2003). Internet gambling: Issues, concerns, and recommendations. </w:t>
      </w:r>
      <w:r w:rsidRPr="00001F8B">
        <w:rPr>
          <w:rFonts w:asciiTheme="minorHAnsi" w:hAnsiTheme="minorHAnsi" w:cstheme="minorHAnsi"/>
          <w:i/>
          <w:noProof/>
          <w:szCs w:val="22"/>
        </w:rPr>
        <w:t>CyberPsychology and Behavior, 6</w:t>
      </w:r>
      <w:r w:rsidRPr="00001F8B">
        <w:rPr>
          <w:rFonts w:asciiTheme="minorHAnsi" w:hAnsiTheme="minorHAnsi" w:cstheme="minorHAnsi"/>
          <w:noProof/>
          <w:szCs w:val="22"/>
        </w:rPr>
        <w:t>(6), 557-568.</w:t>
      </w:r>
      <w:bookmarkEnd w:id="255"/>
    </w:p>
    <w:p w:rsidR="00E97D23" w:rsidRPr="00E97D23" w:rsidRDefault="00E97D23" w:rsidP="008B4C8B">
      <w:pPr>
        <w:spacing w:line="240" w:lineRule="auto"/>
        <w:ind w:left="426" w:hanging="426"/>
        <w:rPr>
          <w:rFonts w:asciiTheme="minorHAnsi" w:hAnsiTheme="minorHAnsi" w:cstheme="minorHAnsi"/>
          <w:noProof/>
          <w:szCs w:val="22"/>
        </w:rPr>
      </w:pPr>
      <w:r w:rsidRPr="00E97D23">
        <w:rPr>
          <w:rFonts w:asciiTheme="minorHAnsi" w:hAnsiTheme="minorHAnsi" w:cstheme="minorHAnsi"/>
          <w:noProof/>
          <w:szCs w:val="22"/>
        </w:rPr>
        <w:t xml:space="preserve">Griffiths, M. (2008). Youth gambling education and prevention: Does it work? </w:t>
      </w:r>
      <w:r w:rsidRPr="00E97D23">
        <w:rPr>
          <w:rFonts w:asciiTheme="minorHAnsi" w:hAnsiTheme="minorHAnsi" w:cstheme="minorHAnsi"/>
          <w:i/>
          <w:noProof/>
          <w:szCs w:val="22"/>
        </w:rPr>
        <w:t>Education and Health</w:t>
      </w:r>
      <w:r w:rsidRPr="00E97D23">
        <w:rPr>
          <w:rFonts w:asciiTheme="minorHAnsi" w:hAnsiTheme="minorHAnsi" w:cstheme="minorHAnsi"/>
          <w:noProof/>
          <w:szCs w:val="22"/>
        </w:rPr>
        <w:t xml:space="preserve">, </w:t>
      </w:r>
      <w:r w:rsidRPr="00E97D23">
        <w:rPr>
          <w:rFonts w:asciiTheme="minorHAnsi" w:hAnsiTheme="minorHAnsi" w:cstheme="minorHAnsi"/>
          <w:i/>
          <w:noProof/>
          <w:szCs w:val="22"/>
        </w:rPr>
        <w:t>26</w:t>
      </w:r>
      <w:r w:rsidRPr="00E97D23">
        <w:rPr>
          <w:rFonts w:asciiTheme="minorHAnsi" w:hAnsiTheme="minorHAnsi" w:cstheme="minorHAnsi"/>
          <w:noProof/>
          <w:szCs w:val="22"/>
        </w:rPr>
        <w:t>, 23-26.</w:t>
      </w:r>
    </w:p>
    <w:p w:rsidR="00043311" w:rsidRPr="00001F8B" w:rsidRDefault="00043311" w:rsidP="008B4C8B">
      <w:pPr>
        <w:spacing w:line="240" w:lineRule="auto"/>
        <w:ind w:left="426" w:hanging="426"/>
        <w:rPr>
          <w:rFonts w:asciiTheme="minorHAnsi" w:hAnsiTheme="minorHAnsi" w:cstheme="minorHAnsi"/>
          <w:noProof/>
          <w:szCs w:val="22"/>
        </w:rPr>
      </w:pPr>
      <w:bookmarkStart w:id="256" w:name="_ENREF_49"/>
      <w:r w:rsidRPr="00001F8B">
        <w:rPr>
          <w:rFonts w:asciiTheme="minorHAnsi" w:hAnsiTheme="minorHAnsi" w:cstheme="minorHAnsi"/>
          <w:noProof/>
          <w:szCs w:val="22"/>
        </w:rPr>
        <w:t xml:space="preserve">Griffiths, M., Wardle, H., Orford, J., Sprotson, K., &amp; Erens, B. (2008). </w:t>
      </w:r>
      <w:r w:rsidRPr="00001F8B">
        <w:rPr>
          <w:rFonts w:asciiTheme="minorHAnsi" w:hAnsiTheme="minorHAnsi" w:cstheme="minorHAnsi"/>
          <w:i/>
          <w:noProof/>
          <w:szCs w:val="22"/>
        </w:rPr>
        <w:t>Internet gambling: a secondary analysis of findings from the 2007 British Gambling Prevalence Survey</w:t>
      </w:r>
      <w:r w:rsidRPr="00001F8B">
        <w:rPr>
          <w:rFonts w:asciiTheme="minorHAnsi" w:hAnsiTheme="minorHAnsi" w:cstheme="minorHAnsi"/>
          <w:noProof/>
          <w:szCs w:val="22"/>
        </w:rPr>
        <w:t xml:space="preserve">. London: Gambling Commission </w:t>
      </w:r>
      <w:bookmarkEnd w:id="256"/>
    </w:p>
    <w:p w:rsidR="00043311" w:rsidRPr="00001F8B" w:rsidRDefault="00043311" w:rsidP="008B4C8B">
      <w:pPr>
        <w:spacing w:line="240" w:lineRule="auto"/>
        <w:ind w:left="426" w:hanging="426"/>
        <w:rPr>
          <w:rFonts w:asciiTheme="minorHAnsi" w:hAnsiTheme="minorHAnsi" w:cstheme="minorHAnsi"/>
          <w:noProof/>
          <w:szCs w:val="22"/>
        </w:rPr>
      </w:pPr>
      <w:bookmarkStart w:id="257" w:name="_ENREF_50"/>
      <w:r w:rsidRPr="00001F8B">
        <w:rPr>
          <w:rFonts w:asciiTheme="minorHAnsi" w:hAnsiTheme="minorHAnsi" w:cstheme="minorHAnsi"/>
          <w:noProof/>
          <w:szCs w:val="22"/>
        </w:rPr>
        <w:t xml:space="preserve">Griffiths, M., &amp; Wood, R. (2007). Adolescent internet gambling: Preliminary results of a national survey. </w:t>
      </w:r>
      <w:r w:rsidRPr="00001F8B">
        <w:rPr>
          <w:rFonts w:asciiTheme="minorHAnsi" w:hAnsiTheme="minorHAnsi" w:cstheme="minorHAnsi"/>
          <w:i/>
          <w:noProof/>
          <w:szCs w:val="22"/>
        </w:rPr>
        <w:t>Education and Health, 25</w:t>
      </w:r>
      <w:r w:rsidRPr="00001F8B">
        <w:rPr>
          <w:rFonts w:asciiTheme="minorHAnsi" w:hAnsiTheme="minorHAnsi" w:cstheme="minorHAnsi"/>
          <w:noProof/>
          <w:szCs w:val="22"/>
        </w:rPr>
        <w:t>(2), 23-27.</w:t>
      </w:r>
      <w:bookmarkEnd w:id="257"/>
    </w:p>
    <w:p w:rsidR="00043311" w:rsidRPr="00001F8B" w:rsidRDefault="00043311" w:rsidP="008B4C8B">
      <w:pPr>
        <w:spacing w:line="240" w:lineRule="auto"/>
        <w:ind w:left="426" w:hanging="426"/>
        <w:rPr>
          <w:rFonts w:asciiTheme="minorHAnsi" w:hAnsiTheme="minorHAnsi" w:cstheme="minorHAnsi"/>
          <w:noProof/>
          <w:szCs w:val="22"/>
        </w:rPr>
      </w:pPr>
      <w:bookmarkStart w:id="258" w:name="_ENREF_51"/>
      <w:r w:rsidRPr="00001F8B">
        <w:rPr>
          <w:rFonts w:asciiTheme="minorHAnsi" w:hAnsiTheme="minorHAnsi" w:cstheme="minorHAnsi"/>
          <w:noProof/>
          <w:szCs w:val="22"/>
        </w:rPr>
        <w:t xml:space="preserve">Griffiths, M., &amp; Wood, R. T. (2000). Risk factors in adolescence: the case of gambling, videogame playing, and the internet. </w:t>
      </w:r>
      <w:r w:rsidRPr="00001F8B">
        <w:rPr>
          <w:rFonts w:asciiTheme="minorHAnsi" w:hAnsiTheme="minorHAnsi" w:cstheme="minorHAnsi"/>
          <w:i/>
          <w:noProof/>
          <w:szCs w:val="22"/>
        </w:rPr>
        <w:t>Journal of Gambling Studies, 16</w:t>
      </w:r>
      <w:r w:rsidRPr="00001F8B">
        <w:rPr>
          <w:rFonts w:asciiTheme="minorHAnsi" w:hAnsiTheme="minorHAnsi" w:cstheme="minorHAnsi"/>
          <w:noProof/>
          <w:szCs w:val="22"/>
        </w:rPr>
        <w:t>(2-3), 199-225.</w:t>
      </w:r>
      <w:bookmarkEnd w:id="258"/>
    </w:p>
    <w:p w:rsidR="00043311" w:rsidRPr="00001F8B" w:rsidRDefault="00043311" w:rsidP="008B4C8B">
      <w:pPr>
        <w:spacing w:line="240" w:lineRule="auto"/>
        <w:ind w:left="426" w:hanging="426"/>
        <w:rPr>
          <w:rFonts w:asciiTheme="minorHAnsi" w:hAnsiTheme="minorHAnsi" w:cstheme="minorHAnsi"/>
          <w:noProof/>
          <w:szCs w:val="22"/>
        </w:rPr>
      </w:pPr>
      <w:bookmarkStart w:id="259" w:name="_ENREF_52"/>
      <w:r w:rsidRPr="00001F8B">
        <w:rPr>
          <w:rFonts w:asciiTheme="minorHAnsi" w:hAnsiTheme="minorHAnsi" w:cstheme="minorHAnsi"/>
          <w:noProof/>
          <w:szCs w:val="22"/>
        </w:rPr>
        <w:lastRenderedPageBreak/>
        <w:t xml:space="preserve">Griffiths, M. D. (2009). Great Britain. In G. Meyer, T. Hayer &amp; M. Griffiths (Eds.), </w:t>
      </w:r>
      <w:r w:rsidRPr="00001F8B">
        <w:rPr>
          <w:rFonts w:asciiTheme="minorHAnsi" w:hAnsiTheme="minorHAnsi" w:cstheme="minorHAnsi"/>
          <w:i/>
          <w:noProof/>
          <w:szCs w:val="22"/>
        </w:rPr>
        <w:t>Problem Gambling in Europe: Challenges, Prevention, and Interventions.</w:t>
      </w:r>
      <w:r w:rsidRPr="00001F8B">
        <w:rPr>
          <w:rFonts w:asciiTheme="minorHAnsi" w:hAnsiTheme="minorHAnsi" w:cstheme="minorHAnsi"/>
          <w:noProof/>
          <w:szCs w:val="22"/>
        </w:rPr>
        <w:t xml:space="preserve"> New York, NY: Springer.</w:t>
      </w:r>
      <w:bookmarkEnd w:id="259"/>
    </w:p>
    <w:p w:rsidR="00043311" w:rsidRPr="00001F8B" w:rsidRDefault="00043311" w:rsidP="008B4C8B">
      <w:pPr>
        <w:spacing w:line="240" w:lineRule="auto"/>
        <w:ind w:left="426" w:hanging="426"/>
        <w:rPr>
          <w:rFonts w:asciiTheme="minorHAnsi" w:hAnsiTheme="minorHAnsi" w:cstheme="minorHAnsi"/>
          <w:noProof/>
          <w:szCs w:val="22"/>
        </w:rPr>
      </w:pPr>
      <w:bookmarkStart w:id="260" w:name="_ENREF_53"/>
      <w:r w:rsidRPr="00001F8B">
        <w:rPr>
          <w:rFonts w:asciiTheme="minorHAnsi" w:hAnsiTheme="minorHAnsi" w:cstheme="minorHAnsi"/>
          <w:noProof/>
          <w:szCs w:val="22"/>
        </w:rPr>
        <w:t xml:space="preserve">Griffiths, M. D., &amp; Parke, J. (2010). Adolescent gambling on the internet: a review. </w:t>
      </w:r>
      <w:r w:rsidRPr="00001F8B">
        <w:rPr>
          <w:rFonts w:asciiTheme="minorHAnsi" w:hAnsiTheme="minorHAnsi" w:cstheme="minorHAnsi"/>
          <w:i/>
          <w:noProof/>
          <w:szCs w:val="22"/>
        </w:rPr>
        <w:t>International Journal of Adolescent Medicine &amp; Health, 22</w:t>
      </w:r>
      <w:r w:rsidRPr="00001F8B">
        <w:rPr>
          <w:rFonts w:asciiTheme="minorHAnsi" w:hAnsiTheme="minorHAnsi" w:cstheme="minorHAnsi"/>
          <w:noProof/>
          <w:szCs w:val="22"/>
        </w:rPr>
        <w:t>(1), 59-75.</w:t>
      </w:r>
      <w:bookmarkEnd w:id="260"/>
    </w:p>
    <w:p w:rsidR="00043311" w:rsidRPr="00001F8B" w:rsidRDefault="00043311" w:rsidP="008B4C8B">
      <w:pPr>
        <w:spacing w:line="240" w:lineRule="auto"/>
        <w:ind w:left="426" w:hanging="426"/>
        <w:rPr>
          <w:rFonts w:asciiTheme="minorHAnsi" w:hAnsiTheme="minorHAnsi" w:cstheme="minorHAnsi"/>
          <w:noProof/>
          <w:szCs w:val="22"/>
        </w:rPr>
      </w:pPr>
      <w:bookmarkStart w:id="261" w:name="_ENREF_54"/>
      <w:r w:rsidRPr="00001F8B">
        <w:rPr>
          <w:rFonts w:asciiTheme="minorHAnsi" w:hAnsiTheme="minorHAnsi" w:cstheme="minorHAnsi"/>
          <w:noProof/>
          <w:szCs w:val="22"/>
        </w:rPr>
        <w:t xml:space="preserve">Gupta, R., &amp; Derevensky, J. (1997). Familial and Social Influences on Juvenile Gambling Behavior. </w:t>
      </w:r>
      <w:r w:rsidRPr="00001F8B">
        <w:rPr>
          <w:rFonts w:asciiTheme="minorHAnsi" w:hAnsiTheme="minorHAnsi" w:cstheme="minorHAnsi"/>
          <w:i/>
          <w:noProof/>
          <w:szCs w:val="22"/>
        </w:rPr>
        <w:t>Journal of Gambling Studies, 13</w:t>
      </w:r>
      <w:r w:rsidRPr="00001F8B">
        <w:rPr>
          <w:rFonts w:asciiTheme="minorHAnsi" w:hAnsiTheme="minorHAnsi" w:cstheme="minorHAnsi"/>
          <w:noProof/>
          <w:szCs w:val="22"/>
        </w:rPr>
        <w:t>(3), 179-192.</w:t>
      </w:r>
      <w:bookmarkEnd w:id="261"/>
    </w:p>
    <w:p w:rsidR="00043311" w:rsidRPr="00001F8B" w:rsidRDefault="00043311" w:rsidP="008B4C8B">
      <w:pPr>
        <w:spacing w:line="240" w:lineRule="auto"/>
        <w:ind w:left="426" w:hanging="426"/>
        <w:rPr>
          <w:rFonts w:asciiTheme="minorHAnsi" w:hAnsiTheme="minorHAnsi" w:cstheme="minorHAnsi"/>
          <w:noProof/>
          <w:szCs w:val="22"/>
        </w:rPr>
      </w:pPr>
      <w:bookmarkStart w:id="262" w:name="_ENREF_55"/>
      <w:r w:rsidRPr="00001F8B">
        <w:rPr>
          <w:rFonts w:asciiTheme="minorHAnsi" w:hAnsiTheme="minorHAnsi" w:cstheme="minorHAnsi"/>
          <w:noProof/>
          <w:szCs w:val="22"/>
        </w:rPr>
        <w:t xml:space="preserve">Gupta, R., &amp; Derevensky, J. (2000). Adolescents with gambling problems: From research to treatment. </w:t>
      </w:r>
      <w:r w:rsidRPr="00001F8B">
        <w:rPr>
          <w:rFonts w:asciiTheme="minorHAnsi" w:hAnsiTheme="minorHAnsi" w:cstheme="minorHAnsi"/>
          <w:i/>
          <w:noProof/>
          <w:szCs w:val="22"/>
        </w:rPr>
        <w:t>Journal of Gambling Studies, 16</w:t>
      </w:r>
      <w:r w:rsidRPr="00001F8B">
        <w:rPr>
          <w:rFonts w:asciiTheme="minorHAnsi" w:hAnsiTheme="minorHAnsi" w:cstheme="minorHAnsi"/>
          <w:noProof/>
          <w:szCs w:val="22"/>
        </w:rPr>
        <w:t>(2/3), 315-342.</w:t>
      </w:r>
      <w:bookmarkEnd w:id="262"/>
    </w:p>
    <w:p w:rsidR="00043311" w:rsidRPr="00001F8B" w:rsidRDefault="00043311" w:rsidP="008B4C8B">
      <w:pPr>
        <w:spacing w:line="240" w:lineRule="auto"/>
        <w:ind w:left="426" w:hanging="426"/>
        <w:rPr>
          <w:rFonts w:asciiTheme="minorHAnsi" w:hAnsiTheme="minorHAnsi" w:cstheme="minorHAnsi"/>
          <w:noProof/>
          <w:szCs w:val="22"/>
        </w:rPr>
      </w:pPr>
      <w:bookmarkStart w:id="263" w:name="_ENREF_56"/>
      <w:r w:rsidRPr="00001F8B">
        <w:rPr>
          <w:rFonts w:asciiTheme="minorHAnsi" w:hAnsiTheme="minorHAnsi" w:cstheme="minorHAnsi"/>
          <w:noProof/>
          <w:szCs w:val="22"/>
        </w:rPr>
        <w:t xml:space="preserve">Gupta, R., &amp; Derevensky, J. L. (1998a). Adolescent Gambling Behavior: A Prevalence Study and Examination of the Correlates Associated with Problem Gambling. </w:t>
      </w:r>
      <w:r w:rsidRPr="00001F8B">
        <w:rPr>
          <w:rFonts w:asciiTheme="minorHAnsi" w:hAnsiTheme="minorHAnsi" w:cstheme="minorHAnsi"/>
          <w:i/>
          <w:noProof/>
          <w:szCs w:val="22"/>
        </w:rPr>
        <w:t>Journal of Gambling Studies, 14</w:t>
      </w:r>
      <w:r w:rsidRPr="00001F8B">
        <w:rPr>
          <w:rFonts w:asciiTheme="minorHAnsi" w:hAnsiTheme="minorHAnsi" w:cstheme="minorHAnsi"/>
          <w:noProof/>
          <w:szCs w:val="22"/>
        </w:rPr>
        <w:t>(4), 319-345.</w:t>
      </w:r>
      <w:bookmarkEnd w:id="263"/>
    </w:p>
    <w:p w:rsidR="00043311" w:rsidRPr="00001F8B" w:rsidRDefault="00043311" w:rsidP="008B4C8B">
      <w:pPr>
        <w:spacing w:line="240" w:lineRule="auto"/>
        <w:ind w:left="426" w:hanging="426"/>
        <w:rPr>
          <w:rFonts w:asciiTheme="minorHAnsi" w:hAnsiTheme="minorHAnsi" w:cstheme="minorHAnsi"/>
          <w:noProof/>
          <w:szCs w:val="22"/>
        </w:rPr>
      </w:pPr>
      <w:bookmarkStart w:id="264" w:name="_ENREF_57"/>
      <w:r w:rsidRPr="00001F8B">
        <w:rPr>
          <w:rFonts w:asciiTheme="minorHAnsi" w:hAnsiTheme="minorHAnsi" w:cstheme="minorHAnsi"/>
          <w:noProof/>
          <w:szCs w:val="22"/>
        </w:rPr>
        <w:t xml:space="preserve">Gupta, R., &amp; Derevensky, J. L. (1998b). An Empirical Examinination of Jacobs' General Theory of Addictions: Do Adolescent Gamblers Fit the Theory? </w:t>
      </w:r>
      <w:r w:rsidRPr="00001F8B">
        <w:rPr>
          <w:rFonts w:asciiTheme="minorHAnsi" w:hAnsiTheme="minorHAnsi" w:cstheme="minorHAnsi"/>
          <w:i/>
          <w:noProof/>
          <w:szCs w:val="22"/>
        </w:rPr>
        <w:t>Journal of Gambling Studies, 14</w:t>
      </w:r>
      <w:r w:rsidRPr="00001F8B">
        <w:rPr>
          <w:rFonts w:asciiTheme="minorHAnsi" w:hAnsiTheme="minorHAnsi" w:cstheme="minorHAnsi"/>
          <w:noProof/>
          <w:szCs w:val="22"/>
        </w:rPr>
        <w:t>(1), 17-49.</w:t>
      </w:r>
      <w:bookmarkEnd w:id="264"/>
    </w:p>
    <w:p w:rsidR="00043311" w:rsidRPr="00001F8B" w:rsidRDefault="00043311" w:rsidP="008B4C8B">
      <w:pPr>
        <w:spacing w:line="240" w:lineRule="auto"/>
        <w:ind w:left="426" w:hanging="426"/>
        <w:rPr>
          <w:rFonts w:asciiTheme="minorHAnsi" w:hAnsiTheme="minorHAnsi" w:cstheme="minorHAnsi"/>
          <w:noProof/>
          <w:szCs w:val="22"/>
        </w:rPr>
      </w:pPr>
      <w:bookmarkStart w:id="265" w:name="_ENREF_58"/>
      <w:r w:rsidRPr="00001F8B">
        <w:rPr>
          <w:rFonts w:asciiTheme="minorHAnsi" w:hAnsiTheme="minorHAnsi" w:cstheme="minorHAnsi"/>
          <w:noProof/>
          <w:szCs w:val="22"/>
        </w:rPr>
        <w:t xml:space="preserve">Guttenbeil-Po'uhila, Y., Hand, J., Htay, T., &amp; Tu'itahi, S. (2004). </w:t>
      </w:r>
      <w:r w:rsidRPr="00001F8B">
        <w:rPr>
          <w:rFonts w:asciiTheme="minorHAnsi" w:hAnsiTheme="minorHAnsi" w:cstheme="minorHAnsi"/>
          <w:i/>
          <w:noProof/>
          <w:szCs w:val="22"/>
        </w:rPr>
        <w:t>Gambling issues in the Auckland Tongan community: Palopalema 'o e Va'inga Pa'anga 'i he K'ainga Tonga 'i' Aokalani</w:t>
      </w:r>
      <w:r w:rsidRPr="00001F8B">
        <w:rPr>
          <w:rFonts w:asciiTheme="minorHAnsi" w:hAnsiTheme="minorHAnsi" w:cstheme="minorHAnsi"/>
          <w:noProof/>
          <w:szCs w:val="22"/>
        </w:rPr>
        <w:t>. Auckland: The Health Research Council of New Zealand.</w:t>
      </w:r>
      <w:bookmarkEnd w:id="265"/>
    </w:p>
    <w:p w:rsidR="00043311" w:rsidRPr="00001F8B" w:rsidRDefault="00043311" w:rsidP="008B4C8B">
      <w:pPr>
        <w:spacing w:line="240" w:lineRule="auto"/>
        <w:ind w:left="426" w:hanging="426"/>
        <w:rPr>
          <w:rFonts w:asciiTheme="minorHAnsi" w:hAnsiTheme="minorHAnsi" w:cstheme="minorHAnsi"/>
          <w:noProof/>
          <w:szCs w:val="22"/>
        </w:rPr>
      </w:pPr>
      <w:bookmarkStart w:id="266" w:name="_ENREF_59"/>
      <w:r w:rsidRPr="00001F8B">
        <w:rPr>
          <w:rFonts w:asciiTheme="minorHAnsi" w:hAnsiTheme="minorHAnsi" w:cstheme="minorHAnsi"/>
          <w:noProof/>
          <w:szCs w:val="22"/>
        </w:rPr>
        <w:t xml:space="preserve">Hardoon, K., Derevensky, J., &amp; Gupta, R. (2002). </w:t>
      </w:r>
      <w:r w:rsidRPr="00001F8B">
        <w:rPr>
          <w:rFonts w:asciiTheme="minorHAnsi" w:hAnsiTheme="minorHAnsi" w:cstheme="minorHAnsi"/>
          <w:i/>
          <w:noProof/>
          <w:szCs w:val="22"/>
        </w:rPr>
        <w:t>An Examination of the Influence of Familial, Emotional, Conduct, and Cognitive Problems, and Hyperactivity upon Youth Risk-taking and Adolescent Gambling Problems</w:t>
      </w:r>
      <w:r w:rsidRPr="00001F8B">
        <w:rPr>
          <w:rFonts w:asciiTheme="minorHAnsi" w:hAnsiTheme="minorHAnsi" w:cstheme="minorHAnsi"/>
          <w:noProof/>
          <w:szCs w:val="22"/>
        </w:rPr>
        <w:t>. Ontario: Ontario Problem Gambling Research Centre.</w:t>
      </w:r>
      <w:bookmarkEnd w:id="266"/>
    </w:p>
    <w:p w:rsidR="00043311" w:rsidRPr="00001F8B" w:rsidRDefault="00043311" w:rsidP="008B4C8B">
      <w:pPr>
        <w:spacing w:line="240" w:lineRule="auto"/>
        <w:ind w:left="426" w:hanging="426"/>
        <w:rPr>
          <w:rFonts w:asciiTheme="minorHAnsi" w:hAnsiTheme="minorHAnsi" w:cstheme="minorHAnsi"/>
          <w:noProof/>
          <w:szCs w:val="22"/>
        </w:rPr>
      </w:pPr>
      <w:bookmarkStart w:id="267" w:name="_ENREF_60"/>
      <w:r w:rsidRPr="00001F8B">
        <w:rPr>
          <w:rFonts w:asciiTheme="minorHAnsi" w:hAnsiTheme="minorHAnsi" w:cstheme="minorHAnsi"/>
          <w:noProof/>
          <w:szCs w:val="22"/>
        </w:rPr>
        <w:t xml:space="preserve">Hardoon, K. K. (2004). </w:t>
      </w:r>
      <w:r w:rsidRPr="00001F8B">
        <w:rPr>
          <w:rFonts w:asciiTheme="minorHAnsi" w:hAnsiTheme="minorHAnsi" w:cstheme="minorHAnsi"/>
          <w:i/>
          <w:noProof/>
          <w:szCs w:val="22"/>
        </w:rPr>
        <w:t>An examination of psychosocial variables involved in adolescent gambling and high-risk behaviors</w:t>
      </w:r>
      <w:r w:rsidRPr="00001F8B">
        <w:rPr>
          <w:rFonts w:asciiTheme="minorHAnsi" w:hAnsiTheme="minorHAnsi" w:cstheme="minorHAnsi"/>
          <w:noProof/>
          <w:szCs w:val="22"/>
        </w:rPr>
        <w:t>. Hardoon, Karen K : Mcgill University, Canada.Dissertation Abstract: 2004-99011-004)</w:t>
      </w:r>
      <w:bookmarkEnd w:id="267"/>
    </w:p>
    <w:p w:rsidR="00043311" w:rsidRPr="00001F8B" w:rsidRDefault="00043311" w:rsidP="008B4C8B">
      <w:pPr>
        <w:spacing w:line="240" w:lineRule="auto"/>
        <w:ind w:left="426" w:hanging="426"/>
        <w:rPr>
          <w:rFonts w:asciiTheme="minorHAnsi" w:hAnsiTheme="minorHAnsi" w:cstheme="minorHAnsi"/>
          <w:noProof/>
          <w:szCs w:val="22"/>
        </w:rPr>
      </w:pPr>
      <w:bookmarkStart w:id="268" w:name="_ENREF_61"/>
      <w:r w:rsidRPr="00001F8B">
        <w:rPr>
          <w:rFonts w:asciiTheme="minorHAnsi" w:hAnsiTheme="minorHAnsi" w:cstheme="minorHAnsi"/>
          <w:noProof/>
          <w:szCs w:val="22"/>
        </w:rPr>
        <w:t xml:space="preserve">Hardoon, K. K., &amp; Derevensky, J. L. (2002). Child and adolescent gambling behavior: Current knowledge. </w:t>
      </w:r>
      <w:r w:rsidRPr="00001F8B">
        <w:rPr>
          <w:rFonts w:asciiTheme="minorHAnsi" w:hAnsiTheme="minorHAnsi" w:cstheme="minorHAnsi"/>
          <w:i/>
          <w:noProof/>
          <w:szCs w:val="22"/>
        </w:rPr>
        <w:t>Clinical Child Psychology and Psychiatry, 7</w:t>
      </w:r>
      <w:r w:rsidRPr="00001F8B">
        <w:rPr>
          <w:rFonts w:asciiTheme="minorHAnsi" w:hAnsiTheme="minorHAnsi" w:cstheme="minorHAnsi"/>
          <w:noProof/>
          <w:szCs w:val="22"/>
        </w:rPr>
        <w:t>(2), 263-281.</w:t>
      </w:r>
      <w:bookmarkEnd w:id="268"/>
    </w:p>
    <w:p w:rsidR="00043311" w:rsidRPr="00001F8B" w:rsidRDefault="00043311" w:rsidP="008B4C8B">
      <w:pPr>
        <w:spacing w:line="240" w:lineRule="auto"/>
        <w:ind w:left="426" w:hanging="426"/>
        <w:rPr>
          <w:rFonts w:asciiTheme="minorHAnsi" w:hAnsiTheme="minorHAnsi" w:cstheme="minorHAnsi"/>
          <w:noProof/>
          <w:szCs w:val="22"/>
        </w:rPr>
      </w:pPr>
      <w:bookmarkStart w:id="269" w:name="_ENREF_62"/>
      <w:r w:rsidRPr="00001F8B">
        <w:rPr>
          <w:rFonts w:asciiTheme="minorHAnsi" w:hAnsiTheme="minorHAnsi" w:cstheme="minorHAnsi"/>
          <w:noProof/>
          <w:szCs w:val="22"/>
        </w:rPr>
        <w:t xml:space="preserve">Health Sponsorship Council. (2012). </w:t>
      </w:r>
      <w:r w:rsidRPr="00001F8B">
        <w:rPr>
          <w:rFonts w:asciiTheme="minorHAnsi" w:hAnsiTheme="minorHAnsi" w:cstheme="minorHAnsi"/>
          <w:i/>
          <w:noProof/>
          <w:szCs w:val="22"/>
        </w:rPr>
        <w:t>New Zealanders' Knowledge, Views and Experience of Gambling and Gambling Harm: Results from the 2010 Health and Lifestyles Survey.</w:t>
      </w:r>
      <w:r w:rsidRPr="00001F8B">
        <w:rPr>
          <w:rFonts w:asciiTheme="minorHAnsi" w:hAnsiTheme="minorHAnsi" w:cstheme="minorHAnsi"/>
          <w:noProof/>
          <w:szCs w:val="22"/>
        </w:rPr>
        <w:t xml:space="preserve"> Wellington, New Zealand: Health Sponsorship Council. Retrieved from Retrieved from </w:t>
      </w:r>
      <w:r w:rsidRPr="00043311">
        <w:rPr>
          <w:rFonts w:asciiTheme="minorHAnsi" w:hAnsiTheme="minorHAnsi" w:cstheme="minorHAnsi"/>
          <w:noProof/>
          <w:szCs w:val="22"/>
        </w:rPr>
        <w:t>http://www.hsc.org.nz/researchpublications.html</w:t>
      </w:r>
      <w:bookmarkEnd w:id="269"/>
    </w:p>
    <w:p w:rsidR="00043311" w:rsidRPr="00001F8B" w:rsidRDefault="00043311" w:rsidP="008B4C8B">
      <w:pPr>
        <w:spacing w:line="240" w:lineRule="auto"/>
        <w:ind w:left="426" w:hanging="426"/>
        <w:rPr>
          <w:rFonts w:asciiTheme="minorHAnsi" w:hAnsiTheme="minorHAnsi" w:cstheme="minorHAnsi"/>
          <w:noProof/>
          <w:szCs w:val="22"/>
        </w:rPr>
      </w:pPr>
      <w:bookmarkStart w:id="270" w:name="_ENREF_63"/>
      <w:r w:rsidRPr="00001F8B">
        <w:rPr>
          <w:rFonts w:asciiTheme="minorHAnsi" w:hAnsiTheme="minorHAnsi" w:cstheme="minorHAnsi"/>
          <w:noProof/>
          <w:szCs w:val="22"/>
        </w:rPr>
        <w:t xml:space="preserve">Huang, J.-H., &amp; Boyer, R. (2007). Epidemiology of youth gambling problems in Canada: a national prevalence study. </w:t>
      </w:r>
      <w:r w:rsidRPr="00001F8B">
        <w:rPr>
          <w:rFonts w:asciiTheme="minorHAnsi" w:hAnsiTheme="minorHAnsi" w:cstheme="minorHAnsi"/>
          <w:i/>
          <w:noProof/>
          <w:szCs w:val="22"/>
        </w:rPr>
        <w:t>Canadian Journal of Psychiatry - Revue Canadienne de Psychiatrie, 52</w:t>
      </w:r>
      <w:r w:rsidRPr="00001F8B">
        <w:rPr>
          <w:rFonts w:asciiTheme="minorHAnsi" w:hAnsiTheme="minorHAnsi" w:cstheme="minorHAnsi"/>
          <w:noProof/>
          <w:szCs w:val="22"/>
        </w:rPr>
        <w:t>(10), 657-665.</w:t>
      </w:r>
      <w:bookmarkEnd w:id="270"/>
    </w:p>
    <w:p w:rsidR="00043311" w:rsidRPr="00001F8B" w:rsidRDefault="00043311" w:rsidP="008B4C8B">
      <w:pPr>
        <w:spacing w:line="240" w:lineRule="auto"/>
        <w:ind w:left="426" w:hanging="426"/>
        <w:rPr>
          <w:rFonts w:asciiTheme="minorHAnsi" w:hAnsiTheme="minorHAnsi" w:cstheme="minorHAnsi"/>
          <w:noProof/>
          <w:szCs w:val="22"/>
        </w:rPr>
      </w:pPr>
      <w:bookmarkStart w:id="271" w:name="_ENREF_64"/>
      <w:r w:rsidRPr="00001F8B">
        <w:rPr>
          <w:rFonts w:asciiTheme="minorHAnsi" w:hAnsiTheme="minorHAnsi" w:cstheme="minorHAnsi"/>
          <w:noProof/>
          <w:szCs w:val="22"/>
        </w:rPr>
        <w:t xml:space="preserve">Huxley, J., &amp; Carroll, D. (1992). A survey of fruit machine gambling in adolescents. </w:t>
      </w:r>
      <w:r w:rsidRPr="00001F8B">
        <w:rPr>
          <w:rFonts w:asciiTheme="minorHAnsi" w:hAnsiTheme="minorHAnsi" w:cstheme="minorHAnsi"/>
          <w:i/>
          <w:noProof/>
          <w:szCs w:val="22"/>
        </w:rPr>
        <w:t>Journal of Gambling Studies, 8</w:t>
      </w:r>
      <w:r w:rsidRPr="00001F8B">
        <w:rPr>
          <w:rFonts w:asciiTheme="minorHAnsi" w:hAnsiTheme="minorHAnsi" w:cstheme="minorHAnsi"/>
          <w:noProof/>
          <w:szCs w:val="22"/>
        </w:rPr>
        <w:t>(2), 167-179.</w:t>
      </w:r>
      <w:bookmarkEnd w:id="271"/>
    </w:p>
    <w:p w:rsidR="00043311" w:rsidRPr="00001F8B" w:rsidRDefault="00043311" w:rsidP="008B4C8B">
      <w:pPr>
        <w:spacing w:line="240" w:lineRule="auto"/>
        <w:ind w:left="426" w:hanging="426"/>
        <w:rPr>
          <w:rFonts w:asciiTheme="minorHAnsi" w:hAnsiTheme="minorHAnsi" w:cstheme="minorHAnsi"/>
          <w:noProof/>
          <w:szCs w:val="22"/>
        </w:rPr>
      </w:pPr>
      <w:bookmarkStart w:id="272" w:name="_ENREF_65"/>
      <w:r w:rsidRPr="00001F8B">
        <w:rPr>
          <w:rFonts w:asciiTheme="minorHAnsi" w:hAnsiTheme="minorHAnsi" w:cstheme="minorHAnsi"/>
          <w:noProof/>
          <w:szCs w:val="22"/>
        </w:rPr>
        <w:t xml:space="preserve">Ipsos MORI. (2009). </w:t>
      </w:r>
      <w:r w:rsidRPr="00001F8B">
        <w:rPr>
          <w:rFonts w:asciiTheme="minorHAnsi" w:hAnsiTheme="minorHAnsi" w:cstheme="minorHAnsi"/>
          <w:i/>
          <w:noProof/>
          <w:szCs w:val="22"/>
        </w:rPr>
        <w:t>British Survey of Children, the National Lottery and Gambling 2008-09. Report of a Quantitative Survey</w:t>
      </w:r>
      <w:r w:rsidRPr="00001F8B">
        <w:rPr>
          <w:rFonts w:asciiTheme="minorHAnsi" w:hAnsiTheme="minorHAnsi" w:cstheme="minorHAnsi"/>
          <w:noProof/>
          <w:szCs w:val="22"/>
        </w:rPr>
        <w:t>. London: National Lottery Commission.</w:t>
      </w:r>
      <w:bookmarkEnd w:id="272"/>
    </w:p>
    <w:p w:rsidR="00043311" w:rsidRPr="00001F8B" w:rsidRDefault="00043311" w:rsidP="008B4C8B">
      <w:pPr>
        <w:spacing w:line="240" w:lineRule="auto"/>
        <w:ind w:left="426" w:hanging="426"/>
        <w:rPr>
          <w:rFonts w:asciiTheme="minorHAnsi" w:hAnsiTheme="minorHAnsi" w:cstheme="minorHAnsi"/>
          <w:noProof/>
          <w:szCs w:val="22"/>
        </w:rPr>
      </w:pPr>
      <w:bookmarkStart w:id="273" w:name="_ENREF_66"/>
      <w:r w:rsidRPr="00001F8B">
        <w:rPr>
          <w:rFonts w:asciiTheme="minorHAnsi" w:hAnsiTheme="minorHAnsi" w:cstheme="minorHAnsi"/>
          <w:noProof/>
          <w:szCs w:val="22"/>
        </w:rPr>
        <w:t xml:space="preserve">Ipsos MORI. (2012). </w:t>
      </w:r>
      <w:r w:rsidRPr="00001F8B">
        <w:rPr>
          <w:rFonts w:asciiTheme="minorHAnsi" w:hAnsiTheme="minorHAnsi" w:cstheme="minorHAnsi"/>
          <w:i/>
          <w:noProof/>
          <w:szCs w:val="22"/>
        </w:rPr>
        <w:t>Underage Gambling in England and Wales</w:t>
      </w:r>
      <w:r w:rsidRPr="00001F8B">
        <w:rPr>
          <w:rFonts w:asciiTheme="minorHAnsi" w:hAnsiTheme="minorHAnsi" w:cstheme="minorHAnsi"/>
          <w:noProof/>
          <w:szCs w:val="22"/>
        </w:rPr>
        <w:t>. London: National Lottery Commission.</w:t>
      </w:r>
      <w:bookmarkEnd w:id="273"/>
    </w:p>
    <w:p w:rsidR="00043311" w:rsidRPr="00001F8B" w:rsidRDefault="00043311" w:rsidP="008B4C8B">
      <w:pPr>
        <w:spacing w:line="240" w:lineRule="auto"/>
        <w:ind w:left="426" w:hanging="426"/>
        <w:rPr>
          <w:rFonts w:asciiTheme="minorHAnsi" w:hAnsiTheme="minorHAnsi" w:cstheme="minorHAnsi"/>
          <w:noProof/>
          <w:szCs w:val="22"/>
        </w:rPr>
      </w:pPr>
      <w:bookmarkStart w:id="274" w:name="_ENREF_67"/>
      <w:r w:rsidRPr="00001F8B">
        <w:rPr>
          <w:rFonts w:asciiTheme="minorHAnsi" w:hAnsiTheme="minorHAnsi" w:cstheme="minorHAnsi"/>
          <w:noProof/>
          <w:szCs w:val="22"/>
        </w:rPr>
        <w:t xml:space="preserve">Jackson, A. C., Dowling, N., Thomas, S. A., Bond, L., &amp; Patton, G. (2008). Adolescent gambling behaviour and attitudes: A prevalence study and correlates in an Australian population. </w:t>
      </w:r>
      <w:r w:rsidRPr="00001F8B">
        <w:rPr>
          <w:rFonts w:asciiTheme="minorHAnsi" w:hAnsiTheme="minorHAnsi" w:cstheme="minorHAnsi"/>
          <w:i/>
          <w:noProof/>
          <w:szCs w:val="22"/>
        </w:rPr>
        <w:t>International Journal of Mental Health and Addiction, 6</w:t>
      </w:r>
      <w:r w:rsidRPr="00001F8B">
        <w:rPr>
          <w:rFonts w:asciiTheme="minorHAnsi" w:hAnsiTheme="minorHAnsi" w:cstheme="minorHAnsi"/>
          <w:noProof/>
          <w:szCs w:val="22"/>
        </w:rPr>
        <w:t>(3), 325-352.</w:t>
      </w:r>
      <w:bookmarkEnd w:id="274"/>
    </w:p>
    <w:p w:rsidR="00043311" w:rsidRPr="00001F8B" w:rsidRDefault="00043311" w:rsidP="008B4C8B">
      <w:pPr>
        <w:spacing w:line="240" w:lineRule="auto"/>
        <w:ind w:left="426" w:hanging="426"/>
        <w:rPr>
          <w:rFonts w:asciiTheme="minorHAnsi" w:hAnsiTheme="minorHAnsi" w:cstheme="minorHAnsi"/>
          <w:noProof/>
          <w:szCs w:val="22"/>
        </w:rPr>
      </w:pPr>
      <w:bookmarkStart w:id="275" w:name="_ENREF_68"/>
      <w:r w:rsidRPr="00001F8B">
        <w:rPr>
          <w:rFonts w:asciiTheme="minorHAnsi" w:hAnsiTheme="minorHAnsi" w:cstheme="minorHAnsi"/>
          <w:noProof/>
          <w:szCs w:val="22"/>
        </w:rPr>
        <w:t xml:space="preserve">Jacobs, D. F. (2000). Juvenile gambling in North America: an analysis of long term trends and future prospects. </w:t>
      </w:r>
      <w:r w:rsidRPr="00001F8B">
        <w:rPr>
          <w:rFonts w:asciiTheme="minorHAnsi" w:hAnsiTheme="minorHAnsi" w:cstheme="minorHAnsi"/>
          <w:i/>
          <w:noProof/>
          <w:szCs w:val="22"/>
        </w:rPr>
        <w:t>Journal of Gambling Studies, 16</w:t>
      </w:r>
      <w:r w:rsidRPr="00001F8B">
        <w:rPr>
          <w:rFonts w:asciiTheme="minorHAnsi" w:hAnsiTheme="minorHAnsi" w:cstheme="minorHAnsi"/>
          <w:noProof/>
          <w:szCs w:val="22"/>
        </w:rPr>
        <w:t>(2-3), 119-152.</w:t>
      </w:r>
      <w:bookmarkEnd w:id="275"/>
    </w:p>
    <w:p w:rsidR="00043311" w:rsidRPr="00001F8B" w:rsidRDefault="00043311" w:rsidP="008B4C8B">
      <w:pPr>
        <w:spacing w:line="240" w:lineRule="auto"/>
        <w:ind w:left="426" w:hanging="426"/>
        <w:rPr>
          <w:rFonts w:asciiTheme="minorHAnsi" w:hAnsiTheme="minorHAnsi" w:cstheme="minorHAnsi"/>
          <w:noProof/>
          <w:szCs w:val="22"/>
        </w:rPr>
      </w:pPr>
      <w:bookmarkStart w:id="276" w:name="_ENREF_69"/>
      <w:r w:rsidRPr="00001F8B">
        <w:rPr>
          <w:rFonts w:asciiTheme="minorHAnsi" w:hAnsiTheme="minorHAnsi" w:cstheme="minorHAnsi"/>
          <w:noProof/>
          <w:szCs w:val="22"/>
        </w:rPr>
        <w:t xml:space="preserve">Jacobs, D. F., Marston, A. R., Singer, R. D., Widaman, K., Little, T., &amp; Veizades, J. (1989). Children of problem gamblers. </w:t>
      </w:r>
      <w:r w:rsidRPr="00001F8B">
        <w:rPr>
          <w:rFonts w:asciiTheme="minorHAnsi" w:hAnsiTheme="minorHAnsi" w:cstheme="minorHAnsi"/>
          <w:i/>
          <w:noProof/>
          <w:szCs w:val="22"/>
        </w:rPr>
        <w:t>Journal of Gambling Behavior, 5</w:t>
      </w:r>
      <w:r w:rsidRPr="00001F8B">
        <w:rPr>
          <w:rFonts w:asciiTheme="minorHAnsi" w:hAnsiTheme="minorHAnsi" w:cstheme="minorHAnsi"/>
          <w:noProof/>
          <w:szCs w:val="22"/>
        </w:rPr>
        <w:t>(4), 261-268.</w:t>
      </w:r>
      <w:bookmarkEnd w:id="276"/>
    </w:p>
    <w:p w:rsidR="00043311" w:rsidRPr="00001F8B" w:rsidRDefault="00043311" w:rsidP="008B4C8B">
      <w:pPr>
        <w:spacing w:line="240" w:lineRule="auto"/>
        <w:ind w:left="426" w:hanging="426"/>
        <w:rPr>
          <w:rFonts w:asciiTheme="minorHAnsi" w:hAnsiTheme="minorHAnsi" w:cstheme="minorHAnsi"/>
          <w:noProof/>
          <w:szCs w:val="22"/>
        </w:rPr>
      </w:pPr>
      <w:bookmarkStart w:id="277" w:name="_ENREF_70"/>
      <w:r w:rsidRPr="00001F8B">
        <w:rPr>
          <w:rFonts w:asciiTheme="minorHAnsi" w:hAnsiTheme="minorHAnsi" w:cstheme="minorHAnsi"/>
          <w:noProof/>
          <w:szCs w:val="22"/>
        </w:rPr>
        <w:lastRenderedPageBreak/>
        <w:t xml:space="preserve">Kundu, P. V., Pilver, C. E., Desai, R. A., Steinberg, M. A., Rugle, L., Krishnan-Sarin, S., et al. (2013). Gambling-related attitudes and behaviors in adolescents having received instant (scratch) lottery tickets as gifts. </w:t>
      </w:r>
      <w:r w:rsidRPr="00001F8B">
        <w:rPr>
          <w:rFonts w:asciiTheme="minorHAnsi" w:hAnsiTheme="minorHAnsi" w:cstheme="minorHAnsi"/>
          <w:i/>
          <w:noProof/>
          <w:szCs w:val="22"/>
        </w:rPr>
        <w:t>Journal of Adolescent Health, 52</w:t>
      </w:r>
      <w:r w:rsidRPr="00001F8B">
        <w:rPr>
          <w:rFonts w:asciiTheme="minorHAnsi" w:hAnsiTheme="minorHAnsi" w:cstheme="minorHAnsi"/>
          <w:noProof/>
          <w:szCs w:val="22"/>
        </w:rPr>
        <w:t>, 456-464.</w:t>
      </w:r>
      <w:bookmarkEnd w:id="277"/>
    </w:p>
    <w:p w:rsidR="00043311" w:rsidRPr="00001F8B" w:rsidRDefault="00043311" w:rsidP="008B4C8B">
      <w:pPr>
        <w:spacing w:line="240" w:lineRule="auto"/>
        <w:ind w:left="426" w:hanging="426"/>
        <w:rPr>
          <w:rFonts w:asciiTheme="minorHAnsi" w:hAnsiTheme="minorHAnsi" w:cstheme="minorHAnsi"/>
          <w:noProof/>
          <w:szCs w:val="22"/>
        </w:rPr>
      </w:pPr>
      <w:bookmarkStart w:id="278" w:name="_ENREF_71"/>
      <w:r w:rsidRPr="00001F8B">
        <w:rPr>
          <w:rFonts w:asciiTheme="minorHAnsi" w:hAnsiTheme="minorHAnsi" w:cstheme="minorHAnsi"/>
          <w:noProof/>
          <w:szCs w:val="22"/>
        </w:rPr>
        <w:t xml:space="preserve">Ladouceur, R., Boudreault, N., Jacques, C., &amp; Vitaro, F. (1999). Pathological gambling and related problems among adolescents. </w:t>
      </w:r>
      <w:r w:rsidRPr="00001F8B">
        <w:rPr>
          <w:rFonts w:asciiTheme="minorHAnsi" w:hAnsiTheme="minorHAnsi" w:cstheme="minorHAnsi"/>
          <w:i/>
          <w:noProof/>
          <w:szCs w:val="22"/>
        </w:rPr>
        <w:t>Journal of Child &amp; Adolescent Substance Abuse, 8</w:t>
      </w:r>
      <w:r w:rsidRPr="00001F8B">
        <w:rPr>
          <w:rFonts w:asciiTheme="minorHAnsi" w:hAnsiTheme="minorHAnsi" w:cstheme="minorHAnsi"/>
          <w:noProof/>
          <w:szCs w:val="22"/>
        </w:rPr>
        <w:t>(4), 55-68.</w:t>
      </w:r>
      <w:bookmarkEnd w:id="278"/>
    </w:p>
    <w:p w:rsidR="00043311" w:rsidRPr="00001F8B" w:rsidRDefault="00043311" w:rsidP="008B4C8B">
      <w:pPr>
        <w:spacing w:line="240" w:lineRule="auto"/>
        <w:ind w:left="426" w:hanging="426"/>
        <w:rPr>
          <w:rFonts w:asciiTheme="minorHAnsi" w:hAnsiTheme="minorHAnsi" w:cstheme="minorHAnsi"/>
          <w:noProof/>
          <w:szCs w:val="22"/>
        </w:rPr>
      </w:pPr>
      <w:bookmarkStart w:id="279" w:name="_ENREF_72"/>
      <w:r w:rsidRPr="00001F8B">
        <w:rPr>
          <w:rFonts w:asciiTheme="minorHAnsi" w:hAnsiTheme="minorHAnsi" w:cstheme="minorHAnsi"/>
          <w:noProof/>
          <w:szCs w:val="22"/>
        </w:rPr>
        <w:t xml:space="preserve">Ladouceur, R., Dube, D., &amp; Bujold, A. (1994). Prevalence of pathological gambling and related problems among college students in the Quebec metropolitan area. </w:t>
      </w:r>
      <w:r w:rsidRPr="00001F8B">
        <w:rPr>
          <w:rFonts w:asciiTheme="minorHAnsi" w:hAnsiTheme="minorHAnsi" w:cstheme="minorHAnsi"/>
          <w:i/>
          <w:noProof/>
          <w:szCs w:val="22"/>
        </w:rPr>
        <w:t>Canadian Journal of Psychiatry, 39</w:t>
      </w:r>
      <w:r w:rsidRPr="00001F8B">
        <w:rPr>
          <w:rFonts w:asciiTheme="minorHAnsi" w:hAnsiTheme="minorHAnsi" w:cstheme="minorHAnsi"/>
          <w:noProof/>
          <w:szCs w:val="22"/>
        </w:rPr>
        <w:t>(5), 289-293.</w:t>
      </w:r>
      <w:bookmarkEnd w:id="279"/>
    </w:p>
    <w:p w:rsidR="00043311" w:rsidRPr="00001F8B" w:rsidRDefault="00043311" w:rsidP="008B4C8B">
      <w:pPr>
        <w:spacing w:line="240" w:lineRule="auto"/>
        <w:ind w:left="426" w:hanging="426"/>
        <w:rPr>
          <w:rFonts w:asciiTheme="minorHAnsi" w:hAnsiTheme="minorHAnsi" w:cstheme="minorHAnsi"/>
          <w:noProof/>
          <w:szCs w:val="22"/>
        </w:rPr>
      </w:pPr>
      <w:bookmarkStart w:id="280" w:name="_ENREF_73"/>
      <w:r w:rsidRPr="00001F8B">
        <w:rPr>
          <w:rFonts w:asciiTheme="minorHAnsi" w:hAnsiTheme="minorHAnsi" w:cstheme="minorHAnsi"/>
          <w:noProof/>
          <w:szCs w:val="22"/>
        </w:rPr>
        <w:t xml:space="preserve">Ladouceur, R., Jacques, C., Ferland, F., &amp; Giroux, I. (1998). Parents' Attitudes and Knowledge Regarding Gambling among Youths. </w:t>
      </w:r>
      <w:r w:rsidRPr="00001F8B">
        <w:rPr>
          <w:rFonts w:asciiTheme="minorHAnsi" w:hAnsiTheme="minorHAnsi" w:cstheme="minorHAnsi"/>
          <w:i/>
          <w:noProof/>
          <w:szCs w:val="22"/>
        </w:rPr>
        <w:t>Journal of Gambling Studies, 14</w:t>
      </w:r>
      <w:r w:rsidRPr="00001F8B">
        <w:rPr>
          <w:rFonts w:asciiTheme="minorHAnsi" w:hAnsiTheme="minorHAnsi" w:cstheme="minorHAnsi"/>
          <w:noProof/>
          <w:szCs w:val="22"/>
        </w:rPr>
        <w:t>(1), 83-90.</w:t>
      </w:r>
      <w:bookmarkEnd w:id="280"/>
    </w:p>
    <w:p w:rsidR="00043311" w:rsidRPr="00001F8B" w:rsidRDefault="00043311" w:rsidP="008B4C8B">
      <w:pPr>
        <w:spacing w:line="240" w:lineRule="auto"/>
        <w:ind w:left="426" w:hanging="426"/>
        <w:rPr>
          <w:rFonts w:asciiTheme="minorHAnsi" w:hAnsiTheme="minorHAnsi" w:cstheme="minorHAnsi"/>
          <w:noProof/>
          <w:szCs w:val="22"/>
        </w:rPr>
      </w:pPr>
      <w:bookmarkStart w:id="281" w:name="_ENREF_74"/>
      <w:r w:rsidRPr="00001F8B">
        <w:rPr>
          <w:rFonts w:asciiTheme="minorHAnsi" w:hAnsiTheme="minorHAnsi" w:cstheme="minorHAnsi"/>
          <w:noProof/>
          <w:szCs w:val="22"/>
        </w:rPr>
        <w:t xml:space="preserve">Lesieur, H. (1984). </w:t>
      </w:r>
      <w:r w:rsidRPr="00001F8B">
        <w:rPr>
          <w:rFonts w:asciiTheme="minorHAnsi" w:hAnsiTheme="minorHAnsi" w:cstheme="minorHAnsi"/>
          <w:i/>
          <w:noProof/>
          <w:szCs w:val="22"/>
        </w:rPr>
        <w:t>The Chase: The Carreer of the Compulsive Gambler</w:t>
      </w:r>
      <w:r w:rsidRPr="00001F8B">
        <w:rPr>
          <w:rFonts w:asciiTheme="minorHAnsi" w:hAnsiTheme="minorHAnsi" w:cstheme="minorHAnsi"/>
          <w:noProof/>
          <w:szCs w:val="22"/>
        </w:rPr>
        <w:t>. Cambridge: Schenkman Books.</w:t>
      </w:r>
      <w:bookmarkEnd w:id="281"/>
    </w:p>
    <w:p w:rsidR="00043311" w:rsidRPr="00001F8B" w:rsidRDefault="00043311" w:rsidP="008B4C8B">
      <w:pPr>
        <w:spacing w:line="240" w:lineRule="auto"/>
        <w:ind w:left="426" w:hanging="426"/>
        <w:rPr>
          <w:rFonts w:asciiTheme="minorHAnsi" w:hAnsiTheme="minorHAnsi" w:cstheme="minorHAnsi"/>
          <w:noProof/>
          <w:szCs w:val="22"/>
        </w:rPr>
      </w:pPr>
      <w:bookmarkStart w:id="282" w:name="_ENREF_75"/>
      <w:r w:rsidRPr="00001F8B">
        <w:rPr>
          <w:rFonts w:asciiTheme="minorHAnsi" w:hAnsiTheme="minorHAnsi" w:cstheme="minorHAnsi"/>
          <w:noProof/>
          <w:szCs w:val="22"/>
        </w:rPr>
        <w:t xml:space="preserve">Lesieur, H. R., Cross, J., Frank, M., Welch, M., White, C. M., Rubenstein, G., et al. (1991). Gambling and pathological gambling among university students. </w:t>
      </w:r>
      <w:r w:rsidRPr="00001F8B">
        <w:rPr>
          <w:rFonts w:asciiTheme="minorHAnsi" w:hAnsiTheme="minorHAnsi" w:cstheme="minorHAnsi"/>
          <w:i/>
          <w:noProof/>
          <w:szCs w:val="22"/>
        </w:rPr>
        <w:t>Addictive Behaviors, 16</w:t>
      </w:r>
      <w:r w:rsidRPr="00001F8B">
        <w:rPr>
          <w:rFonts w:asciiTheme="minorHAnsi" w:hAnsiTheme="minorHAnsi" w:cstheme="minorHAnsi"/>
          <w:noProof/>
          <w:szCs w:val="22"/>
        </w:rPr>
        <w:t>(6), 517-527.</w:t>
      </w:r>
      <w:bookmarkEnd w:id="282"/>
    </w:p>
    <w:p w:rsidR="00043311" w:rsidRPr="00001F8B" w:rsidRDefault="00043311" w:rsidP="008B4C8B">
      <w:pPr>
        <w:spacing w:line="240" w:lineRule="auto"/>
        <w:ind w:left="426" w:hanging="426"/>
        <w:rPr>
          <w:rFonts w:asciiTheme="minorHAnsi" w:hAnsiTheme="minorHAnsi" w:cstheme="minorHAnsi"/>
          <w:noProof/>
          <w:szCs w:val="22"/>
        </w:rPr>
      </w:pPr>
      <w:bookmarkStart w:id="283" w:name="_ENREF_76"/>
      <w:r w:rsidRPr="00001F8B">
        <w:rPr>
          <w:rFonts w:asciiTheme="minorHAnsi" w:hAnsiTheme="minorHAnsi" w:cstheme="minorHAnsi"/>
          <w:noProof/>
          <w:szCs w:val="22"/>
        </w:rPr>
        <w:t xml:space="preserve">Lesieur, H. R., &amp; Klein, R. (1987). Pathological gambling among high school students. </w:t>
      </w:r>
      <w:r w:rsidRPr="00001F8B">
        <w:rPr>
          <w:rFonts w:asciiTheme="minorHAnsi" w:hAnsiTheme="minorHAnsi" w:cstheme="minorHAnsi"/>
          <w:i/>
          <w:noProof/>
          <w:szCs w:val="22"/>
        </w:rPr>
        <w:t>Addictive Behaviors, 12</w:t>
      </w:r>
      <w:r w:rsidRPr="00001F8B">
        <w:rPr>
          <w:rFonts w:asciiTheme="minorHAnsi" w:hAnsiTheme="minorHAnsi" w:cstheme="minorHAnsi"/>
          <w:noProof/>
          <w:szCs w:val="22"/>
        </w:rPr>
        <w:t>(2), 129-135.</w:t>
      </w:r>
      <w:bookmarkEnd w:id="283"/>
    </w:p>
    <w:p w:rsidR="00043311" w:rsidRPr="00001F8B" w:rsidRDefault="00043311" w:rsidP="008B4C8B">
      <w:pPr>
        <w:spacing w:line="240" w:lineRule="auto"/>
        <w:ind w:left="426" w:hanging="426"/>
        <w:rPr>
          <w:rFonts w:asciiTheme="minorHAnsi" w:hAnsiTheme="minorHAnsi" w:cstheme="minorHAnsi"/>
          <w:noProof/>
          <w:szCs w:val="22"/>
        </w:rPr>
      </w:pPr>
      <w:bookmarkStart w:id="284" w:name="_ENREF_77"/>
      <w:r w:rsidRPr="00001F8B">
        <w:rPr>
          <w:rFonts w:asciiTheme="minorHAnsi" w:hAnsiTheme="minorHAnsi" w:cstheme="minorHAnsi"/>
          <w:noProof/>
          <w:szCs w:val="22"/>
        </w:rPr>
        <w:t xml:space="preserve">Lussier, I., Derevensky, J. L., Gupta, R., Bergevin, T., &amp; Ellenbogen, S. (2007). Youth gambling behaviors: an examination of the role of resilience. </w:t>
      </w:r>
      <w:r w:rsidRPr="00001F8B">
        <w:rPr>
          <w:rFonts w:asciiTheme="minorHAnsi" w:hAnsiTheme="minorHAnsi" w:cstheme="minorHAnsi"/>
          <w:i/>
          <w:noProof/>
          <w:szCs w:val="22"/>
        </w:rPr>
        <w:t>Psychology of Addictive Behaviors, 21</w:t>
      </w:r>
      <w:r w:rsidRPr="00001F8B">
        <w:rPr>
          <w:rFonts w:asciiTheme="minorHAnsi" w:hAnsiTheme="minorHAnsi" w:cstheme="minorHAnsi"/>
          <w:noProof/>
          <w:szCs w:val="22"/>
        </w:rPr>
        <w:t>(2), 165-173.</w:t>
      </w:r>
      <w:bookmarkEnd w:id="284"/>
    </w:p>
    <w:p w:rsidR="00E97D23" w:rsidRPr="00E97D23" w:rsidRDefault="00E97D23" w:rsidP="008B4C8B">
      <w:pPr>
        <w:spacing w:line="240" w:lineRule="auto"/>
        <w:ind w:left="426" w:hanging="426"/>
        <w:rPr>
          <w:rFonts w:asciiTheme="minorHAnsi" w:hAnsiTheme="minorHAnsi" w:cstheme="minorHAnsi"/>
          <w:noProof/>
          <w:szCs w:val="22"/>
        </w:rPr>
      </w:pPr>
      <w:bookmarkStart w:id="285" w:name="_ENREF_78"/>
      <w:r w:rsidRPr="00E97D23">
        <w:rPr>
          <w:rFonts w:asciiTheme="minorHAnsi" w:hAnsiTheme="minorHAnsi" w:cstheme="minorHAnsi"/>
          <w:noProof/>
          <w:szCs w:val="22"/>
        </w:rPr>
        <w:t>M</w:t>
      </w:r>
      <w:r>
        <w:rPr>
          <w:rFonts w:asciiTheme="minorHAnsi" w:hAnsiTheme="minorHAnsi" w:cstheme="minorHAnsi"/>
          <w:noProof/>
          <w:szCs w:val="22"/>
        </w:rPr>
        <w:t>arotta</w:t>
      </w:r>
      <w:r w:rsidRPr="00E97D23">
        <w:rPr>
          <w:rFonts w:asciiTheme="minorHAnsi" w:hAnsiTheme="minorHAnsi" w:cstheme="minorHAnsi"/>
          <w:noProof/>
          <w:szCs w:val="22"/>
        </w:rPr>
        <w:t>, J. &amp; H</w:t>
      </w:r>
      <w:r>
        <w:rPr>
          <w:rFonts w:asciiTheme="minorHAnsi" w:hAnsiTheme="minorHAnsi" w:cstheme="minorHAnsi"/>
          <w:noProof/>
          <w:szCs w:val="22"/>
        </w:rPr>
        <w:t>ynes</w:t>
      </w:r>
      <w:r w:rsidRPr="00E97D23">
        <w:rPr>
          <w:rFonts w:asciiTheme="minorHAnsi" w:hAnsiTheme="minorHAnsi" w:cstheme="minorHAnsi"/>
          <w:noProof/>
          <w:szCs w:val="22"/>
        </w:rPr>
        <w:t xml:space="preserve">, J. </w:t>
      </w:r>
      <w:r>
        <w:rPr>
          <w:rFonts w:asciiTheme="minorHAnsi" w:hAnsiTheme="minorHAnsi" w:cstheme="minorHAnsi"/>
          <w:noProof/>
          <w:szCs w:val="22"/>
        </w:rPr>
        <w:t>(</w:t>
      </w:r>
      <w:r w:rsidRPr="00E97D23">
        <w:rPr>
          <w:rFonts w:asciiTheme="minorHAnsi" w:hAnsiTheme="minorHAnsi" w:cstheme="minorHAnsi"/>
          <w:noProof/>
          <w:szCs w:val="22"/>
        </w:rPr>
        <w:t>2003</w:t>
      </w:r>
      <w:r>
        <w:rPr>
          <w:rFonts w:asciiTheme="minorHAnsi" w:hAnsiTheme="minorHAnsi" w:cstheme="minorHAnsi"/>
          <w:noProof/>
          <w:szCs w:val="22"/>
        </w:rPr>
        <w:t>)</w:t>
      </w:r>
      <w:r w:rsidRPr="00E97D23">
        <w:rPr>
          <w:rFonts w:asciiTheme="minorHAnsi" w:hAnsiTheme="minorHAnsi" w:cstheme="minorHAnsi"/>
          <w:noProof/>
          <w:szCs w:val="22"/>
        </w:rPr>
        <w:t xml:space="preserve">. </w:t>
      </w:r>
      <w:r w:rsidRPr="00E97D23">
        <w:rPr>
          <w:rFonts w:asciiTheme="minorHAnsi" w:hAnsiTheme="minorHAnsi" w:cstheme="minorHAnsi"/>
          <w:i/>
          <w:noProof/>
          <w:szCs w:val="22"/>
        </w:rPr>
        <w:t>Problem Gambling Prevention Resource Guide for Prevention Professionals</w:t>
      </w:r>
      <w:r>
        <w:rPr>
          <w:rFonts w:asciiTheme="minorHAnsi" w:hAnsiTheme="minorHAnsi" w:cstheme="minorHAnsi"/>
          <w:i/>
          <w:noProof/>
          <w:szCs w:val="22"/>
        </w:rPr>
        <w:t>.</w:t>
      </w:r>
      <w:r w:rsidRPr="00E97D23">
        <w:rPr>
          <w:rFonts w:asciiTheme="minorHAnsi" w:hAnsiTheme="minorHAnsi" w:cstheme="minorHAnsi"/>
          <w:noProof/>
          <w:szCs w:val="22"/>
        </w:rPr>
        <w:t xml:space="preserve"> Salem: Department of Human Services, Office of Mental Health &amp; Addiction Services.</w:t>
      </w:r>
    </w:p>
    <w:p w:rsidR="00043311" w:rsidRPr="00001F8B" w:rsidRDefault="00043311" w:rsidP="008B4C8B">
      <w:pPr>
        <w:spacing w:line="240" w:lineRule="auto"/>
        <w:ind w:left="426" w:hanging="426"/>
        <w:rPr>
          <w:rFonts w:asciiTheme="minorHAnsi" w:hAnsiTheme="minorHAnsi" w:cstheme="minorHAnsi"/>
          <w:noProof/>
          <w:szCs w:val="22"/>
        </w:rPr>
      </w:pPr>
      <w:r w:rsidRPr="00001F8B">
        <w:rPr>
          <w:rFonts w:asciiTheme="minorHAnsi" w:hAnsiTheme="minorHAnsi" w:cstheme="minorHAnsi"/>
          <w:noProof/>
          <w:szCs w:val="22"/>
        </w:rPr>
        <w:t xml:space="preserve">McGowan, V., Droessler, J., Nixon, G., &amp; Grimshaw, M. (2000). </w:t>
      </w:r>
      <w:r w:rsidRPr="00001F8B">
        <w:rPr>
          <w:rFonts w:asciiTheme="minorHAnsi" w:hAnsiTheme="minorHAnsi" w:cstheme="minorHAnsi"/>
          <w:i/>
          <w:noProof/>
          <w:szCs w:val="22"/>
        </w:rPr>
        <w:t>Recent research in the socio-cultural domain of gaming and gambling: An annotated bibliography and critical overview</w:t>
      </w:r>
      <w:r w:rsidRPr="00001F8B">
        <w:rPr>
          <w:rFonts w:asciiTheme="minorHAnsi" w:hAnsiTheme="minorHAnsi" w:cstheme="minorHAnsi"/>
          <w:noProof/>
          <w:szCs w:val="22"/>
        </w:rPr>
        <w:t>. Edmonton, Alberta: The Alberta Gaming Research Institute.</w:t>
      </w:r>
      <w:bookmarkEnd w:id="285"/>
    </w:p>
    <w:p w:rsidR="00043311" w:rsidRPr="00001F8B" w:rsidRDefault="00043311" w:rsidP="008B4C8B">
      <w:pPr>
        <w:spacing w:line="240" w:lineRule="auto"/>
        <w:ind w:left="426" w:hanging="426"/>
        <w:rPr>
          <w:rFonts w:asciiTheme="minorHAnsi" w:hAnsiTheme="minorHAnsi" w:cstheme="minorHAnsi"/>
          <w:noProof/>
          <w:szCs w:val="22"/>
        </w:rPr>
      </w:pPr>
      <w:bookmarkStart w:id="286" w:name="_ENREF_79"/>
      <w:r w:rsidRPr="00001F8B">
        <w:rPr>
          <w:rFonts w:asciiTheme="minorHAnsi" w:hAnsiTheme="minorHAnsi" w:cstheme="minorHAnsi"/>
          <w:noProof/>
          <w:szCs w:val="22"/>
        </w:rPr>
        <w:t xml:space="preserve">McLaren, K. (2002). </w:t>
      </w:r>
      <w:r w:rsidRPr="00001F8B">
        <w:rPr>
          <w:rFonts w:asciiTheme="minorHAnsi" w:hAnsiTheme="minorHAnsi" w:cstheme="minorHAnsi"/>
          <w:i/>
          <w:noProof/>
          <w:szCs w:val="22"/>
        </w:rPr>
        <w:t>Youth Development Literature Review: Building strength</w:t>
      </w:r>
      <w:r w:rsidRPr="00001F8B">
        <w:rPr>
          <w:rFonts w:asciiTheme="minorHAnsi" w:hAnsiTheme="minorHAnsi" w:cstheme="minorHAnsi"/>
          <w:noProof/>
          <w:szCs w:val="22"/>
        </w:rPr>
        <w:t xml:space="preserve">. Wellington: Ministry of Youth Development. Retrieved from </w:t>
      </w:r>
      <w:r w:rsidRPr="00043311">
        <w:rPr>
          <w:rFonts w:asciiTheme="minorHAnsi" w:hAnsiTheme="minorHAnsi" w:cstheme="minorHAnsi"/>
          <w:noProof/>
          <w:szCs w:val="22"/>
        </w:rPr>
        <w:t>http://www.myd.govt.nz/documents/about-myd/publications/building-strength-youth-development-literature-review-2002.pdf</w:t>
      </w:r>
      <w:bookmarkEnd w:id="286"/>
    </w:p>
    <w:p w:rsidR="004513E9" w:rsidRPr="004513E9" w:rsidRDefault="004513E9" w:rsidP="008B4C8B">
      <w:pPr>
        <w:spacing w:line="240" w:lineRule="auto"/>
        <w:ind w:left="426" w:hanging="426"/>
        <w:rPr>
          <w:rFonts w:asciiTheme="minorHAnsi" w:hAnsiTheme="minorHAnsi" w:cstheme="minorHAnsi"/>
          <w:noProof/>
          <w:szCs w:val="22"/>
        </w:rPr>
      </w:pPr>
      <w:bookmarkStart w:id="287" w:name="_ENREF_80"/>
      <w:r>
        <w:rPr>
          <w:rFonts w:asciiTheme="minorHAnsi" w:hAnsiTheme="minorHAnsi" w:cstheme="minorHAnsi"/>
          <w:noProof/>
          <w:szCs w:val="22"/>
        </w:rPr>
        <w:t xml:space="preserve">Messerlian, C., </w:t>
      </w:r>
      <w:r w:rsidRPr="00001F8B">
        <w:rPr>
          <w:rFonts w:asciiTheme="minorHAnsi" w:hAnsiTheme="minorHAnsi" w:cstheme="minorHAnsi"/>
          <w:noProof/>
          <w:szCs w:val="22"/>
        </w:rPr>
        <w:t>Derevensky, J., Gup</w:t>
      </w:r>
      <w:r>
        <w:rPr>
          <w:rFonts w:asciiTheme="minorHAnsi" w:hAnsiTheme="minorHAnsi" w:cstheme="minorHAnsi"/>
          <w:noProof/>
          <w:szCs w:val="22"/>
        </w:rPr>
        <w:t>ta, R. (2005). Youth gamb</w:t>
      </w:r>
      <w:r w:rsidR="003F7B67">
        <w:rPr>
          <w:rFonts w:asciiTheme="minorHAnsi" w:hAnsiTheme="minorHAnsi" w:cstheme="minorHAnsi"/>
          <w:noProof/>
          <w:szCs w:val="22"/>
        </w:rPr>
        <w:t>l</w:t>
      </w:r>
      <w:r>
        <w:rPr>
          <w:rFonts w:asciiTheme="minorHAnsi" w:hAnsiTheme="minorHAnsi" w:cstheme="minorHAnsi"/>
          <w:noProof/>
          <w:szCs w:val="22"/>
        </w:rPr>
        <w:t xml:space="preserve">ing problems: a public health perspective. </w:t>
      </w:r>
      <w:r>
        <w:rPr>
          <w:rFonts w:asciiTheme="minorHAnsi" w:hAnsiTheme="minorHAnsi" w:cstheme="minorHAnsi"/>
          <w:i/>
          <w:noProof/>
          <w:szCs w:val="22"/>
        </w:rPr>
        <w:t>Health Promotion International, 20</w:t>
      </w:r>
      <w:r>
        <w:rPr>
          <w:rFonts w:asciiTheme="minorHAnsi" w:hAnsiTheme="minorHAnsi" w:cstheme="minorHAnsi"/>
          <w:noProof/>
          <w:szCs w:val="22"/>
        </w:rPr>
        <w:t xml:space="preserve">(1), 69-79. </w:t>
      </w:r>
    </w:p>
    <w:p w:rsidR="006536C4" w:rsidRDefault="006536C4" w:rsidP="008B4C8B">
      <w:pPr>
        <w:spacing w:line="240" w:lineRule="auto"/>
        <w:ind w:left="426" w:hanging="426"/>
        <w:rPr>
          <w:rFonts w:ascii="Calibri" w:hAnsi="Calibri"/>
          <w:noProof/>
        </w:rPr>
      </w:pPr>
      <w:r>
        <w:rPr>
          <w:rFonts w:ascii="Calibri" w:hAnsi="Calibri"/>
          <w:noProof/>
        </w:rPr>
        <w:t xml:space="preserve">Milfont, T. L., Merry, S., Robinson, E., Denny, S., Crengle, S., &amp; Ameratunga, S. (2008). Evaluating the short form of the Reynolds Adolescent Depression Scale in New Zealand adolescents. </w:t>
      </w:r>
      <w:r>
        <w:rPr>
          <w:rFonts w:ascii="Calibri" w:hAnsi="Calibri"/>
          <w:i/>
          <w:noProof/>
        </w:rPr>
        <w:t>Aust N Z J Psychiatry, 42</w:t>
      </w:r>
      <w:r>
        <w:rPr>
          <w:rFonts w:ascii="Calibri" w:hAnsi="Calibri"/>
          <w:noProof/>
        </w:rPr>
        <w:t>(11), 950-954. doi: 904595009 [pii]</w:t>
      </w:r>
    </w:p>
    <w:p w:rsidR="00043311" w:rsidRPr="00001F8B" w:rsidRDefault="00043311" w:rsidP="008B4C8B">
      <w:pPr>
        <w:spacing w:line="240" w:lineRule="auto"/>
        <w:ind w:left="426" w:hanging="426"/>
        <w:rPr>
          <w:rFonts w:asciiTheme="minorHAnsi" w:hAnsiTheme="minorHAnsi" w:cstheme="minorHAnsi"/>
          <w:noProof/>
          <w:szCs w:val="22"/>
        </w:rPr>
      </w:pPr>
      <w:r w:rsidRPr="00001F8B">
        <w:rPr>
          <w:rFonts w:asciiTheme="minorHAnsi" w:hAnsiTheme="minorHAnsi" w:cstheme="minorHAnsi"/>
          <w:noProof/>
          <w:szCs w:val="22"/>
        </w:rPr>
        <w:t xml:space="preserve">Ministry of Health. (2006). </w:t>
      </w:r>
      <w:r w:rsidRPr="00001F8B">
        <w:rPr>
          <w:rFonts w:asciiTheme="minorHAnsi" w:hAnsiTheme="minorHAnsi" w:cstheme="minorHAnsi"/>
          <w:i/>
          <w:noProof/>
          <w:szCs w:val="22"/>
        </w:rPr>
        <w:t>Problem Gambling in New Zealand: Analysis of the 2002/03 New Zealand Health Survey</w:t>
      </w:r>
      <w:r w:rsidRPr="00001F8B">
        <w:rPr>
          <w:rFonts w:asciiTheme="minorHAnsi" w:hAnsiTheme="minorHAnsi" w:cstheme="minorHAnsi"/>
          <w:noProof/>
          <w:szCs w:val="22"/>
        </w:rPr>
        <w:t>. Wellington: Ministry of Health.</w:t>
      </w:r>
      <w:bookmarkEnd w:id="287"/>
    </w:p>
    <w:p w:rsidR="00043311" w:rsidRPr="00001F8B" w:rsidRDefault="00043311" w:rsidP="008B4C8B">
      <w:pPr>
        <w:spacing w:line="240" w:lineRule="auto"/>
        <w:ind w:left="426" w:hanging="426"/>
        <w:rPr>
          <w:rFonts w:asciiTheme="minorHAnsi" w:hAnsiTheme="minorHAnsi" w:cstheme="minorHAnsi"/>
          <w:noProof/>
          <w:szCs w:val="22"/>
        </w:rPr>
      </w:pPr>
      <w:bookmarkStart w:id="288" w:name="_ENREF_81"/>
      <w:r w:rsidRPr="00001F8B">
        <w:rPr>
          <w:rFonts w:asciiTheme="minorHAnsi" w:hAnsiTheme="minorHAnsi" w:cstheme="minorHAnsi"/>
          <w:noProof/>
          <w:szCs w:val="22"/>
        </w:rPr>
        <w:t xml:space="preserve">Ministry of Health. (2008). </w:t>
      </w:r>
      <w:r w:rsidRPr="00001F8B">
        <w:rPr>
          <w:rFonts w:asciiTheme="minorHAnsi" w:hAnsiTheme="minorHAnsi" w:cstheme="minorHAnsi"/>
          <w:i/>
          <w:noProof/>
          <w:szCs w:val="22"/>
        </w:rPr>
        <w:t>A Portrait of Health. Key Results of the 2006/07 New Zealand Health Survey</w:t>
      </w:r>
      <w:r w:rsidRPr="00001F8B">
        <w:rPr>
          <w:rFonts w:asciiTheme="minorHAnsi" w:hAnsiTheme="minorHAnsi" w:cstheme="minorHAnsi"/>
          <w:noProof/>
          <w:szCs w:val="22"/>
        </w:rPr>
        <w:t>. Wellington: Ministry of Health.</w:t>
      </w:r>
      <w:bookmarkEnd w:id="288"/>
    </w:p>
    <w:p w:rsidR="00043311" w:rsidRPr="00001F8B" w:rsidRDefault="00043311" w:rsidP="008B4C8B">
      <w:pPr>
        <w:spacing w:line="240" w:lineRule="auto"/>
        <w:ind w:left="426" w:hanging="426"/>
        <w:rPr>
          <w:rFonts w:asciiTheme="minorHAnsi" w:hAnsiTheme="minorHAnsi" w:cstheme="minorHAnsi"/>
          <w:noProof/>
          <w:szCs w:val="22"/>
        </w:rPr>
      </w:pPr>
      <w:bookmarkStart w:id="289" w:name="_ENREF_82"/>
      <w:r w:rsidRPr="00001F8B">
        <w:rPr>
          <w:rFonts w:asciiTheme="minorHAnsi" w:hAnsiTheme="minorHAnsi" w:cstheme="minorHAnsi"/>
          <w:noProof/>
          <w:szCs w:val="22"/>
        </w:rPr>
        <w:t xml:space="preserve">Ministry of Health. (2009). </w:t>
      </w:r>
      <w:r w:rsidRPr="00001F8B">
        <w:rPr>
          <w:rFonts w:asciiTheme="minorHAnsi" w:hAnsiTheme="minorHAnsi" w:cstheme="minorHAnsi"/>
          <w:i/>
          <w:noProof/>
          <w:szCs w:val="22"/>
        </w:rPr>
        <w:t>A Focus on Problem Gambling: Results of the 2006/07 New Zealand Health Survey</w:t>
      </w:r>
      <w:r w:rsidRPr="00001F8B">
        <w:rPr>
          <w:rFonts w:asciiTheme="minorHAnsi" w:hAnsiTheme="minorHAnsi" w:cstheme="minorHAnsi"/>
          <w:noProof/>
          <w:szCs w:val="22"/>
        </w:rPr>
        <w:t>. Wellington: Ministry of Health.</w:t>
      </w:r>
      <w:bookmarkEnd w:id="289"/>
    </w:p>
    <w:p w:rsidR="00043311" w:rsidRPr="00001F8B" w:rsidRDefault="00043311" w:rsidP="008B4C8B">
      <w:pPr>
        <w:spacing w:line="240" w:lineRule="auto"/>
        <w:ind w:left="426" w:hanging="426"/>
        <w:rPr>
          <w:rFonts w:asciiTheme="minorHAnsi" w:hAnsiTheme="minorHAnsi" w:cstheme="minorHAnsi"/>
          <w:noProof/>
          <w:szCs w:val="22"/>
        </w:rPr>
      </w:pPr>
      <w:bookmarkStart w:id="290" w:name="_ENREF_83"/>
      <w:r w:rsidRPr="00001F8B">
        <w:rPr>
          <w:rFonts w:asciiTheme="minorHAnsi" w:hAnsiTheme="minorHAnsi" w:cstheme="minorHAnsi"/>
          <w:noProof/>
          <w:szCs w:val="22"/>
        </w:rPr>
        <w:t xml:space="preserve">Molde, H., Pallesen, S., Bartone, P., Hystad, S., &amp; Johnsen, B. H. (2009). Prevalence and correlates of gambling among 16 to 19-year-old adolescents in Norway. </w:t>
      </w:r>
      <w:r w:rsidRPr="00001F8B">
        <w:rPr>
          <w:rFonts w:asciiTheme="minorHAnsi" w:hAnsiTheme="minorHAnsi" w:cstheme="minorHAnsi"/>
          <w:i/>
          <w:noProof/>
          <w:szCs w:val="22"/>
        </w:rPr>
        <w:t>Scandinavian Journal of Psychology, 50</w:t>
      </w:r>
      <w:r w:rsidRPr="00001F8B">
        <w:rPr>
          <w:rFonts w:asciiTheme="minorHAnsi" w:hAnsiTheme="minorHAnsi" w:cstheme="minorHAnsi"/>
          <w:noProof/>
          <w:szCs w:val="22"/>
        </w:rPr>
        <w:t>, 55-64.</w:t>
      </w:r>
      <w:bookmarkEnd w:id="290"/>
    </w:p>
    <w:p w:rsidR="00043311" w:rsidRPr="00001F8B" w:rsidRDefault="00043311" w:rsidP="008B4C8B">
      <w:pPr>
        <w:spacing w:line="240" w:lineRule="auto"/>
        <w:ind w:left="426" w:hanging="426"/>
        <w:rPr>
          <w:rFonts w:asciiTheme="minorHAnsi" w:hAnsiTheme="minorHAnsi" w:cstheme="minorHAnsi"/>
          <w:noProof/>
          <w:szCs w:val="22"/>
        </w:rPr>
      </w:pPr>
      <w:bookmarkStart w:id="291" w:name="_ENREF_84"/>
      <w:r w:rsidRPr="00001F8B">
        <w:rPr>
          <w:rFonts w:asciiTheme="minorHAnsi" w:hAnsiTheme="minorHAnsi" w:cstheme="minorHAnsi"/>
          <w:noProof/>
          <w:szCs w:val="22"/>
        </w:rPr>
        <w:t xml:space="preserve">Moodie, C., &amp; Finnigan, F. (2006). Prevalence and correlates of youth gambling in Scotland. </w:t>
      </w:r>
      <w:r w:rsidRPr="00001F8B">
        <w:rPr>
          <w:rFonts w:asciiTheme="minorHAnsi" w:hAnsiTheme="minorHAnsi" w:cstheme="minorHAnsi"/>
          <w:i/>
          <w:noProof/>
          <w:szCs w:val="22"/>
        </w:rPr>
        <w:t>Addiction Research &amp; Theory, 14</w:t>
      </w:r>
      <w:r w:rsidRPr="00001F8B">
        <w:rPr>
          <w:rFonts w:asciiTheme="minorHAnsi" w:hAnsiTheme="minorHAnsi" w:cstheme="minorHAnsi"/>
          <w:noProof/>
          <w:szCs w:val="22"/>
        </w:rPr>
        <w:t>(4), 365-385.</w:t>
      </w:r>
      <w:bookmarkEnd w:id="291"/>
    </w:p>
    <w:p w:rsidR="00043311" w:rsidRPr="00001F8B" w:rsidRDefault="00043311" w:rsidP="008B4C8B">
      <w:pPr>
        <w:spacing w:line="240" w:lineRule="auto"/>
        <w:ind w:left="426" w:hanging="426"/>
        <w:rPr>
          <w:rFonts w:asciiTheme="minorHAnsi" w:hAnsiTheme="minorHAnsi" w:cstheme="minorHAnsi"/>
          <w:noProof/>
          <w:szCs w:val="22"/>
        </w:rPr>
      </w:pPr>
      <w:bookmarkStart w:id="292" w:name="_ENREF_85"/>
      <w:r w:rsidRPr="00001F8B">
        <w:rPr>
          <w:rFonts w:asciiTheme="minorHAnsi" w:hAnsiTheme="minorHAnsi" w:cstheme="minorHAnsi"/>
          <w:noProof/>
          <w:szCs w:val="22"/>
        </w:rPr>
        <w:lastRenderedPageBreak/>
        <w:t xml:space="preserve">Moore, S. M., &amp; Ohtsuka, K. (1997). Gambling activities of young Australians: developing a model of behaviour. </w:t>
      </w:r>
      <w:r w:rsidRPr="00001F8B">
        <w:rPr>
          <w:rFonts w:asciiTheme="minorHAnsi" w:hAnsiTheme="minorHAnsi" w:cstheme="minorHAnsi"/>
          <w:i/>
          <w:noProof/>
          <w:szCs w:val="22"/>
        </w:rPr>
        <w:t>Journal of Gambling Studies, 13</w:t>
      </w:r>
      <w:r w:rsidRPr="00001F8B">
        <w:rPr>
          <w:rFonts w:asciiTheme="minorHAnsi" w:hAnsiTheme="minorHAnsi" w:cstheme="minorHAnsi"/>
          <w:noProof/>
          <w:szCs w:val="22"/>
        </w:rPr>
        <w:t>(3), 207-236.</w:t>
      </w:r>
      <w:bookmarkEnd w:id="292"/>
    </w:p>
    <w:p w:rsidR="00043311" w:rsidRPr="00001F8B" w:rsidRDefault="00043311" w:rsidP="008B4C8B">
      <w:pPr>
        <w:spacing w:line="240" w:lineRule="auto"/>
        <w:ind w:left="426" w:hanging="426"/>
        <w:rPr>
          <w:rFonts w:asciiTheme="minorHAnsi" w:hAnsiTheme="minorHAnsi" w:cstheme="minorHAnsi"/>
          <w:noProof/>
          <w:szCs w:val="22"/>
        </w:rPr>
      </w:pPr>
      <w:bookmarkStart w:id="293" w:name="_ENREF_86"/>
      <w:r w:rsidRPr="00001F8B">
        <w:rPr>
          <w:rFonts w:asciiTheme="minorHAnsi" w:hAnsiTheme="minorHAnsi" w:cstheme="minorHAnsi"/>
          <w:noProof/>
          <w:szCs w:val="22"/>
        </w:rPr>
        <w:t xml:space="preserve">Moore, S. M., &amp; Ohtsuka, K. (1999). Beliefs about control over gambling among young people, and their relation to problem gambling. </w:t>
      </w:r>
      <w:r w:rsidRPr="00001F8B">
        <w:rPr>
          <w:rFonts w:asciiTheme="minorHAnsi" w:hAnsiTheme="minorHAnsi" w:cstheme="minorHAnsi"/>
          <w:i/>
          <w:noProof/>
          <w:szCs w:val="22"/>
        </w:rPr>
        <w:t>Psychology of Addictive Behaviors, 13</w:t>
      </w:r>
      <w:r w:rsidRPr="00001F8B">
        <w:rPr>
          <w:rFonts w:asciiTheme="minorHAnsi" w:hAnsiTheme="minorHAnsi" w:cstheme="minorHAnsi"/>
          <w:noProof/>
          <w:szCs w:val="22"/>
        </w:rPr>
        <w:t>(4), 339-347.</w:t>
      </w:r>
      <w:bookmarkEnd w:id="293"/>
    </w:p>
    <w:p w:rsidR="00043311" w:rsidRPr="00001F8B" w:rsidRDefault="00043311" w:rsidP="008B4C8B">
      <w:pPr>
        <w:spacing w:line="240" w:lineRule="auto"/>
        <w:ind w:left="426" w:hanging="426"/>
        <w:rPr>
          <w:rFonts w:asciiTheme="minorHAnsi" w:hAnsiTheme="minorHAnsi" w:cstheme="minorHAnsi"/>
          <w:noProof/>
          <w:szCs w:val="22"/>
        </w:rPr>
      </w:pPr>
      <w:bookmarkStart w:id="294" w:name="_ENREF_87"/>
      <w:r w:rsidRPr="00001F8B">
        <w:rPr>
          <w:rFonts w:asciiTheme="minorHAnsi" w:hAnsiTheme="minorHAnsi" w:cstheme="minorHAnsi"/>
          <w:noProof/>
          <w:szCs w:val="22"/>
        </w:rPr>
        <w:t xml:space="preserve">Mrazek, P., &amp; Haggerty, R. (1994). </w:t>
      </w:r>
      <w:r w:rsidRPr="00001F8B">
        <w:rPr>
          <w:rFonts w:asciiTheme="minorHAnsi" w:hAnsiTheme="minorHAnsi" w:cstheme="minorHAnsi"/>
          <w:i/>
          <w:noProof/>
          <w:szCs w:val="22"/>
        </w:rPr>
        <w:t>Reducing the Risks for Mental Disorders: Frontiers for Preventive Intervention Research</w:t>
      </w:r>
      <w:r w:rsidRPr="00001F8B">
        <w:rPr>
          <w:rFonts w:asciiTheme="minorHAnsi" w:hAnsiTheme="minorHAnsi" w:cstheme="minorHAnsi"/>
          <w:noProof/>
          <w:szCs w:val="22"/>
        </w:rPr>
        <w:t>. Washington DC: National Academy Press.</w:t>
      </w:r>
      <w:bookmarkEnd w:id="294"/>
    </w:p>
    <w:p w:rsidR="00043311" w:rsidRPr="00001F8B" w:rsidRDefault="00043311" w:rsidP="008B4C8B">
      <w:pPr>
        <w:spacing w:line="240" w:lineRule="auto"/>
        <w:ind w:left="426" w:hanging="426"/>
        <w:rPr>
          <w:rFonts w:asciiTheme="minorHAnsi" w:hAnsiTheme="minorHAnsi" w:cstheme="minorHAnsi"/>
          <w:noProof/>
          <w:szCs w:val="22"/>
        </w:rPr>
      </w:pPr>
      <w:bookmarkStart w:id="295" w:name="_ENREF_88"/>
      <w:r w:rsidRPr="00001F8B">
        <w:rPr>
          <w:rFonts w:asciiTheme="minorHAnsi" w:hAnsiTheme="minorHAnsi" w:cstheme="minorHAnsi"/>
          <w:noProof/>
          <w:szCs w:val="22"/>
        </w:rPr>
        <w:t xml:space="preserve">Murray, D. M. (1998). </w:t>
      </w:r>
      <w:r w:rsidRPr="00001F8B">
        <w:rPr>
          <w:rFonts w:asciiTheme="minorHAnsi" w:hAnsiTheme="minorHAnsi" w:cstheme="minorHAnsi"/>
          <w:i/>
          <w:noProof/>
          <w:szCs w:val="22"/>
        </w:rPr>
        <w:t>Design and analysis of group-randomised trials</w:t>
      </w:r>
      <w:r w:rsidRPr="00001F8B">
        <w:rPr>
          <w:rFonts w:asciiTheme="minorHAnsi" w:hAnsiTheme="minorHAnsi" w:cstheme="minorHAnsi"/>
          <w:noProof/>
          <w:szCs w:val="22"/>
        </w:rPr>
        <w:t>. New York: Oxford.</w:t>
      </w:r>
      <w:bookmarkEnd w:id="295"/>
    </w:p>
    <w:p w:rsidR="00043311" w:rsidRPr="00001F8B" w:rsidRDefault="00043311" w:rsidP="008B4C8B">
      <w:pPr>
        <w:spacing w:line="240" w:lineRule="auto"/>
        <w:ind w:left="426" w:hanging="426"/>
        <w:rPr>
          <w:rFonts w:asciiTheme="minorHAnsi" w:hAnsiTheme="minorHAnsi" w:cstheme="minorHAnsi"/>
          <w:noProof/>
          <w:szCs w:val="22"/>
        </w:rPr>
      </w:pPr>
      <w:bookmarkStart w:id="296" w:name="_ENREF_89"/>
      <w:r w:rsidRPr="00001F8B">
        <w:rPr>
          <w:rFonts w:asciiTheme="minorHAnsi" w:hAnsiTheme="minorHAnsi" w:cstheme="minorHAnsi"/>
          <w:noProof/>
          <w:szCs w:val="22"/>
        </w:rPr>
        <w:t xml:space="preserve">Nower, L. M. (2001). </w:t>
      </w:r>
      <w:r w:rsidRPr="00001F8B">
        <w:rPr>
          <w:rFonts w:asciiTheme="minorHAnsi" w:hAnsiTheme="minorHAnsi" w:cstheme="minorHAnsi"/>
          <w:i/>
          <w:noProof/>
          <w:szCs w:val="22"/>
        </w:rPr>
        <w:t>Taking risks: The relationship of impulsivity, sensation seeking, stress-coping, and substance use in youth gamblers</w:t>
      </w:r>
      <w:r w:rsidRPr="00001F8B">
        <w:rPr>
          <w:rFonts w:asciiTheme="minorHAnsi" w:hAnsiTheme="minorHAnsi" w:cstheme="minorHAnsi"/>
          <w:noProof/>
          <w:szCs w:val="22"/>
        </w:rPr>
        <w:t>. Washington University, US.Dissertation Abstract: 2001-95013-082)</w:t>
      </w:r>
      <w:bookmarkEnd w:id="296"/>
    </w:p>
    <w:p w:rsidR="00043311" w:rsidRPr="00001F8B" w:rsidRDefault="00043311" w:rsidP="008B4C8B">
      <w:pPr>
        <w:spacing w:line="240" w:lineRule="auto"/>
        <w:ind w:left="426" w:hanging="426"/>
        <w:rPr>
          <w:rFonts w:asciiTheme="minorHAnsi" w:hAnsiTheme="minorHAnsi" w:cstheme="minorHAnsi"/>
          <w:noProof/>
          <w:szCs w:val="22"/>
        </w:rPr>
      </w:pPr>
      <w:bookmarkStart w:id="297" w:name="_ENREF_90"/>
      <w:r w:rsidRPr="00001F8B">
        <w:rPr>
          <w:rFonts w:asciiTheme="minorHAnsi" w:hAnsiTheme="minorHAnsi" w:cstheme="minorHAnsi"/>
          <w:noProof/>
          <w:szCs w:val="22"/>
        </w:rPr>
        <w:t xml:space="preserve">Ólason, D. T., Skarphedinsson, G. A., Jonsdottir, J. E., Mikaelsson, M., &amp; Gretarsson, S. J. (2006). Prevalence estimates of gambling and problem gambling among 13- to 15-year-old adolescents in Reykjavík: An examination of correlates of problem gambling and different accessibility to electronic gambling machines in Iceland. </w:t>
      </w:r>
      <w:r w:rsidRPr="00001F8B">
        <w:rPr>
          <w:rFonts w:asciiTheme="minorHAnsi" w:hAnsiTheme="minorHAnsi" w:cstheme="minorHAnsi"/>
          <w:i/>
          <w:noProof/>
          <w:szCs w:val="22"/>
        </w:rPr>
        <w:t>Journal of Gambling Issues</w:t>
      </w:r>
      <w:r w:rsidRPr="00001F8B">
        <w:rPr>
          <w:rFonts w:asciiTheme="minorHAnsi" w:hAnsiTheme="minorHAnsi" w:cstheme="minorHAnsi"/>
          <w:noProof/>
          <w:szCs w:val="22"/>
        </w:rPr>
        <w:t>, 39-55.</w:t>
      </w:r>
      <w:bookmarkEnd w:id="297"/>
    </w:p>
    <w:p w:rsidR="00043311" w:rsidRPr="00001F8B" w:rsidRDefault="00043311" w:rsidP="008B4C8B">
      <w:pPr>
        <w:spacing w:line="240" w:lineRule="auto"/>
        <w:ind w:left="426" w:hanging="426"/>
        <w:rPr>
          <w:rFonts w:asciiTheme="minorHAnsi" w:hAnsiTheme="minorHAnsi" w:cstheme="minorHAnsi"/>
          <w:noProof/>
          <w:szCs w:val="22"/>
        </w:rPr>
      </w:pPr>
      <w:bookmarkStart w:id="298" w:name="_ENREF_91"/>
      <w:r w:rsidRPr="00001F8B">
        <w:rPr>
          <w:rFonts w:asciiTheme="minorHAnsi" w:hAnsiTheme="minorHAnsi" w:cstheme="minorHAnsi"/>
          <w:noProof/>
          <w:szCs w:val="22"/>
        </w:rPr>
        <w:t xml:space="preserve">Orford, J. (2011). </w:t>
      </w:r>
      <w:r w:rsidRPr="00001F8B">
        <w:rPr>
          <w:rFonts w:asciiTheme="minorHAnsi" w:hAnsiTheme="minorHAnsi" w:cstheme="minorHAnsi"/>
          <w:i/>
          <w:noProof/>
          <w:szCs w:val="22"/>
        </w:rPr>
        <w:t>An unsafe bet?: The dangerous rise of gambling and the debate we should be having.</w:t>
      </w:r>
      <w:r w:rsidRPr="00001F8B">
        <w:rPr>
          <w:rFonts w:asciiTheme="minorHAnsi" w:hAnsiTheme="minorHAnsi" w:cstheme="minorHAnsi"/>
          <w:noProof/>
          <w:szCs w:val="22"/>
        </w:rPr>
        <w:t xml:space="preserve"> Chichester: Wiley Blackwell.</w:t>
      </w:r>
      <w:bookmarkEnd w:id="298"/>
    </w:p>
    <w:p w:rsidR="00043311" w:rsidRPr="00001F8B" w:rsidRDefault="00043311" w:rsidP="008B4C8B">
      <w:pPr>
        <w:spacing w:line="240" w:lineRule="auto"/>
        <w:ind w:left="426" w:hanging="426"/>
        <w:rPr>
          <w:rFonts w:asciiTheme="minorHAnsi" w:hAnsiTheme="minorHAnsi" w:cstheme="minorHAnsi"/>
          <w:noProof/>
          <w:szCs w:val="22"/>
        </w:rPr>
      </w:pPr>
      <w:bookmarkStart w:id="299" w:name="_ENREF_92"/>
      <w:r w:rsidRPr="00001F8B">
        <w:rPr>
          <w:rFonts w:asciiTheme="minorHAnsi" w:hAnsiTheme="minorHAnsi" w:cstheme="minorHAnsi"/>
          <w:noProof/>
          <w:szCs w:val="22"/>
        </w:rPr>
        <w:t xml:space="preserve">Perese, L. (2009). </w:t>
      </w:r>
      <w:r w:rsidRPr="00001F8B">
        <w:rPr>
          <w:rFonts w:asciiTheme="minorHAnsi" w:hAnsiTheme="minorHAnsi" w:cstheme="minorHAnsi"/>
          <w:i/>
          <w:noProof/>
          <w:szCs w:val="22"/>
        </w:rPr>
        <w:t>You Bet Your Life...and Mine! Contemporary Samoan Gambling in New Zealand</w:t>
      </w:r>
      <w:r w:rsidRPr="00001F8B">
        <w:rPr>
          <w:rFonts w:asciiTheme="minorHAnsi" w:hAnsiTheme="minorHAnsi" w:cstheme="minorHAnsi"/>
          <w:noProof/>
          <w:szCs w:val="22"/>
        </w:rPr>
        <w:t>. University of Auckland, Auckland.</w:t>
      </w:r>
      <w:bookmarkEnd w:id="299"/>
    </w:p>
    <w:p w:rsidR="00043311" w:rsidRPr="00001F8B" w:rsidRDefault="00043311" w:rsidP="008B4C8B">
      <w:pPr>
        <w:spacing w:line="240" w:lineRule="auto"/>
        <w:ind w:left="426" w:hanging="426"/>
        <w:rPr>
          <w:rFonts w:asciiTheme="minorHAnsi" w:hAnsiTheme="minorHAnsi" w:cstheme="minorHAnsi"/>
          <w:noProof/>
          <w:szCs w:val="22"/>
        </w:rPr>
      </w:pPr>
      <w:bookmarkStart w:id="300" w:name="_ENREF_93"/>
      <w:r w:rsidRPr="00001F8B">
        <w:rPr>
          <w:rFonts w:asciiTheme="minorHAnsi" w:hAnsiTheme="minorHAnsi" w:cstheme="minorHAnsi"/>
          <w:noProof/>
          <w:szCs w:val="22"/>
        </w:rPr>
        <w:t xml:space="preserve">Perese, L., Bellringer, M., Williams, M., &amp; Abbott, M. (2009). Two years on: Gambling amongst Pacific mothers living in New Zealand. </w:t>
      </w:r>
      <w:r w:rsidRPr="00001F8B">
        <w:rPr>
          <w:rFonts w:asciiTheme="minorHAnsi" w:hAnsiTheme="minorHAnsi" w:cstheme="minorHAnsi"/>
          <w:i/>
          <w:noProof/>
          <w:szCs w:val="22"/>
        </w:rPr>
        <w:t>Pacific Health Dialogue, 15</w:t>
      </w:r>
      <w:r w:rsidRPr="00001F8B">
        <w:rPr>
          <w:rFonts w:asciiTheme="minorHAnsi" w:hAnsiTheme="minorHAnsi" w:cstheme="minorHAnsi"/>
          <w:noProof/>
          <w:szCs w:val="22"/>
        </w:rPr>
        <w:t>(1), 55-67.</w:t>
      </w:r>
      <w:bookmarkEnd w:id="300"/>
    </w:p>
    <w:p w:rsidR="00043311" w:rsidRPr="00001F8B" w:rsidRDefault="00043311" w:rsidP="008B4C8B">
      <w:pPr>
        <w:spacing w:line="240" w:lineRule="auto"/>
        <w:ind w:left="426" w:hanging="426"/>
        <w:rPr>
          <w:rFonts w:asciiTheme="minorHAnsi" w:hAnsiTheme="minorHAnsi" w:cstheme="minorHAnsi"/>
          <w:noProof/>
          <w:szCs w:val="22"/>
        </w:rPr>
      </w:pPr>
      <w:bookmarkStart w:id="301" w:name="_ENREF_94"/>
      <w:r w:rsidRPr="00001F8B">
        <w:rPr>
          <w:rFonts w:asciiTheme="minorHAnsi" w:hAnsiTheme="minorHAnsi" w:cstheme="minorHAnsi"/>
          <w:noProof/>
          <w:szCs w:val="22"/>
        </w:rPr>
        <w:t xml:space="preserve">Petry, N. M., Weinstock, J., Morasco, B., &amp; Ledgerwood, D. (2009). Brief motivational interventions for college student problem gamblers. </w:t>
      </w:r>
      <w:r w:rsidRPr="00001F8B">
        <w:rPr>
          <w:rFonts w:asciiTheme="minorHAnsi" w:hAnsiTheme="minorHAnsi" w:cstheme="minorHAnsi"/>
          <w:i/>
          <w:noProof/>
          <w:szCs w:val="22"/>
        </w:rPr>
        <w:t>Addiction, 104</w:t>
      </w:r>
      <w:r w:rsidRPr="00001F8B">
        <w:rPr>
          <w:rFonts w:asciiTheme="minorHAnsi" w:hAnsiTheme="minorHAnsi" w:cstheme="minorHAnsi"/>
          <w:noProof/>
          <w:szCs w:val="22"/>
        </w:rPr>
        <w:t>, 1569-1578.</w:t>
      </w:r>
      <w:bookmarkEnd w:id="301"/>
    </w:p>
    <w:p w:rsidR="00043311" w:rsidRPr="00001F8B" w:rsidRDefault="00043311" w:rsidP="008B4C8B">
      <w:pPr>
        <w:spacing w:line="240" w:lineRule="auto"/>
        <w:ind w:left="426" w:hanging="426"/>
        <w:rPr>
          <w:rFonts w:asciiTheme="minorHAnsi" w:hAnsiTheme="minorHAnsi" w:cstheme="minorHAnsi"/>
          <w:noProof/>
          <w:szCs w:val="22"/>
        </w:rPr>
      </w:pPr>
      <w:bookmarkStart w:id="302" w:name="_ENREF_95"/>
      <w:r w:rsidRPr="00001F8B">
        <w:rPr>
          <w:rFonts w:asciiTheme="minorHAnsi" w:hAnsiTheme="minorHAnsi" w:cstheme="minorHAnsi"/>
          <w:noProof/>
          <w:szCs w:val="22"/>
        </w:rPr>
        <w:t xml:space="preserve">Purdie, N., Matters, G., Hillman, K., Murphy, M., Ozolins, C., &amp; Millwood, P. (2011). </w:t>
      </w:r>
      <w:r w:rsidRPr="00001F8B">
        <w:rPr>
          <w:rFonts w:asciiTheme="minorHAnsi" w:hAnsiTheme="minorHAnsi" w:cstheme="minorHAnsi"/>
          <w:i/>
          <w:noProof/>
          <w:szCs w:val="22"/>
        </w:rPr>
        <w:t>Gambling and Young People in Australia</w:t>
      </w:r>
      <w:r w:rsidRPr="00001F8B">
        <w:rPr>
          <w:rFonts w:asciiTheme="minorHAnsi" w:hAnsiTheme="minorHAnsi" w:cstheme="minorHAnsi"/>
          <w:noProof/>
          <w:szCs w:val="22"/>
        </w:rPr>
        <w:t>. Victoria, Australia: Gambling Research Australia.</w:t>
      </w:r>
      <w:bookmarkEnd w:id="302"/>
    </w:p>
    <w:p w:rsidR="00043311" w:rsidRPr="00001F8B" w:rsidRDefault="00043311" w:rsidP="008B4C8B">
      <w:pPr>
        <w:spacing w:line="240" w:lineRule="auto"/>
        <w:ind w:left="426" w:hanging="426"/>
        <w:rPr>
          <w:rFonts w:asciiTheme="minorHAnsi" w:hAnsiTheme="minorHAnsi" w:cstheme="minorHAnsi"/>
          <w:noProof/>
          <w:szCs w:val="22"/>
        </w:rPr>
      </w:pPr>
      <w:bookmarkStart w:id="303" w:name="_ENREF_96"/>
      <w:r w:rsidRPr="00001F8B">
        <w:rPr>
          <w:rFonts w:asciiTheme="minorHAnsi" w:hAnsiTheme="minorHAnsi" w:cstheme="minorHAnsi"/>
          <w:noProof/>
          <w:szCs w:val="22"/>
        </w:rPr>
        <w:t xml:space="preserve">Raisamo, S., Halme, J., Murto, A., &amp; Lintonen, T. (2013). Gambling-related harms among adolescents: A population-based study. </w:t>
      </w:r>
      <w:r w:rsidRPr="00001F8B">
        <w:rPr>
          <w:rFonts w:asciiTheme="minorHAnsi" w:hAnsiTheme="minorHAnsi" w:cstheme="minorHAnsi"/>
          <w:i/>
          <w:noProof/>
          <w:szCs w:val="22"/>
        </w:rPr>
        <w:t>Journal of Gambling Studies, 29</w:t>
      </w:r>
      <w:r w:rsidRPr="00001F8B">
        <w:rPr>
          <w:rFonts w:asciiTheme="minorHAnsi" w:hAnsiTheme="minorHAnsi" w:cstheme="minorHAnsi"/>
          <w:noProof/>
          <w:szCs w:val="22"/>
        </w:rPr>
        <w:t>, 151-159.</w:t>
      </w:r>
      <w:bookmarkEnd w:id="303"/>
    </w:p>
    <w:p w:rsidR="00043311" w:rsidRPr="00001F8B" w:rsidRDefault="00043311" w:rsidP="008B4C8B">
      <w:pPr>
        <w:spacing w:line="240" w:lineRule="auto"/>
        <w:ind w:left="426" w:hanging="426"/>
        <w:rPr>
          <w:rFonts w:asciiTheme="minorHAnsi" w:hAnsiTheme="minorHAnsi" w:cstheme="minorHAnsi"/>
          <w:noProof/>
          <w:szCs w:val="22"/>
        </w:rPr>
      </w:pPr>
      <w:bookmarkStart w:id="304" w:name="_ENREF_97"/>
      <w:r w:rsidRPr="00001F8B">
        <w:rPr>
          <w:rFonts w:asciiTheme="minorHAnsi" w:hAnsiTheme="minorHAnsi" w:cstheme="minorHAnsi"/>
          <w:noProof/>
          <w:szCs w:val="22"/>
        </w:rPr>
        <w:t xml:space="preserve">Rigbye, J. (2010). </w:t>
      </w:r>
      <w:r w:rsidRPr="00001F8B">
        <w:rPr>
          <w:rFonts w:asciiTheme="minorHAnsi" w:hAnsiTheme="minorHAnsi" w:cstheme="minorHAnsi"/>
          <w:i/>
          <w:noProof/>
          <w:szCs w:val="22"/>
        </w:rPr>
        <w:t>Beating the Odds</w:t>
      </w:r>
      <w:r w:rsidRPr="00001F8B">
        <w:rPr>
          <w:rFonts w:asciiTheme="minorHAnsi" w:hAnsiTheme="minorHAnsi" w:cstheme="minorHAnsi"/>
          <w:noProof/>
          <w:szCs w:val="22"/>
        </w:rPr>
        <w:t>. London: GamCare.</w:t>
      </w:r>
      <w:bookmarkEnd w:id="304"/>
    </w:p>
    <w:p w:rsidR="00043311" w:rsidRPr="00001F8B" w:rsidRDefault="00043311" w:rsidP="008B4C8B">
      <w:pPr>
        <w:spacing w:line="240" w:lineRule="auto"/>
        <w:ind w:left="426" w:hanging="426"/>
        <w:rPr>
          <w:rFonts w:asciiTheme="minorHAnsi" w:hAnsiTheme="minorHAnsi" w:cstheme="minorHAnsi"/>
          <w:noProof/>
          <w:szCs w:val="22"/>
        </w:rPr>
      </w:pPr>
      <w:bookmarkStart w:id="305" w:name="_ENREF_98"/>
      <w:r w:rsidRPr="00001F8B">
        <w:rPr>
          <w:rFonts w:asciiTheme="minorHAnsi" w:hAnsiTheme="minorHAnsi" w:cstheme="minorHAnsi"/>
          <w:noProof/>
          <w:szCs w:val="22"/>
        </w:rPr>
        <w:t xml:space="preserve">Rogers, J. (2013). Problem Gambling: A Suitable Case for Social Work? </w:t>
      </w:r>
      <w:r w:rsidRPr="00001F8B">
        <w:rPr>
          <w:rFonts w:asciiTheme="minorHAnsi" w:hAnsiTheme="minorHAnsi" w:cstheme="minorHAnsi"/>
          <w:i/>
          <w:noProof/>
          <w:szCs w:val="22"/>
        </w:rPr>
        <w:t>Practice: Social Work in Action, 25</w:t>
      </w:r>
      <w:r w:rsidRPr="00001F8B">
        <w:rPr>
          <w:rFonts w:asciiTheme="minorHAnsi" w:hAnsiTheme="minorHAnsi" w:cstheme="minorHAnsi"/>
          <w:noProof/>
          <w:szCs w:val="22"/>
        </w:rPr>
        <w:t>(1), 41-60.</w:t>
      </w:r>
      <w:bookmarkEnd w:id="305"/>
    </w:p>
    <w:p w:rsidR="00043311" w:rsidRPr="00001F8B" w:rsidRDefault="00043311" w:rsidP="008B4C8B">
      <w:pPr>
        <w:spacing w:line="240" w:lineRule="auto"/>
        <w:ind w:left="426" w:hanging="426"/>
        <w:rPr>
          <w:rFonts w:asciiTheme="minorHAnsi" w:hAnsiTheme="minorHAnsi" w:cstheme="minorHAnsi"/>
          <w:noProof/>
          <w:szCs w:val="22"/>
        </w:rPr>
      </w:pPr>
      <w:bookmarkStart w:id="306" w:name="_ENREF_99"/>
      <w:r w:rsidRPr="00001F8B">
        <w:rPr>
          <w:rFonts w:asciiTheme="minorHAnsi" w:hAnsiTheme="minorHAnsi" w:cstheme="minorHAnsi"/>
          <w:noProof/>
          <w:szCs w:val="22"/>
        </w:rPr>
        <w:t xml:space="preserve">Rossen, F. (2008). </w:t>
      </w:r>
      <w:r w:rsidRPr="00001F8B">
        <w:rPr>
          <w:rFonts w:asciiTheme="minorHAnsi" w:hAnsiTheme="minorHAnsi" w:cstheme="minorHAnsi"/>
          <w:i/>
          <w:noProof/>
          <w:szCs w:val="22"/>
        </w:rPr>
        <w:t>Adolescent gambling in New Zealand: An exploration of protective and risk factors</w:t>
      </w:r>
      <w:r w:rsidRPr="00001F8B">
        <w:rPr>
          <w:rFonts w:asciiTheme="minorHAnsi" w:hAnsiTheme="minorHAnsi" w:cstheme="minorHAnsi"/>
          <w:noProof/>
          <w:szCs w:val="22"/>
        </w:rPr>
        <w:t xml:space="preserve">. Unpublished PhD Thesis. University of Auckland. Auckland. </w:t>
      </w:r>
      <w:bookmarkEnd w:id="306"/>
    </w:p>
    <w:p w:rsidR="00043311" w:rsidRPr="00001F8B" w:rsidRDefault="00043311" w:rsidP="008B4C8B">
      <w:pPr>
        <w:spacing w:line="240" w:lineRule="auto"/>
        <w:ind w:left="426" w:hanging="426"/>
        <w:rPr>
          <w:rFonts w:asciiTheme="minorHAnsi" w:hAnsiTheme="minorHAnsi" w:cstheme="minorHAnsi"/>
          <w:noProof/>
          <w:szCs w:val="22"/>
        </w:rPr>
      </w:pPr>
      <w:bookmarkStart w:id="307" w:name="_ENREF_100"/>
      <w:r w:rsidRPr="00001F8B">
        <w:rPr>
          <w:rFonts w:asciiTheme="minorHAnsi" w:hAnsiTheme="minorHAnsi" w:cstheme="minorHAnsi"/>
          <w:noProof/>
          <w:szCs w:val="22"/>
        </w:rPr>
        <w:t xml:space="preserve">Rossen, F., Butler, R., &amp; Denny, S. (2011). </w:t>
      </w:r>
      <w:r w:rsidRPr="00001F8B">
        <w:rPr>
          <w:rFonts w:asciiTheme="minorHAnsi" w:hAnsiTheme="minorHAnsi" w:cstheme="minorHAnsi"/>
          <w:i/>
          <w:noProof/>
          <w:szCs w:val="22"/>
        </w:rPr>
        <w:t>An Exploration of Youth Participation in Gambling and the Impact of Problem Gambling on Young People in New Zealand</w:t>
      </w:r>
      <w:r w:rsidRPr="00001F8B">
        <w:rPr>
          <w:rFonts w:asciiTheme="minorHAnsi" w:hAnsiTheme="minorHAnsi" w:cstheme="minorHAnsi"/>
          <w:noProof/>
          <w:szCs w:val="22"/>
        </w:rPr>
        <w:t>. Auckland: Centre for Gambling Studies, Auckland UniServices Limited, The University of Auckland.</w:t>
      </w:r>
      <w:bookmarkEnd w:id="307"/>
    </w:p>
    <w:p w:rsidR="00043311" w:rsidRPr="00001F8B" w:rsidRDefault="00043311" w:rsidP="008B4C8B">
      <w:pPr>
        <w:spacing w:line="240" w:lineRule="auto"/>
        <w:ind w:left="426" w:hanging="426"/>
        <w:rPr>
          <w:rFonts w:asciiTheme="minorHAnsi" w:hAnsiTheme="minorHAnsi" w:cstheme="minorHAnsi"/>
          <w:noProof/>
          <w:szCs w:val="22"/>
        </w:rPr>
      </w:pPr>
      <w:bookmarkStart w:id="308" w:name="_ENREF_101"/>
      <w:r w:rsidRPr="00001F8B">
        <w:rPr>
          <w:rFonts w:asciiTheme="minorHAnsi" w:hAnsiTheme="minorHAnsi" w:cstheme="minorHAnsi"/>
          <w:noProof/>
          <w:szCs w:val="22"/>
        </w:rPr>
        <w:t xml:space="preserve">Rossen, F., Tse, S., &amp; Vaidya, R. (2009). </w:t>
      </w:r>
      <w:r w:rsidRPr="00001F8B">
        <w:rPr>
          <w:rFonts w:asciiTheme="minorHAnsi" w:hAnsiTheme="minorHAnsi" w:cstheme="minorHAnsi"/>
          <w:i/>
          <w:noProof/>
          <w:szCs w:val="22"/>
        </w:rPr>
        <w:t>New Zealand Asian and Youth Gambling: A Secondary Analysis of Data from the Health Sponsorship Council 2006/07 Gaming and Betting Attitudes Survey</w:t>
      </w:r>
      <w:r w:rsidRPr="00001F8B">
        <w:rPr>
          <w:rFonts w:asciiTheme="minorHAnsi" w:hAnsiTheme="minorHAnsi" w:cstheme="minorHAnsi"/>
          <w:noProof/>
          <w:szCs w:val="22"/>
        </w:rPr>
        <w:t>. Auckland: University of Auckland.</w:t>
      </w:r>
      <w:bookmarkEnd w:id="308"/>
    </w:p>
    <w:p w:rsidR="00043311" w:rsidRPr="00001F8B" w:rsidRDefault="00043311" w:rsidP="008B4C8B">
      <w:pPr>
        <w:spacing w:line="240" w:lineRule="auto"/>
        <w:ind w:left="426" w:hanging="426"/>
        <w:rPr>
          <w:rFonts w:asciiTheme="minorHAnsi" w:hAnsiTheme="minorHAnsi" w:cstheme="minorHAnsi"/>
          <w:noProof/>
          <w:szCs w:val="22"/>
        </w:rPr>
      </w:pPr>
      <w:bookmarkStart w:id="309" w:name="_ENREF_102"/>
      <w:r w:rsidRPr="00001F8B">
        <w:rPr>
          <w:rFonts w:asciiTheme="minorHAnsi" w:hAnsiTheme="minorHAnsi" w:cstheme="minorHAnsi"/>
          <w:noProof/>
          <w:szCs w:val="22"/>
        </w:rPr>
        <w:t xml:space="preserve">Salmond, C., Crampton, P., &amp; Atkinson, J. (2007). </w:t>
      </w:r>
      <w:r w:rsidRPr="00001F8B">
        <w:rPr>
          <w:rFonts w:asciiTheme="minorHAnsi" w:hAnsiTheme="minorHAnsi" w:cstheme="minorHAnsi"/>
          <w:i/>
          <w:noProof/>
          <w:szCs w:val="22"/>
        </w:rPr>
        <w:t>NZDep2006 Index of Deprivation</w:t>
      </w:r>
      <w:r w:rsidRPr="00001F8B">
        <w:rPr>
          <w:rFonts w:asciiTheme="minorHAnsi" w:hAnsiTheme="minorHAnsi" w:cstheme="minorHAnsi"/>
          <w:noProof/>
          <w:szCs w:val="22"/>
        </w:rPr>
        <w:t>: Department of Public Health,  University of Otago.</w:t>
      </w:r>
      <w:bookmarkEnd w:id="309"/>
    </w:p>
    <w:p w:rsidR="00043311" w:rsidRPr="00001F8B" w:rsidRDefault="00043311" w:rsidP="008B4C8B">
      <w:pPr>
        <w:spacing w:line="240" w:lineRule="auto"/>
        <w:ind w:left="426" w:hanging="426"/>
        <w:rPr>
          <w:rFonts w:asciiTheme="minorHAnsi" w:hAnsiTheme="minorHAnsi" w:cstheme="minorHAnsi"/>
          <w:noProof/>
          <w:szCs w:val="22"/>
        </w:rPr>
      </w:pPr>
      <w:bookmarkStart w:id="310" w:name="_ENREF_103"/>
      <w:r w:rsidRPr="00001F8B">
        <w:rPr>
          <w:rFonts w:asciiTheme="minorHAnsi" w:hAnsiTheme="minorHAnsi" w:cstheme="minorHAnsi"/>
          <w:noProof/>
          <w:szCs w:val="22"/>
        </w:rPr>
        <w:t xml:space="preserve">Salmond, C., Crampton, P., Sutton, F., &amp; Atkinson, J. (2006). </w:t>
      </w:r>
      <w:r w:rsidRPr="00001F8B">
        <w:rPr>
          <w:rFonts w:asciiTheme="minorHAnsi" w:hAnsiTheme="minorHAnsi" w:cstheme="minorHAnsi"/>
          <w:i/>
          <w:noProof/>
          <w:szCs w:val="22"/>
        </w:rPr>
        <w:t>NZDep2006 Census Area Unit Data</w:t>
      </w:r>
      <w:r w:rsidRPr="00001F8B">
        <w:rPr>
          <w:rFonts w:asciiTheme="minorHAnsi" w:hAnsiTheme="minorHAnsi" w:cstheme="minorHAnsi"/>
          <w:noProof/>
          <w:szCs w:val="22"/>
        </w:rPr>
        <w:t xml:space="preserve">. Retrieved 19th September, 2006, from </w:t>
      </w:r>
      <w:r w:rsidRPr="00043311">
        <w:rPr>
          <w:rFonts w:asciiTheme="minorHAnsi" w:hAnsiTheme="minorHAnsi" w:cstheme="minorHAnsi"/>
          <w:noProof/>
          <w:szCs w:val="22"/>
        </w:rPr>
        <w:t>http://www.wnmeds.ac.nz/academic/dph/research/socialindicators.html</w:t>
      </w:r>
      <w:bookmarkEnd w:id="310"/>
    </w:p>
    <w:p w:rsidR="00043311" w:rsidRPr="00001F8B" w:rsidRDefault="00043311" w:rsidP="008B4C8B">
      <w:pPr>
        <w:spacing w:line="240" w:lineRule="auto"/>
        <w:ind w:left="426" w:hanging="426"/>
        <w:rPr>
          <w:rFonts w:asciiTheme="minorHAnsi" w:hAnsiTheme="minorHAnsi" w:cstheme="minorHAnsi"/>
          <w:noProof/>
          <w:szCs w:val="22"/>
        </w:rPr>
      </w:pPr>
      <w:bookmarkStart w:id="311" w:name="_ENREF_104"/>
      <w:r w:rsidRPr="00001F8B">
        <w:rPr>
          <w:rFonts w:asciiTheme="minorHAnsi" w:hAnsiTheme="minorHAnsi" w:cstheme="minorHAnsi"/>
          <w:noProof/>
          <w:szCs w:val="22"/>
        </w:rPr>
        <w:lastRenderedPageBreak/>
        <w:t xml:space="preserve">SAS Institute Inc. (2011). </w:t>
      </w:r>
      <w:r w:rsidRPr="00001F8B">
        <w:rPr>
          <w:rFonts w:asciiTheme="minorHAnsi" w:hAnsiTheme="minorHAnsi" w:cstheme="minorHAnsi"/>
          <w:i/>
          <w:noProof/>
          <w:szCs w:val="22"/>
        </w:rPr>
        <w:t>SAS/STAT Software (Version 9.3)</w:t>
      </w:r>
      <w:r w:rsidRPr="00001F8B">
        <w:rPr>
          <w:rFonts w:asciiTheme="minorHAnsi" w:hAnsiTheme="minorHAnsi" w:cstheme="minorHAnsi"/>
          <w:noProof/>
          <w:szCs w:val="22"/>
        </w:rPr>
        <w:t>. Cary, NC: SAS International.</w:t>
      </w:r>
      <w:bookmarkEnd w:id="311"/>
    </w:p>
    <w:p w:rsidR="00043311" w:rsidRPr="00001F8B" w:rsidRDefault="00043311" w:rsidP="008B4C8B">
      <w:pPr>
        <w:spacing w:line="240" w:lineRule="auto"/>
        <w:ind w:left="426" w:hanging="426"/>
        <w:rPr>
          <w:rFonts w:asciiTheme="minorHAnsi" w:hAnsiTheme="minorHAnsi" w:cstheme="minorHAnsi"/>
          <w:noProof/>
          <w:szCs w:val="22"/>
        </w:rPr>
      </w:pPr>
      <w:bookmarkStart w:id="312" w:name="_ENREF_105"/>
      <w:r w:rsidRPr="00001F8B">
        <w:rPr>
          <w:rFonts w:asciiTheme="minorHAnsi" w:hAnsiTheme="minorHAnsi" w:cstheme="minorHAnsi"/>
          <w:noProof/>
          <w:szCs w:val="22"/>
        </w:rPr>
        <w:t xml:space="preserve">Shaffer, H. (2003). The emergence of gambling among youth: The prevalence of underage lottery use and the impact of gambling. In </w:t>
      </w:r>
      <w:r w:rsidRPr="00001F8B">
        <w:rPr>
          <w:rFonts w:asciiTheme="minorHAnsi" w:hAnsiTheme="minorHAnsi" w:cstheme="minorHAnsi"/>
          <w:i/>
          <w:noProof/>
          <w:szCs w:val="22"/>
        </w:rPr>
        <w:t>Futures at stake: Youth, gambling, and society</w:t>
      </w:r>
      <w:r w:rsidRPr="00001F8B">
        <w:rPr>
          <w:rFonts w:asciiTheme="minorHAnsi" w:hAnsiTheme="minorHAnsi" w:cstheme="minorHAnsi"/>
          <w:noProof/>
          <w:szCs w:val="22"/>
        </w:rPr>
        <w:t xml:space="preserve"> (pp. 25-38). Reno, NV: University of Nevada Press; US. Retrieved from </w:t>
      </w:r>
      <w:r w:rsidRPr="00043311">
        <w:rPr>
          <w:rFonts w:asciiTheme="minorHAnsi" w:hAnsiTheme="minorHAnsi" w:cstheme="minorHAnsi"/>
          <w:noProof/>
          <w:szCs w:val="22"/>
        </w:rPr>
        <w:t>http://ovidsp.ovid.com/ovidweb.cgi?T=JS&amp;CSC=Y&amp;NEWS=N&amp;PAGE=fulltext&amp;D=psyc4&amp;AN=2003-07189-002</w:t>
      </w:r>
      <w:bookmarkEnd w:id="312"/>
    </w:p>
    <w:p w:rsidR="00043311" w:rsidRPr="00001F8B" w:rsidRDefault="00043311" w:rsidP="008B4C8B">
      <w:pPr>
        <w:spacing w:line="240" w:lineRule="auto"/>
        <w:ind w:left="426" w:hanging="426"/>
        <w:rPr>
          <w:rFonts w:asciiTheme="minorHAnsi" w:hAnsiTheme="minorHAnsi" w:cstheme="minorHAnsi"/>
          <w:noProof/>
          <w:szCs w:val="22"/>
        </w:rPr>
      </w:pPr>
      <w:bookmarkStart w:id="313" w:name="_ENREF_106"/>
      <w:r w:rsidRPr="00001F8B">
        <w:rPr>
          <w:rFonts w:asciiTheme="minorHAnsi" w:hAnsiTheme="minorHAnsi" w:cstheme="minorHAnsi"/>
          <w:noProof/>
          <w:szCs w:val="22"/>
        </w:rPr>
        <w:t xml:space="preserve">Shaffer, H. J., &amp; Hall, M. N. (1996). Estimating the prevalence of adolescent gambling disorders: A quantitative synthesis and guide toward standard gambling nomenclature. </w:t>
      </w:r>
      <w:r w:rsidRPr="00001F8B">
        <w:rPr>
          <w:rFonts w:asciiTheme="minorHAnsi" w:hAnsiTheme="minorHAnsi" w:cstheme="minorHAnsi"/>
          <w:i/>
          <w:noProof/>
          <w:szCs w:val="22"/>
        </w:rPr>
        <w:t>Journal of Gambling Studies, 12</w:t>
      </w:r>
      <w:r w:rsidRPr="00001F8B">
        <w:rPr>
          <w:rFonts w:asciiTheme="minorHAnsi" w:hAnsiTheme="minorHAnsi" w:cstheme="minorHAnsi"/>
          <w:noProof/>
          <w:szCs w:val="22"/>
        </w:rPr>
        <w:t>(2), 193-214.</w:t>
      </w:r>
      <w:bookmarkEnd w:id="313"/>
    </w:p>
    <w:p w:rsidR="00043311" w:rsidRPr="00001F8B" w:rsidRDefault="00043311" w:rsidP="008B4C8B">
      <w:pPr>
        <w:spacing w:line="240" w:lineRule="auto"/>
        <w:ind w:left="426" w:hanging="426"/>
        <w:rPr>
          <w:rFonts w:asciiTheme="minorHAnsi" w:hAnsiTheme="minorHAnsi" w:cstheme="minorHAnsi"/>
          <w:noProof/>
          <w:szCs w:val="22"/>
        </w:rPr>
      </w:pPr>
      <w:bookmarkStart w:id="314" w:name="_ENREF_107"/>
      <w:r w:rsidRPr="00001F8B">
        <w:rPr>
          <w:rFonts w:asciiTheme="minorHAnsi" w:hAnsiTheme="minorHAnsi" w:cstheme="minorHAnsi"/>
          <w:noProof/>
          <w:szCs w:val="22"/>
        </w:rPr>
        <w:t xml:space="preserve">Shaffer, H. J., &amp; Hall, M. N. (2001). Updating and refining prevalence estimates of disordered gambling behaviour in the United States and Canada. </w:t>
      </w:r>
      <w:r w:rsidRPr="00001F8B">
        <w:rPr>
          <w:rFonts w:asciiTheme="minorHAnsi" w:hAnsiTheme="minorHAnsi" w:cstheme="minorHAnsi"/>
          <w:i/>
          <w:noProof/>
          <w:szCs w:val="22"/>
        </w:rPr>
        <w:t>Canadian Journal of Public Health, 92</w:t>
      </w:r>
      <w:r w:rsidRPr="00001F8B">
        <w:rPr>
          <w:rFonts w:asciiTheme="minorHAnsi" w:hAnsiTheme="minorHAnsi" w:cstheme="minorHAnsi"/>
          <w:noProof/>
          <w:szCs w:val="22"/>
        </w:rPr>
        <w:t>(3), 168-172.</w:t>
      </w:r>
      <w:bookmarkEnd w:id="314"/>
    </w:p>
    <w:p w:rsidR="00043311" w:rsidRPr="00001F8B" w:rsidRDefault="00043311" w:rsidP="008B4C8B">
      <w:pPr>
        <w:spacing w:line="240" w:lineRule="auto"/>
        <w:ind w:left="426" w:hanging="426"/>
        <w:rPr>
          <w:rFonts w:asciiTheme="minorHAnsi" w:hAnsiTheme="minorHAnsi" w:cstheme="minorHAnsi"/>
          <w:noProof/>
          <w:szCs w:val="22"/>
        </w:rPr>
      </w:pPr>
      <w:bookmarkStart w:id="315" w:name="_ENREF_108"/>
      <w:r w:rsidRPr="00001F8B">
        <w:rPr>
          <w:rFonts w:asciiTheme="minorHAnsi" w:hAnsiTheme="minorHAnsi" w:cstheme="minorHAnsi"/>
          <w:noProof/>
          <w:szCs w:val="22"/>
        </w:rPr>
        <w:t xml:space="preserve">Shead, N. W., Derevensky, J. L., &amp; Gupta, R. (2010). Risk and protective factors associated with youth problem gambling. </w:t>
      </w:r>
      <w:r w:rsidRPr="00001F8B">
        <w:rPr>
          <w:rFonts w:asciiTheme="minorHAnsi" w:hAnsiTheme="minorHAnsi" w:cstheme="minorHAnsi"/>
          <w:i/>
          <w:noProof/>
          <w:szCs w:val="22"/>
        </w:rPr>
        <w:t>International Journal of Adolescent Medicine &amp; Health, 22</w:t>
      </w:r>
      <w:r w:rsidRPr="00001F8B">
        <w:rPr>
          <w:rFonts w:asciiTheme="minorHAnsi" w:hAnsiTheme="minorHAnsi" w:cstheme="minorHAnsi"/>
          <w:noProof/>
          <w:szCs w:val="22"/>
        </w:rPr>
        <w:t>(1), 39-58.</w:t>
      </w:r>
      <w:bookmarkEnd w:id="315"/>
    </w:p>
    <w:p w:rsidR="00043311" w:rsidRPr="00001F8B" w:rsidRDefault="00043311" w:rsidP="008B4C8B">
      <w:pPr>
        <w:spacing w:line="240" w:lineRule="auto"/>
        <w:ind w:left="426" w:hanging="426"/>
        <w:rPr>
          <w:rFonts w:asciiTheme="minorHAnsi" w:hAnsiTheme="minorHAnsi" w:cstheme="minorHAnsi"/>
          <w:noProof/>
          <w:szCs w:val="22"/>
        </w:rPr>
      </w:pPr>
      <w:bookmarkStart w:id="316" w:name="_ENREF_109"/>
      <w:r w:rsidRPr="00001F8B">
        <w:rPr>
          <w:rFonts w:asciiTheme="minorHAnsi" w:hAnsiTheme="minorHAnsi" w:cstheme="minorHAnsi"/>
          <w:noProof/>
          <w:szCs w:val="22"/>
        </w:rPr>
        <w:t xml:space="preserve">Slutske, W. S., Jackson, K. M., &amp; Sher, K. J. (2003). The natural history of problem gambling from age 18 to 29. </w:t>
      </w:r>
      <w:r w:rsidRPr="00001F8B">
        <w:rPr>
          <w:rFonts w:asciiTheme="minorHAnsi" w:hAnsiTheme="minorHAnsi" w:cstheme="minorHAnsi"/>
          <w:i/>
          <w:noProof/>
          <w:szCs w:val="22"/>
        </w:rPr>
        <w:t>Journal of Abnormal Psychology, 112</w:t>
      </w:r>
      <w:r w:rsidRPr="00001F8B">
        <w:rPr>
          <w:rFonts w:asciiTheme="minorHAnsi" w:hAnsiTheme="minorHAnsi" w:cstheme="minorHAnsi"/>
          <w:noProof/>
          <w:szCs w:val="22"/>
        </w:rPr>
        <w:t>(2), 263-274.</w:t>
      </w:r>
      <w:bookmarkEnd w:id="316"/>
    </w:p>
    <w:p w:rsidR="00043311" w:rsidRPr="00001F8B" w:rsidRDefault="00043311" w:rsidP="008B4C8B">
      <w:pPr>
        <w:spacing w:line="240" w:lineRule="auto"/>
        <w:ind w:left="426" w:hanging="426"/>
        <w:rPr>
          <w:rFonts w:asciiTheme="minorHAnsi" w:hAnsiTheme="minorHAnsi" w:cstheme="minorHAnsi"/>
          <w:noProof/>
          <w:szCs w:val="22"/>
        </w:rPr>
      </w:pPr>
      <w:bookmarkStart w:id="317" w:name="_ENREF_110"/>
      <w:r w:rsidRPr="00001F8B">
        <w:rPr>
          <w:rFonts w:asciiTheme="minorHAnsi" w:hAnsiTheme="minorHAnsi" w:cstheme="minorHAnsi"/>
          <w:noProof/>
          <w:szCs w:val="22"/>
        </w:rPr>
        <w:t xml:space="preserve">Splevins, K., Mireskandari, S., Clayton, K., &amp; Blaszczynski, A. (2010). Prevalence of adolescent problem gambling, related harms and help-seeking behaviours among an Australian population. </w:t>
      </w:r>
      <w:r w:rsidRPr="00001F8B">
        <w:rPr>
          <w:rFonts w:asciiTheme="minorHAnsi" w:hAnsiTheme="minorHAnsi" w:cstheme="minorHAnsi"/>
          <w:i/>
          <w:noProof/>
          <w:szCs w:val="22"/>
        </w:rPr>
        <w:t>Journal of Gambling Studies, 26</w:t>
      </w:r>
      <w:r w:rsidRPr="00001F8B">
        <w:rPr>
          <w:rFonts w:asciiTheme="minorHAnsi" w:hAnsiTheme="minorHAnsi" w:cstheme="minorHAnsi"/>
          <w:noProof/>
          <w:szCs w:val="22"/>
        </w:rPr>
        <w:t>(2), 189-204.</w:t>
      </w:r>
      <w:bookmarkEnd w:id="317"/>
    </w:p>
    <w:p w:rsidR="00043311" w:rsidRPr="00001F8B" w:rsidRDefault="00043311" w:rsidP="008B4C8B">
      <w:pPr>
        <w:spacing w:line="240" w:lineRule="auto"/>
        <w:ind w:left="426" w:hanging="426"/>
        <w:rPr>
          <w:rFonts w:asciiTheme="minorHAnsi" w:hAnsiTheme="minorHAnsi" w:cstheme="minorHAnsi"/>
          <w:noProof/>
          <w:szCs w:val="22"/>
        </w:rPr>
      </w:pPr>
      <w:bookmarkStart w:id="318" w:name="_ENREF_111"/>
      <w:r w:rsidRPr="00001F8B">
        <w:rPr>
          <w:rFonts w:asciiTheme="minorHAnsi" w:hAnsiTheme="minorHAnsi" w:cstheme="minorHAnsi"/>
          <w:noProof/>
          <w:szCs w:val="22"/>
        </w:rPr>
        <w:t xml:space="preserve">Statistics New Zealand. (2005). </w:t>
      </w:r>
      <w:r w:rsidRPr="00001F8B">
        <w:rPr>
          <w:rFonts w:asciiTheme="minorHAnsi" w:hAnsiTheme="minorHAnsi" w:cstheme="minorHAnsi"/>
          <w:i/>
          <w:noProof/>
          <w:szCs w:val="22"/>
        </w:rPr>
        <w:t>Statistical standard for ethnicity</w:t>
      </w:r>
      <w:r w:rsidRPr="00001F8B">
        <w:rPr>
          <w:rFonts w:asciiTheme="minorHAnsi" w:hAnsiTheme="minorHAnsi" w:cstheme="minorHAnsi"/>
          <w:noProof/>
          <w:szCs w:val="22"/>
        </w:rPr>
        <w:t xml:space="preserve">. Wellington: Statistics New Zealand. Retrieved from </w:t>
      </w:r>
      <w:r w:rsidRPr="00043311">
        <w:rPr>
          <w:rFonts w:asciiTheme="minorHAnsi" w:hAnsiTheme="minorHAnsi" w:cstheme="minorHAnsi"/>
          <w:noProof/>
          <w:szCs w:val="22"/>
        </w:rPr>
        <w:t>http://www2.stats.govt.nz/domino/external/web/carsweb.nsf/55d63ae38ba3a25e4c2567e6007f6686/35d9b7e17a1d6151cc25701100031353?OpenDocument</w:t>
      </w:r>
      <w:bookmarkEnd w:id="318"/>
    </w:p>
    <w:p w:rsidR="00043311" w:rsidRPr="00001F8B" w:rsidRDefault="00043311" w:rsidP="008B4C8B">
      <w:pPr>
        <w:spacing w:line="240" w:lineRule="auto"/>
        <w:ind w:left="426" w:hanging="426"/>
        <w:rPr>
          <w:rFonts w:asciiTheme="minorHAnsi" w:hAnsiTheme="minorHAnsi" w:cstheme="minorHAnsi"/>
          <w:noProof/>
          <w:szCs w:val="22"/>
        </w:rPr>
      </w:pPr>
      <w:bookmarkStart w:id="319" w:name="_ENREF_112"/>
      <w:r w:rsidRPr="00001F8B">
        <w:rPr>
          <w:rFonts w:asciiTheme="minorHAnsi" w:hAnsiTheme="minorHAnsi" w:cstheme="minorHAnsi"/>
          <w:noProof/>
          <w:szCs w:val="22"/>
        </w:rPr>
        <w:t xml:space="preserve">Ste-Marie, C., Derevensky, J., &amp; Gupta, R. (2002). Anxiety and social stress related to adolescent gambling behavior. </w:t>
      </w:r>
      <w:r w:rsidRPr="00001F8B">
        <w:rPr>
          <w:rFonts w:asciiTheme="minorHAnsi" w:hAnsiTheme="minorHAnsi" w:cstheme="minorHAnsi"/>
          <w:i/>
          <w:noProof/>
          <w:szCs w:val="22"/>
        </w:rPr>
        <w:t>International Gambling Studies, 2</w:t>
      </w:r>
      <w:r w:rsidRPr="00001F8B">
        <w:rPr>
          <w:rFonts w:asciiTheme="minorHAnsi" w:hAnsiTheme="minorHAnsi" w:cstheme="minorHAnsi"/>
          <w:noProof/>
          <w:szCs w:val="22"/>
        </w:rPr>
        <w:t>, 123-141.</w:t>
      </w:r>
      <w:bookmarkEnd w:id="319"/>
    </w:p>
    <w:p w:rsidR="00043311" w:rsidRPr="00001F8B" w:rsidRDefault="00043311" w:rsidP="008B4C8B">
      <w:pPr>
        <w:spacing w:line="240" w:lineRule="auto"/>
        <w:ind w:left="426" w:hanging="426"/>
        <w:rPr>
          <w:rFonts w:asciiTheme="minorHAnsi" w:hAnsiTheme="minorHAnsi" w:cstheme="minorHAnsi"/>
          <w:noProof/>
          <w:szCs w:val="22"/>
        </w:rPr>
      </w:pPr>
      <w:bookmarkStart w:id="320" w:name="_ENREF_113"/>
      <w:r w:rsidRPr="00001F8B">
        <w:rPr>
          <w:rFonts w:asciiTheme="minorHAnsi" w:hAnsiTheme="minorHAnsi" w:cstheme="minorHAnsi"/>
          <w:noProof/>
          <w:szCs w:val="22"/>
        </w:rPr>
        <w:t xml:space="preserve">Stinchfield, R. (2000). Gambling and Correlates of Gambling among Minnesota Public School Students. </w:t>
      </w:r>
      <w:r w:rsidRPr="00001F8B">
        <w:rPr>
          <w:rFonts w:asciiTheme="minorHAnsi" w:hAnsiTheme="minorHAnsi" w:cstheme="minorHAnsi"/>
          <w:i/>
          <w:noProof/>
          <w:szCs w:val="22"/>
        </w:rPr>
        <w:t>Journal of Gambling Studies, 16</w:t>
      </w:r>
      <w:r w:rsidRPr="00001F8B">
        <w:rPr>
          <w:rFonts w:asciiTheme="minorHAnsi" w:hAnsiTheme="minorHAnsi" w:cstheme="minorHAnsi"/>
          <w:noProof/>
          <w:szCs w:val="22"/>
        </w:rPr>
        <w:t>(2-3), 153-173.</w:t>
      </w:r>
      <w:bookmarkEnd w:id="320"/>
    </w:p>
    <w:p w:rsidR="00043311" w:rsidRPr="00001F8B" w:rsidRDefault="00043311" w:rsidP="008B4C8B">
      <w:pPr>
        <w:spacing w:line="240" w:lineRule="auto"/>
        <w:ind w:left="426" w:hanging="426"/>
        <w:rPr>
          <w:rFonts w:asciiTheme="minorHAnsi" w:hAnsiTheme="minorHAnsi" w:cstheme="minorHAnsi"/>
          <w:noProof/>
          <w:szCs w:val="22"/>
        </w:rPr>
      </w:pPr>
      <w:bookmarkStart w:id="321" w:name="_ENREF_114"/>
      <w:r w:rsidRPr="00001F8B">
        <w:rPr>
          <w:rFonts w:asciiTheme="minorHAnsi" w:hAnsiTheme="minorHAnsi" w:cstheme="minorHAnsi"/>
          <w:noProof/>
          <w:szCs w:val="22"/>
        </w:rPr>
        <w:t xml:space="preserve">Stinchfield, R. (2001). A comparison of gambling by Minnesota public school students in 1992, 1995, and 1998. </w:t>
      </w:r>
      <w:r w:rsidRPr="00001F8B">
        <w:rPr>
          <w:rFonts w:asciiTheme="minorHAnsi" w:hAnsiTheme="minorHAnsi" w:cstheme="minorHAnsi"/>
          <w:i/>
          <w:noProof/>
          <w:szCs w:val="22"/>
        </w:rPr>
        <w:t>Journal of Gambling Studies, 17</w:t>
      </w:r>
      <w:r w:rsidRPr="00001F8B">
        <w:rPr>
          <w:rFonts w:asciiTheme="minorHAnsi" w:hAnsiTheme="minorHAnsi" w:cstheme="minorHAnsi"/>
          <w:noProof/>
          <w:szCs w:val="22"/>
        </w:rPr>
        <w:t>(4), 273-296.</w:t>
      </w:r>
      <w:bookmarkEnd w:id="321"/>
    </w:p>
    <w:p w:rsidR="00043311" w:rsidRPr="00001F8B" w:rsidRDefault="00043311" w:rsidP="008B4C8B">
      <w:pPr>
        <w:spacing w:line="240" w:lineRule="auto"/>
        <w:ind w:left="426" w:hanging="426"/>
        <w:rPr>
          <w:rFonts w:asciiTheme="minorHAnsi" w:hAnsiTheme="minorHAnsi" w:cstheme="minorHAnsi"/>
          <w:noProof/>
          <w:szCs w:val="22"/>
        </w:rPr>
      </w:pPr>
      <w:bookmarkStart w:id="322" w:name="_ENREF_115"/>
      <w:r w:rsidRPr="00001F8B">
        <w:rPr>
          <w:rFonts w:asciiTheme="minorHAnsi" w:hAnsiTheme="minorHAnsi" w:cstheme="minorHAnsi"/>
          <w:noProof/>
          <w:szCs w:val="22"/>
        </w:rPr>
        <w:t xml:space="preserve">Taufa, S. (2006). </w:t>
      </w:r>
      <w:r w:rsidRPr="00001F8B">
        <w:rPr>
          <w:rFonts w:asciiTheme="minorHAnsi" w:hAnsiTheme="minorHAnsi" w:cstheme="minorHAnsi"/>
          <w:i/>
          <w:noProof/>
          <w:szCs w:val="22"/>
        </w:rPr>
        <w:t xml:space="preserve">Motives to gamble: The effects of gambling among New Zealand-born Tongans  </w:t>
      </w:r>
      <w:r w:rsidRPr="00001F8B">
        <w:rPr>
          <w:rFonts w:asciiTheme="minorHAnsi" w:hAnsiTheme="minorHAnsi" w:cstheme="minorHAnsi"/>
          <w:noProof/>
          <w:szCs w:val="22"/>
        </w:rPr>
        <w:t>University of Auckland, Auckland.</w:t>
      </w:r>
      <w:bookmarkEnd w:id="322"/>
    </w:p>
    <w:p w:rsidR="00043311" w:rsidRPr="00001F8B" w:rsidRDefault="00043311" w:rsidP="008B4C8B">
      <w:pPr>
        <w:spacing w:line="240" w:lineRule="auto"/>
        <w:ind w:left="426" w:hanging="426"/>
        <w:rPr>
          <w:rFonts w:asciiTheme="minorHAnsi" w:hAnsiTheme="minorHAnsi" w:cstheme="minorHAnsi"/>
          <w:noProof/>
          <w:szCs w:val="22"/>
        </w:rPr>
      </w:pPr>
      <w:bookmarkStart w:id="323" w:name="_ENREF_116"/>
      <w:r w:rsidRPr="00001F8B">
        <w:rPr>
          <w:rFonts w:asciiTheme="minorHAnsi" w:hAnsiTheme="minorHAnsi" w:cstheme="minorHAnsi"/>
          <w:noProof/>
          <w:szCs w:val="22"/>
        </w:rPr>
        <w:t xml:space="preserve">Thorne, H., Bellringer, M. E., Abbott, M., &amp; Landon, J. (2012). </w:t>
      </w:r>
      <w:r w:rsidRPr="00001F8B">
        <w:rPr>
          <w:rFonts w:asciiTheme="minorHAnsi" w:hAnsiTheme="minorHAnsi" w:cstheme="minorHAnsi"/>
          <w:i/>
          <w:noProof/>
          <w:szCs w:val="22"/>
        </w:rPr>
        <w:t>Brief Literature Review to Summarise the Social Impacts of Gaming Machines and TAB Gambling in Auckland</w:t>
      </w:r>
      <w:r w:rsidRPr="00001F8B">
        <w:rPr>
          <w:rFonts w:asciiTheme="minorHAnsi" w:hAnsiTheme="minorHAnsi" w:cstheme="minorHAnsi"/>
          <w:noProof/>
          <w:szCs w:val="22"/>
        </w:rPr>
        <w:t>. Auckland: AUT University.</w:t>
      </w:r>
      <w:bookmarkEnd w:id="323"/>
    </w:p>
    <w:p w:rsidR="00043311" w:rsidRPr="00001F8B" w:rsidRDefault="00043311" w:rsidP="008B4C8B">
      <w:pPr>
        <w:spacing w:line="240" w:lineRule="auto"/>
        <w:ind w:left="426" w:hanging="426"/>
        <w:rPr>
          <w:rFonts w:asciiTheme="minorHAnsi" w:hAnsiTheme="minorHAnsi" w:cstheme="minorHAnsi"/>
          <w:noProof/>
          <w:szCs w:val="22"/>
        </w:rPr>
      </w:pPr>
      <w:bookmarkStart w:id="324" w:name="_ENREF_117"/>
      <w:r w:rsidRPr="00001F8B">
        <w:rPr>
          <w:rFonts w:asciiTheme="minorHAnsi" w:hAnsiTheme="minorHAnsi" w:cstheme="minorHAnsi"/>
          <w:noProof/>
          <w:szCs w:val="22"/>
        </w:rPr>
        <w:t xml:space="preserve">Tse, S., Abbott, M., Clarke, D., Townsend, S., Kingi, P., &amp; Manaia, W. (2005). </w:t>
      </w:r>
      <w:r w:rsidRPr="00001F8B">
        <w:rPr>
          <w:rFonts w:asciiTheme="minorHAnsi" w:hAnsiTheme="minorHAnsi" w:cstheme="minorHAnsi"/>
          <w:i/>
          <w:noProof/>
          <w:szCs w:val="22"/>
        </w:rPr>
        <w:t>Why people gamble: Examining the determinants of problem gambling</w:t>
      </w:r>
      <w:r w:rsidRPr="00001F8B">
        <w:rPr>
          <w:rFonts w:asciiTheme="minorHAnsi" w:hAnsiTheme="minorHAnsi" w:cstheme="minorHAnsi"/>
          <w:noProof/>
          <w:szCs w:val="22"/>
        </w:rPr>
        <w:t>. Auckland: Auckland UniServices Ltd, University of Auckland.</w:t>
      </w:r>
      <w:bookmarkEnd w:id="324"/>
    </w:p>
    <w:p w:rsidR="00043311" w:rsidRPr="00001F8B" w:rsidRDefault="00043311" w:rsidP="008B4C8B">
      <w:pPr>
        <w:spacing w:line="240" w:lineRule="auto"/>
        <w:ind w:left="426" w:hanging="426"/>
        <w:rPr>
          <w:rFonts w:asciiTheme="minorHAnsi" w:hAnsiTheme="minorHAnsi" w:cstheme="minorHAnsi"/>
          <w:noProof/>
          <w:szCs w:val="22"/>
        </w:rPr>
      </w:pPr>
      <w:bookmarkStart w:id="325" w:name="_ENREF_118"/>
      <w:r w:rsidRPr="00001F8B">
        <w:rPr>
          <w:rFonts w:asciiTheme="minorHAnsi" w:hAnsiTheme="minorHAnsi" w:cstheme="minorHAnsi"/>
          <w:noProof/>
          <w:szCs w:val="22"/>
        </w:rPr>
        <w:t xml:space="preserve">Tu'itahi, S., Guttenbeil-Po'uhila, Y., Hand, J., &amp; Htay, T. (2004). Gambling issues for Tongan people in Auckland, Aotearoa-New Zealand. </w:t>
      </w:r>
      <w:r w:rsidRPr="00001F8B">
        <w:rPr>
          <w:rFonts w:asciiTheme="minorHAnsi" w:hAnsiTheme="minorHAnsi" w:cstheme="minorHAnsi"/>
          <w:i/>
          <w:noProof/>
          <w:szCs w:val="22"/>
        </w:rPr>
        <w:t>Journal of Gambling Issues</w:t>
      </w:r>
      <w:r w:rsidRPr="00001F8B">
        <w:rPr>
          <w:rFonts w:asciiTheme="minorHAnsi" w:hAnsiTheme="minorHAnsi" w:cstheme="minorHAnsi"/>
          <w:noProof/>
          <w:szCs w:val="22"/>
        </w:rPr>
        <w:t>(12).</w:t>
      </w:r>
      <w:bookmarkEnd w:id="325"/>
    </w:p>
    <w:p w:rsidR="00043311" w:rsidRPr="00001F8B" w:rsidRDefault="00043311" w:rsidP="008B4C8B">
      <w:pPr>
        <w:spacing w:line="240" w:lineRule="auto"/>
        <w:ind w:left="426" w:hanging="426"/>
        <w:rPr>
          <w:rFonts w:asciiTheme="minorHAnsi" w:hAnsiTheme="minorHAnsi" w:cstheme="minorHAnsi"/>
          <w:noProof/>
          <w:szCs w:val="22"/>
        </w:rPr>
      </w:pPr>
      <w:bookmarkStart w:id="326" w:name="_ENREF_119"/>
      <w:r w:rsidRPr="00001F8B">
        <w:rPr>
          <w:rFonts w:asciiTheme="minorHAnsi" w:hAnsiTheme="minorHAnsi" w:cstheme="minorHAnsi"/>
          <w:noProof/>
          <w:szCs w:val="22"/>
        </w:rPr>
        <w:t xml:space="preserve">Turchi, R. M., &amp; Derevensky, J. L. (2006). Youth gambling: not a safe bet. </w:t>
      </w:r>
      <w:r w:rsidRPr="00001F8B">
        <w:rPr>
          <w:rFonts w:asciiTheme="minorHAnsi" w:hAnsiTheme="minorHAnsi" w:cstheme="minorHAnsi"/>
          <w:i/>
          <w:noProof/>
          <w:szCs w:val="22"/>
        </w:rPr>
        <w:t>Current Opinion in Pediatrics, 18</w:t>
      </w:r>
      <w:r w:rsidRPr="00001F8B">
        <w:rPr>
          <w:rFonts w:asciiTheme="minorHAnsi" w:hAnsiTheme="minorHAnsi" w:cstheme="minorHAnsi"/>
          <w:noProof/>
          <w:szCs w:val="22"/>
        </w:rPr>
        <w:t>(4), 454-458.</w:t>
      </w:r>
      <w:bookmarkEnd w:id="326"/>
    </w:p>
    <w:p w:rsidR="00043311" w:rsidRPr="00001F8B" w:rsidRDefault="00043311" w:rsidP="008B4C8B">
      <w:pPr>
        <w:spacing w:line="240" w:lineRule="auto"/>
        <w:ind w:left="426" w:hanging="426"/>
        <w:rPr>
          <w:rFonts w:asciiTheme="minorHAnsi" w:hAnsiTheme="minorHAnsi" w:cstheme="minorHAnsi"/>
          <w:noProof/>
          <w:szCs w:val="22"/>
        </w:rPr>
      </w:pPr>
      <w:bookmarkStart w:id="327" w:name="_ENREF_120"/>
      <w:r w:rsidRPr="00001F8B">
        <w:rPr>
          <w:rFonts w:asciiTheme="minorHAnsi" w:hAnsiTheme="minorHAnsi" w:cstheme="minorHAnsi"/>
          <w:noProof/>
          <w:szCs w:val="22"/>
        </w:rPr>
        <w:t xml:space="preserve">Turner, N. E., Macdonald, J., Bartoshuk, M., &amp; Zangeneh, M. (2008). Adolescent gambling behaviour, attitudes, and gambling problems. </w:t>
      </w:r>
      <w:r w:rsidRPr="00001F8B">
        <w:rPr>
          <w:rFonts w:asciiTheme="minorHAnsi" w:hAnsiTheme="minorHAnsi" w:cstheme="minorHAnsi"/>
          <w:i/>
          <w:noProof/>
          <w:szCs w:val="22"/>
        </w:rPr>
        <w:t>International Journal of Mental Health and Addiction, 6</w:t>
      </w:r>
      <w:r w:rsidRPr="00001F8B">
        <w:rPr>
          <w:rFonts w:asciiTheme="minorHAnsi" w:hAnsiTheme="minorHAnsi" w:cstheme="minorHAnsi"/>
          <w:noProof/>
          <w:szCs w:val="22"/>
        </w:rPr>
        <w:t>(2), 223-237. doi:</w:t>
      </w:r>
      <w:r w:rsidRPr="00043311">
        <w:rPr>
          <w:rFonts w:asciiTheme="minorHAnsi" w:hAnsiTheme="minorHAnsi" w:cstheme="minorHAnsi"/>
          <w:noProof/>
          <w:szCs w:val="22"/>
        </w:rPr>
        <w:t>http://dx.doi.org/10.1007/s11469-007-9117-1</w:t>
      </w:r>
      <w:bookmarkEnd w:id="327"/>
    </w:p>
    <w:p w:rsidR="00043311" w:rsidRPr="00001F8B" w:rsidRDefault="00043311" w:rsidP="008B4C8B">
      <w:pPr>
        <w:spacing w:line="240" w:lineRule="auto"/>
        <w:ind w:left="426" w:hanging="426"/>
        <w:rPr>
          <w:rFonts w:asciiTheme="minorHAnsi" w:hAnsiTheme="minorHAnsi" w:cstheme="minorHAnsi"/>
          <w:noProof/>
          <w:szCs w:val="22"/>
        </w:rPr>
      </w:pPr>
      <w:bookmarkStart w:id="328" w:name="_ENREF_121"/>
      <w:r w:rsidRPr="00001F8B">
        <w:rPr>
          <w:rFonts w:asciiTheme="minorHAnsi" w:hAnsiTheme="minorHAnsi" w:cstheme="minorHAnsi"/>
          <w:noProof/>
          <w:szCs w:val="22"/>
        </w:rPr>
        <w:t xml:space="preserve">Vachon, J., Vitaro, F., Wanner, B., &amp; Tremblay, R. E. (2004). Adolescent Gambling: Relationships With Parent Gambling and Parenting Practices. </w:t>
      </w:r>
      <w:r w:rsidRPr="00001F8B">
        <w:rPr>
          <w:rFonts w:asciiTheme="minorHAnsi" w:hAnsiTheme="minorHAnsi" w:cstheme="minorHAnsi"/>
          <w:i/>
          <w:noProof/>
          <w:szCs w:val="22"/>
        </w:rPr>
        <w:t>Psychology of Addictive Behaviors, 18</w:t>
      </w:r>
      <w:r w:rsidRPr="00001F8B">
        <w:rPr>
          <w:rFonts w:asciiTheme="minorHAnsi" w:hAnsiTheme="minorHAnsi" w:cstheme="minorHAnsi"/>
          <w:noProof/>
          <w:szCs w:val="22"/>
        </w:rPr>
        <w:t>(4), 398-401.</w:t>
      </w:r>
      <w:bookmarkEnd w:id="328"/>
    </w:p>
    <w:p w:rsidR="00043311" w:rsidRPr="00001F8B" w:rsidRDefault="00043311" w:rsidP="008B4C8B">
      <w:pPr>
        <w:spacing w:line="240" w:lineRule="auto"/>
        <w:ind w:left="426" w:hanging="426"/>
        <w:rPr>
          <w:rFonts w:asciiTheme="minorHAnsi" w:hAnsiTheme="minorHAnsi" w:cstheme="minorHAnsi"/>
          <w:noProof/>
          <w:szCs w:val="22"/>
        </w:rPr>
      </w:pPr>
      <w:bookmarkStart w:id="329" w:name="_ENREF_122"/>
      <w:r w:rsidRPr="00001F8B">
        <w:rPr>
          <w:rFonts w:asciiTheme="minorHAnsi" w:hAnsiTheme="minorHAnsi" w:cstheme="minorHAnsi"/>
          <w:noProof/>
          <w:szCs w:val="22"/>
        </w:rPr>
        <w:lastRenderedPageBreak/>
        <w:t xml:space="preserve">Valentine, G. (2008). </w:t>
      </w:r>
      <w:r w:rsidRPr="00001F8B">
        <w:rPr>
          <w:rFonts w:asciiTheme="minorHAnsi" w:hAnsiTheme="minorHAnsi" w:cstheme="minorHAnsi"/>
          <w:i/>
          <w:noProof/>
          <w:szCs w:val="22"/>
        </w:rPr>
        <w:t>Literature review of children and young people's gambling</w:t>
      </w:r>
      <w:r w:rsidRPr="00001F8B">
        <w:rPr>
          <w:rFonts w:asciiTheme="minorHAnsi" w:hAnsiTheme="minorHAnsi" w:cstheme="minorHAnsi"/>
          <w:noProof/>
          <w:szCs w:val="22"/>
        </w:rPr>
        <w:t>. Birmingham: Gambling Commission.</w:t>
      </w:r>
      <w:bookmarkEnd w:id="329"/>
    </w:p>
    <w:p w:rsidR="00043311" w:rsidRPr="00001F8B" w:rsidRDefault="00043311" w:rsidP="008B4C8B">
      <w:pPr>
        <w:spacing w:line="240" w:lineRule="auto"/>
        <w:ind w:left="426" w:hanging="426"/>
        <w:rPr>
          <w:rFonts w:asciiTheme="minorHAnsi" w:hAnsiTheme="minorHAnsi" w:cstheme="minorHAnsi"/>
          <w:noProof/>
          <w:szCs w:val="22"/>
        </w:rPr>
      </w:pPr>
      <w:bookmarkStart w:id="330" w:name="_ENREF_123"/>
      <w:r w:rsidRPr="00001F8B">
        <w:rPr>
          <w:rFonts w:asciiTheme="minorHAnsi" w:hAnsiTheme="minorHAnsi" w:cstheme="minorHAnsi"/>
          <w:noProof/>
          <w:szCs w:val="22"/>
        </w:rPr>
        <w:t xml:space="preserve">Vitaro, F., Wanner, B., Brendgen, M., &amp; Tremblay, R. E. (2008). Offspring of parents with gambling problems: adjustment problems and explanatory mechanisms. </w:t>
      </w:r>
      <w:r w:rsidRPr="00001F8B">
        <w:rPr>
          <w:rFonts w:asciiTheme="minorHAnsi" w:hAnsiTheme="minorHAnsi" w:cstheme="minorHAnsi"/>
          <w:i/>
          <w:noProof/>
          <w:szCs w:val="22"/>
        </w:rPr>
        <w:t>Journal of Gambling Studies, 24</w:t>
      </w:r>
      <w:r w:rsidRPr="00001F8B">
        <w:rPr>
          <w:rFonts w:asciiTheme="minorHAnsi" w:hAnsiTheme="minorHAnsi" w:cstheme="minorHAnsi"/>
          <w:noProof/>
          <w:szCs w:val="22"/>
        </w:rPr>
        <w:t>(4), 535-553.</w:t>
      </w:r>
      <w:bookmarkEnd w:id="330"/>
    </w:p>
    <w:p w:rsidR="00043311" w:rsidRPr="00001F8B" w:rsidRDefault="00043311" w:rsidP="008B4C8B">
      <w:pPr>
        <w:spacing w:line="240" w:lineRule="auto"/>
        <w:ind w:left="426" w:hanging="426"/>
        <w:rPr>
          <w:rFonts w:asciiTheme="minorHAnsi" w:hAnsiTheme="minorHAnsi" w:cstheme="minorHAnsi"/>
          <w:noProof/>
          <w:szCs w:val="22"/>
        </w:rPr>
      </w:pPr>
      <w:bookmarkStart w:id="331" w:name="_ENREF_124"/>
      <w:r w:rsidRPr="00001F8B">
        <w:rPr>
          <w:rFonts w:asciiTheme="minorHAnsi" w:hAnsiTheme="minorHAnsi" w:cstheme="minorHAnsi"/>
          <w:noProof/>
          <w:szCs w:val="22"/>
        </w:rPr>
        <w:t xml:space="preserve">Volberg, R., Gupta, R., Griffiths, M., Ólason, D., &amp; Delfabbro, P. (2010). An international perspective on youth gambling prevalence studies. </w:t>
      </w:r>
      <w:r w:rsidRPr="00001F8B">
        <w:rPr>
          <w:rFonts w:asciiTheme="minorHAnsi" w:hAnsiTheme="minorHAnsi" w:cstheme="minorHAnsi"/>
          <w:i/>
          <w:noProof/>
          <w:szCs w:val="22"/>
        </w:rPr>
        <w:t>International Journal of Adolescent Medicine &amp; Health, 22</w:t>
      </w:r>
      <w:r w:rsidRPr="00001F8B">
        <w:rPr>
          <w:rFonts w:asciiTheme="minorHAnsi" w:hAnsiTheme="minorHAnsi" w:cstheme="minorHAnsi"/>
          <w:noProof/>
          <w:szCs w:val="22"/>
        </w:rPr>
        <w:t>(1), 3-38.</w:t>
      </w:r>
      <w:bookmarkEnd w:id="331"/>
    </w:p>
    <w:p w:rsidR="00043311" w:rsidRPr="00001F8B" w:rsidRDefault="00043311" w:rsidP="008B4C8B">
      <w:pPr>
        <w:spacing w:line="240" w:lineRule="auto"/>
        <w:ind w:left="426" w:hanging="426"/>
        <w:rPr>
          <w:rFonts w:asciiTheme="minorHAnsi" w:hAnsiTheme="minorHAnsi" w:cstheme="minorHAnsi"/>
          <w:noProof/>
          <w:szCs w:val="22"/>
        </w:rPr>
      </w:pPr>
      <w:bookmarkStart w:id="332" w:name="_ENREF_125"/>
      <w:r w:rsidRPr="00001F8B">
        <w:rPr>
          <w:rFonts w:asciiTheme="minorHAnsi" w:hAnsiTheme="minorHAnsi" w:cstheme="minorHAnsi"/>
          <w:noProof/>
          <w:szCs w:val="22"/>
        </w:rPr>
        <w:t xml:space="preserve">Volberg, R. A., &amp; Abbott, M. W. (1994). Lifetime prevalence estimates of pathological gambling in New Zealand. </w:t>
      </w:r>
      <w:r w:rsidRPr="00001F8B">
        <w:rPr>
          <w:rFonts w:asciiTheme="minorHAnsi" w:hAnsiTheme="minorHAnsi" w:cstheme="minorHAnsi"/>
          <w:i/>
          <w:noProof/>
          <w:szCs w:val="22"/>
        </w:rPr>
        <w:t>International Journal of Epidemiology, 23</w:t>
      </w:r>
      <w:r w:rsidRPr="00001F8B">
        <w:rPr>
          <w:rFonts w:asciiTheme="minorHAnsi" w:hAnsiTheme="minorHAnsi" w:cstheme="minorHAnsi"/>
          <w:noProof/>
          <w:szCs w:val="22"/>
        </w:rPr>
        <w:t>(5), 976-983.</w:t>
      </w:r>
      <w:bookmarkEnd w:id="332"/>
    </w:p>
    <w:p w:rsidR="00043311" w:rsidRPr="00001F8B" w:rsidRDefault="00043311" w:rsidP="008B4C8B">
      <w:pPr>
        <w:spacing w:line="240" w:lineRule="auto"/>
        <w:ind w:left="426" w:hanging="426"/>
        <w:rPr>
          <w:rFonts w:asciiTheme="minorHAnsi" w:hAnsiTheme="minorHAnsi" w:cstheme="minorHAnsi"/>
          <w:noProof/>
          <w:szCs w:val="22"/>
        </w:rPr>
      </w:pPr>
      <w:bookmarkStart w:id="333" w:name="_ENREF_126"/>
      <w:r w:rsidRPr="00001F8B">
        <w:rPr>
          <w:rFonts w:asciiTheme="minorHAnsi" w:hAnsiTheme="minorHAnsi" w:cstheme="minorHAnsi"/>
          <w:noProof/>
          <w:szCs w:val="22"/>
        </w:rPr>
        <w:t xml:space="preserve">Volberg, R. A., Abbott, M. W., Ronnberg, S., &amp; Munck, I. M. (2001). Prevalence and risks of pathological gambling in Sweden. </w:t>
      </w:r>
      <w:r w:rsidRPr="00001F8B">
        <w:rPr>
          <w:rFonts w:asciiTheme="minorHAnsi" w:hAnsiTheme="minorHAnsi" w:cstheme="minorHAnsi"/>
          <w:i/>
          <w:noProof/>
          <w:szCs w:val="22"/>
        </w:rPr>
        <w:t>Acta Psychiatrica Scandinavica, 104</w:t>
      </w:r>
      <w:r w:rsidRPr="00001F8B">
        <w:rPr>
          <w:rFonts w:asciiTheme="minorHAnsi" w:hAnsiTheme="minorHAnsi" w:cstheme="minorHAnsi"/>
          <w:noProof/>
          <w:szCs w:val="22"/>
        </w:rPr>
        <w:t>(4), 250-256.</w:t>
      </w:r>
      <w:bookmarkEnd w:id="333"/>
    </w:p>
    <w:p w:rsidR="00043311" w:rsidRPr="00001F8B" w:rsidRDefault="00043311" w:rsidP="008B4C8B">
      <w:pPr>
        <w:spacing w:line="240" w:lineRule="auto"/>
        <w:ind w:left="426" w:hanging="426"/>
        <w:rPr>
          <w:rFonts w:asciiTheme="minorHAnsi" w:hAnsiTheme="minorHAnsi" w:cstheme="minorHAnsi"/>
          <w:noProof/>
          <w:szCs w:val="22"/>
        </w:rPr>
      </w:pPr>
      <w:bookmarkStart w:id="334" w:name="_ENREF_127"/>
      <w:r w:rsidRPr="00001F8B">
        <w:rPr>
          <w:rFonts w:asciiTheme="minorHAnsi" w:hAnsiTheme="minorHAnsi" w:cstheme="minorHAnsi"/>
          <w:noProof/>
          <w:szCs w:val="22"/>
        </w:rPr>
        <w:t xml:space="preserve">Wallisch, L. (1993). </w:t>
      </w:r>
      <w:r w:rsidRPr="00001F8B">
        <w:rPr>
          <w:rFonts w:asciiTheme="minorHAnsi" w:hAnsiTheme="minorHAnsi" w:cstheme="minorHAnsi"/>
          <w:i/>
          <w:noProof/>
          <w:szCs w:val="22"/>
        </w:rPr>
        <w:t>Gambling in Texas: 1992 Texas survey of adolescent gambling behavior</w:t>
      </w:r>
      <w:r w:rsidRPr="00001F8B">
        <w:rPr>
          <w:rFonts w:asciiTheme="minorHAnsi" w:hAnsiTheme="minorHAnsi" w:cstheme="minorHAnsi"/>
          <w:noProof/>
          <w:szCs w:val="22"/>
        </w:rPr>
        <w:t>. Austin: Texas Commission on Alcohol and Drug Abuse.</w:t>
      </w:r>
      <w:bookmarkEnd w:id="334"/>
    </w:p>
    <w:p w:rsidR="00043311" w:rsidRPr="00001F8B" w:rsidRDefault="00043311" w:rsidP="008B4C8B">
      <w:pPr>
        <w:spacing w:line="240" w:lineRule="auto"/>
        <w:ind w:left="426" w:hanging="426"/>
        <w:rPr>
          <w:rFonts w:asciiTheme="minorHAnsi" w:hAnsiTheme="minorHAnsi" w:cstheme="minorHAnsi"/>
          <w:noProof/>
          <w:szCs w:val="22"/>
        </w:rPr>
      </w:pPr>
      <w:bookmarkStart w:id="335" w:name="_ENREF_128"/>
      <w:r w:rsidRPr="00001F8B">
        <w:rPr>
          <w:rFonts w:asciiTheme="minorHAnsi" w:hAnsiTheme="minorHAnsi" w:cstheme="minorHAnsi"/>
          <w:noProof/>
          <w:szCs w:val="22"/>
        </w:rPr>
        <w:t xml:space="preserve">Wallisch, L. (1996). </w:t>
      </w:r>
      <w:r w:rsidRPr="00001F8B">
        <w:rPr>
          <w:rFonts w:asciiTheme="minorHAnsi" w:hAnsiTheme="minorHAnsi" w:cstheme="minorHAnsi"/>
          <w:i/>
          <w:noProof/>
          <w:szCs w:val="22"/>
        </w:rPr>
        <w:t>Gambling in Texas: 1995 Texas survey of adolescent gambling behavior</w:t>
      </w:r>
      <w:r w:rsidRPr="00001F8B">
        <w:rPr>
          <w:rFonts w:asciiTheme="minorHAnsi" w:hAnsiTheme="minorHAnsi" w:cstheme="minorHAnsi"/>
          <w:noProof/>
          <w:szCs w:val="22"/>
        </w:rPr>
        <w:t>. Austin: Texas Commission on  Alcohol and Drug Abuse.</w:t>
      </w:r>
      <w:bookmarkEnd w:id="335"/>
    </w:p>
    <w:p w:rsidR="00043311" w:rsidRPr="00001F8B" w:rsidRDefault="00043311" w:rsidP="008B4C8B">
      <w:pPr>
        <w:spacing w:line="240" w:lineRule="auto"/>
        <w:ind w:left="426" w:hanging="426"/>
        <w:rPr>
          <w:rFonts w:asciiTheme="minorHAnsi" w:hAnsiTheme="minorHAnsi" w:cstheme="minorHAnsi"/>
          <w:noProof/>
          <w:szCs w:val="22"/>
        </w:rPr>
      </w:pPr>
      <w:bookmarkStart w:id="336" w:name="_ENREF_129"/>
      <w:r w:rsidRPr="00001F8B">
        <w:rPr>
          <w:rFonts w:asciiTheme="minorHAnsi" w:hAnsiTheme="minorHAnsi" w:cstheme="minorHAnsi"/>
          <w:noProof/>
          <w:szCs w:val="22"/>
        </w:rPr>
        <w:t xml:space="preserve">Wardle, H., Moody, A., Spence, S., Orford, J., Volberg, R., Jotangia, D., et al. (2011). </w:t>
      </w:r>
      <w:r w:rsidRPr="00001F8B">
        <w:rPr>
          <w:rFonts w:asciiTheme="minorHAnsi" w:hAnsiTheme="minorHAnsi" w:cstheme="minorHAnsi"/>
          <w:i/>
          <w:noProof/>
          <w:szCs w:val="22"/>
        </w:rPr>
        <w:t>British Gambling Prevalence Survey 2010</w:t>
      </w:r>
      <w:r w:rsidRPr="00001F8B">
        <w:rPr>
          <w:rFonts w:asciiTheme="minorHAnsi" w:hAnsiTheme="minorHAnsi" w:cstheme="minorHAnsi"/>
          <w:noProof/>
          <w:szCs w:val="22"/>
        </w:rPr>
        <w:t>. London: National Centre for Social Research.</w:t>
      </w:r>
      <w:bookmarkEnd w:id="336"/>
    </w:p>
    <w:p w:rsidR="00043311" w:rsidRPr="00001F8B" w:rsidRDefault="00043311" w:rsidP="008B4C8B">
      <w:pPr>
        <w:spacing w:line="240" w:lineRule="auto"/>
        <w:ind w:left="426" w:hanging="426"/>
        <w:rPr>
          <w:rFonts w:asciiTheme="minorHAnsi" w:hAnsiTheme="minorHAnsi" w:cstheme="minorHAnsi"/>
          <w:noProof/>
          <w:szCs w:val="22"/>
        </w:rPr>
      </w:pPr>
      <w:bookmarkStart w:id="337" w:name="_ENREF_130"/>
      <w:r w:rsidRPr="00001F8B">
        <w:rPr>
          <w:rFonts w:asciiTheme="minorHAnsi" w:hAnsiTheme="minorHAnsi" w:cstheme="minorHAnsi"/>
          <w:noProof/>
          <w:szCs w:val="22"/>
        </w:rPr>
        <w:t xml:space="preserve">Welte, J. W., Barnes, G. M., Tidwell, M.-C. O., &amp; Hoffman, J. H. (2008). The prevalence of problem gambling among U.S. adolescents and young adults: results from a national survey. </w:t>
      </w:r>
      <w:r w:rsidRPr="00001F8B">
        <w:rPr>
          <w:rFonts w:asciiTheme="minorHAnsi" w:hAnsiTheme="minorHAnsi" w:cstheme="minorHAnsi"/>
          <w:i/>
          <w:noProof/>
          <w:szCs w:val="22"/>
        </w:rPr>
        <w:t>Journal of Gambling Studies, 24</w:t>
      </w:r>
      <w:r w:rsidRPr="00001F8B">
        <w:rPr>
          <w:rFonts w:asciiTheme="minorHAnsi" w:hAnsiTheme="minorHAnsi" w:cstheme="minorHAnsi"/>
          <w:noProof/>
          <w:szCs w:val="22"/>
        </w:rPr>
        <w:t>(2), 119-133.</w:t>
      </w:r>
      <w:bookmarkEnd w:id="337"/>
    </w:p>
    <w:p w:rsidR="00043311" w:rsidRPr="00001F8B" w:rsidRDefault="00043311" w:rsidP="008B4C8B">
      <w:pPr>
        <w:spacing w:line="240" w:lineRule="auto"/>
        <w:ind w:left="426" w:hanging="426"/>
        <w:rPr>
          <w:rFonts w:asciiTheme="minorHAnsi" w:hAnsiTheme="minorHAnsi" w:cstheme="minorHAnsi"/>
          <w:noProof/>
          <w:szCs w:val="22"/>
        </w:rPr>
      </w:pPr>
      <w:bookmarkStart w:id="338" w:name="_ENREF_131"/>
      <w:r w:rsidRPr="00001F8B">
        <w:rPr>
          <w:rFonts w:asciiTheme="minorHAnsi" w:hAnsiTheme="minorHAnsi" w:cstheme="minorHAnsi"/>
          <w:noProof/>
          <w:szCs w:val="22"/>
        </w:rPr>
        <w:t xml:space="preserve">Wheeler, B., Rigby, J., &amp; Huriwai, T. (2006). Pokies and poverty: Problem gambling risk factor geography in New Zealand. </w:t>
      </w:r>
      <w:r w:rsidRPr="00001F8B">
        <w:rPr>
          <w:rFonts w:asciiTheme="minorHAnsi" w:hAnsiTheme="minorHAnsi" w:cstheme="minorHAnsi"/>
          <w:i/>
          <w:noProof/>
          <w:szCs w:val="22"/>
        </w:rPr>
        <w:t>Health &amp; Place, 12</w:t>
      </w:r>
      <w:r w:rsidRPr="00001F8B">
        <w:rPr>
          <w:rFonts w:asciiTheme="minorHAnsi" w:hAnsiTheme="minorHAnsi" w:cstheme="minorHAnsi"/>
          <w:noProof/>
          <w:szCs w:val="22"/>
        </w:rPr>
        <w:t>(1), 86-96.</w:t>
      </w:r>
      <w:bookmarkEnd w:id="338"/>
    </w:p>
    <w:p w:rsidR="00043311" w:rsidRPr="00001F8B" w:rsidRDefault="00043311" w:rsidP="008B4C8B">
      <w:pPr>
        <w:spacing w:line="240" w:lineRule="auto"/>
        <w:ind w:left="426" w:hanging="426"/>
        <w:rPr>
          <w:rFonts w:asciiTheme="minorHAnsi" w:hAnsiTheme="minorHAnsi" w:cstheme="minorHAnsi"/>
          <w:noProof/>
          <w:szCs w:val="22"/>
        </w:rPr>
      </w:pPr>
      <w:bookmarkStart w:id="339" w:name="_ENREF_132"/>
      <w:r w:rsidRPr="00001F8B">
        <w:rPr>
          <w:rFonts w:asciiTheme="minorHAnsi" w:hAnsiTheme="minorHAnsi" w:cstheme="minorHAnsi"/>
          <w:noProof/>
          <w:szCs w:val="22"/>
        </w:rPr>
        <w:t xml:space="preserve">Williams, L., Page, L., Parke, J., &amp; Rigbye, J. (2008). </w:t>
      </w:r>
      <w:r w:rsidRPr="00001F8B">
        <w:rPr>
          <w:rFonts w:asciiTheme="minorHAnsi" w:hAnsiTheme="minorHAnsi" w:cstheme="minorHAnsi"/>
          <w:i/>
          <w:noProof/>
          <w:szCs w:val="22"/>
        </w:rPr>
        <w:t>British Gambling Prevalence Survey 2007: Secondary Analysis</w:t>
      </w:r>
      <w:r w:rsidRPr="00001F8B">
        <w:rPr>
          <w:rFonts w:asciiTheme="minorHAnsi" w:hAnsiTheme="minorHAnsi" w:cstheme="minorHAnsi"/>
          <w:noProof/>
          <w:szCs w:val="22"/>
        </w:rPr>
        <w:t>. Birmingham: Gambling Commission.</w:t>
      </w:r>
      <w:bookmarkEnd w:id="339"/>
    </w:p>
    <w:p w:rsidR="00043311" w:rsidRPr="00001F8B" w:rsidRDefault="00043311" w:rsidP="008B4C8B">
      <w:pPr>
        <w:spacing w:line="240" w:lineRule="auto"/>
        <w:ind w:left="426" w:hanging="426"/>
        <w:rPr>
          <w:rFonts w:asciiTheme="minorHAnsi" w:hAnsiTheme="minorHAnsi" w:cstheme="minorHAnsi"/>
          <w:noProof/>
          <w:szCs w:val="22"/>
        </w:rPr>
      </w:pPr>
      <w:bookmarkStart w:id="340" w:name="_ENREF_133"/>
      <w:r w:rsidRPr="00001F8B">
        <w:rPr>
          <w:rFonts w:asciiTheme="minorHAnsi" w:hAnsiTheme="minorHAnsi" w:cstheme="minorHAnsi"/>
          <w:noProof/>
          <w:szCs w:val="22"/>
        </w:rPr>
        <w:t xml:space="preserve">Williams, R. J., &amp; Wood, R. T. (2007). </w:t>
      </w:r>
      <w:r w:rsidRPr="00001F8B">
        <w:rPr>
          <w:rFonts w:asciiTheme="minorHAnsi" w:hAnsiTheme="minorHAnsi" w:cstheme="minorHAnsi"/>
          <w:i/>
          <w:noProof/>
          <w:szCs w:val="22"/>
        </w:rPr>
        <w:t>Internet gambling: A comprehensive review and synthesis of the literature.</w:t>
      </w:r>
      <w:r w:rsidRPr="00001F8B">
        <w:rPr>
          <w:rFonts w:asciiTheme="minorHAnsi" w:hAnsiTheme="minorHAnsi" w:cstheme="minorHAnsi"/>
          <w:noProof/>
          <w:szCs w:val="22"/>
        </w:rPr>
        <w:t xml:space="preserve"> Guelph, Ontario: Report prepared for the Ontario Problem Gambling Research Centre.</w:t>
      </w:r>
      <w:bookmarkEnd w:id="340"/>
    </w:p>
    <w:p w:rsidR="00043311" w:rsidRPr="00001F8B" w:rsidRDefault="00043311" w:rsidP="008B4C8B">
      <w:pPr>
        <w:spacing w:line="240" w:lineRule="auto"/>
        <w:ind w:left="426" w:hanging="426"/>
        <w:rPr>
          <w:rFonts w:asciiTheme="minorHAnsi" w:hAnsiTheme="minorHAnsi" w:cstheme="minorHAnsi"/>
          <w:noProof/>
          <w:szCs w:val="22"/>
        </w:rPr>
      </w:pPr>
      <w:bookmarkStart w:id="341" w:name="_ENREF_134"/>
      <w:r w:rsidRPr="00001F8B">
        <w:rPr>
          <w:rFonts w:asciiTheme="minorHAnsi" w:hAnsiTheme="minorHAnsi" w:cstheme="minorHAnsi"/>
          <w:noProof/>
          <w:szCs w:val="22"/>
        </w:rPr>
        <w:t xml:space="preserve">Winters, K. C., Stinchfield, R., &amp; Fulkerson, J. (1993). Patterns and characteristics of adolescent gambling. </w:t>
      </w:r>
      <w:r w:rsidRPr="00001F8B">
        <w:rPr>
          <w:rFonts w:asciiTheme="minorHAnsi" w:hAnsiTheme="minorHAnsi" w:cstheme="minorHAnsi"/>
          <w:i/>
          <w:noProof/>
          <w:szCs w:val="22"/>
        </w:rPr>
        <w:t>Journal of Gambling Studies, 9</w:t>
      </w:r>
      <w:r w:rsidRPr="00001F8B">
        <w:rPr>
          <w:rFonts w:asciiTheme="minorHAnsi" w:hAnsiTheme="minorHAnsi" w:cstheme="minorHAnsi"/>
          <w:noProof/>
          <w:szCs w:val="22"/>
        </w:rPr>
        <w:t>(4), 371-386.</w:t>
      </w:r>
      <w:bookmarkEnd w:id="341"/>
    </w:p>
    <w:p w:rsidR="00043311" w:rsidRPr="00001F8B" w:rsidRDefault="00043311" w:rsidP="008B4C8B">
      <w:pPr>
        <w:spacing w:line="240" w:lineRule="auto"/>
        <w:ind w:left="426" w:hanging="426"/>
        <w:rPr>
          <w:rFonts w:asciiTheme="minorHAnsi" w:hAnsiTheme="minorHAnsi" w:cstheme="minorHAnsi"/>
          <w:noProof/>
          <w:szCs w:val="22"/>
        </w:rPr>
      </w:pPr>
      <w:bookmarkStart w:id="342" w:name="_ENREF_135"/>
      <w:r w:rsidRPr="00001F8B">
        <w:rPr>
          <w:rFonts w:asciiTheme="minorHAnsi" w:hAnsiTheme="minorHAnsi" w:cstheme="minorHAnsi"/>
          <w:noProof/>
          <w:szCs w:val="22"/>
        </w:rPr>
        <w:t xml:space="preserve">Winters, K. C., Stinchfield, R. D., Botzet, A., &amp; Anderson, N. (2002). A prospective study of youth gambling behaviors. </w:t>
      </w:r>
      <w:r w:rsidRPr="00001F8B">
        <w:rPr>
          <w:rFonts w:asciiTheme="minorHAnsi" w:hAnsiTheme="minorHAnsi" w:cstheme="minorHAnsi"/>
          <w:i/>
          <w:noProof/>
          <w:szCs w:val="22"/>
        </w:rPr>
        <w:t>Psychology of Addictive Behaviors, 16</w:t>
      </w:r>
      <w:r w:rsidRPr="00001F8B">
        <w:rPr>
          <w:rFonts w:asciiTheme="minorHAnsi" w:hAnsiTheme="minorHAnsi" w:cstheme="minorHAnsi"/>
          <w:noProof/>
          <w:szCs w:val="22"/>
        </w:rPr>
        <w:t>(1), 3-9.</w:t>
      </w:r>
      <w:bookmarkEnd w:id="342"/>
    </w:p>
    <w:p w:rsidR="00043311" w:rsidRPr="00001F8B" w:rsidRDefault="00043311" w:rsidP="008B4C8B">
      <w:pPr>
        <w:spacing w:line="240" w:lineRule="auto"/>
        <w:ind w:left="426" w:hanging="426"/>
        <w:rPr>
          <w:rFonts w:asciiTheme="minorHAnsi" w:hAnsiTheme="minorHAnsi" w:cstheme="minorHAnsi"/>
          <w:noProof/>
          <w:szCs w:val="22"/>
        </w:rPr>
      </w:pPr>
      <w:bookmarkStart w:id="343" w:name="_ENREF_136"/>
      <w:r w:rsidRPr="00001F8B">
        <w:rPr>
          <w:rFonts w:asciiTheme="minorHAnsi" w:hAnsiTheme="minorHAnsi" w:cstheme="minorHAnsi"/>
          <w:noProof/>
          <w:szCs w:val="22"/>
        </w:rPr>
        <w:t xml:space="preserve">Winters, K. C., Stinchfield, R. D., &amp; Kim, L. G. (1995). Monitoring adolescent gambling in Minnesota. </w:t>
      </w:r>
      <w:r w:rsidRPr="00001F8B">
        <w:rPr>
          <w:rFonts w:asciiTheme="minorHAnsi" w:hAnsiTheme="minorHAnsi" w:cstheme="minorHAnsi"/>
          <w:i/>
          <w:noProof/>
          <w:szCs w:val="22"/>
        </w:rPr>
        <w:t>Journal of Gambling Studies, 11</w:t>
      </w:r>
      <w:r w:rsidRPr="00001F8B">
        <w:rPr>
          <w:rFonts w:asciiTheme="minorHAnsi" w:hAnsiTheme="minorHAnsi" w:cstheme="minorHAnsi"/>
          <w:noProof/>
          <w:szCs w:val="22"/>
        </w:rPr>
        <w:t>(2), 165-183.</w:t>
      </w:r>
      <w:bookmarkEnd w:id="343"/>
    </w:p>
    <w:p w:rsidR="00043311" w:rsidRPr="00001F8B" w:rsidRDefault="00043311" w:rsidP="008B4C8B">
      <w:pPr>
        <w:spacing w:line="240" w:lineRule="auto"/>
        <w:ind w:left="426" w:hanging="426"/>
        <w:rPr>
          <w:rFonts w:asciiTheme="minorHAnsi" w:hAnsiTheme="minorHAnsi" w:cstheme="minorHAnsi"/>
          <w:noProof/>
          <w:szCs w:val="22"/>
        </w:rPr>
      </w:pPr>
      <w:bookmarkStart w:id="344" w:name="_ENREF_137"/>
      <w:r w:rsidRPr="00001F8B">
        <w:rPr>
          <w:rFonts w:asciiTheme="minorHAnsi" w:hAnsiTheme="minorHAnsi" w:cstheme="minorHAnsi"/>
          <w:noProof/>
          <w:szCs w:val="22"/>
        </w:rPr>
        <w:t xml:space="preserve">Wood, R. T., &amp; Griffiths, M. D. (1998). The acquisition, development and maintenance of lottery and scratchcard gambling in adolescence. </w:t>
      </w:r>
      <w:r w:rsidRPr="00001F8B">
        <w:rPr>
          <w:rFonts w:asciiTheme="minorHAnsi" w:hAnsiTheme="minorHAnsi" w:cstheme="minorHAnsi"/>
          <w:i/>
          <w:noProof/>
          <w:szCs w:val="22"/>
        </w:rPr>
        <w:t>Journal of Adolescence, 21</w:t>
      </w:r>
      <w:r w:rsidRPr="00001F8B">
        <w:rPr>
          <w:rFonts w:asciiTheme="minorHAnsi" w:hAnsiTheme="minorHAnsi" w:cstheme="minorHAnsi"/>
          <w:noProof/>
          <w:szCs w:val="22"/>
        </w:rPr>
        <w:t>(3), 265-273.</w:t>
      </w:r>
      <w:bookmarkEnd w:id="344"/>
    </w:p>
    <w:p w:rsidR="00043311" w:rsidRPr="00001F8B" w:rsidRDefault="00043311" w:rsidP="008B4C8B">
      <w:pPr>
        <w:spacing w:line="240" w:lineRule="auto"/>
        <w:ind w:left="426" w:hanging="426"/>
        <w:rPr>
          <w:rFonts w:asciiTheme="minorHAnsi" w:hAnsiTheme="minorHAnsi" w:cstheme="minorHAnsi"/>
          <w:noProof/>
          <w:szCs w:val="22"/>
        </w:rPr>
      </w:pPr>
      <w:bookmarkStart w:id="345" w:name="_ENREF_138"/>
      <w:r w:rsidRPr="00001F8B">
        <w:rPr>
          <w:rFonts w:asciiTheme="minorHAnsi" w:hAnsiTheme="minorHAnsi" w:cstheme="minorHAnsi"/>
          <w:noProof/>
          <w:szCs w:val="22"/>
        </w:rPr>
        <w:t xml:space="preserve">Wood, R. T., &amp; Williams, R. J. (2009). </w:t>
      </w:r>
      <w:r w:rsidRPr="00001F8B">
        <w:rPr>
          <w:rFonts w:asciiTheme="minorHAnsi" w:hAnsiTheme="minorHAnsi" w:cstheme="minorHAnsi"/>
          <w:i/>
          <w:noProof/>
          <w:szCs w:val="22"/>
        </w:rPr>
        <w:t>Internet gambling: Prevalence, patterns, problems, and policy options. Final report prepared for the Ontario Problem Gambling Research Centre.</w:t>
      </w:r>
      <w:r w:rsidRPr="00001F8B">
        <w:rPr>
          <w:rFonts w:asciiTheme="minorHAnsi" w:hAnsiTheme="minorHAnsi" w:cstheme="minorHAnsi"/>
          <w:noProof/>
          <w:szCs w:val="22"/>
        </w:rPr>
        <w:t xml:space="preserve"> Guelph, Ontario: University of Lethbridge.</w:t>
      </w:r>
      <w:bookmarkEnd w:id="345"/>
    </w:p>
    <w:p w:rsidR="006536C4" w:rsidRPr="006536C4" w:rsidRDefault="006536C4" w:rsidP="008B4C8B">
      <w:pPr>
        <w:spacing w:line="240" w:lineRule="auto"/>
        <w:ind w:left="426" w:hanging="426"/>
        <w:rPr>
          <w:rFonts w:asciiTheme="minorHAnsi" w:hAnsiTheme="minorHAnsi"/>
          <w:noProof/>
        </w:rPr>
      </w:pPr>
      <w:bookmarkStart w:id="346" w:name="_ENREF_139"/>
      <w:r w:rsidRPr="006536C4">
        <w:rPr>
          <w:rFonts w:asciiTheme="minorHAnsi" w:hAnsiTheme="minorHAnsi"/>
          <w:noProof/>
        </w:rPr>
        <w:t xml:space="preserve">World Health Organization. (1998). </w:t>
      </w:r>
      <w:r w:rsidRPr="006536C4">
        <w:rPr>
          <w:rFonts w:asciiTheme="minorHAnsi" w:hAnsiTheme="minorHAnsi"/>
          <w:i/>
          <w:noProof/>
        </w:rPr>
        <w:t>WHO (Five) Well-Being Index (1998 Version)</w:t>
      </w:r>
      <w:r w:rsidRPr="006536C4">
        <w:rPr>
          <w:rFonts w:asciiTheme="minorHAnsi" w:hAnsiTheme="minorHAnsi"/>
          <w:noProof/>
        </w:rPr>
        <w:t xml:space="preserve">. Available at: </w:t>
      </w:r>
      <w:hyperlink r:id="rId50" w:history="1">
        <w:r w:rsidRPr="006536C4">
          <w:rPr>
            <w:rStyle w:val="Hyperlink"/>
            <w:rFonts w:asciiTheme="minorHAnsi" w:hAnsiTheme="minorHAnsi"/>
            <w:noProof/>
          </w:rPr>
          <w:t>http://www.who-5.org</w:t>
        </w:r>
      </w:hyperlink>
      <w:r w:rsidRPr="006536C4">
        <w:rPr>
          <w:rFonts w:asciiTheme="minorHAnsi" w:hAnsiTheme="minorHAnsi"/>
          <w:noProof/>
        </w:rPr>
        <w:t xml:space="preserve"> </w:t>
      </w:r>
    </w:p>
    <w:p w:rsidR="00043311" w:rsidRPr="00001F8B" w:rsidRDefault="00043311" w:rsidP="008B4C8B">
      <w:pPr>
        <w:spacing w:line="240" w:lineRule="auto"/>
        <w:ind w:left="426" w:hanging="426"/>
        <w:rPr>
          <w:rFonts w:asciiTheme="minorHAnsi" w:hAnsiTheme="minorHAnsi" w:cstheme="minorHAnsi"/>
          <w:noProof/>
          <w:szCs w:val="22"/>
        </w:rPr>
      </w:pPr>
      <w:r w:rsidRPr="00001F8B">
        <w:rPr>
          <w:rFonts w:asciiTheme="minorHAnsi" w:hAnsiTheme="minorHAnsi" w:cstheme="minorHAnsi"/>
          <w:noProof/>
          <w:szCs w:val="22"/>
        </w:rPr>
        <w:t xml:space="preserve">Wynd, D. (2005). </w:t>
      </w:r>
      <w:r w:rsidRPr="00001F8B">
        <w:rPr>
          <w:rFonts w:asciiTheme="minorHAnsi" w:hAnsiTheme="minorHAnsi" w:cstheme="minorHAnsi"/>
          <w:i/>
          <w:noProof/>
          <w:szCs w:val="22"/>
        </w:rPr>
        <w:t xml:space="preserve">Hard to Swallow: Foodbank Use in New Zealand. </w:t>
      </w:r>
      <w:r w:rsidRPr="00001F8B">
        <w:rPr>
          <w:rFonts w:asciiTheme="minorHAnsi" w:hAnsiTheme="minorHAnsi" w:cstheme="minorHAnsi"/>
          <w:noProof/>
          <w:szCs w:val="22"/>
        </w:rPr>
        <w:t xml:space="preserve">. Auckland: Child Poverty Action Group. Retrieved from </w:t>
      </w:r>
      <w:r w:rsidRPr="00043311">
        <w:rPr>
          <w:rFonts w:asciiTheme="minorHAnsi" w:hAnsiTheme="minorHAnsi" w:cstheme="minorHAnsi"/>
          <w:noProof/>
          <w:szCs w:val="22"/>
        </w:rPr>
        <w:t>www.cpag.org.nz</w:t>
      </w:r>
      <w:bookmarkEnd w:id="346"/>
    </w:p>
    <w:p w:rsidR="00043311" w:rsidRPr="00001F8B" w:rsidRDefault="00043311" w:rsidP="008B4C8B">
      <w:pPr>
        <w:spacing w:line="240" w:lineRule="auto"/>
        <w:ind w:left="426" w:hanging="426"/>
        <w:rPr>
          <w:rFonts w:asciiTheme="minorHAnsi" w:hAnsiTheme="minorHAnsi" w:cstheme="minorHAnsi"/>
          <w:noProof/>
          <w:szCs w:val="22"/>
        </w:rPr>
      </w:pPr>
      <w:bookmarkStart w:id="347" w:name="_ENREF_140"/>
      <w:r w:rsidRPr="00001F8B">
        <w:rPr>
          <w:rFonts w:asciiTheme="minorHAnsi" w:hAnsiTheme="minorHAnsi" w:cstheme="minorHAnsi"/>
          <w:noProof/>
          <w:szCs w:val="22"/>
        </w:rPr>
        <w:lastRenderedPageBreak/>
        <w:t xml:space="preserve">Zitzow, D. (1996). Comparative study of problematic gambling behaviors between American Indian and non-Indian adolescents within and near a Northern Plains reservation. </w:t>
      </w:r>
      <w:r w:rsidRPr="00001F8B">
        <w:rPr>
          <w:rFonts w:asciiTheme="minorHAnsi" w:hAnsiTheme="minorHAnsi" w:cstheme="minorHAnsi"/>
          <w:i/>
          <w:noProof/>
          <w:szCs w:val="22"/>
        </w:rPr>
        <w:t>American Indian and Alaska Native Mental Health Research: Journal of the National Center, 7</w:t>
      </w:r>
      <w:r w:rsidRPr="00001F8B">
        <w:rPr>
          <w:rFonts w:asciiTheme="minorHAnsi" w:hAnsiTheme="minorHAnsi" w:cstheme="minorHAnsi"/>
          <w:noProof/>
          <w:szCs w:val="22"/>
        </w:rPr>
        <w:t>(2), 14-26.</w:t>
      </w:r>
      <w:bookmarkEnd w:id="347"/>
    </w:p>
    <w:p w:rsidR="00043311" w:rsidRDefault="00043311" w:rsidP="0042130F">
      <w:pPr>
        <w:spacing w:line="240" w:lineRule="auto"/>
        <w:rPr>
          <w:rFonts w:cs="Arial"/>
          <w:noProof/>
          <w:sz w:val="24"/>
        </w:rPr>
      </w:pPr>
    </w:p>
    <w:p w:rsidR="00043311" w:rsidRPr="00DE1555" w:rsidRDefault="00043311" w:rsidP="0042130F">
      <w:pPr>
        <w:spacing w:line="240" w:lineRule="auto"/>
        <w:ind w:right="22"/>
        <w:rPr>
          <w:rFonts w:asciiTheme="minorHAnsi" w:hAnsiTheme="minorHAnsi" w:cstheme="minorHAnsi"/>
        </w:rPr>
      </w:pPr>
    </w:p>
    <w:p w:rsidR="00043311" w:rsidRPr="00E3310E" w:rsidRDefault="00043311" w:rsidP="0042130F">
      <w:pPr>
        <w:spacing w:before="0" w:line="276" w:lineRule="auto"/>
        <w:ind w:right="22"/>
        <w:rPr>
          <w:rFonts w:asciiTheme="minorHAnsi" w:hAnsiTheme="minorHAnsi" w:cstheme="minorHAnsi"/>
          <w:szCs w:val="22"/>
          <w:highlight w:val="yellow"/>
        </w:rPr>
      </w:pPr>
    </w:p>
    <w:p w:rsidR="00043311" w:rsidRPr="00E3310E" w:rsidRDefault="00043311" w:rsidP="0042130F">
      <w:pPr>
        <w:rPr>
          <w:rFonts w:asciiTheme="minorHAnsi" w:hAnsiTheme="minorHAnsi" w:cstheme="minorHAnsi"/>
        </w:rPr>
      </w:pPr>
      <w:bookmarkStart w:id="348" w:name="_Ref219710649"/>
      <w:bookmarkStart w:id="349" w:name="_Ref292443801"/>
    </w:p>
    <w:p w:rsidR="00043311" w:rsidRPr="00E3310E" w:rsidRDefault="00043311" w:rsidP="0042130F">
      <w:pPr>
        <w:pStyle w:val="Heading1"/>
        <w:numPr>
          <w:ilvl w:val="0"/>
          <w:numId w:val="0"/>
        </w:numPr>
        <w:spacing w:line="240" w:lineRule="auto"/>
        <w:jc w:val="center"/>
        <w:rPr>
          <w:rFonts w:asciiTheme="minorHAnsi" w:hAnsiTheme="minorHAnsi" w:cstheme="minorHAnsi"/>
          <w:i/>
          <w:szCs w:val="22"/>
        </w:rPr>
      </w:pPr>
      <w:bookmarkStart w:id="350" w:name="_Ref292810564"/>
      <w:bookmarkStart w:id="351" w:name="_Toc294258212"/>
      <w:bookmarkStart w:id="352" w:name="_Toc367284473"/>
      <w:r w:rsidRPr="00E3310E">
        <w:rPr>
          <w:rFonts w:asciiTheme="minorHAnsi" w:hAnsiTheme="minorHAnsi" w:cstheme="minorHAnsi"/>
          <w:caps w:val="0"/>
          <w:szCs w:val="22"/>
        </w:rPr>
        <w:lastRenderedPageBreak/>
        <w:t>APPENDI</w:t>
      </w:r>
      <w:bookmarkEnd w:id="350"/>
      <w:bookmarkEnd w:id="351"/>
      <w:r w:rsidRPr="00E3310E">
        <w:rPr>
          <w:rFonts w:asciiTheme="minorHAnsi" w:hAnsiTheme="minorHAnsi" w:cstheme="minorHAnsi"/>
          <w:caps w:val="0"/>
          <w:szCs w:val="22"/>
        </w:rPr>
        <w:t>CES</w:t>
      </w:r>
      <w:bookmarkEnd w:id="352"/>
    </w:p>
    <w:p w:rsidR="00043311" w:rsidRPr="00E3310E" w:rsidRDefault="00043311" w:rsidP="0042130F">
      <w:pPr>
        <w:rPr>
          <w:rFonts w:asciiTheme="minorHAnsi" w:hAnsiTheme="minorHAnsi" w:cstheme="minorHAnsi"/>
        </w:rPr>
      </w:pPr>
    </w:p>
    <w:p w:rsidR="00043311" w:rsidRPr="00E3310E" w:rsidRDefault="00043311" w:rsidP="0042130F">
      <w:pPr>
        <w:rPr>
          <w:rFonts w:asciiTheme="minorHAnsi" w:hAnsiTheme="minorHAnsi" w:cstheme="minorHAnsi"/>
        </w:rPr>
      </w:pPr>
    </w:p>
    <w:p w:rsidR="00043311" w:rsidRPr="00E3310E" w:rsidRDefault="00043311" w:rsidP="0042130F">
      <w:pPr>
        <w:rPr>
          <w:rFonts w:asciiTheme="minorHAnsi" w:hAnsiTheme="minorHAnsi" w:cstheme="minorHAnsi"/>
        </w:rPr>
        <w:sectPr w:rsidR="00043311" w:rsidRPr="00E3310E" w:rsidSect="00290023">
          <w:headerReference w:type="even" r:id="rId51"/>
          <w:headerReference w:type="default" r:id="rId52"/>
          <w:footerReference w:type="default" r:id="rId53"/>
          <w:headerReference w:type="first" r:id="rId54"/>
          <w:pgSz w:w="12240" w:h="15840"/>
          <w:pgMar w:top="-1418" w:right="900" w:bottom="851" w:left="1134" w:header="303" w:footer="339" w:gutter="0"/>
          <w:pgNumType w:start="1"/>
          <w:cols w:space="720"/>
          <w:docGrid w:linePitch="360"/>
        </w:sectPr>
      </w:pPr>
    </w:p>
    <w:p w:rsidR="00043311" w:rsidRDefault="00043311" w:rsidP="0042130F">
      <w:pPr>
        <w:pStyle w:val="FionasAppendixtitles"/>
      </w:pPr>
      <w:bookmarkStart w:id="353" w:name="_Ref349741237"/>
      <w:bookmarkStart w:id="354" w:name="_Toc367284474"/>
      <w:bookmarkStart w:id="355" w:name="_Ref345583850"/>
      <w:r>
        <w:lastRenderedPageBreak/>
        <w:t>Overview of Youth’12 gambling questions</w:t>
      </w:r>
      <w:bookmarkEnd w:id="353"/>
      <w:bookmarkEnd w:id="354"/>
      <w:r>
        <w:t xml:space="preserve"> </w:t>
      </w:r>
    </w:p>
    <w:tbl>
      <w:tblPr>
        <w:tblStyle w:val="TableGrid2"/>
        <w:tblW w:w="14885" w:type="dxa"/>
        <w:tblInd w:w="-743" w:type="dxa"/>
        <w:tblLayout w:type="fixed"/>
        <w:tblLook w:val="04A0" w:firstRow="1" w:lastRow="0" w:firstColumn="1" w:lastColumn="0" w:noHBand="0" w:noVBand="1"/>
      </w:tblPr>
      <w:tblGrid>
        <w:gridCol w:w="1559"/>
        <w:gridCol w:w="1135"/>
        <w:gridCol w:w="6237"/>
        <w:gridCol w:w="1134"/>
        <w:gridCol w:w="2552"/>
        <w:gridCol w:w="1134"/>
        <w:gridCol w:w="1134"/>
      </w:tblGrid>
      <w:tr w:rsidR="00043311" w:rsidRPr="00C143F8" w:rsidTr="0042130F">
        <w:tc>
          <w:tcPr>
            <w:tcW w:w="1559" w:type="dxa"/>
          </w:tcPr>
          <w:p w:rsidR="00043311" w:rsidRPr="00144621" w:rsidRDefault="00043311" w:rsidP="0042130F">
            <w:pPr>
              <w:autoSpaceDE w:val="0"/>
              <w:autoSpaceDN w:val="0"/>
              <w:spacing w:before="0" w:line="240" w:lineRule="auto"/>
              <w:jc w:val="center"/>
              <w:rPr>
                <w:rFonts w:asciiTheme="minorHAnsi" w:hAnsiTheme="minorHAnsi" w:cs="Arial"/>
                <w:b/>
                <w:sz w:val="16"/>
                <w:szCs w:val="16"/>
                <w:lang w:val="en-GB"/>
              </w:rPr>
            </w:pPr>
            <w:r w:rsidRPr="00144621">
              <w:rPr>
                <w:rFonts w:asciiTheme="minorHAnsi" w:hAnsiTheme="minorHAnsi" w:cs="Arial"/>
                <w:b/>
                <w:sz w:val="16"/>
                <w:szCs w:val="16"/>
                <w:lang w:val="en-GB"/>
              </w:rPr>
              <w:t>TOPIC DOMAIN</w:t>
            </w:r>
          </w:p>
        </w:tc>
        <w:tc>
          <w:tcPr>
            <w:tcW w:w="1135" w:type="dxa"/>
            <w:vAlign w:val="center"/>
          </w:tcPr>
          <w:p w:rsidR="00043311" w:rsidRPr="00144621" w:rsidRDefault="00043311" w:rsidP="0042130F">
            <w:pPr>
              <w:autoSpaceDE w:val="0"/>
              <w:autoSpaceDN w:val="0"/>
              <w:spacing w:before="0" w:line="240" w:lineRule="auto"/>
              <w:jc w:val="center"/>
              <w:rPr>
                <w:rFonts w:asciiTheme="minorHAnsi" w:hAnsiTheme="minorHAnsi" w:cs="Arial"/>
                <w:b/>
                <w:sz w:val="16"/>
                <w:szCs w:val="16"/>
                <w:lang w:val="en-GB"/>
              </w:rPr>
            </w:pPr>
            <w:r w:rsidRPr="00144621">
              <w:rPr>
                <w:rFonts w:asciiTheme="minorHAnsi" w:hAnsiTheme="minorHAnsi" w:cs="Arial"/>
                <w:b/>
                <w:sz w:val="16"/>
                <w:szCs w:val="16"/>
                <w:lang w:val="en-GB"/>
              </w:rPr>
              <w:t>ORDER OF QUESTION</w:t>
            </w:r>
            <w:r>
              <w:rPr>
                <w:rFonts w:asciiTheme="minorHAnsi" w:hAnsiTheme="minorHAnsi" w:cs="Arial"/>
                <w:b/>
                <w:sz w:val="16"/>
                <w:szCs w:val="16"/>
                <w:lang w:val="en-GB"/>
              </w:rPr>
              <w:t xml:space="preserve"> IN </w:t>
            </w:r>
            <w:r w:rsidR="00F2551F">
              <w:rPr>
                <w:rFonts w:asciiTheme="minorHAnsi" w:hAnsiTheme="minorHAnsi" w:cs="Arial"/>
                <w:b/>
                <w:sz w:val="16"/>
                <w:szCs w:val="16"/>
                <w:lang w:val="en-GB"/>
              </w:rPr>
              <w:t xml:space="preserve">GAMBLING SECTION OF </w:t>
            </w:r>
            <w:r>
              <w:rPr>
                <w:rFonts w:asciiTheme="minorHAnsi" w:hAnsiTheme="minorHAnsi" w:cs="Arial"/>
                <w:b/>
                <w:sz w:val="16"/>
                <w:szCs w:val="16"/>
                <w:lang w:val="en-GB"/>
              </w:rPr>
              <w:t>YOUTH’12 SURVEY</w:t>
            </w:r>
          </w:p>
        </w:tc>
        <w:tc>
          <w:tcPr>
            <w:tcW w:w="6237" w:type="dxa"/>
            <w:vAlign w:val="center"/>
          </w:tcPr>
          <w:p w:rsidR="00043311" w:rsidRPr="00C143F8" w:rsidRDefault="00043311" w:rsidP="0042130F">
            <w:pPr>
              <w:autoSpaceDE w:val="0"/>
              <w:autoSpaceDN w:val="0"/>
              <w:spacing w:before="0" w:line="240" w:lineRule="auto"/>
              <w:jc w:val="center"/>
              <w:rPr>
                <w:rFonts w:asciiTheme="minorHAnsi" w:hAnsiTheme="minorHAnsi" w:cs="Arial"/>
                <w:b/>
                <w:sz w:val="16"/>
                <w:szCs w:val="16"/>
                <w:lang w:val="en-GB"/>
              </w:rPr>
            </w:pPr>
            <w:r w:rsidRPr="00C143F8">
              <w:rPr>
                <w:rFonts w:asciiTheme="minorHAnsi" w:hAnsiTheme="minorHAnsi" w:cs="Arial"/>
                <w:b/>
                <w:sz w:val="16"/>
                <w:szCs w:val="16"/>
                <w:lang w:val="en-GB"/>
              </w:rPr>
              <w:t>QUESTION WORDING</w:t>
            </w:r>
          </w:p>
        </w:tc>
        <w:tc>
          <w:tcPr>
            <w:tcW w:w="1134" w:type="dxa"/>
            <w:vAlign w:val="center"/>
          </w:tcPr>
          <w:p w:rsidR="00043311" w:rsidRPr="00C143F8" w:rsidRDefault="00043311" w:rsidP="0042130F">
            <w:pPr>
              <w:autoSpaceDE w:val="0"/>
              <w:autoSpaceDN w:val="0"/>
              <w:spacing w:before="0" w:line="240" w:lineRule="auto"/>
              <w:jc w:val="center"/>
              <w:rPr>
                <w:rFonts w:asciiTheme="minorHAnsi" w:hAnsiTheme="minorHAnsi" w:cs="Arial"/>
                <w:b/>
                <w:sz w:val="16"/>
                <w:szCs w:val="16"/>
                <w:lang w:val="en-GB"/>
              </w:rPr>
            </w:pPr>
            <w:r w:rsidRPr="00C143F8">
              <w:rPr>
                <w:rFonts w:asciiTheme="minorHAnsi" w:hAnsiTheme="minorHAnsi" w:cs="Arial"/>
                <w:b/>
                <w:sz w:val="16"/>
                <w:szCs w:val="16"/>
                <w:lang w:val="en-GB"/>
              </w:rPr>
              <w:t>NAME IN DATABASE</w:t>
            </w:r>
            <w:r>
              <w:rPr>
                <w:rFonts w:asciiTheme="minorHAnsi" w:hAnsiTheme="minorHAnsi" w:cs="Arial"/>
                <w:b/>
                <w:sz w:val="16"/>
                <w:szCs w:val="16"/>
                <w:lang w:val="en-GB"/>
              </w:rPr>
              <w:t xml:space="preserve"> </w:t>
            </w:r>
            <w:r w:rsidRPr="009A073A">
              <w:rPr>
                <w:rFonts w:asciiTheme="minorHAnsi" w:hAnsiTheme="minorHAnsi" w:cs="Arial"/>
                <w:b/>
                <w:sz w:val="16"/>
                <w:szCs w:val="16"/>
                <w:vertAlign w:val="superscript"/>
                <w:lang w:val="en-GB"/>
              </w:rPr>
              <w:t>1</w:t>
            </w:r>
            <w:r>
              <w:rPr>
                <w:rFonts w:asciiTheme="minorHAnsi" w:hAnsiTheme="minorHAnsi" w:cs="Arial"/>
                <w:b/>
                <w:sz w:val="16"/>
                <w:szCs w:val="16"/>
                <w:vertAlign w:val="superscript"/>
                <w:lang w:val="en-GB"/>
              </w:rPr>
              <w:t xml:space="preserve"> 2</w:t>
            </w:r>
          </w:p>
        </w:tc>
        <w:tc>
          <w:tcPr>
            <w:tcW w:w="2552" w:type="dxa"/>
            <w:vAlign w:val="center"/>
          </w:tcPr>
          <w:p w:rsidR="00043311" w:rsidRPr="00C143F8" w:rsidRDefault="00043311" w:rsidP="0042130F">
            <w:pPr>
              <w:autoSpaceDE w:val="0"/>
              <w:autoSpaceDN w:val="0"/>
              <w:spacing w:before="0" w:line="240" w:lineRule="auto"/>
              <w:jc w:val="center"/>
              <w:rPr>
                <w:rFonts w:asciiTheme="minorHAnsi" w:hAnsiTheme="minorHAnsi" w:cs="Arial"/>
                <w:b/>
                <w:sz w:val="16"/>
                <w:szCs w:val="16"/>
                <w:lang w:val="en-GB"/>
              </w:rPr>
            </w:pPr>
            <w:r w:rsidRPr="00C143F8">
              <w:rPr>
                <w:rFonts w:asciiTheme="minorHAnsi" w:hAnsiTheme="minorHAnsi" w:cs="Arial"/>
                <w:b/>
                <w:sz w:val="16"/>
                <w:szCs w:val="16"/>
                <w:lang w:val="en-GB"/>
              </w:rPr>
              <w:t>RESPONSES</w:t>
            </w:r>
          </w:p>
        </w:tc>
        <w:tc>
          <w:tcPr>
            <w:tcW w:w="1134" w:type="dxa"/>
            <w:vAlign w:val="center"/>
          </w:tcPr>
          <w:p w:rsidR="00043311" w:rsidRPr="00C143F8" w:rsidRDefault="00043311" w:rsidP="0042130F">
            <w:pPr>
              <w:autoSpaceDE w:val="0"/>
              <w:autoSpaceDN w:val="0"/>
              <w:spacing w:before="0" w:line="240" w:lineRule="auto"/>
              <w:ind w:left="-108"/>
              <w:jc w:val="center"/>
              <w:rPr>
                <w:rFonts w:asciiTheme="minorHAnsi" w:hAnsiTheme="minorHAnsi" w:cs="Arial"/>
                <w:b/>
                <w:sz w:val="16"/>
                <w:szCs w:val="16"/>
                <w:lang w:val="en-GB"/>
              </w:rPr>
            </w:pPr>
            <w:r w:rsidRPr="00C143F8">
              <w:rPr>
                <w:rFonts w:asciiTheme="minorHAnsi" w:hAnsiTheme="minorHAnsi" w:cs="Arial"/>
                <w:b/>
                <w:sz w:val="16"/>
                <w:szCs w:val="16"/>
                <w:lang w:val="en-GB"/>
              </w:rPr>
              <w:t>CATEGORY</w:t>
            </w:r>
          </w:p>
        </w:tc>
        <w:tc>
          <w:tcPr>
            <w:tcW w:w="1134" w:type="dxa"/>
            <w:vAlign w:val="center"/>
          </w:tcPr>
          <w:p w:rsidR="00043311" w:rsidRDefault="00043311" w:rsidP="0042130F">
            <w:pPr>
              <w:autoSpaceDE w:val="0"/>
              <w:autoSpaceDN w:val="0"/>
              <w:spacing w:before="0" w:line="240" w:lineRule="auto"/>
              <w:ind w:left="-108"/>
              <w:jc w:val="center"/>
              <w:rPr>
                <w:rFonts w:asciiTheme="minorHAnsi" w:hAnsiTheme="minorHAnsi" w:cs="Arial"/>
                <w:b/>
                <w:sz w:val="16"/>
                <w:szCs w:val="16"/>
                <w:lang w:val="en-GB"/>
              </w:rPr>
            </w:pPr>
            <w:r w:rsidRPr="00C143F8">
              <w:rPr>
                <w:rFonts w:asciiTheme="minorHAnsi" w:hAnsiTheme="minorHAnsi" w:cs="Arial"/>
                <w:b/>
                <w:sz w:val="16"/>
                <w:szCs w:val="16"/>
                <w:lang w:val="en-GB"/>
              </w:rPr>
              <w:t xml:space="preserve">COMPARABLE </w:t>
            </w:r>
          </w:p>
          <w:p w:rsidR="00043311" w:rsidRPr="00C143F8" w:rsidRDefault="00043311" w:rsidP="0042130F">
            <w:pPr>
              <w:autoSpaceDE w:val="0"/>
              <w:autoSpaceDN w:val="0"/>
              <w:spacing w:before="0" w:line="240" w:lineRule="auto"/>
              <w:ind w:left="-108"/>
              <w:jc w:val="center"/>
              <w:rPr>
                <w:rFonts w:asciiTheme="minorHAnsi" w:hAnsiTheme="minorHAnsi" w:cs="Arial"/>
                <w:b/>
                <w:sz w:val="16"/>
                <w:szCs w:val="16"/>
                <w:lang w:val="en-GB"/>
              </w:rPr>
            </w:pPr>
            <w:r w:rsidRPr="00C143F8">
              <w:rPr>
                <w:rFonts w:asciiTheme="minorHAnsi" w:hAnsiTheme="minorHAnsi" w:cs="Arial"/>
                <w:b/>
                <w:sz w:val="16"/>
                <w:szCs w:val="16"/>
                <w:lang w:val="en-GB"/>
              </w:rPr>
              <w:t>WITH YOUTH’07</w:t>
            </w:r>
          </w:p>
        </w:tc>
      </w:tr>
      <w:tr w:rsidR="00043311" w:rsidRPr="00C143F8" w:rsidTr="0042130F">
        <w:tc>
          <w:tcPr>
            <w:tcW w:w="1559" w:type="dxa"/>
            <w:vMerge w:val="restart"/>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r w:rsidRPr="00C143F8">
              <w:rPr>
                <w:rFonts w:asciiTheme="minorHAnsi" w:hAnsiTheme="minorHAnsi" w:cs="Arial"/>
                <w:b/>
                <w:sz w:val="16"/>
                <w:szCs w:val="16"/>
                <w:lang w:val="en-GB"/>
              </w:rPr>
              <w:t>GAMBLING - Activities Acceptable for People Student’s Age to Participate In</w:t>
            </w:r>
          </w:p>
        </w:tc>
        <w:tc>
          <w:tcPr>
            <w:tcW w:w="1135" w:type="dxa"/>
            <w:vMerge w:val="restart"/>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r w:rsidRPr="00144621">
              <w:rPr>
                <w:rFonts w:asciiTheme="minorHAnsi" w:hAnsiTheme="minorHAnsi" w:cs="Arial"/>
                <w:sz w:val="16"/>
                <w:szCs w:val="16"/>
                <w:lang w:val="en-GB"/>
              </w:rPr>
              <w:t>1</w:t>
            </w:r>
          </w:p>
        </w:tc>
        <w:tc>
          <w:tcPr>
            <w:tcW w:w="12191" w:type="dxa"/>
            <w:gridSpan w:val="5"/>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r w:rsidRPr="00C143F8">
              <w:rPr>
                <w:rFonts w:asciiTheme="minorHAnsi" w:hAnsiTheme="minorHAnsi" w:cs="Arial"/>
                <w:b/>
                <w:sz w:val="16"/>
                <w:szCs w:val="16"/>
                <w:lang w:val="en-GB"/>
              </w:rPr>
              <w:t>Which of these do you think is okay for people your age to play or do regularly? (you may choose as many as you need)</w:t>
            </w: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Instant Kiwi (scratchies)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Gamb7_1</w:t>
            </w:r>
          </w:p>
        </w:tc>
        <w:tc>
          <w:tcPr>
            <w:tcW w:w="2552"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Yes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Attitudes and motivating factors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NO</w:t>
            </w: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spacing w:before="0" w:after="200" w:line="276" w:lineRule="auto"/>
              <w:ind w:left="720"/>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Lotto (including Strike, Powerball and Big Wednesday)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Bingo or Housie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Gamb7_3</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Pub or club (pokies)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Gamb7_4</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A casino (e.g. roulette, pokies)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Gamb7_5</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TAB betting (e.g. on track racing or sports)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Gamb7_6</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Games and gambling on a cell/mobile phone for money or prizes (e.g. txt games)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Gamb7_7</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Gambling on the Internet for money or prizes (e.g. internet casinos or poker)</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Gamb7_8</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Bets with friends or family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Gamb7_9</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0900 phone games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Gamb7_10</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Cards or coin games (e.g. poker)</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Gamb7_11</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None of these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Gamb7_12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val="restart"/>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r w:rsidRPr="00C143F8">
              <w:rPr>
                <w:rFonts w:asciiTheme="minorHAnsi" w:hAnsiTheme="minorHAnsi" w:cs="Arial"/>
                <w:b/>
                <w:sz w:val="16"/>
                <w:szCs w:val="16"/>
                <w:lang w:val="en-GB"/>
              </w:rPr>
              <w:t>GAMBLING - Activities Student’s Friends Participate In</w:t>
            </w:r>
          </w:p>
        </w:tc>
        <w:tc>
          <w:tcPr>
            <w:tcW w:w="1135" w:type="dxa"/>
            <w:vMerge w:val="restart"/>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r w:rsidRPr="00144621">
              <w:rPr>
                <w:rFonts w:asciiTheme="minorHAnsi" w:hAnsiTheme="minorHAnsi" w:cs="Arial"/>
                <w:sz w:val="16"/>
                <w:szCs w:val="16"/>
                <w:lang w:val="en-GB"/>
              </w:rPr>
              <w:t>2</w:t>
            </w:r>
          </w:p>
        </w:tc>
        <w:tc>
          <w:tcPr>
            <w:tcW w:w="12191" w:type="dxa"/>
            <w:gridSpan w:val="5"/>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r w:rsidRPr="00C143F8">
              <w:rPr>
                <w:rFonts w:asciiTheme="minorHAnsi" w:hAnsiTheme="minorHAnsi" w:cs="Arial"/>
                <w:b/>
                <w:sz w:val="16"/>
                <w:szCs w:val="16"/>
                <w:lang w:val="en-GB"/>
              </w:rPr>
              <w:t>Which of the following activities do your friends play or do? (you may choose as many as you need)</w:t>
            </w: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Instant Kiwi (scratchies)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Gamb8_1</w:t>
            </w:r>
          </w:p>
        </w:tc>
        <w:tc>
          <w:tcPr>
            <w:tcW w:w="2552"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Yes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Social and ecological factors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NO</w:t>
            </w: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Lotto (including Strike, Powerball and Big Wednesday)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Bingo or Housie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Gamb8_3</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Pub or club (pokies)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Gamb8_4</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A casino (e.g. roulette, pokies)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Gamb8_5</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TAB betting (e.g. on track racing or sports)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Gamb8_6</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Games and gambling on a cell/mobile phone for money or prizes (e.g. txt games)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Gamb8_7</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Gambling on the Internet for money or prizes (e.g. internet casinos or poker)</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Gamb8_8</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Bets with friends or family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Gamb8_9</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0900 phone games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Gamb8_10</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Cards or coin games (e.g. poker)</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Gamb8_11</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Borders>
              <w:bottom w:val="single" w:sz="4" w:space="0" w:color="auto"/>
            </w:tcBorders>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Borders>
              <w:bottom w:val="single" w:sz="4" w:space="0" w:color="auto"/>
            </w:tcBorders>
          </w:tcPr>
          <w:p w:rsidR="00043311" w:rsidRPr="00144621" w:rsidRDefault="00043311" w:rsidP="0042130F">
            <w:pPr>
              <w:numPr>
                <w:ilvl w:val="0"/>
                <w:numId w:val="13"/>
              </w:numPr>
              <w:autoSpaceDE w:val="0"/>
              <w:autoSpaceDN w:val="0"/>
              <w:spacing w:before="0" w:line="240" w:lineRule="auto"/>
              <w:contextualSpacing/>
              <w:jc w:val="center"/>
              <w:rPr>
                <w:rFonts w:asciiTheme="minorHAnsi" w:eastAsiaTheme="minorHAnsi" w:hAnsiTheme="minorHAnsi" w:cs="Arial"/>
                <w:sz w:val="16"/>
                <w:szCs w:val="16"/>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None of these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Gamb8_12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val="restart"/>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bookmarkStart w:id="356" w:name="_Toc335742575"/>
            <w:r w:rsidRPr="00C143F8">
              <w:rPr>
                <w:rFonts w:asciiTheme="minorHAnsi" w:hAnsiTheme="minorHAnsi" w:cs="Arial"/>
                <w:b/>
                <w:sz w:val="16"/>
                <w:szCs w:val="16"/>
                <w:lang w:val="en-GB"/>
              </w:rPr>
              <w:t xml:space="preserve">GAMBLING – Activities Student’s </w:t>
            </w:r>
            <w:r w:rsidRPr="00617BAF">
              <w:rPr>
                <w:rFonts w:asciiTheme="minorHAnsi" w:hAnsiTheme="minorHAnsi" w:cs="Arial"/>
                <w:b/>
                <w:sz w:val="16"/>
                <w:szCs w:val="16"/>
                <w:u w:val="single"/>
                <w:lang w:val="en-GB"/>
              </w:rPr>
              <w:t>Parents or Caregivers</w:t>
            </w:r>
            <w:r w:rsidRPr="00C143F8">
              <w:rPr>
                <w:rFonts w:asciiTheme="minorHAnsi" w:hAnsiTheme="minorHAnsi" w:cs="Arial"/>
                <w:b/>
                <w:sz w:val="16"/>
                <w:szCs w:val="16"/>
                <w:lang w:val="en-GB"/>
              </w:rPr>
              <w:t xml:space="preserve"> Participate In</w:t>
            </w:r>
            <w:bookmarkEnd w:id="356"/>
          </w:p>
        </w:tc>
        <w:tc>
          <w:tcPr>
            <w:tcW w:w="1135" w:type="dxa"/>
            <w:vMerge w:val="restart"/>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r w:rsidRPr="00144621">
              <w:rPr>
                <w:rFonts w:asciiTheme="minorHAnsi" w:hAnsiTheme="minorHAnsi" w:cs="Arial"/>
                <w:sz w:val="16"/>
                <w:szCs w:val="16"/>
                <w:lang w:val="en-GB"/>
              </w:rPr>
              <w:t>3</w:t>
            </w:r>
          </w:p>
        </w:tc>
        <w:tc>
          <w:tcPr>
            <w:tcW w:w="12191" w:type="dxa"/>
            <w:gridSpan w:val="5"/>
            <w:tcBorders>
              <w:left w:val="single" w:sz="4" w:space="0" w:color="auto"/>
              <w:bottom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r w:rsidRPr="00C143F8">
              <w:rPr>
                <w:rFonts w:asciiTheme="minorHAnsi" w:hAnsiTheme="minorHAnsi" w:cs="Arial"/>
                <w:b/>
                <w:sz w:val="16"/>
                <w:szCs w:val="16"/>
                <w:lang w:val="en-GB"/>
              </w:rPr>
              <w:t>Which of the following activities do your parent/s or caregiver/s play or do? (you may choose as many as you need)</w:t>
            </w: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Instant Kiwi (scratchies)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Gamb9_1</w:t>
            </w:r>
          </w:p>
        </w:tc>
        <w:tc>
          <w:tcPr>
            <w:tcW w:w="2552"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Yes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Social and ecological factors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NO</w:t>
            </w: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Lotto (including Strike, Powerball and Big Wednesday)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Bingo or Housie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Gamb9_3</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Pub or club (pokies)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Gamb9_4</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A casino (e.g. roulette, pokies)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Gamb9_5</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TAB betting (e.g. on track racing or sports)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Gamb9_6</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Games and gambling on a cell/mobile phone for money or prizes (e.g. txt games)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Gamb9_7</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Gambling on the Internet for money or prizes (e.g. internet casinos or poker)</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Gamb9_8</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Bets with friends or family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Gamb9_9</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0900 phone games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Gamb9_10</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Cards or coin games (e.g. poker)</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Gamb9_11</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Borders>
              <w:top w:val="single" w:sz="4" w:space="0" w:color="auto"/>
              <w:left w:val="single" w:sz="4" w:space="0" w:color="auto"/>
              <w:bottom w:val="single" w:sz="4" w:space="0" w:color="auto"/>
              <w:right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Borders>
              <w:top w:val="single" w:sz="4" w:space="0" w:color="auto"/>
              <w:left w:val="single" w:sz="4" w:space="0" w:color="auto"/>
              <w:bottom w:val="single" w:sz="4" w:space="0" w:color="auto"/>
              <w:right w:val="single" w:sz="4" w:space="0" w:color="auto"/>
            </w:tcBorders>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Borders>
              <w:left w:val="single" w:sz="4" w:space="0" w:color="auto"/>
              <w:bottom w:val="single" w:sz="4" w:space="0" w:color="auto"/>
            </w:tcBorders>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None of these</w:t>
            </w:r>
          </w:p>
        </w:tc>
        <w:tc>
          <w:tcPr>
            <w:tcW w:w="1134" w:type="dxa"/>
            <w:tcBorders>
              <w:bottom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Gamb9_12</w:t>
            </w:r>
          </w:p>
        </w:tc>
        <w:tc>
          <w:tcPr>
            <w:tcW w:w="2552" w:type="dxa"/>
            <w:vMerge/>
            <w:tcBorders>
              <w:bottom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Borders>
              <w:bottom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Borders>
              <w:bottom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bl>
    <w:p w:rsidR="00061D91" w:rsidRDefault="00061D91"/>
    <w:tbl>
      <w:tblPr>
        <w:tblStyle w:val="TableGrid2"/>
        <w:tblW w:w="14885" w:type="dxa"/>
        <w:tblInd w:w="-743" w:type="dxa"/>
        <w:tblLayout w:type="fixed"/>
        <w:tblLook w:val="04A0" w:firstRow="1" w:lastRow="0" w:firstColumn="1" w:lastColumn="0" w:noHBand="0" w:noVBand="1"/>
      </w:tblPr>
      <w:tblGrid>
        <w:gridCol w:w="1559"/>
        <w:gridCol w:w="1135"/>
        <w:gridCol w:w="6237"/>
        <w:gridCol w:w="1134"/>
        <w:gridCol w:w="2552"/>
        <w:gridCol w:w="1134"/>
        <w:gridCol w:w="1134"/>
      </w:tblGrid>
      <w:tr w:rsidR="00043311" w:rsidRPr="00C143F8" w:rsidTr="0042130F">
        <w:tc>
          <w:tcPr>
            <w:tcW w:w="1559" w:type="dxa"/>
            <w:vMerge w:val="restart"/>
            <w:tcBorders>
              <w:top w:val="single" w:sz="4" w:space="0" w:color="auto"/>
            </w:tcBorders>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bookmarkStart w:id="357" w:name="_Toc335742576"/>
            <w:r w:rsidRPr="00C143F8">
              <w:rPr>
                <w:rFonts w:asciiTheme="minorHAnsi" w:hAnsiTheme="minorHAnsi" w:cs="Arial"/>
                <w:b/>
                <w:sz w:val="16"/>
                <w:szCs w:val="16"/>
                <w:lang w:val="en-GB"/>
              </w:rPr>
              <w:t>GAMBLING – Betting Precious Things or Money</w:t>
            </w:r>
            <w:bookmarkEnd w:id="357"/>
          </w:p>
        </w:tc>
        <w:tc>
          <w:tcPr>
            <w:tcW w:w="1135" w:type="dxa"/>
            <w:vMerge w:val="restart"/>
            <w:tcBorders>
              <w:top w:val="single" w:sz="4" w:space="0" w:color="auto"/>
            </w:tcBorders>
          </w:tcPr>
          <w:p w:rsidR="00043311" w:rsidRPr="009A5293" w:rsidRDefault="00043311" w:rsidP="0042130F">
            <w:pPr>
              <w:autoSpaceDE w:val="0"/>
              <w:autoSpaceDN w:val="0"/>
              <w:spacing w:before="0" w:line="240" w:lineRule="auto"/>
              <w:jc w:val="center"/>
              <w:rPr>
                <w:rFonts w:asciiTheme="minorHAnsi" w:hAnsiTheme="minorHAnsi" w:cs="Arial"/>
                <w:sz w:val="16"/>
                <w:szCs w:val="16"/>
                <w:lang w:val="en-GB"/>
              </w:rPr>
            </w:pPr>
            <w:r w:rsidRPr="009A5293">
              <w:rPr>
                <w:rFonts w:asciiTheme="minorHAnsi" w:hAnsiTheme="minorHAnsi" w:cs="Arial"/>
                <w:sz w:val="16"/>
                <w:szCs w:val="16"/>
                <w:lang w:val="en-GB"/>
              </w:rPr>
              <w:t>4</w:t>
            </w:r>
          </w:p>
        </w:tc>
        <w:tc>
          <w:tcPr>
            <w:tcW w:w="12191" w:type="dxa"/>
            <w:gridSpan w:val="5"/>
            <w:tcBorders>
              <w:top w:val="single" w:sz="4" w:space="0" w:color="auto"/>
            </w:tcBorders>
          </w:tcPr>
          <w:p w:rsidR="00043311" w:rsidRPr="00C143F8" w:rsidRDefault="00F87A93" w:rsidP="0042130F">
            <w:pPr>
              <w:autoSpaceDE w:val="0"/>
              <w:autoSpaceDN w:val="0"/>
              <w:spacing w:before="0" w:line="240" w:lineRule="auto"/>
              <w:jc w:val="left"/>
              <w:rPr>
                <w:rFonts w:asciiTheme="minorHAnsi" w:hAnsiTheme="minorHAnsi" w:cs="Arial"/>
                <w:b/>
                <w:sz w:val="16"/>
                <w:szCs w:val="16"/>
                <w:lang w:val="en-GB"/>
              </w:rPr>
            </w:pPr>
            <w:r>
              <w:rPr>
                <w:rFonts w:asciiTheme="minorHAnsi" w:hAnsiTheme="minorHAnsi" w:cs="Arial"/>
                <w:b/>
                <w:sz w:val="16"/>
                <w:szCs w:val="16"/>
                <w:lang w:val="en-GB"/>
              </w:rPr>
              <w:t xml:space="preserve">Have you ever gambled or bet precious things for money on any of these activities? </w:t>
            </w: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keepNext/>
              <w:widowControl w:val="0"/>
              <w:numPr>
                <w:ilvl w:val="0"/>
                <w:numId w:val="11"/>
              </w:numPr>
              <w:autoSpaceDE w:val="0"/>
              <w:autoSpaceDN w:val="0"/>
              <w:spacing w:before="0" w:after="120" w:line="360" w:lineRule="auto"/>
              <w:ind w:left="0" w:firstLine="0"/>
              <w:jc w:val="center"/>
              <w:outlineLvl w:val="1"/>
              <w:rPr>
                <w:rFonts w:asciiTheme="minorHAnsi" w:hAnsiTheme="minorHAnsi" w:cs="Arial"/>
                <w:bCs/>
                <w:iCs/>
                <w:sz w:val="16"/>
                <w:szCs w:val="16"/>
                <w:lang w:val="en-GB"/>
              </w:rPr>
            </w:pPr>
            <w:bookmarkStart w:id="358" w:name="_Toc349745531"/>
            <w:bookmarkStart w:id="359" w:name="_Toc349809145"/>
            <w:bookmarkStart w:id="360" w:name="_Toc352772931"/>
            <w:bookmarkStart w:id="361" w:name="_Toc352773557"/>
            <w:bookmarkStart w:id="362" w:name="_Toc353884610"/>
            <w:bookmarkStart w:id="363" w:name="_Toc354060227"/>
            <w:bookmarkStart w:id="364" w:name="_Toc354073751"/>
            <w:bookmarkStart w:id="365" w:name="_Toc354147252"/>
            <w:bookmarkStart w:id="366" w:name="_Toc361233244"/>
            <w:bookmarkStart w:id="367" w:name="_Toc363740292"/>
            <w:bookmarkStart w:id="368" w:name="_Toc366155203"/>
            <w:bookmarkStart w:id="369" w:name="_Toc366157462"/>
            <w:bookmarkStart w:id="370" w:name="_Toc366674920"/>
            <w:bookmarkStart w:id="371" w:name="_Toc366678629"/>
            <w:bookmarkStart w:id="372" w:name="_Toc367284475"/>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Instant Kiwi (scratchies)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Gamb10_1</w:t>
            </w:r>
          </w:p>
        </w:tc>
        <w:tc>
          <w:tcPr>
            <w:tcW w:w="2552"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Never</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Not in the past 12 months</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Once or twice in the last 12 months</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Once in the last 4 weeks</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Two or three times in the last 4 weeks</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About one a week</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Several times a week</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xml:space="preserve">- Most days </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highlight w:val="yellow"/>
                <w:lang w:val="en-GB"/>
              </w:rPr>
            </w:pPr>
            <w:r w:rsidRPr="00C143F8">
              <w:rPr>
                <w:rFonts w:asciiTheme="minorHAnsi" w:hAnsiTheme="minorHAnsi" w:cs="Arial"/>
                <w:b/>
                <w:sz w:val="16"/>
                <w:szCs w:val="16"/>
                <w:lang w:val="en-GB"/>
              </w:rPr>
              <w:t>Level of student engagement with gambling</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highlight w:val="yellow"/>
                <w:lang w:val="en-GB"/>
              </w:rPr>
            </w:pPr>
            <w:r w:rsidRPr="00C143F8">
              <w:rPr>
                <w:rFonts w:asciiTheme="minorHAnsi" w:hAnsiTheme="minorHAnsi" w:cs="Arial"/>
                <w:sz w:val="16"/>
                <w:szCs w:val="16"/>
                <w:lang w:val="en-GB"/>
              </w:rPr>
              <w:t>NO</w:t>
            </w: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Lotto (including Strike, Powerball and Big Wednesday)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Gamb10_2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Bingo or Housie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Gamb10_3</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Pub or club (pokies)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Gamb10_4</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A casino (e.g. roulette, pokies)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Gamb10_5</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TAB betting (e.g. on track racing or sports)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Gamb10_6</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Games and gambling on a cell/mobile phone for money or prizes (e.g. txt games)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Gamb10_7</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Gambling on the Internet for money or prizes (e.g. internet casinos or poker)</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Gamb10_8</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Bets with friends or family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Gamb10_9</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0900 phone games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Gamb10_10</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Cards or coin games (e.g. poker)</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Gamb10_11</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rPr>
          <w:trHeight w:val="1245"/>
        </w:trPr>
        <w:tc>
          <w:tcPr>
            <w:tcW w:w="1559" w:type="dxa"/>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bookmarkStart w:id="373" w:name="_Toc335742577"/>
            <w:r w:rsidRPr="00C143F8">
              <w:rPr>
                <w:rFonts w:asciiTheme="minorHAnsi" w:hAnsiTheme="minorHAnsi" w:cs="Arial"/>
                <w:b/>
                <w:sz w:val="16"/>
                <w:szCs w:val="16"/>
                <w:lang w:val="en-GB"/>
              </w:rPr>
              <w:t>GAMBLING – Money Spent Each Week on Gambling</w:t>
            </w:r>
            <w:bookmarkEnd w:id="373"/>
          </w:p>
        </w:tc>
        <w:tc>
          <w:tcPr>
            <w:tcW w:w="1135" w:type="dxa"/>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r w:rsidRPr="00144621">
              <w:rPr>
                <w:rFonts w:asciiTheme="minorHAnsi" w:hAnsiTheme="minorHAnsi" w:cs="Arial"/>
                <w:sz w:val="16"/>
                <w:szCs w:val="16"/>
                <w:lang w:val="en-GB"/>
              </w:rPr>
              <w:t>5</w:t>
            </w:r>
          </w:p>
        </w:tc>
        <w:tc>
          <w:tcPr>
            <w:tcW w:w="6237"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Thinking about the activities in the previous question, how much money would you usually spend each week on bets or gambling?</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Gamb4</w:t>
            </w:r>
          </w:p>
        </w:tc>
        <w:tc>
          <w:tcPr>
            <w:tcW w:w="2552"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Nothing</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Less than $10</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$10-$19</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$20-$29</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$30-$49</w:t>
            </w:r>
          </w:p>
          <w:p w:rsidR="00043311" w:rsidRPr="00C143F8" w:rsidRDefault="00043311" w:rsidP="0042130F">
            <w:pPr>
              <w:tabs>
                <w:tab w:val="left" w:pos="1095"/>
              </w:tabs>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$50 or more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Level of student engagement with gambling</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YES (Gamb4)</w:t>
            </w:r>
          </w:p>
        </w:tc>
      </w:tr>
      <w:tr w:rsidR="00043311" w:rsidRPr="00C143F8" w:rsidTr="0042130F">
        <w:tc>
          <w:tcPr>
            <w:tcW w:w="1559" w:type="dxa"/>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r w:rsidRPr="00C143F8">
              <w:rPr>
                <w:rFonts w:asciiTheme="minorHAnsi" w:hAnsiTheme="minorHAnsi" w:cs="Arial"/>
                <w:b/>
                <w:sz w:val="16"/>
                <w:szCs w:val="16"/>
                <w:lang w:val="en-GB"/>
              </w:rPr>
              <w:t>GAMBLING – Time Spent Each Day on Gambling</w:t>
            </w:r>
          </w:p>
        </w:tc>
        <w:tc>
          <w:tcPr>
            <w:tcW w:w="1135" w:type="dxa"/>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r w:rsidRPr="00144621">
              <w:rPr>
                <w:rFonts w:asciiTheme="minorHAnsi" w:hAnsiTheme="minorHAnsi" w:cs="Arial"/>
                <w:sz w:val="16"/>
                <w:szCs w:val="16"/>
                <w:lang w:val="en-GB"/>
              </w:rPr>
              <w:t>6</w:t>
            </w:r>
          </w:p>
        </w:tc>
        <w:tc>
          <w:tcPr>
            <w:tcW w:w="6237"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How much time would you usually spend each day on bets or gambling?</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Gamb5</w:t>
            </w:r>
          </w:p>
        </w:tc>
        <w:tc>
          <w:tcPr>
            <w:tcW w:w="2552"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xml:space="preserve">- Nothing </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Less than 15 minutes</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- 15-29 minutes</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- 30-59 minutes</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- 1 to 3 hours</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More than 3 hours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Level of student engagement with gambling</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YES (Gamb5)</w:t>
            </w:r>
          </w:p>
        </w:tc>
      </w:tr>
      <w:tr w:rsidR="00043311" w:rsidRPr="00C143F8" w:rsidTr="0042130F">
        <w:tc>
          <w:tcPr>
            <w:tcW w:w="1559" w:type="dxa"/>
            <w:vMerge w:val="restart"/>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bookmarkStart w:id="374" w:name="_Toc335742579"/>
            <w:r w:rsidRPr="00C143F8">
              <w:rPr>
                <w:rFonts w:asciiTheme="minorHAnsi" w:hAnsiTheme="minorHAnsi" w:cs="Arial"/>
                <w:b/>
                <w:sz w:val="16"/>
                <w:szCs w:val="16"/>
                <w:lang w:val="en-GB"/>
              </w:rPr>
              <w:t>GAMBLING – People Students Usually Gamble With</w:t>
            </w:r>
            <w:bookmarkEnd w:id="374"/>
          </w:p>
        </w:tc>
        <w:tc>
          <w:tcPr>
            <w:tcW w:w="1135" w:type="dxa"/>
            <w:vMerge w:val="restart"/>
          </w:tcPr>
          <w:p w:rsidR="00043311" w:rsidRPr="00144621" w:rsidRDefault="00043311" w:rsidP="0042130F">
            <w:pPr>
              <w:autoSpaceDE w:val="0"/>
              <w:autoSpaceDN w:val="0"/>
              <w:spacing w:before="0" w:line="240" w:lineRule="auto"/>
              <w:jc w:val="center"/>
              <w:rPr>
                <w:rFonts w:asciiTheme="minorHAnsi" w:hAnsiTheme="minorHAnsi" w:cs="Arial"/>
                <w:bCs/>
                <w:sz w:val="16"/>
                <w:szCs w:val="16"/>
                <w:lang w:val="en-GB"/>
              </w:rPr>
            </w:pPr>
            <w:r w:rsidRPr="00144621">
              <w:rPr>
                <w:rFonts w:cs="Arial"/>
                <w:sz w:val="24"/>
                <w:lang w:val="en-GB"/>
              </w:rPr>
              <w:br w:type="page"/>
            </w:r>
            <w:r w:rsidRPr="00144621">
              <w:rPr>
                <w:rFonts w:asciiTheme="minorHAnsi" w:hAnsiTheme="minorHAnsi" w:cs="Arial"/>
                <w:sz w:val="16"/>
                <w:szCs w:val="16"/>
                <w:lang w:val="en-GB"/>
              </w:rPr>
              <w:t>7</w:t>
            </w:r>
          </w:p>
        </w:tc>
        <w:tc>
          <w:tcPr>
            <w:tcW w:w="12191" w:type="dxa"/>
            <w:gridSpan w:val="5"/>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r w:rsidRPr="00C143F8">
              <w:rPr>
                <w:rFonts w:asciiTheme="minorHAnsi" w:hAnsiTheme="minorHAnsi" w:cs="Arial"/>
                <w:b/>
                <w:sz w:val="16"/>
                <w:szCs w:val="16"/>
                <w:lang w:val="en-GB"/>
              </w:rPr>
              <w:t>When you do these activities or gamble, who do you usually do it with? (you may choose as many as you need)</w:t>
            </w: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Friends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Gamb11_1</w:t>
            </w:r>
          </w:p>
        </w:tc>
        <w:tc>
          <w:tcPr>
            <w:tcW w:w="2552"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Yes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Social and ecological factors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NO</w:t>
            </w: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Family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Gamb11_2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Other people I know</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Gamb11_3</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Other people I don’t know (e.g. people online)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Gamb11_4</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By myself</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Gamb11_5</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val="restart"/>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bookmarkStart w:id="375" w:name="_Toc335742580"/>
            <w:r w:rsidRPr="00C143F8">
              <w:rPr>
                <w:rFonts w:asciiTheme="minorHAnsi" w:hAnsiTheme="minorHAnsi" w:cs="Arial"/>
                <w:b/>
                <w:sz w:val="16"/>
                <w:szCs w:val="16"/>
                <w:lang w:val="en-GB"/>
              </w:rPr>
              <w:t>GAMBLING - Reasons Students Gamble</w:t>
            </w:r>
            <w:bookmarkEnd w:id="375"/>
          </w:p>
        </w:tc>
        <w:tc>
          <w:tcPr>
            <w:tcW w:w="1135" w:type="dxa"/>
            <w:vMerge w:val="restart"/>
          </w:tcPr>
          <w:p w:rsidR="00043311" w:rsidRPr="00144621" w:rsidRDefault="00043311" w:rsidP="0042130F">
            <w:pPr>
              <w:autoSpaceDE w:val="0"/>
              <w:autoSpaceDN w:val="0"/>
              <w:spacing w:before="0" w:line="240" w:lineRule="auto"/>
              <w:jc w:val="center"/>
              <w:rPr>
                <w:rFonts w:asciiTheme="minorHAnsi" w:hAnsiTheme="minorHAnsi" w:cs="Arial"/>
                <w:bCs/>
                <w:sz w:val="16"/>
                <w:szCs w:val="16"/>
                <w:lang w:val="en-GB"/>
              </w:rPr>
            </w:pPr>
            <w:r w:rsidRPr="00144621">
              <w:rPr>
                <w:rFonts w:asciiTheme="minorHAnsi" w:hAnsiTheme="minorHAnsi" w:cs="Arial"/>
                <w:bCs/>
                <w:sz w:val="16"/>
                <w:szCs w:val="16"/>
                <w:lang w:val="en-GB"/>
              </w:rPr>
              <w:t>8</w:t>
            </w:r>
          </w:p>
        </w:tc>
        <w:tc>
          <w:tcPr>
            <w:tcW w:w="12191" w:type="dxa"/>
            <w:gridSpan w:val="5"/>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Why do you participate in gambling or bet for money? (you can choose as many as you need)</w:t>
            </w: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To have fun</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Gamb6_1</w:t>
            </w:r>
          </w:p>
        </w:tc>
        <w:tc>
          <w:tcPr>
            <w:tcW w:w="2552"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Yes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Attitudes and motivating factors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YES (Gamb6) NB: some minor changes in wording / responses)</w:t>
            </w: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To win money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Because I am bored</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Gamb6_3</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To relax</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Gamb6_4</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To feel better about myself</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Gamb6_5</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To forget about things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Gamb6_6</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Because my friends do</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Gamb6_7</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Because my family does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Gamb6_8</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For a challenge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Gamb6_9</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Because I can't stop</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Gamb6_10</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Because I am short of money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Gamb6_11</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To get a buzz</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Gamb6_12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Because I am lonely</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Gamb6_14</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None of these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Gamb6_13</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bl>
    <w:p w:rsidR="00061D91" w:rsidRDefault="00061D91"/>
    <w:tbl>
      <w:tblPr>
        <w:tblStyle w:val="TableGrid2"/>
        <w:tblW w:w="14885" w:type="dxa"/>
        <w:tblInd w:w="-743" w:type="dxa"/>
        <w:tblLayout w:type="fixed"/>
        <w:tblLook w:val="04A0" w:firstRow="1" w:lastRow="0" w:firstColumn="1" w:lastColumn="0" w:noHBand="0" w:noVBand="1"/>
      </w:tblPr>
      <w:tblGrid>
        <w:gridCol w:w="1559"/>
        <w:gridCol w:w="1135"/>
        <w:gridCol w:w="6237"/>
        <w:gridCol w:w="1134"/>
        <w:gridCol w:w="2552"/>
        <w:gridCol w:w="1134"/>
        <w:gridCol w:w="1134"/>
      </w:tblGrid>
      <w:tr w:rsidR="00043311" w:rsidRPr="00C143F8" w:rsidTr="0042130F">
        <w:trPr>
          <w:trHeight w:val="142"/>
        </w:trPr>
        <w:tc>
          <w:tcPr>
            <w:tcW w:w="1559" w:type="dxa"/>
            <w:vMerge w:val="restart"/>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bookmarkStart w:id="376" w:name="_Toc335742582"/>
            <w:r>
              <w:rPr>
                <w:rFonts w:asciiTheme="minorHAnsi" w:hAnsiTheme="minorHAnsi" w:cs="Arial"/>
                <w:b/>
                <w:sz w:val="16"/>
                <w:szCs w:val="16"/>
                <w:lang w:val="en-GB"/>
              </w:rPr>
              <w:t xml:space="preserve">GAMBLING – Indicators of Unhealthy Gambling </w:t>
            </w:r>
            <w:r w:rsidRPr="00E3139D">
              <w:rPr>
                <w:rFonts w:asciiTheme="minorHAnsi" w:hAnsiTheme="minorHAnsi" w:cs="Arial"/>
                <w:b/>
                <w:sz w:val="18"/>
                <w:szCs w:val="16"/>
                <w:vertAlign w:val="superscript"/>
                <w:lang w:val="en-GB"/>
              </w:rPr>
              <w:t>3</w:t>
            </w:r>
          </w:p>
        </w:tc>
        <w:tc>
          <w:tcPr>
            <w:tcW w:w="1135" w:type="dxa"/>
            <w:vMerge w:val="restart"/>
          </w:tcPr>
          <w:p w:rsidR="00043311" w:rsidRDefault="00043311" w:rsidP="0042130F">
            <w:pPr>
              <w:autoSpaceDE w:val="0"/>
              <w:autoSpaceDN w:val="0"/>
              <w:spacing w:before="0" w:line="240" w:lineRule="auto"/>
              <w:jc w:val="center"/>
              <w:rPr>
                <w:rFonts w:asciiTheme="minorHAnsi" w:hAnsiTheme="minorHAnsi" w:cs="Arial"/>
                <w:bCs/>
                <w:sz w:val="16"/>
                <w:szCs w:val="16"/>
                <w:lang w:val="en-GB"/>
              </w:rPr>
            </w:pPr>
            <w:r>
              <w:rPr>
                <w:rFonts w:asciiTheme="minorHAnsi" w:hAnsiTheme="minorHAnsi" w:cs="Arial"/>
                <w:bCs/>
                <w:sz w:val="16"/>
                <w:szCs w:val="16"/>
                <w:lang w:val="en-GB"/>
              </w:rPr>
              <w:t>9</w:t>
            </w:r>
          </w:p>
        </w:tc>
        <w:tc>
          <w:tcPr>
            <w:tcW w:w="7371" w:type="dxa"/>
            <w:gridSpan w:val="2"/>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B70380">
              <w:rPr>
                <w:rFonts w:asciiTheme="minorHAnsi" w:hAnsiTheme="minorHAnsi" w:cs="Arial"/>
                <w:b/>
                <w:sz w:val="16"/>
                <w:szCs w:val="16"/>
                <w:lang w:val="en-GB"/>
              </w:rPr>
              <w:t>How many times in the last 12 months have you…</w:t>
            </w:r>
          </w:p>
        </w:tc>
        <w:tc>
          <w:tcPr>
            <w:tcW w:w="2552" w:type="dxa"/>
            <w:vMerge w:val="restart"/>
          </w:tcPr>
          <w:p w:rsidR="00043311" w:rsidRPr="00B70380" w:rsidRDefault="00043311" w:rsidP="0042130F">
            <w:pPr>
              <w:autoSpaceDE w:val="0"/>
              <w:autoSpaceDN w:val="0"/>
              <w:spacing w:before="0" w:line="240" w:lineRule="auto"/>
              <w:jc w:val="left"/>
              <w:rPr>
                <w:rFonts w:asciiTheme="minorHAnsi" w:hAnsiTheme="minorHAnsi" w:cs="Arial"/>
                <w:sz w:val="16"/>
                <w:szCs w:val="16"/>
                <w:lang w:val="en-GB"/>
              </w:rPr>
            </w:pPr>
            <w:r>
              <w:rPr>
                <w:rFonts w:asciiTheme="minorHAnsi" w:hAnsiTheme="minorHAnsi" w:cs="Arial"/>
                <w:sz w:val="16"/>
                <w:szCs w:val="16"/>
                <w:lang w:val="en-GB"/>
              </w:rPr>
              <w:t xml:space="preserve">- </w:t>
            </w:r>
            <w:r w:rsidRPr="00B70380">
              <w:rPr>
                <w:rFonts w:asciiTheme="minorHAnsi" w:hAnsiTheme="minorHAnsi" w:cs="Arial"/>
                <w:sz w:val="16"/>
                <w:szCs w:val="16"/>
                <w:lang w:val="en-GB"/>
              </w:rPr>
              <w:t xml:space="preserve">Never </w:t>
            </w:r>
          </w:p>
          <w:p w:rsidR="00043311" w:rsidRPr="00B70380" w:rsidRDefault="00043311" w:rsidP="0042130F">
            <w:pPr>
              <w:autoSpaceDE w:val="0"/>
              <w:autoSpaceDN w:val="0"/>
              <w:spacing w:before="0" w:line="240" w:lineRule="auto"/>
              <w:jc w:val="left"/>
              <w:rPr>
                <w:rFonts w:asciiTheme="minorHAnsi" w:hAnsiTheme="minorHAnsi" w:cs="Arial"/>
                <w:sz w:val="16"/>
                <w:szCs w:val="16"/>
                <w:lang w:val="en-GB"/>
              </w:rPr>
            </w:pPr>
            <w:r>
              <w:rPr>
                <w:rFonts w:asciiTheme="minorHAnsi" w:hAnsiTheme="minorHAnsi" w:cs="Arial"/>
                <w:sz w:val="16"/>
                <w:szCs w:val="16"/>
                <w:lang w:val="en-GB"/>
              </w:rPr>
              <w:t xml:space="preserve">- </w:t>
            </w:r>
            <w:r w:rsidRPr="00B70380">
              <w:rPr>
                <w:rFonts w:asciiTheme="minorHAnsi" w:hAnsiTheme="minorHAnsi" w:cs="Arial"/>
                <w:sz w:val="16"/>
                <w:szCs w:val="16"/>
                <w:lang w:val="en-GB"/>
              </w:rPr>
              <w:t xml:space="preserve">Not in the last 12 months </w:t>
            </w:r>
          </w:p>
          <w:p w:rsidR="00043311" w:rsidRPr="00B70380" w:rsidRDefault="00043311" w:rsidP="0042130F">
            <w:pPr>
              <w:autoSpaceDE w:val="0"/>
              <w:autoSpaceDN w:val="0"/>
              <w:spacing w:before="0" w:line="240" w:lineRule="auto"/>
              <w:jc w:val="left"/>
              <w:rPr>
                <w:rFonts w:asciiTheme="minorHAnsi" w:hAnsiTheme="minorHAnsi" w:cs="Arial"/>
                <w:sz w:val="16"/>
                <w:szCs w:val="16"/>
                <w:lang w:val="en-GB"/>
              </w:rPr>
            </w:pPr>
            <w:r>
              <w:rPr>
                <w:rFonts w:asciiTheme="minorHAnsi" w:hAnsiTheme="minorHAnsi" w:cs="Arial"/>
                <w:sz w:val="16"/>
                <w:szCs w:val="16"/>
                <w:lang w:val="en-GB"/>
              </w:rPr>
              <w:t xml:space="preserve">- </w:t>
            </w:r>
            <w:r w:rsidRPr="00B70380">
              <w:rPr>
                <w:rFonts w:asciiTheme="minorHAnsi" w:hAnsiTheme="minorHAnsi" w:cs="Arial"/>
                <w:sz w:val="16"/>
                <w:szCs w:val="16"/>
                <w:lang w:val="en-GB"/>
              </w:rPr>
              <w:t xml:space="preserve">Once or twice in the last 12 months </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Pr>
                <w:rFonts w:asciiTheme="minorHAnsi" w:hAnsiTheme="minorHAnsi" w:cs="Arial"/>
                <w:sz w:val="16"/>
                <w:szCs w:val="16"/>
                <w:lang w:val="en-GB"/>
              </w:rPr>
              <w:t xml:space="preserve">- </w:t>
            </w:r>
            <w:r w:rsidRPr="00B70380">
              <w:rPr>
                <w:rFonts w:asciiTheme="minorHAnsi" w:hAnsiTheme="minorHAnsi" w:cs="Arial"/>
                <w:sz w:val="16"/>
                <w:szCs w:val="16"/>
                <w:lang w:val="en-GB"/>
              </w:rPr>
              <w:t>Three or more times in the last 12 months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r w:rsidRPr="00C143F8">
              <w:rPr>
                <w:rFonts w:asciiTheme="minorHAnsi" w:hAnsiTheme="minorHAnsi" w:cs="Arial"/>
                <w:b/>
                <w:sz w:val="16"/>
                <w:szCs w:val="16"/>
                <w:lang w:val="en-GB"/>
              </w:rPr>
              <w:t>Problem indicators for students and help-seeking</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NO</w:t>
            </w:r>
          </w:p>
        </w:tc>
      </w:tr>
      <w:tr w:rsidR="00043311" w:rsidRPr="00C143F8" w:rsidTr="0042130F">
        <w:trPr>
          <w:trHeight w:val="138"/>
        </w:trPr>
        <w:tc>
          <w:tcPr>
            <w:tcW w:w="1559" w:type="dxa"/>
            <w:vMerge/>
          </w:tcPr>
          <w:p w:rsidR="00043311"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Default="00043311" w:rsidP="0042130F">
            <w:pPr>
              <w:autoSpaceDE w:val="0"/>
              <w:autoSpaceDN w:val="0"/>
              <w:spacing w:before="0" w:line="240" w:lineRule="auto"/>
              <w:jc w:val="center"/>
              <w:rPr>
                <w:rFonts w:asciiTheme="minorHAnsi" w:hAnsiTheme="minorHAnsi" w:cs="Arial"/>
                <w:bCs/>
                <w:sz w:val="16"/>
                <w:szCs w:val="16"/>
                <w:lang w:val="en-GB"/>
              </w:rPr>
            </w:pPr>
          </w:p>
        </w:tc>
        <w:tc>
          <w:tcPr>
            <w:tcW w:w="6237" w:type="dxa"/>
          </w:tcPr>
          <w:p w:rsidR="00043311" w:rsidRPr="00B70380" w:rsidRDefault="00043311" w:rsidP="0042130F">
            <w:pPr>
              <w:numPr>
                <w:ilvl w:val="0"/>
                <w:numId w:val="13"/>
              </w:numPr>
              <w:autoSpaceDE w:val="0"/>
              <w:autoSpaceDN w:val="0"/>
              <w:spacing w:before="0" w:line="240" w:lineRule="auto"/>
              <w:ind w:left="714" w:hanging="357"/>
              <w:contextualSpacing/>
              <w:jc w:val="left"/>
              <w:rPr>
                <w:rFonts w:asciiTheme="minorHAnsi" w:eastAsiaTheme="minorHAnsi" w:hAnsiTheme="minorHAnsi" w:cs="Arial"/>
                <w:sz w:val="16"/>
                <w:szCs w:val="16"/>
              </w:rPr>
            </w:pPr>
            <w:r w:rsidRPr="00B70380">
              <w:rPr>
                <w:rFonts w:asciiTheme="minorHAnsi" w:eastAsiaTheme="minorHAnsi" w:hAnsiTheme="minorHAnsi" w:cs="Arial"/>
                <w:sz w:val="16"/>
                <w:szCs w:val="16"/>
              </w:rPr>
              <w:t>Had friends or family tell you that you should cut down on the money or time you spend on gambling or these activities?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w:t>
            </w:r>
            <w:r>
              <w:rPr>
                <w:rFonts w:asciiTheme="minorHAnsi" w:hAnsiTheme="minorHAnsi" w:cs="Arial"/>
                <w:sz w:val="16"/>
                <w:szCs w:val="16"/>
                <w:lang w:val="en-GB"/>
              </w:rPr>
              <w:t>2_1</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rPr>
          <w:trHeight w:val="138"/>
        </w:trPr>
        <w:tc>
          <w:tcPr>
            <w:tcW w:w="1559" w:type="dxa"/>
            <w:vMerge/>
          </w:tcPr>
          <w:p w:rsidR="00043311"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Default="00043311" w:rsidP="0042130F">
            <w:pPr>
              <w:autoSpaceDE w:val="0"/>
              <w:autoSpaceDN w:val="0"/>
              <w:spacing w:before="0" w:line="240" w:lineRule="auto"/>
              <w:jc w:val="center"/>
              <w:rPr>
                <w:rFonts w:asciiTheme="minorHAnsi" w:hAnsiTheme="minorHAnsi" w:cs="Arial"/>
                <w:bCs/>
                <w:sz w:val="16"/>
                <w:szCs w:val="16"/>
                <w:lang w:val="en-GB"/>
              </w:rPr>
            </w:pPr>
          </w:p>
        </w:tc>
        <w:tc>
          <w:tcPr>
            <w:tcW w:w="6237" w:type="dxa"/>
          </w:tcPr>
          <w:p w:rsidR="00043311" w:rsidRPr="00B70380"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B70380">
              <w:rPr>
                <w:rFonts w:asciiTheme="minorHAnsi" w:eastAsiaTheme="minorHAnsi" w:hAnsiTheme="minorHAnsi" w:cs="Arial"/>
                <w:sz w:val="16"/>
                <w:szCs w:val="16"/>
              </w:rPr>
              <w:t>Had your performance or attendance at school or work affected by gambling or these activities?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w:t>
            </w:r>
            <w:r>
              <w:rPr>
                <w:rFonts w:asciiTheme="minorHAnsi" w:hAnsiTheme="minorHAnsi" w:cs="Arial"/>
                <w:sz w:val="16"/>
                <w:szCs w:val="16"/>
                <w:lang w:val="en-GB"/>
              </w:rPr>
              <w:t>2_2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rPr>
          <w:trHeight w:val="138"/>
        </w:trPr>
        <w:tc>
          <w:tcPr>
            <w:tcW w:w="1559" w:type="dxa"/>
            <w:vMerge/>
          </w:tcPr>
          <w:p w:rsidR="00043311"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Default="00043311" w:rsidP="0042130F">
            <w:pPr>
              <w:autoSpaceDE w:val="0"/>
              <w:autoSpaceDN w:val="0"/>
              <w:spacing w:before="0" w:line="240" w:lineRule="auto"/>
              <w:jc w:val="center"/>
              <w:rPr>
                <w:rFonts w:asciiTheme="minorHAnsi" w:hAnsiTheme="minorHAnsi" w:cs="Arial"/>
                <w:bCs/>
                <w:sz w:val="16"/>
                <w:szCs w:val="16"/>
                <w:lang w:val="en-GB"/>
              </w:rPr>
            </w:pPr>
          </w:p>
        </w:tc>
        <w:tc>
          <w:tcPr>
            <w:tcW w:w="6237" w:type="dxa"/>
          </w:tcPr>
          <w:p w:rsidR="00043311" w:rsidRPr="00B70380"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B70380">
              <w:rPr>
                <w:rFonts w:asciiTheme="minorHAnsi" w:eastAsiaTheme="minorHAnsi" w:hAnsiTheme="minorHAnsi" w:cs="Arial"/>
                <w:sz w:val="16"/>
                <w:szCs w:val="16"/>
              </w:rPr>
              <w:t>Done things that could have got you into serious trouble (e.g. stealing) because of gambling or these activities?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w:t>
            </w:r>
            <w:r>
              <w:rPr>
                <w:rFonts w:asciiTheme="minorHAnsi" w:hAnsiTheme="minorHAnsi" w:cs="Arial"/>
                <w:sz w:val="16"/>
                <w:szCs w:val="16"/>
                <w:lang w:val="en-GB"/>
              </w:rPr>
              <w:t>2_3</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rPr>
          <w:trHeight w:val="138"/>
        </w:trPr>
        <w:tc>
          <w:tcPr>
            <w:tcW w:w="1559" w:type="dxa"/>
            <w:vMerge/>
          </w:tcPr>
          <w:p w:rsidR="00043311"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Default="00043311" w:rsidP="0042130F">
            <w:pPr>
              <w:autoSpaceDE w:val="0"/>
              <w:autoSpaceDN w:val="0"/>
              <w:spacing w:before="0" w:line="240" w:lineRule="auto"/>
              <w:jc w:val="center"/>
              <w:rPr>
                <w:rFonts w:asciiTheme="minorHAnsi" w:hAnsiTheme="minorHAnsi" w:cs="Arial"/>
                <w:bCs/>
                <w:sz w:val="16"/>
                <w:szCs w:val="16"/>
                <w:lang w:val="en-GB"/>
              </w:rPr>
            </w:pPr>
          </w:p>
        </w:tc>
        <w:tc>
          <w:tcPr>
            <w:tcW w:w="6237" w:type="dxa"/>
          </w:tcPr>
          <w:p w:rsidR="00043311" w:rsidRPr="00B70380"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B70380">
              <w:rPr>
                <w:rFonts w:asciiTheme="minorHAnsi" w:eastAsiaTheme="minorHAnsi" w:hAnsiTheme="minorHAnsi" w:cs="Arial"/>
                <w:sz w:val="16"/>
                <w:szCs w:val="16"/>
              </w:rPr>
              <w:t>Had arguments or fights with your friends because of the money or time spent on gambling or these activities?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w:t>
            </w:r>
            <w:r>
              <w:rPr>
                <w:rFonts w:asciiTheme="minorHAnsi" w:hAnsiTheme="minorHAnsi" w:cs="Arial"/>
                <w:sz w:val="16"/>
                <w:szCs w:val="16"/>
                <w:lang w:val="en-GB"/>
              </w:rPr>
              <w:t>2_4</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rPr>
          <w:trHeight w:val="138"/>
        </w:trPr>
        <w:tc>
          <w:tcPr>
            <w:tcW w:w="1559" w:type="dxa"/>
            <w:vMerge/>
          </w:tcPr>
          <w:p w:rsidR="00043311"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Default="00043311" w:rsidP="0042130F">
            <w:pPr>
              <w:autoSpaceDE w:val="0"/>
              <w:autoSpaceDN w:val="0"/>
              <w:spacing w:before="0" w:line="240" w:lineRule="auto"/>
              <w:jc w:val="center"/>
              <w:rPr>
                <w:rFonts w:asciiTheme="minorHAnsi" w:hAnsiTheme="minorHAnsi" w:cs="Arial"/>
                <w:bCs/>
                <w:sz w:val="16"/>
                <w:szCs w:val="16"/>
                <w:lang w:val="en-GB"/>
              </w:rPr>
            </w:pPr>
          </w:p>
        </w:tc>
        <w:tc>
          <w:tcPr>
            <w:tcW w:w="6237" w:type="dxa"/>
          </w:tcPr>
          <w:p w:rsidR="00043311" w:rsidRPr="00B70380"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B70380">
              <w:rPr>
                <w:rFonts w:asciiTheme="minorHAnsi" w:eastAsiaTheme="minorHAnsi" w:hAnsiTheme="minorHAnsi" w:cs="Arial"/>
                <w:sz w:val="16"/>
                <w:szCs w:val="16"/>
              </w:rPr>
              <w:t>Had arguments with your family because of the money or time spent on your gambling or activities?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w:t>
            </w:r>
            <w:r>
              <w:rPr>
                <w:rFonts w:asciiTheme="minorHAnsi" w:hAnsiTheme="minorHAnsi" w:cs="Arial"/>
                <w:sz w:val="16"/>
                <w:szCs w:val="16"/>
                <w:lang w:val="en-GB"/>
              </w:rPr>
              <w:t>2_5</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r w:rsidRPr="00C143F8">
              <w:rPr>
                <w:rFonts w:asciiTheme="minorHAnsi" w:hAnsiTheme="minorHAnsi" w:cs="Arial"/>
                <w:b/>
                <w:sz w:val="16"/>
                <w:szCs w:val="16"/>
                <w:lang w:val="en-GB"/>
              </w:rPr>
              <w:t>GAMBLING – Worried About Time or Money Spent on Gambling</w:t>
            </w:r>
            <w:bookmarkEnd w:id="376"/>
          </w:p>
        </w:tc>
        <w:tc>
          <w:tcPr>
            <w:tcW w:w="1135" w:type="dxa"/>
          </w:tcPr>
          <w:p w:rsidR="00043311" w:rsidRPr="00144621" w:rsidRDefault="00043311" w:rsidP="0042130F">
            <w:pPr>
              <w:autoSpaceDE w:val="0"/>
              <w:autoSpaceDN w:val="0"/>
              <w:spacing w:before="0" w:line="240" w:lineRule="auto"/>
              <w:jc w:val="center"/>
              <w:rPr>
                <w:rFonts w:asciiTheme="minorHAnsi" w:hAnsiTheme="minorHAnsi" w:cs="Arial"/>
                <w:bCs/>
                <w:sz w:val="16"/>
                <w:szCs w:val="16"/>
                <w:lang w:val="en-GB"/>
              </w:rPr>
            </w:pPr>
            <w:r>
              <w:rPr>
                <w:rFonts w:asciiTheme="minorHAnsi" w:hAnsiTheme="minorHAnsi" w:cs="Arial"/>
                <w:bCs/>
                <w:sz w:val="16"/>
                <w:szCs w:val="16"/>
                <w:lang w:val="en-GB"/>
              </w:rPr>
              <w:t>10</w:t>
            </w:r>
          </w:p>
        </w:tc>
        <w:tc>
          <w:tcPr>
            <w:tcW w:w="6237"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Are you worried about how much time or money you spend on these activities or gambling?</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Gamb13</w:t>
            </w:r>
          </w:p>
        </w:tc>
        <w:tc>
          <w:tcPr>
            <w:tcW w:w="2552"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xml:space="preserve">- A lot </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Some</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A little</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Not at all</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Problem indicators for students and help-seeking</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NO</w:t>
            </w:r>
          </w:p>
        </w:tc>
      </w:tr>
      <w:tr w:rsidR="00043311" w:rsidRPr="00C143F8" w:rsidTr="0042130F">
        <w:tc>
          <w:tcPr>
            <w:tcW w:w="1559" w:type="dxa"/>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bookmarkStart w:id="377" w:name="_Toc335742583"/>
            <w:r w:rsidRPr="00C143F8">
              <w:rPr>
                <w:rFonts w:asciiTheme="minorHAnsi" w:hAnsiTheme="minorHAnsi" w:cs="Arial"/>
                <w:b/>
                <w:sz w:val="16"/>
                <w:szCs w:val="16"/>
                <w:lang w:val="en-GB"/>
              </w:rPr>
              <w:t>GAMBLING – Trying to Cut Down</w:t>
            </w:r>
            <w:bookmarkEnd w:id="377"/>
          </w:p>
        </w:tc>
        <w:tc>
          <w:tcPr>
            <w:tcW w:w="1135" w:type="dxa"/>
          </w:tcPr>
          <w:p w:rsidR="00043311" w:rsidRPr="00144621" w:rsidRDefault="00043311" w:rsidP="0042130F">
            <w:pPr>
              <w:autoSpaceDE w:val="0"/>
              <w:autoSpaceDN w:val="0"/>
              <w:spacing w:before="0" w:line="240" w:lineRule="auto"/>
              <w:jc w:val="center"/>
              <w:rPr>
                <w:rFonts w:asciiTheme="minorHAnsi" w:hAnsiTheme="minorHAnsi" w:cs="Arial"/>
                <w:bCs/>
                <w:sz w:val="16"/>
                <w:szCs w:val="16"/>
                <w:lang w:val="en-GB"/>
              </w:rPr>
            </w:pPr>
            <w:r>
              <w:rPr>
                <w:rFonts w:asciiTheme="minorHAnsi" w:hAnsiTheme="minorHAnsi" w:cs="Arial"/>
                <w:bCs/>
                <w:sz w:val="16"/>
                <w:szCs w:val="16"/>
                <w:lang w:val="en-GB"/>
              </w:rPr>
              <w:t>11</w:t>
            </w:r>
          </w:p>
        </w:tc>
        <w:tc>
          <w:tcPr>
            <w:tcW w:w="6237"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Have you ever tried to cut down or give up gambling or any of these activities?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Gamb14</w:t>
            </w:r>
          </w:p>
        </w:tc>
        <w:tc>
          <w:tcPr>
            <w:tcW w:w="2552"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Yes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Problem indicators for students and help-seeking</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NO</w:t>
            </w:r>
          </w:p>
        </w:tc>
      </w:tr>
      <w:tr w:rsidR="00043311" w:rsidRPr="00C143F8" w:rsidTr="0042130F">
        <w:tc>
          <w:tcPr>
            <w:tcW w:w="1559" w:type="dxa"/>
            <w:vMerge w:val="restart"/>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bookmarkStart w:id="378" w:name="_Toc335742584"/>
            <w:r w:rsidRPr="00C143F8">
              <w:rPr>
                <w:rFonts w:asciiTheme="minorHAnsi" w:hAnsiTheme="minorHAnsi" w:cs="Arial"/>
                <w:b/>
                <w:sz w:val="16"/>
                <w:szCs w:val="16"/>
                <w:lang w:val="en-GB"/>
              </w:rPr>
              <w:t xml:space="preserve">GAMBLING – </w:t>
            </w:r>
            <w:bookmarkEnd w:id="378"/>
            <w:r w:rsidRPr="00C143F8">
              <w:rPr>
                <w:rFonts w:asciiTheme="minorHAnsi" w:hAnsiTheme="minorHAnsi" w:cs="Arial"/>
                <w:b/>
                <w:sz w:val="16"/>
                <w:szCs w:val="16"/>
                <w:lang w:val="en-GB"/>
              </w:rPr>
              <w:t>Help Seeking</w:t>
            </w:r>
          </w:p>
        </w:tc>
        <w:tc>
          <w:tcPr>
            <w:tcW w:w="1135" w:type="dxa"/>
            <w:vMerge w:val="restart"/>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r>
              <w:rPr>
                <w:rFonts w:asciiTheme="minorHAnsi" w:hAnsiTheme="minorHAnsi" w:cs="Arial"/>
                <w:sz w:val="16"/>
                <w:szCs w:val="16"/>
                <w:lang w:val="en-GB"/>
              </w:rPr>
              <w:t>12</w:t>
            </w:r>
          </w:p>
        </w:tc>
        <w:tc>
          <w:tcPr>
            <w:tcW w:w="12191" w:type="dxa"/>
            <w:gridSpan w:val="5"/>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If you had problems or concerns because of your gambling, who would you go to for help? (you may choose as many as you need)</w:t>
            </w: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School guidance counsellor</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Gamb15_1</w:t>
            </w:r>
          </w:p>
        </w:tc>
        <w:tc>
          <w:tcPr>
            <w:tcW w:w="2552"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Yes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Problem indicators for students and help-seeking</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NO</w:t>
            </w: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Friends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Gamb15_2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Teachers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Gamb15_3</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Parents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Gamb15_4</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Other family members (e.g. grandparent, aunts, uncles, cousins)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Gamb15_5</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School nurse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Gamb15_6</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Family doctor</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Gamb15_7</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Gambling helpline</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Gamb15_8</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Pharmacy/chemist shop</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Gamb15_9</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Other</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Gamb15_10</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112D74" w:rsidRDefault="00043311" w:rsidP="0042130F">
            <w:pPr>
              <w:autoSpaceDE w:val="0"/>
              <w:autoSpaceDN w:val="0"/>
              <w:spacing w:before="0" w:line="240" w:lineRule="auto"/>
              <w:jc w:val="left"/>
              <w:rPr>
                <w:rFonts w:asciiTheme="minorHAnsi" w:hAnsiTheme="minorHAnsi" w:cs="Arial"/>
                <w:b/>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I wouldn’t look for help</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Gamb15_11</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bookmarkStart w:id="379" w:name="_Toc335742585"/>
            <w:r w:rsidRPr="00C143F8">
              <w:rPr>
                <w:rFonts w:asciiTheme="minorHAnsi" w:hAnsiTheme="minorHAnsi" w:cs="Arial"/>
                <w:b/>
                <w:sz w:val="16"/>
                <w:szCs w:val="16"/>
                <w:lang w:val="en-GB"/>
              </w:rPr>
              <w:t>GAMBLING – Worried About Time or Money Spent By Others on Gambling</w:t>
            </w:r>
            <w:bookmarkEnd w:id="379"/>
          </w:p>
        </w:tc>
        <w:tc>
          <w:tcPr>
            <w:tcW w:w="1135" w:type="dxa"/>
          </w:tcPr>
          <w:p w:rsidR="00043311" w:rsidRPr="00144621" w:rsidRDefault="00043311" w:rsidP="0042130F">
            <w:pPr>
              <w:autoSpaceDE w:val="0"/>
              <w:autoSpaceDN w:val="0"/>
              <w:spacing w:before="0" w:line="240" w:lineRule="auto"/>
              <w:jc w:val="center"/>
              <w:rPr>
                <w:rFonts w:asciiTheme="minorHAnsi" w:hAnsiTheme="minorHAnsi" w:cs="Arial"/>
                <w:bCs/>
                <w:sz w:val="16"/>
                <w:szCs w:val="16"/>
                <w:lang w:val="en-GB"/>
              </w:rPr>
            </w:pPr>
            <w:r>
              <w:rPr>
                <w:rFonts w:asciiTheme="minorHAnsi" w:hAnsiTheme="minorHAnsi" w:cs="Arial"/>
                <w:bCs/>
                <w:sz w:val="16"/>
                <w:szCs w:val="16"/>
                <w:lang w:val="en-GB"/>
              </w:rPr>
              <w:t>13</w:t>
            </w:r>
          </w:p>
        </w:tc>
        <w:tc>
          <w:tcPr>
            <w:tcW w:w="6237"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Do you ever worry or feel anxious about how much money or time other people you live with (parents and family), spend on gambling or any of these activities?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Gamb16</w:t>
            </w:r>
          </w:p>
        </w:tc>
        <w:tc>
          <w:tcPr>
            <w:tcW w:w="2552"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xml:space="preserve">- Yes, all of the time </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Yes, now and then</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 hardly ever</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 never</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I don’t know</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Social and ecological factors</w:t>
            </w:r>
          </w:p>
        </w:tc>
        <w:tc>
          <w:tcPr>
            <w:tcW w:w="1134" w:type="dxa"/>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NO</w:t>
            </w:r>
          </w:p>
        </w:tc>
      </w:tr>
      <w:tr w:rsidR="00043311" w:rsidRPr="00C143F8" w:rsidTr="0042130F">
        <w:tc>
          <w:tcPr>
            <w:tcW w:w="1559" w:type="dxa"/>
            <w:vMerge w:val="restart"/>
          </w:tcPr>
          <w:p w:rsidR="00043311" w:rsidRPr="00C143F8" w:rsidRDefault="00043311" w:rsidP="0042130F">
            <w:pPr>
              <w:autoSpaceDE w:val="0"/>
              <w:autoSpaceDN w:val="0"/>
              <w:spacing w:before="0" w:line="240" w:lineRule="auto"/>
              <w:jc w:val="left"/>
              <w:rPr>
                <w:rFonts w:asciiTheme="minorHAnsi" w:hAnsiTheme="minorHAnsi" w:cs="Arial"/>
                <w:b/>
                <w:sz w:val="16"/>
                <w:szCs w:val="16"/>
                <w:lang w:val="en-GB"/>
              </w:rPr>
            </w:pPr>
            <w:bookmarkStart w:id="380" w:name="_Toc335742586"/>
            <w:r w:rsidRPr="00C143F8">
              <w:rPr>
                <w:rFonts w:asciiTheme="minorHAnsi" w:hAnsiTheme="minorHAnsi" w:cs="Arial"/>
                <w:b/>
                <w:sz w:val="16"/>
                <w:szCs w:val="16"/>
                <w:lang w:val="en-GB"/>
              </w:rPr>
              <w:t>GAMBLING – How Many Times in the Last 12 Months Have Students…</w:t>
            </w:r>
            <w:bookmarkEnd w:id="380"/>
          </w:p>
        </w:tc>
        <w:tc>
          <w:tcPr>
            <w:tcW w:w="1135" w:type="dxa"/>
            <w:vMerge w:val="restart"/>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r>
              <w:rPr>
                <w:rFonts w:asciiTheme="minorHAnsi" w:hAnsiTheme="minorHAnsi" w:cs="Arial"/>
                <w:sz w:val="16"/>
                <w:szCs w:val="16"/>
                <w:lang w:val="en-GB"/>
              </w:rPr>
              <w:t>14</w:t>
            </w:r>
          </w:p>
        </w:tc>
        <w:tc>
          <w:tcPr>
            <w:tcW w:w="12191" w:type="dxa"/>
            <w:gridSpan w:val="5"/>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How many times in the last 12 months have these things happened in your family because of someone else’s gambling…</w:t>
            </w:r>
          </w:p>
        </w:tc>
      </w:tr>
      <w:tr w:rsidR="00043311" w:rsidRPr="00C143F8" w:rsidTr="0042130F">
        <w:trPr>
          <w:trHeight w:val="372"/>
        </w:trPr>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vAlign w:val="center"/>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Had arguments or fights about time or money spent on betting or gambling</w:t>
            </w:r>
          </w:p>
        </w:tc>
        <w:tc>
          <w:tcPr>
            <w:tcW w:w="1134" w:type="dxa"/>
            <w:vAlign w:val="center"/>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Gamb17_1</w:t>
            </w:r>
          </w:p>
        </w:tc>
        <w:tc>
          <w:tcPr>
            <w:tcW w:w="2552"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Never</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Not in the last 12 months</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Once or twice in the last 12 months</w:t>
            </w:r>
          </w:p>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 Three or more times in the last 12 months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b/>
                <w:sz w:val="16"/>
                <w:szCs w:val="16"/>
                <w:lang w:val="en-GB"/>
              </w:rPr>
              <w:t>Social and ecological factors</w:t>
            </w:r>
          </w:p>
        </w:tc>
        <w:tc>
          <w:tcPr>
            <w:tcW w:w="1134" w:type="dxa"/>
            <w:vMerge w:val="restart"/>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NO</w:t>
            </w: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vAlign w:val="center"/>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We had to go without something we needed (e.g. food) because too much money was spent on gambling or betting</w:t>
            </w:r>
          </w:p>
        </w:tc>
        <w:tc>
          <w:tcPr>
            <w:tcW w:w="1134" w:type="dxa"/>
            <w:vAlign w:val="center"/>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Gamb17_2</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vAlign w:val="center"/>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Some bills weren’t paid because too much money was spent on gambling or betting</w:t>
            </w:r>
          </w:p>
        </w:tc>
        <w:tc>
          <w:tcPr>
            <w:tcW w:w="1134" w:type="dxa"/>
            <w:vAlign w:val="center"/>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Gamb17_3</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r w:rsidR="00043311" w:rsidRPr="00C143F8" w:rsidTr="0042130F">
        <w:tc>
          <w:tcPr>
            <w:tcW w:w="1559"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5" w:type="dxa"/>
            <w:vMerge/>
          </w:tcPr>
          <w:p w:rsidR="00043311" w:rsidRPr="00144621" w:rsidRDefault="00043311" w:rsidP="0042130F">
            <w:pPr>
              <w:autoSpaceDE w:val="0"/>
              <w:autoSpaceDN w:val="0"/>
              <w:spacing w:before="0" w:line="240" w:lineRule="auto"/>
              <w:jc w:val="center"/>
              <w:rPr>
                <w:rFonts w:asciiTheme="minorHAnsi" w:hAnsiTheme="minorHAnsi" w:cs="Arial"/>
                <w:sz w:val="16"/>
                <w:szCs w:val="16"/>
                <w:lang w:val="en-GB"/>
              </w:rPr>
            </w:pPr>
          </w:p>
        </w:tc>
        <w:tc>
          <w:tcPr>
            <w:tcW w:w="6237" w:type="dxa"/>
            <w:vAlign w:val="center"/>
          </w:tcPr>
          <w:p w:rsidR="00043311" w:rsidRPr="00C143F8" w:rsidRDefault="00043311" w:rsidP="0042130F">
            <w:pPr>
              <w:numPr>
                <w:ilvl w:val="0"/>
                <w:numId w:val="13"/>
              </w:numPr>
              <w:autoSpaceDE w:val="0"/>
              <w:autoSpaceDN w:val="0"/>
              <w:spacing w:before="0" w:line="240" w:lineRule="auto"/>
              <w:contextualSpacing/>
              <w:jc w:val="left"/>
              <w:rPr>
                <w:rFonts w:asciiTheme="minorHAnsi" w:eastAsiaTheme="minorHAnsi" w:hAnsiTheme="minorHAnsi" w:cs="Arial"/>
                <w:sz w:val="16"/>
                <w:szCs w:val="16"/>
              </w:rPr>
            </w:pPr>
            <w:r w:rsidRPr="00C143F8">
              <w:rPr>
                <w:rFonts w:asciiTheme="minorHAnsi" w:eastAsiaTheme="minorHAnsi" w:hAnsiTheme="minorHAnsi" w:cs="Arial"/>
                <w:sz w:val="16"/>
                <w:szCs w:val="16"/>
              </w:rPr>
              <w:t>They did things that could have got them into serious trouble (e.g. stealing) because of gambling or these activities</w:t>
            </w:r>
          </w:p>
        </w:tc>
        <w:tc>
          <w:tcPr>
            <w:tcW w:w="1134" w:type="dxa"/>
            <w:vAlign w:val="center"/>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r w:rsidRPr="00C143F8">
              <w:rPr>
                <w:rFonts w:asciiTheme="minorHAnsi" w:hAnsiTheme="minorHAnsi" w:cs="Arial"/>
                <w:sz w:val="16"/>
                <w:szCs w:val="16"/>
                <w:lang w:val="en-GB"/>
              </w:rPr>
              <w:t>Gamb17_4</w:t>
            </w:r>
          </w:p>
        </w:tc>
        <w:tc>
          <w:tcPr>
            <w:tcW w:w="2552"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c>
          <w:tcPr>
            <w:tcW w:w="1134" w:type="dxa"/>
            <w:vMerge/>
          </w:tcPr>
          <w:p w:rsidR="00043311" w:rsidRPr="00C143F8" w:rsidRDefault="00043311" w:rsidP="0042130F">
            <w:pPr>
              <w:autoSpaceDE w:val="0"/>
              <w:autoSpaceDN w:val="0"/>
              <w:spacing w:before="0" w:line="240" w:lineRule="auto"/>
              <w:jc w:val="left"/>
              <w:rPr>
                <w:rFonts w:asciiTheme="minorHAnsi" w:hAnsiTheme="minorHAnsi" w:cs="Arial"/>
                <w:sz w:val="16"/>
                <w:szCs w:val="16"/>
                <w:lang w:val="en-GB"/>
              </w:rPr>
            </w:pPr>
          </w:p>
        </w:tc>
      </w:tr>
    </w:tbl>
    <w:p w:rsidR="00043311" w:rsidRPr="009A073A" w:rsidRDefault="00043311" w:rsidP="0042130F">
      <w:pPr>
        <w:autoSpaceDE w:val="0"/>
        <w:autoSpaceDN w:val="0"/>
        <w:spacing w:before="0" w:line="240" w:lineRule="auto"/>
        <w:ind w:left="-567" w:right="403"/>
        <w:jc w:val="left"/>
        <w:rPr>
          <w:rFonts w:asciiTheme="minorHAnsi" w:hAnsiTheme="minorHAnsi" w:cs="Arial"/>
          <w:sz w:val="16"/>
          <w:szCs w:val="16"/>
          <w:lang w:val="en-GB"/>
        </w:rPr>
      </w:pPr>
      <w:r w:rsidRPr="009A073A">
        <w:rPr>
          <w:rFonts w:asciiTheme="minorHAnsi" w:hAnsiTheme="minorHAnsi" w:cs="Arial"/>
          <w:sz w:val="16"/>
          <w:szCs w:val="16"/>
          <w:lang w:val="en-GB"/>
        </w:rPr>
        <w:t xml:space="preserve">Notes: </w:t>
      </w:r>
      <w:r>
        <w:rPr>
          <w:rFonts w:asciiTheme="minorHAnsi" w:hAnsiTheme="minorHAnsi" w:cs="Arial"/>
          <w:sz w:val="16"/>
          <w:szCs w:val="16"/>
          <w:lang w:val="en-GB"/>
        </w:rPr>
        <w:t>1.</w:t>
      </w:r>
      <w:r w:rsidRPr="009A073A">
        <w:rPr>
          <w:rFonts w:asciiTheme="minorHAnsi" w:hAnsiTheme="minorHAnsi" w:cs="Arial"/>
          <w:sz w:val="16"/>
          <w:szCs w:val="16"/>
          <w:lang w:val="en-GB"/>
        </w:rPr>
        <w:t xml:space="preserve">‘Name in Database’ is not necessarily indicative of item order / position in survey; </w:t>
      </w:r>
      <w:r>
        <w:rPr>
          <w:rFonts w:asciiTheme="minorHAnsi" w:hAnsiTheme="minorHAnsi" w:cs="Arial"/>
          <w:sz w:val="16"/>
          <w:szCs w:val="16"/>
          <w:lang w:val="en-GB"/>
        </w:rPr>
        <w:t xml:space="preserve">2. </w:t>
      </w:r>
      <w:r w:rsidRPr="009A073A">
        <w:rPr>
          <w:rFonts w:asciiTheme="minorHAnsi" w:hAnsiTheme="minorHAnsi" w:cs="Arial"/>
          <w:sz w:val="16"/>
          <w:szCs w:val="16"/>
          <w:lang w:val="en-GB"/>
        </w:rPr>
        <w:t>Not all questions are asked of all students – the branching design of the survey excludes some students when question is not relevant – see data dictionary for full details</w:t>
      </w:r>
      <w:r>
        <w:rPr>
          <w:rFonts w:asciiTheme="minorHAnsi" w:hAnsiTheme="minorHAnsi" w:cs="Arial"/>
          <w:sz w:val="16"/>
          <w:szCs w:val="16"/>
          <w:lang w:val="en-GB"/>
        </w:rPr>
        <w:t>; 3.</w:t>
      </w:r>
      <w:r w:rsidRPr="009A073A">
        <w:rPr>
          <w:rFonts w:asciiTheme="minorHAnsi" w:hAnsiTheme="minorHAnsi" w:cs="Arial"/>
          <w:sz w:val="16"/>
          <w:szCs w:val="16"/>
          <w:lang w:val="en-GB"/>
        </w:rPr>
        <w:t xml:space="preserve"> Gamb12_1-Gamb12_5 were omitted from the survey due to a branching error. </w:t>
      </w:r>
    </w:p>
    <w:bookmarkEnd w:id="355"/>
    <w:p w:rsidR="00043311" w:rsidRPr="002A1CA4" w:rsidRDefault="00043311" w:rsidP="0042130F">
      <w:pPr>
        <w:pStyle w:val="FionasAppendixtitles"/>
      </w:pPr>
      <w:r w:rsidRPr="002A1CA4">
        <w:lastRenderedPageBreak/>
        <w:t xml:space="preserve"> </w:t>
      </w:r>
      <w:bookmarkStart w:id="381" w:name="_Ref350331504"/>
      <w:bookmarkStart w:id="382" w:name="_Toc367284476"/>
      <w:r w:rsidRPr="00E3310E">
        <w:t>Types of gambling that students have participated in over past 12 months</w:t>
      </w:r>
      <w:r>
        <w:t xml:space="preserve"> (all students)</w:t>
      </w:r>
      <w:bookmarkEnd w:id="381"/>
      <w:bookmarkEnd w:id="382"/>
    </w:p>
    <w:p w:rsidR="00043311" w:rsidRDefault="00043311" w:rsidP="0042130F">
      <w:pPr>
        <w:ind w:left="-993"/>
        <w:rPr>
          <w:rFonts w:asciiTheme="minorHAnsi" w:hAnsiTheme="minorHAnsi" w:cstheme="minorHAnsi"/>
          <w:b/>
          <w:u w:val="single"/>
        </w:rPr>
      </w:pPr>
    </w:p>
    <w:p w:rsidR="00043311" w:rsidRDefault="00043311" w:rsidP="0042130F">
      <w:pPr>
        <w:ind w:left="-993"/>
        <w:rPr>
          <w:rFonts w:asciiTheme="minorHAnsi" w:hAnsiTheme="minorHAnsi" w:cstheme="minorHAnsi"/>
          <w:b/>
          <w:u w:val="single"/>
        </w:rPr>
      </w:pPr>
      <w:r w:rsidRPr="005226B1">
        <w:rPr>
          <w:noProof/>
          <w:lang w:eastAsia="en-NZ"/>
        </w:rPr>
        <w:drawing>
          <wp:inline distT="0" distB="0" distL="0" distR="0" wp14:anchorId="122D6D6D" wp14:editId="73CB988D">
            <wp:extent cx="9505133" cy="4110681"/>
            <wp:effectExtent l="0" t="0" r="127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12689" cy="4113949"/>
                    </a:xfrm>
                    <a:prstGeom prst="rect">
                      <a:avLst/>
                    </a:prstGeom>
                    <a:noFill/>
                    <a:ln>
                      <a:noFill/>
                    </a:ln>
                  </pic:spPr>
                </pic:pic>
              </a:graphicData>
            </a:graphic>
          </wp:inline>
        </w:drawing>
      </w:r>
    </w:p>
    <w:p w:rsidR="00043311" w:rsidRPr="00E3310E" w:rsidRDefault="00043311" w:rsidP="0042130F">
      <w:pPr>
        <w:ind w:left="-993"/>
        <w:rPr>
          <w:rFonts w:asciiTheme="minorHAnsi" w:hAnsiTheme="minorHAnsi" w:cstheme="minorHAnsi"/>
          <w:b/>
          <w:u w:val="single"/>
        </w:rPr>
      </w:pPr>
    </w:p>
    <w:p w:rsidR="00043311" w:rsidRDefault="00043311">
      <w:pPr>
        <w:spacing w:before="0" w:line="240" w:lineRule="auto"/>
        <w:jc w:val="left"/>
        <w:rPr>
          <w:rFonts w:asciiTheme="minorHAnsi" w:hAnsiTheme="minorHAnsi" w:cstheme="minorHAnsi"/>
          <w:b/>
          <w:u w:val="single"/>
        </w:rPr>
      </w:pPr>
      <w:r>
        <w:rPr>
          <w:rFonts w:asciiTheme="minorHAnsi" w:hAnsiTheme="minorHAnsi" w:cstheme="minorHAnsi"/>
          <w:b/>
          <w:u w:val="single"/>
        </w:rPr>
        <w:br w:type="page"/>
      </w:r>
    </w:p>
    <w:p w:rsidR="00043311" w:rsidRDefault="00043311" w:rsidP="0042130F">
      <w:pPr>
        <w:pStyle w:val="FionasAppendixtitles"/>
      </w:pPr>
      <w:bookmarkStart w:id="383" w:name="_Ref350428281"/>
      <w:bookmarkStart w:id="384" w:name="_Toc367284477"/>
      <w:bookmarkStart w:id="385" w:name="_Ref350331531"/>
      <w:r>
        <w:lastRenderedPageBreak/>
        <w:t>Number of gambling activities that students have participated in over the past 12 months</w:t>
      </w:r>
      <w:bookmarkEnd w:id="383"/>
      <w:r>
        <w:t xml:space="preserve"> (all students)</w:t>
      </w:r>
      <w:bookmarkEnd w:id="384"/>
    </w:p>
    <w:p w:rsidR="00043311" w:rsidRDefault="00043311" w:rsidP="0042130F">
      <w:pPr>
        <w:ind w:left="-567"/>
      </w:pPr>
    </w:p>
    <w:p w:rsidR="00043311" w:rsidRDefault="00043311" w:rsidP="0042130F">
      <w:pPr>
        <w:ind w:left="993"/>
      </w:pPr>
      <w:r w:rsidRPr="002C3A31">
        <w:rPr>
          <w:noProof/>
          <w:lang w:eastAsia="en-NZ"/>
        </w:rPr>
        <w:drawing>
          <wp:inline distT="0" distB="0" distL="0" distR="0" wp14:anchorId="64A84702" wp14:editId="26B91409">
            <wp:extent cx="6343976" cy="436406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50553" cy="4368585"/>
                    </a:xfrm>
                    <a:prstGeom prst="rect">
                      <a:avLst/>
                    </a:prstGeom>
                    <a:noFill/>
                    <a:ln>
                      <a:noFill/>
                    </a:ln>
                  </pic:spPr>
                </pic:pic>
              </a:graphicData>
            </a:graphic>
          </wp:inline>
        </w:drawing>
      </w:r>
    </w:p>
    <w:p w:rsidR="00043311" w:rsidRDefault="00043311" w:rsidP="0042130F">
      <w:pPr>
        <w:ind w:left="-567"/>
      </w:pPr>
    </w:p>
    <w:p w:rsidR="00043311" w:rsidRDefault="00043311" w:rsidP="0042130F"/>
    <w:p w:rsidR="00043311" w:rsidRPr="004104A2" w:rsidRDefault="00043311" w:rsidP="0042130F">
      <w:pPr>
        <w:pStyle w:val="FionasAppendixtitles"/>
      </w:pPr>
      <w:bookmarkStart w:id="386" w:name="_Ref354056055"/>
      <w:bookmarkStart w:id="387" w:name="_Toc367284478"/>
      <w:r>
        <w:lastRenderedPageBreak/>
        <w:t xml:space="preserve">Social context of gambling – who students usually gamble </w:t>
      </w:r>
      <w:r w:rsidRPr="004104A2">
        <w:t>with</w:t>
      </w:r>
      <w:bookmarkEnd w:id="385"/>
      <w:r w:rsidRPr="004104A2">
        <w:t xml:space="preserve"> (among students who have gambled in last 12 months)</w:t>
      </w:r>
      <w:bookmarkEnd w:id="386"/>
      <w:bookmarkEnd w:id="387"/>
    </w:p>
    <w:p w:rsidR="00043311" w:rsidRDefault="00043311" w:rsidP="0042130F">
      <w:pPr>
        <w:ind w:left="-567"/>
        <w:rPr>
          <w:rFonts w:asciiTheme="minorHAnsi" w:hAnsiTheme="minorHAnsi" w:cstheme="minorHAnsi"/>
          <w:b/>
          <w:u w:val="single"/>
        </w:rPr>
      </w:pPr>
    </w:p>
    <w:p w:rsidR="00043311" w:rsidRDefault="00043311" w:rsidP="0042130F">
      <w:pPr>
        <w:ind w:left="567"/>
        <w:jc w:val="left"/>
        <w:rPr>
          <w:rFonts w:asciiTheme="minorHAnsi" w:hAnsiTheme="minorHAnsi" w:cstheme="minorHAnsi"/>
          <w:b/>
          <w:u w:val="single"/>
        </w:rPr>
      </w:pPr>
      <w:r w:rsidRPr="005226B1">
        <w:rPr>
          <w:noProof/>
          <w:lang w:eastAsia="en-NZ"/>
        </w:rPr>
        <w:drawing>
          <wp:inline distT="0" distB="0" distL="0" distR="0" wp14:anchorId="25425DDC" wp14:editId="7E178A6C">
            <wp:extent cx="5980670" cy="4413031"/>
            <wp:effectExtent l="0" t="0" r="1270" b="69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6383" cy="4417247"/>
                    </a:xfrm>
                    <a:prstGeom prst="rect">
                      <a:avLst/>
                    </a:prstGeom>
                    <a:noFill/>
                    <a:ln>
                      <a:noFill/>
                    </a:ln>
                  </pic:spPr>
                </pic:pic>
              </a:graphicData>
            </a:graphic>
          </wp:inline>
        </w:drawing>
      </w:r>
    </w:p>
    <w:p w:rsidR="00043311" w:rsidRDefault="00043311" w:rsidP="0042130F">
      <w:pPr>
        <w:ind w:left="-567"/>
        <w:rPr>
          <w:rFonts w:asciiTheme="minorHAnsi" w:hAnsiTheme="minorHAnsi" w:cstheme="minorHAnsi"/>
          <w:b/>
          <w:u w:val="single"/>
        </w:rPr>
      </w:pPr>
    </w:p>
    <w:p w:rsidR="00043311" w:rsidRPr="00E3310E" w:rsidRDefault="00043311" w:rsidP="0042130F">
      <w:pPr>
        <w:pStyle w:val="FionasAppendixtitles"/>
      </w:pPr>
      <w:bookmarkStart w:id="388" w:name="_Ref347309648"/>
      <w:bookmarkStart w:id="389" w:name="_Toc367284479"/>
      <w:bookmarkEnd w:id="348"/>
      <w:bookmarkEnd w:id="349"/>
      <w:r w:rsidRPr="00E3310E">
        <w:lastRenderedPageBreak/>
        <w:t>Acceptability of gambling activities - which modes</w:t>
      </w:r>
      <w:r>
        <w:t xml:space="preserve"> of gambling</w:t>
      </w:r>
      <w:r w:rsidRPr="00E3310E">
        <w:t xml:space="preserve"> do students think it is ok for people their age to play or do regularly</w:t>
      </w:r>
      <w:bookmarkEnd w:id="388"/>
      <w:r>
        <w:t xml:space="preserve"> (all students)</w:t>
      </w:r>
      <w:bookmarkEnd w:id="389"/>
    </w:p>
    <w:p w:rsidR="00043311" w:rsidRDefault="00043311" w:rsidP="0042130F">
      <w:pPr>
        <w:spacing w:line="240" w:lineRule="auto"/>
        <w:ind w:left="-993" w:right="22"/>
        <w:rPr>
          <w:rFonts w:asciiTheme="minorHAnsi" w:hAnsiTheme="minorHAnsi" w:cstheme="minorHAnsi"/>
        </w:rPr>
      </w:pPr>
    </w:p>
    <w:p w:rsidR="00043311" w:rsidRDefault="00043311" w:rsidP="0042130F">
      <w:pPr>
        <w:spacing w:line="240" w:lineRule="auto"/>
        <w:ind w:left="-993" w:right="22"/>
        <w:rPr>
          <w:rFonts w:asciiTheme="minorHAnsi" w:hAnsiTheme="minorHAnsi" w:cstheme="minorHAnsi"/>
        </w:rPr>
      </w:pPr>
      <w:r w:rsidRPr="008C43C4">
        <w:rPr>
          <w:noProof/>
          <w:lang w:eastAsia="en-NZ"/>
        </w:rPr>
        <w:drawing>
          <wp:inline distT="0" distB="0" distL="0" distR="0">
            <wp:extent cx="9516534" cy="4526844"/>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31334" cy="4533884"/>
                    </a:xfrm>
                    <a:prstGeom prst="rect">
                      <a:avLst/>
                    </a:prstGeom>
                    <a:noFill/>
                    <a:ln>
                      <a:noFill/>
                    </a:ln>
                  </pic:spPr>
                </pic:pic>
              </a:graphicData>
            </a:graphic>
          </wp:inline>
        </w:drawing>
      </w:r>
    </w:p>
    <w:p w:rsidR="00043311" w:rsidRDefault="00043311" w:rsidP="0042130F">
      <w:pPr>
        <w:spacing w:line="240" w:lineRule="auto"/>
        <w:ind w:left="-993" w:right="22"/>
        <w:rPr>
          <w:rFonts w:asciiTheme="minorHAnsi" w:hAnsiTheme="minorHAnsi" w:cstheme="minorHAnsi"/>
        </w:rPr>
      </w:pPr>
    </w:p>
    <w:p w:rsidR="00043311" w:rsidRPr="00E3310E" w:rsidRDefault="00043311" w:rsidP="0042130F">
      <w:pPr>
        <w:spacing w:line="240" w:lineRule="auto"/>
        <w:ind w:right="22"/>
        <w:rPr>
          <w:rFonts w:asciiTheme="minorHAnsi" w:hAnsiTheme="minorHAnsi" w:cstheme="minorHAnsi"/>
        </w:rPr>
      </w:pPr>
    </w:p>
    <w:p w:rsidR="00043311" w:rsidRPr="00E3310E" w:rsidRDefault="00043311">
      <w:pPr>
        <w:spacing w:before="0" w:line="240" w:lineRule="auto"/>
        <w:jc w:val="left"/>
        <w:rPr>
          <w:rFonts w:asciiTheme="minorHAnsi" w:hAnsiTheme="minorHAnsi" w:cstheme="minorHAnsi"/>
          <w:b/>
          <w:bCs/>
          <w:iCs/>
          <w:color w:val="1F497D"/>
          <w:szCs w:val="22"/>
        </w:rPr>
      </w:pPr>
      <w:r w:rsidRPr="00E3310E">
        <w:rPr>
          <w:rFonts w:asciiTheme="minorHAnsi" w:hAnsiTheme="minorHAnsi" w:cstheme="minorHAnsi"/>
        </w:rPr>
        <w:br w:type="page"/>
      </w:r>
    </w:p>
    <w:p w:rsidR="00043311" w:rsidRDefault="00043311" w:rsidP="0042130F">
      <w:pPr>
        <w:pStyle w:val="FionasAppendixtitles"/>
      </w:pPr>
      <w:bookmarkStart w:id="390" w:name="_Ref346019835"/>
      <w:bookmarkStart w:id="391" w:name="_Toc367284480"/>
      <w:r w:rsidRPr="00E3310E">
        <w:lastRenderedPageBreak/>
        <w:t xml:space="preserve">Reasons for </w:t>
      </w:r>
      <w:r w:rsidRPr="004104A2">
        <w:t>gambling</w:t>
      </w:r>
      <w:bookmarkEnd w:id="390"/>
      <w:r w:rsidRPr="004104A2">
        <w:t xml:space="preserve"> (among students who have gambled in last 12 months)</w:t>
      </w:r>
      <w:bookmarkEnd w:id="391"/>
    </w:p>
    <w:p w:rsidR="00043311" w:rsidRPr="00413B18" w:rsidRDefault="00043311" w:rsidP="0042130F">
      <w:pPr>
        <w:spacing w:before="0" w:line="240" w:lineRule="auto"/>
        <w:jc w:val="left"/>
        <w:rPr>
          <w:rFonts w:asciiTheme="minorHAnsi" w:hAnsiTheme="minorHAnsi" w:cstheme="minorHAnsi"/>
        </w:rPr>
      </w:pPr>
    </w:p>
    <w:p w:rsidR="00043311" w:rsidRPr="00E3310E" w:rsidRDefault="00043311" w:rsidP="0042130F">
      <w:pPr>
        <w:ind w:left="-1134"/>
        <w:rPr>
          <w:rFonts w:asciiTheme="minorHAnsi" w:hAnsiTheme="minorHAnsi" w:cstheme="minorHAnsi"/>
        </w:rPr>
      </w:pPr>
      <w:r w:rsidRPr="00B60A9A">
        <w:rPr>
          <w:noProof/>
          <w:lang w:eastAsia="en-NZ"/>
        </w:rPr>
        <w:drawing>
          <wp:inline distT="0" distB="0" distL="0" distR="0">
            <wp:extent cx="9761838" cy="420953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63198" cy="4210121"/>
                    </a:xfrm>
                    <a:prstGeom prst="rect">
                      <a:avLst/>
                    </a:prstGeom>
                    <a:noFill/>
                    <a:ln>
                      <a:noFill/>
                    </a:ln>
                  </pic:spPr>
                </pic:pic>
              </a:graphicData>
            </a:graphic>
          </wp:inline>
        </w:drawing>
      </w:r>
    </w:p>
    <w:p w:rsidR="00043311" w:rsidRPr="00E3310E" w:rsidRDefault="00043311">
      <w:pPr>
        <w:spacing w:before="0" w:line="240" w:lineRule="auto"/>
        <w:jc w:val="left"/>
        <w:rPr>
          <w:rFonts w:asciiTheme="minorHAnsi" w:hAnsiTheme="minorHAnsi" w:cstheme="minorHAnsi"/>
        </w:rPr>
      </w:pPr>
      <w:r w:rsidRPr="00E3310E">
        <w:rPr>
          <w:rFonts w:asciiTheme="minorHAnsi" w:hAnsiTheme="minorHAnsi" w:cstheme="minorHAnsi"/>
        </w:rPr>
        <w:br w:type="page"/>
      </w:r>
    </w:p>
    <w:p w:rsidR="00043311" w:rsidRPr="00E3310E" w:rsidRDefault="00043311" w:rsidP="0042130F">
      <w:pPr>
        <w:pStyle w:val="FionasAppendixtitles"/>
      </w:pPr>
      <w:bookmarkStart w:id="392" w:name="_Ref347327664"/>
      <w:bookmarkStart w:id="393" w:name="_Toc367284481"/>
      <w:r w:rsidRPr="00E3310E">
        <w:lastRenderedPageBreak/>
        <w:t>Parental gambling: Activities that parents/caregivers participate in</w:t>
      </w:r>
      <w:bookmarkEnd w:id="392"/>
      <w:r>
        <w:t xml:space="preserve"> (all students)</w:t>
      </w:r>
      <w:bookmarkEnd w:id="393"/>
    </w:p>
    <w:p w:rsidR="00043311" w:rsidRDefault="00043311" w:rsidP="0042130F">
      <w:pPr>
        <w:ind w:left="-1134"/>
        <w:rPr>
          <w:rFonts w:asciiTheme="minorHAnsi" w:hAnsiTheme="minorHAnsi" w:cstheme="minorHAnsi"/>
        </w:rPr>
      </w:pPr>
    </w:p>
    <w:p w:rsidR="00043311" w:rsidRPr="00E3310E" w:rsidRDefault="00043311" w:rsidP="0042130F">
      <w:pPr>
        <w:ind w:left="-1134"/>
        <w:rPr>
          <w:rFonts w:asciiTheme="minorHAnsi" w:hAnsiTheme="minorHAnsi" w:cstheme="minorHAnsi"/>
        </w:rPr>
      </w:pPr>
      <w:r w:rsidRPr="00413B18">
        <w:rPr>
          <w:noProof/>
          <w:lang w:eastAsia="en-NZ"/>
        </w:rPr>
        <w:drawing>
          <wp:inline distT="0" distB="0" distL="0" distR="0">
            <wp:extent cx="9702390" cy="3904735"/>
            <wp:effectExtent l="0" t="0" r="0"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12269" cy="3908711"/>
                    </a:xfrm>
                    <a:prstGeom prst="rect">
                      <a:avLst/>
                    </a:prstGeom>
                    <a:noFill/>
                    <a:ln>
                      <a:noFill/>
                    </a:ln>
                  </pic:spPr>
                </pic:pic>
              </a:graphicData>
            </a:graphic>
          </wp:inline>
        </w:drawing>
      </w:r>
    </w:p>
    <w:p w:rsidR="00043311" w:rsidRPr="00E3310E" w:rsidRDefault="00043311">
      <w:pPr>
        <w:spacing w:before="0" w:line="240" w:lineRule="auto"/>
        <w:jc w:val="left"/>
        <w:rPr>
          <w:rFonts w:asciiTheme="minorHAnsi" w:hAnsiTheme="minorHAnsi" w:cstheme="minorHAnsi"/>
          <w:b/>
          <w:bCs/>
          <w:iCs/>
          <w:color w:val="1F497D"/>
          <w:szCs w:val="22"/>
        </w:rPr>
      </w:pPr>
      <w:r w:rsidRPr="00E3310E">
        <w:rPr>
          <w:rFonts w:asciiTheme="minorHAnsi" w:hAnsiTheme="minorHAnsi" w:cstheme="minorHAnsi"/>
        </w:rPr>
        <w:br w:type="page"/>
      </w:r>
    </w:p>
    <w:p w:rsidR="00043311" w:rsidRPr="00E3310E" w:rsidRDefault="00043311" w:rsidP="0042130F">
      <w:pPr>
        <w:pStyle w:val="FionasAppendixtitles"/>
      </w:pPr>
      <w:bookmarkStart w:id="394" w:name="_Ref347327638"/>
      <w:bookmarkStart w:id="395" w:name="_Ref347327658"/>
      <w:bookmarkStart w:id="396" w:name="_Toc367284482"/>
      <w:r w:rsidRPr="00E3310E">
        <w:lastRenderedPageBreak/>
        <w:t>Peer gambling: Activities that friends participate in</w:t>
      </w:r>
      <w:bookmarkEnd w:id="394"/>
      <w:bookmarkEnd w:id="395"/>
      <w:r>
        <w:t xml:space="preserve"> (all students)</w:t>
      </w:r>
      <w:bookmarkEnd w:id="396"/>
    </w:p>
    <w:p w:rsidR="00043311" w:rsidRDefault="00043311" w:rsidP="0042130F">
      <w:pPr>
        <w:ind w:left="-1134"/>
        <w:rPr>
          <w:rFonts w:asciiTheme="minorHAnsi" w:hAnsiTheme="minorHAnsi" w:cstheme="minorHAnsi"/>
        </w:rPr>
      </w:pPr>
      <w:bookmarkStart w:id="397" w:name="_Ref346198838"/>
    </w:p>
    <w:p w:rsidR="00043311" w:rsidRPr="00E3310E" w:rsidRDefault="00043311" w:rsidP="0042130F">
      <w:pPr>
        <w:spacing w:before="0" w:line="240" w:lineRule="auto"/>
        <w:ind w:left="-1134"/>
        <w:jc w:val="left"/>
        <w:rPr>
          <w:rFonts w:asciiTheme="minorHAnsi" w:hAnsiTheme="minorHAnsi" w:cstheme="minorHAnsi"/>
        </w:rPr>
        <w:sectPr w:rsidR="00043311" w:rsidRPr="00E3310E" w:rsidSect="0042130F">
          <w:pgSz w:w="15840" w:h="12240" w:orient="landscape"/>
          <w:pgMar w:top="142" w:right="105" w:bottom="426" w:left="1440" w:header="303" w:footer="339" w:gutter="0"/>
          <w:cols w:space="720"/>
          <w:docGrid w:linePitch="360"/>
        </w:sectPr>
      </w:pPr>
      <w:r w:rsidRPr="00684ADA">
        <w:rPr>
          <w:noProof/>
          <w:lang w:eastAsia="en-NZ"/>
        </w:rPr>
        <w:drawing>
          <wp:inline distT="0" distB="0" distL="0" distR="0">
            <wp:extent cx="9696450" cy="3914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00846" cy="3916550"/>
                    </a:xfrm>
                    <a:prstGeom prst="rect">
                      <a:avLst/>
                    </a:prstGeom>
                    <a:noFill/>
                    <a:ln>
                      <a:noFill/>
                    </a:ln>
                  </pic:spPr>
                </pic:pic>
              </a:graphicData>
            </a:graphic>
          </wp:inline>
        </w:drawing>
      </w:r>
    </w:p>
    <w:p w:rsidR="00043311" w:rsidRPr="004104A2" w:rsidRDefault="00043311" w:rsidP="0042130F">
      <w:pPr>
        <w:pStyle w:val="FionasAppendixtitles"/>
      </w:pPr>
      <w:bookmarkStart w:id="398" w:name="_Ref348448138"/>
      <w:bookmarkStart w:id="399" w:name="_Toc367284483"/>
      <w:r w:rsidRPr="004104A2">
        <w:lastRenderedPageBreak/>
        <w:t xml:space="preserve">Ever worry or feel anxious about how much money or time </w:t>
      </w:r>
      <w:r w:rsidRPr="005617C2">
        <w:rPr>
          <w:u w:val="single"/>
        </w:rPr>
        <w:t>other people you live with</w:t>
      </w:r>
      <w:r w:rsidRPr="004104A2">
        <w:t xml:space="preserve"> spend gambling? (among students who have gambled in last 12 months)</w:t>
      </w:r>
      <w:bookmarkEnd w:id="397"/>
      <w:bookmarkEnd w:id="398"/>
      <w:bookmarkEnd w:id="399"/>
    </w:p>
    <w:p w:rsidR="00043311" w:rsidRDefault="00043311" w:rsidP="0042130F">
      <w:pPr>
        <w:ind w:left="-1134"/>
        <w:rPr>
          <w:rFonts w:asciiTheme="minorHAnsi" w:hAnsiTheme="minorHAnsi" w:cstheme="minorHAnsi"/>
        </w:rPr>
      </w:pPr>
      <w:bookmarkStart w:id="400" w:name="_Ref346702861"/>
    </w:p>
    <w:p w:rsidR="00043311" w:rsidRPr="005E4182" w:rsidRDefault="00043311" w:rsidP="0042130F">
      <w:pPr>
        <w:ind w:left="-1134"/>
        <w:jc w:val="center"/>
        <w:rPr>
          <w:rFonts w:asciiTheme="minorHAnsi" w:hAnsiTheme="minorHAnsi" w:cstheme="minorHAnsi"/>
        </w:rPr>
      </w:pPr>
      <w:r w:rsidRPr="005E4182">
        <w:rPr>
          <w:noProof/>
          <w:lang w:eastAsia="en-NZ"/>
        </w:rPr>
        <w:drawing>
          <wp:inline distT="0" distB="0" distL="0" distR="0">
            <wp:extent cx="5290437" cy="436605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93417" cy="4368513"/>
                    </a:xfrm>
                    <a:prstGeom prst="rect">
                      <a:avLst/>
                    </a:prstGeom>
                    <a:noFill/>
                    <a:ln>
                      <a:noFill/>
                    </a:ln>
                  </pic:spPr>
                </pic:pic>
              </a:graphicData>
            </a:graphic>
          </wp:inline>
        </w:drawing>
      </w:r>
    </w:p>
    <w:p w:rsidR="00043311" w:rsidRDefault="00043311">
      <w:pPr>
        <w:spacing w:before="0" w:line="240" w:lineRule="auto"/>
        <w:jc w:val="left"/>
        <w:rPr>
          <w:rFonts w:ascii="Arial Bold" w:hAnsi="Arial Bold" w:cstheme="minorHAnsi"/>
          <w:b/>
          <w:bCs/>
          <w:iCs/>
          <w:color w:val="1F497D"/>
          <w:szCs w:val="22"/>
        </w:rPr>
      </w:pPr>
      <w:bookmarkStart w:id="401" w:name="_Ref348514355"/>
      <w:r>
        <w:br w:type="page"/>
      </w:r>
    </w:p>
    <w:p w:rsidR="00043311" w:rsidRPr="00E3310E" w:rsidRDefault="00043311" w:rsidP="0042130F">
      <w:pPr>
        <w:pStyle w:val="FionasAppendixtitles"/>
      </w:pPr>
      <w:bookmarkStart w:id="402" w:name="_Ref352833676"/>
      <w:bookmarkStart w:id="403" w:name="_Toc367284484"/>
      <w:r w:rsidRPr="00E3310E">
        <w:lastRenderedPageBreak/>
        <w:t xml:space="preserve">Impacts of gambling within student’s family because of someone else’s gambling </w:t>
      </w:r>
      <w:bookmarkEnd w:id="400"/>
      <w:bookmarkEnd w:id="401"/>
      <w:r>
        <w:t>(all students)</w:t>
      </w:r>
      <w:bookmarkEnd w:id="402"/>
      <w:bookmarkEnd w:id="403"/>
      <w:r w:rsidRPr="00E3310E">
        <w:t xml:space="preserve"> </w:t>
      </w:r>
    </w:p>
    <w:p w:rsidR="00043311" w:rsidRDefault="00043311" w:rsidP="0042130F">
      <w:pPr>
        <w:spacing w:line="240" w:lineRule="auto"/>
        <w:ind w:right="22"/>
        <w:rPr>
          <w:rFonts w:asciiTheme="minorHAnsi" w:hAnsiTheme="minorHAnsi" w:cstheme="minorHAnsi"/>
          <w:b/>
        </w:rPr>
      </w:pPr>
    </w:p>
    <w:p w:rsidR="00043311" w:rsidRPr="00413B18" w:rsidRDefault="00043311" w:rsidP="00043311">
      <w:pPr>
        <w:pStyle w:val="ListParagraph"/>
        <w:numPr>
          <w:ilvl w:val="0"/>
          <w:numId w:val="38"/>
        </w:numPr>
        <w:spacing w:line="240" w:lineRule="auto"/>
        <w:ind w:right="22"/>
        <w:rPr>
          <w:rFonts w:asciiTheme="minorHAnsi" w:hAnsiTheme="minorHAnsi" w:cstheme="minorHAnsi"/>
          <w:b/>
          <w:color w:val="1F497D" w:themeColor="text2"/>
        </w:rPr>
      </w:pPr>
      <w:r w:rsidRPr="00413B18">
        <w:rPr>
          <w:rFonts w:asciiTheme="minorHAnsi" w:hAnsiTheme="minorHAnsi" w:cstheme="minorHAnsi"/>
          <w:b/>
          <w:color w:val="1F497D" w:themeColor="text2"/>
        </w:rPr>
        <w:t>Had arguments or fights about time or money spent on betting or gambling (all students)</w:t>
      </w:r>
    </w:p>
    <w:p w:rsidR="00043311" w:rsidRPr="00E3310E" w:rsidRDefault="00043311" w:rsidP="0042130F">
      <w:pPr>
        <w:spacing w:line="240" w:lineRule="auto"/>
        <w:ind w:right="22"/>
        <w:rPr>
          <w:rFonts w:asciiTheme="minorHAnsi" w:hAnsiTheme="minorHAnsi" w:cstheme="minorHAnsi"/>
          <w:b/>
        </w:rPr>
      </w:pPr>
    </w:p>
    <w:p w:rsidR="00043311" w:rsidRPr="00E3310E" w:rsidRDefault="00043311" w:rsidP="0042130F">
      <w:pPr>
        <w:spacing w:before="0" w:line="240" w:lineRule="auto"/>
        <w:ind w:left="851"/>
        <w:jc w:val="left"/>
        <w:rPr>
          <w:rFonts w:asciiTheme="minorHAnsi" w:hAnsiTheme="minorHAnsi" w:cstheme="minorHAnsi"/>
        </w:rPr>
      </w:pPr>
      <w:r w:rsidRPr="008C6123">
        <w:rPr>
          <w:noProof/>
          <w:lang w:eastAsia="en-NZ"/>
        </w:rPr>
        <w:drawing>
          <wp:inline distT="0" distB="0" distL="0" distR="0">
            <wp:extent cx="3946675" cy="430826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58015" cy="4320640"/>
                    </a:xfrm>
                    <a:prstGeom prst="rect">
                      <a:avLst/>
                    </a:prstGeom>
                    <a:noFill/>
                    <a:ln>
                      <a:noFill/>
                    </a:ln>
                  </pic:spPr>
                </pic:pic>
              </a:graphicData>
            </a:graphic>
          </wp:inline>
        </w:drawing>
      </w:r>
    </w:p>
    <w:p w:rsidR="00043311" w:rsidRPr="00E3310E" w:rsidRDefault="00043311">
      <w:pPr>
        <w:spacing w:before="0" w:line="240" w:lineRule="auto"/>
        <w:jc w:val="left"/>
        <w:rPr>
          <w:rFonts w:asciiTheme="minorHAnsi" w:hAnsiTheme="minorHAnsi" w:cstheme="minorHAnsi"/>
        </w:rPr>
      </w:pPr>
      <w:r w:rsidRPr="00E3310E">
        <w:rPr>
          <w:rFonts w:asciiTheme="minorHAnsi" w:hAnsiTheme="minorHAnsi" w:cstheme="minorHAnsi"/>
        </w:rPr>
        <w:br w:type="page"/>
      </w:r>
    </w:p>
    <w:p w:rsidR="00043311" w:rsidRPr="00413B18" w:rsidRDefault="00043311" w:rsidP="00043311">
      <w:pPr>
        <w:pStyle w:val="ListParagraph"/>
        <w:numPr>
          <w:ilvl w:val="0"/>
          <w:numId w:val="38"/>
        </w:numPr>
        <w:spacing w:line="240" w:lineRule="auto"/>
        <w:ind w:right="22"/>
        <w:rPr>
          <w:rFonts w:asciiTheme="minorHAnsi" w:hAnsiTheme="minorHAnsi" w:cstheme="minorHAnsi"/>
          <w:b/>
          <w:color w:val="1F497D" w:themeColor="text2"/>
        </w:rPr>
      </w:pPr>
      <w:r w:rsidRPr="00413B18">
        <w:rPr>
          <w:rFonts w:asciiTheme="minorHAnsi" w:hAnsiTheme="minorHAnsi" w:cstheme="minorHAnsi"/>
          <w:b/>
          <w:color w:val="1F497D" w:themeColor="text2"/>
        </w:rPr>
        <w:lastRenderedPageBreak/>
        <w:t>We had to go without something we needed (e.g. food) because too much money was spent on gambling or betting (all students)</w:t>
      </w:r>
    </w:p>
    <w:p w:rsidR="00043311" w:rsidRDefault="00043311" w:rsidP="0042130F">
      <w:pPr>
        <w:spacing w:line="240" w:lineRule="auto"/>
        <w:ind w:right="22"/>
        <w:rPr>
          <w:rFonts w:asciiTheme="minorHAnsi" w:hAnsiTheme="minorHAnsi" w:cstheme="minorHAnsi"/>
        </w:rPr>
      </w:pPr>
    </w:p>
    <w:p w:rsidR="00043311" w:rsidRDefault="00043311" w:rsidP="0042130F">
      <w:pPr>
        <w:spacing w:line="240" w:lineRule="auto"/>
        <w:ind w:left="851" w:right="22"/>
        <w:rPr>
          <w:rFonts w:asciiTheme="minorHAnsi" w:hAnsiTheme="minorHAnsi" w:cstheme="minorHAnsi"/>
        </w:rPr>
      </w:pPr>
      <w:r w:rsidRPr="00413B18">
        <w:rPr>
          <w:noProof/>
          <w:lang w:eastAsia="en-NZ"/>
        </w:rPr>
        <w:drawing>
          <wp:inline distT="0" distB="0" distL="0" distR="0">
            <wp:extent cx="3971160" cy="436605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91453" cy="4388365"/>
                    </a:xfrm>
                    <a:prstGeom prst="rect">
                      <a:avLst/>
                    </a:prstGeom>
                    <a:noFill/>
                    <a:ln>
                      <a:noFill/>
                    </a:ln>
                  </pic:spPr>
                </pic:pic>
              </a:graphicData>
            </a:graphic>
          </wp:inline>
        </w:drawing>
      </w:r>
    </w:p>
    <w:p w:rsidR="00043311" w:rsidRDefault="00043311" w:rsidP="0042130F">
      <w:pPr>
        <w:spacing w:line="240" w:lineRule="auto"/>
        <w:ind w:right="22"/>
        <w:rPr>
          <w:rFonts w:asciiTheme="minorHAnsi" w:hAnsiTheme="minorHAnsi" w:cstheme="minorHAnsi"/>
        </w:rPr>
      </w:pPr>
    </w:p>
    <w:p w:rsidR="00043311" w:rsidRPr="00E3310E" w:rsidRDefault="00043311" w:rsidP="0042130F">
      <w:pPr>
        <w:spacing w:line="240" w:lineRule="auto"/>
        <w:ind w:right="22"/>
        <w:rPr>
          <w:rFonts w:asciiTheme="minorHAnsi" w:hAnsiTheme="minorHAnsi" w:cstheme="minorHAnsi"/>
        </w:rPr>
      </w:pPr>
    </w:p>
    <w:p w:rsidR="00043311" w:rsidRPr="00E3310E" w:rsidRDefault="00043311" w:rsidP="0042130F">
      <w:pPr>
        <w:spacing w:line="240" w:lineRule="auto"/>
        <w:ind w:right="22"/>
        <w:rPr>
          <w:rFonts w:asciiTheme="minorHAnsi" w:hAnsiTheme="minorHAnsi" w:cstheme="minorHAnsi"/>
        </w:rPr>
      </w:pPr>
    </w:p>
    <w:p w:rsidR="00043311" w:rsidRPr="00E3310E" w:rsidRDefault="00043311">
      <w:pPr>
        <w:spacing w:before="0" w:line="240" w:lineRule="auto"/>
        <w:jc w:val="left"/>
        <w:rPr>
          <w:rFonts w:asciiTheme="minorHAnsi" w:hAnsiTheme="minorHAnsi" w:cstheme="minorHAnsi"/>
        </w:rPr>
      </w:pPr>
      <w:r w:rsidRPr="00E3310E">
        <w:rPr>
          <w:rFonts w:asciiTheme="minorHAnsi" w:hAnsiTheme="minorHAnsi" w:cstheme="minorHAnsi"/>
        </w:rPr>
        <w:br w:type="page"/>
      </w:r>
    </w:p>
    <w:p w:rsidR="00043311" w:rsidRPr="00413B18" w:rsidRDefault="00043311" w:rsidP="00043311">
      <w:pPr>
        <w:pStyle w:val="ListParagraph"/>
        <w:numPr>
          <w:ilvl w:val="0"/>
          <w:numId w:val="38"/>
        </w:numPr>
        <w:spacing w:line="240" w:lineRule="auto"/>
        <w:ind w:right="22"/>
        <w:rPr>
          <w:rFonts w:asciiTheme="minorHAnsi" w:hAnsiTheme="minorHAnsi" w:cstheme="minorHAnsi"/>
          <w:b/>
          <w:color w:val="1F497D" w:themeColor="text2"/>
        </w:rPr>
      </w:pPr>
      <w:r w:rsidRPr="00413B18">
        <w:rPr>
          <w:rFonts w:asciiTheme="minorHAnsi" w:hAnsiTheme="minorHAnsi" w:cstheme="minorHAnsi"/>
          <w:b/>
          <w:color w:val="1F497D" w:themeColor="text2"/>
        </w:rPr>
        <w:lastRenderedPageBreak/>
        <w:t>Some bills weren't paid because too much money was spent on gambling or betting (all students)</w:t>
      </w:r>
    </w:p>
    <w:p w:rsidR="00043311" w:rsidRDefault="00043311" w:rsidP="0042130F">
      <w:pPr>
        <w:spacing w:line="240" w:lineRule="auto"/>
        <w:ind w:right="22"/>
        <w:rPr>
          <w:rFonts w:asciiTheme="minorHAnsi" w:hAnsiTheme="minorHAnsi" w:cstheme="minorHAnsi"/>
        </w:rPr>
      </w:pPr>
    </w:p>
    <w:p w:rsidR="00043311" w:rsidRDefault="00043311" w:rsidP="0042130F">
      <w:pPr>
        <w:spacing w:line="240" w:lineRule="auto"/>
        <w:ind w:left="851" w:right="22"/>
        <w:rPr>
          <w:rFonts w:asciiTheme="minorHAnsi" w:hAnsiTheme="minorHAnsi" w:cstheme="minorHAnsi"/>
        </w:rPr>
      </w:pPr>
      <w:r w:rsidRPr="00413B18">
        <w:rPr>
          <w:noProof/>
          <w:lang w:eastAsia="en-NZ"/>
        </w:rPr>
        <w:drawing>
          <wp:inline distT="0" distB="0" distL="0" distR="0">
            <wp:extent cx="3998901" cy="4275438"/>
            <wp:effectExtent l="0" t="0" r="190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98952" cy="4275492"/>
                    </a:xfrm>
                    <a:prstGeom prst="rect">
                      <a:avLst/>
                    </a:prstGeom>
                    <a:noFill/>
                    <a:ln>
                      <a:noFill/>
                    </a:ln>
                  </pic:spPr>
                </pic:pic>
              </a:graphicData>
            </a:graphic>
          </wp:inline>
        </w:drawing>
      </w:r>
    </w:p>
    <w:p w:rsidR="00043311" w:rsidRPr="00E3310E" w:rsidRDefault="00043311" w:rsidP="0042130F">
      <w:pPr>
        <w:spacing w:line="240" w:lineRule="auto"/>
        <w:ind w:right="22"/>
        <w:rPr>
          <w:rFonts w:asciiTheme="minorHAnsi" w:hAnsiTheme="minorHAnsi" w:cstheme="minorHAnsi"/>
        </w:rPr>
      </w:pPr>
    </w:p>
    <w:p w:rsidR="00043311" w:rsidRPr="00E3310E" w:rsidRDefault="00043311">
      <w:pPr>
        <w:spacing w:before="0" w:line="240" w:lineRule="auto"/>
        <w:jc w:val="left"/>
        <w:rPr>
          <w:rFonts w:asciiTheme="minorHAnsi" w:hAnsiTheme="minorHAnsi" w:cstheme="minorHAnsi"/>
        </w:rPr>
      </w:pPr>
      <w:r w:rsidRPr="00E3310E">
        <w:rPr>
          <w:rFonts w:asciiTheme="minorHAnsi" w:hAnsiTheme="minorHAnsi" w:cstheme="minorHAnsi"/>
        </w:rPr>
        <w:br w:type="page"/>
      </w:r>
    </w:p>
    <w:p w:rsidR="00043311" w:rsidRPr="00413B18" w:rsidRDefault="00043311" w:rsidP="00043311">
      <w:pPr>
        <w:pStyle w:val="ListParagraph"/>
        <w:numPr>
          <w:ilvl w:val="0"/>
          <w:numId w:val="38"/>
        </w:numPr>
        <w:spacing w:line="240" w:lineRule="auto"/>
        <w:ind w:right="22"/>
        <w:rPr>
          <w:rFonts w:asciiTheme="minorHAnsi" w:hAnsiTheme="minorHAnsi" w:cstheme="minorHAnsi"/>
          <w:b/>
          <w:color w:val="1F497D" w:themeColor="text2"/>
        </w:rPr>
      </w:pPr>
      <w:r w:rsidRPr="00413B18">
        <w:rPr>
          <w:rFonts w:asciiTheme="minorHAnsi" w:hAnsiTheme="minorHAnsi" w:cstheme="minorHAnsi"/>
          <w:b/>
          <w:color w:val="1F497D" w:themeColor="text2"/>
        </w:rPr>
        <w:lastRenderedPageBreak/>
        <w:t>They did things that could have got them into serious trouble (e.g. stealing) because of gambling or these activities (all students)</w:t>
      </w:r>
    </w:p>
    <w:p w:rsidR="00043311" w:rsidRPr="00E3310E" w:rsidRDefault="00043311" w:rsidP="0042130F">
      <w:pPr>
        <w:spacing w:line="240" w:lineRule="auto"/>
        <w:ind w:right="22"/>
        <w:rPr>
          <w:rFonts w:asciiTheme="minorHAnsi" w:hAnsiTheme="minorHAnsi" w:cstheme="minorHAnsi"/>
        </w:rPr>
      </w:pPr>
    </w:p>
    <w:p w:rsidR="00043311" w:rsidRDefault="00043311" w:rsidP="0042130F">
      <w:pPr>
        <w:spacing w:line="240" w:lineRule="auto"/>
        <w:ind w:right="22"/>
        <w:rPr>
          <w:rFonts w:asciiTheme="minorHAnsi" w:hAnsiTheme="minorHAnsi" w:cstheme="minorHAnsi"/>
        </w:rPr>
      </w:pPr>
    </w:p>
    <w:p w:rsidR="00043311" w:rsidRDefault="00043311" w:rsidP="0042130F">
      <w:pPr>
        <w:spacing w:line="240" w:lineRule="auto"/>
        <w:ind w:left="851" w:right="22"/>
        <w:rPr>
          <w:rFonts w:asciiTheme="minorHAnsi" w:hAnsiTheme="minorHAnsi" w:cstheme="minorHAnsi"/>
        </w:rPr>
      </w:pPr>
      <w:r w:rsidRPr="00413B18">
        <w:rPr>
          <w:noProof/>
          <w:lang w:eastAsia="en-NZ"/>
        </w:rPr>
        <w:drawing>
          <wp:inline distT="0" distB="0" distL="0" distR="0">
            <wp:extent cx="3937687" cy="4190032"/>
            <wp:effectExtent l="0" t="0" r="5715"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8724" cy="4201777"/>
                    </a:xfrm>
                    <a:prstGeom prst="rect">
                      <a:avLst/>
                    </a:prstGeom>
                    <a:noFill/>
                    <a:ln>
                      <a:noFill/>
                    </a:ln>
                  </pic:spPr>
                </pic:pic>
              </a:graphicData>
            </a:graphic>
          </wp:inline>
        </w:drawing>
      </w:r>
    </w:p>
    <w:p w:rsidR="00043311" w:rsidRDefault="00043311" w:rsidP="0042130F">
      <w:pPr>
        <w:spacing w:line="240" w:lineRule="auto"/>
        <w:ind w:right="22"/>
        <w:rPr>
          <w:rFonts w:asciiTheme="minorHAnsi" w:hAnsiTheme="minorHAnsi" w:cstheme="minorHAnsi"/>
        </w:rPr>
      </w:pPr>
    </w:p>
    <w:p w:rsidR="00043311" w:rsidRDefault="00043311">
      <w:pPr>
        <w:spacing w:before="0" w:line="240" w:lineRule="auto"/>
        <w:jc w:val="left"/>
        <w:rPr>
          <w:rFonts w:ascii="Arial Bold" w:hAnsi="Arial Bold" w:cstheme="minorHAnsi"/>
          <w:b/>
          <w:bCs/>
          <w:iCs/>
          <w:color w:val="1F497D"/>
          <w:szCs w:val="22"/>
        </w:rPr>
      </w:pPr>
      <w:bookmarkStart w:id="404" w:name="_Ref346801605"/>
      <w:bookmarkStart w:id="405" w:name="_Ref346801610"/>
      <w:r>
        <w:br w:type="page"/>
      </w:r>
    </w:p>
    <w:p w:rsidR="00043311" w:rsidRPr="0083742A" w:rsidRDefault="00043311" w:rsidP="0042130F">
      <w:pPr>
        <w:pStyle w:val="FionasAppendixtitles"/>
      </w:pPr>
      <w:bookmarkStart w:id="406" w:name="_Ref351643248"/>
      <w:bookmarkStart w:id="407" w:name="_Ref354056181"/>
      <w:bookmarkStart w:id="408" w:name="_Toc367284485"/>
      <w:r>
        <w:lastRenderedPageBreak/>
        <w:t>Problematic gambling amongst students</w:t>
      </w:r>
      <w:bookmarkEnd w:id="406"/>
      <w:bookmarkEnd w:id="407"/>
      <w:r>
        <w:t xml:space="preserve"> (among students who have gambled in the last 12 months)</w:t>
      </w:r>
      <w:bookmarkEnd w:id="404"/>
      <w:bookmarkEnd w:id="405"/>
      <w:bookmarkEnd w:id="408"/>
    </w:p>
    <w:p w:rsidR="00043311" w:rsidRDefault="00043311" w:rsidP="0042130F">
      <w:pPr>
        <w:tabs>
          <w:tab w:val="right" w:pos="12676"/>
        </w:tabs>
        <w:spacing w:line="240" w:lineRule="auto"/>
        <w:ind w:left="567" w:right="22"/>
        <w:rPr>
          <w:rFonts w:asciiTheme="minorHAnsi" w:hAnsiTheme="minorHAnsi" w:cstheme="minorHAnsi"/>
          <w:b/>
          <w:color w:val="1F497D" w:themeColor="text2"/>
        </w:rPr>
      </w:pPr>
    </w:p>
    <w:p w:rsidR="00043311" w:rsidRDefault="00043311" w:rsidP="0042130F">
      <w:pPr>
        <w:tabs>
          <w:tab w:val="right" w:pos="12676"/>
        </w:tabs>
        <w:spacing w:line="240" w:lineRule="auto"/>
        <w:ind w:left="567" w:right="22"/>
        <w:rPr>
          <w:rFonts w:asciiTheme="minorHAnsi" w:hAnsiTheme="minorHAnsi" w:cstheme="minorHAnsi"/>
          <w:b/>
          <w:color w:val="1F497D" w:themeColor="text2"/>
        </w:rPr>
      </w:pPr>
      <w:r w:rsidRPr="00170851">
        <w:rPr>
          <w:noProof/>
          <w:lang w:eastAsia="en-NZ"/>
        </w:rPr>
        <w:drawing>
          <wp:inline distT="0" distB="0" distL="0" distR="0">
            <wp:extent cx="3975161" cy="5865340"/>
            <wp:effectExtent l="0" t="0" r="635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75009" cy="5865116"/>
                    </a:xfrm>
                    <a:prstGeom prst="rect">
                      <a:avLst/>
                    </a:prstGeom>
                    <a:noFill/>
                    <a:ln>
                      <a:noFill/>
                    </a:ln>
                  </pic:spPr>
                </pic:pic>
              </a:graphicData>
            </a:graphic>
          </wp:inline>
        </w:drawing>
      </w:r>
    </w:p>
    <w:p w:rsidR="00043311" w:rsidRDefault="00043311" w:rsidP="0042130F">
      <w:pPr>
        <w:tabs>
          <w:tab w:val="right" w:pos="12676"/>
        </w:tabs>
        <w:spacing w:line="240" w:lineRule="auto"/>
        <w:ind w:left="-851" w:right="22"/>
        <w:rPr>
          <w:rFonts w:asciiTheme="minorHAnsi" w:hAnsiTheme="minorHAnsi" w:cstheme="minorHAnsi"/>
          <w:b/>
          <w:color w:val="1F497D" w:themeColor="text2"/>
        </w:rPr>
      </w:pPr>
    </w:p>
    <w:p w:rsidR="00043311" w:rsidRPr="00F56D57" w:rsidRDefault="00043311" w:rsidP="0042130F">
      <w:pPr>
        <w:tabs>
          <w:tab w:val="right" w:pos="12676"/>
        </w:tabs>
        <w:spacing w:line="240" w:lineRule="auto"/>
        <w:ind w:right="22"/>
        <w:rPr>
          <w:rFonts w:asciiTheme="minorHAnsi" w:hAnsiTheme="minorHAnsi" w:cstheme="minorHAnsi"/>
          <w:b/>
        </w:rPr>
      </w:pPr>
    </w:p>
    <w:p w:rsidR="00043311" w:rsidRPr="00E3310E" w:rsidRDefault="00043311" w:rsidP="0042130F">
      <w:pPr>
        <w:spacing w:line="240" w:lineRule="auto"/>
        <w:ind w:right="22"/>
        <w:rPr>
          <w:rFonts w:asciiTheme="minorHAnsi" w:hAnsiTheme="minorHAnsi" w:cstheme="minorHAnsi"/>
        </w:rPr>
        <w:sectPr w:rsidR="00043311" w:rsidRPr="00E3310E" w:rsidSect="0042130F">
          <w:pgSz w:w="12240" w:h="15840"/>
          <w:pgMar w:top="1440" w:right="993" w:bottom="1702" w:left="1985" w:header="720" w:footer="339" w:gutter="0"/>
          <w:cols w:space="720"/>
          <w:docGrid w:linePitch="360"/>
        </w:sectPr>
      </w:pPr>
      <w:bookmarkStart w:id="409" w:name="_Ref346807791"/>
    </w:p>
    <w:p w:rsidR="00043311" w:rsidRPr="004104A2" w:rsidRDefault="00043311" w:rsidP="0042130F">
      <w:pPr>
        <w:pStyle w:val="FionasAppendixtitles"/>
      </w:pPr>
      <w:bookmarkStart w:id="410" w:name="_Ref346809393"/>
      <w:bookmarkStart w:id="411" w:name="_Toc367284486"/>
      <w:bookmarkEnd w:id="409"/>
      <w:r w:rsidRPr="00E3310E">
        <w:lastRenderedPageBreak/>
        <w:t xml:space="preserve">If you had problems or concerns about your gambling, who would you go to for </w:t>
      </w:r>
      <w:r w:rsidRPr="004104A2">
        <w:t>help?</w:t>
      </w:r>
      <w:bookmarkEnd w:id="410"/>
      <w:r w:rsidRPr="004104A2">
        <w:t xml:space="preserve"> (among students who have gambled in last 12 months)</w:t>
      </w:r>
      <w:bookmarkEnd w:id="411"/>
    </w:p>
    <w:p w:rsidR="00043311" w:rsidRDefault="00043311" w:rsidP="0042130F">
      <w:pPr>
        <w:spacing w:line="240" w:lineRule="auto"/>
        <w:ind w:left="-993" w:right="22"/>
        <w:rPr>
          <w:rFonts w:asciiTheme="minorHAnsi" w:hAnsiTheme="minorHAnsi" w:cstheme="minorHAnsi"/>
        </w:rPr>
      </w:pPr>
    </w:p>
    <w:p w:rsidR="00043311" w:rsidRDefault="00043311" w:rsidP="0042130F">
      <w:pPr>
        <w:spacing w:line="240" w:lineRule="auto"/>
        <w:ind w:left="-993" w:right="22"/>
        <w:rPr>
          <w:rFonts w:asciiTheme="minorHAnsi" w:hAnsiTheme="minorHAnsi" w:cstheme="minorHAnsi"/>
        </w:rPr>
      </w:pPr>
      <w:r w:rsidRPr="00170851">
        <w:rPr>
          <w:noProof/>
          <w:lang w:eastAsia="en-NZ"/>
        </w:rPr>
        <w:drawing>
          <wp:inline distT="0" distB="0" distL="0" distR="0">
            <wp:extent cx="8894285" cy="3987114"/>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92304" cy="3986226"/>
                    </a:xfrm>
                    <a:prstGeom prst="rect">
                      <a:avLst/>
                    </a:prstGeom>
                    <a:noFill/>
                    <a:ln>
                      <a:noFill/>
                    </a:ln>
                  </pic:spPr>
                </pic:pic>
              </a:graphicData>
            </a:graphic>
          </wp:inline>
        </w:drawing>
      </w:r>
    </w:p>
    <w:p w:rsidR="00043311" w:rsidRDefault="00043311" w:rsidP="0042130F">
      <w:pPr>
        <w:spacing w:line="240" w:lineRule="auto"/>
        <w:ind w:right="22"/>
        <w:rPr>
          <w:rFonts w:asciiTheme="minorHAnsi" w:hAnsiTheme="minorHAnsi" w:cstheme="minorHAnsi"/>
        </w:rPr>
      </w:pPr>
    </w:p>
    <w:p w:rsidR="00043311" w:rsidRPr="00E3310E" w:rsidRDefault="00043311">
      <w:pPr>
        <w:spacing w:line="240" w:lineRule="auto"/>
        <w:ind w:right="22"/>
        <w:rPr>
          <w:rFonts w:asciiTheme="minorHAnsi" w:hAnsiTheme="minorHAnsi" w:cstheme="minorHAnsi"/>
        </w:rPr>
      </w:pPr>
    </w:p>
    <w:p w:rsidR="00826FF4" w:rsidRDefault="00826FF4"/>
    <w:sectPr w:rsidR="00826FF4" w:rsidSect="0042130F">
      <w:pgSz w:w="15840" w:h="12240" w:orient="landscape"/>
      <w:pgMar w:top="993" w:right="1381" w:bottom="1276" w:left="1440" w:header="720" w:footer="33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847" w:rsidRDefault="00092847" w:rsidP="00043311">
      <w:pPr>
        <w:spacing w:before="0" w:line="240" w:lineRule="auto"/>
      </w:pPr>
      <w:r>
        <w:separator/>
      </w:r>
    </w:p>
  </w:endnote>
  <w:endnote w:type="continuationSeparator" w:id="0">
    <w:p w:rsidR="00092847" w:rsidRDefault="00092847" w:rsidP="0004331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PQWJA+OfficinaSans-Book">
    <w:altName w:val="Officina Sans"/>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Shrut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26" w:rsidRDefault="00B45826" w:rsidP="004213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5826" w:rsidRDefault="00B45826" w:rsidP="0042130F">
    <w:pPr>
      <w:pStyle w:val="Footer"/>
      <w:ind w:right="360"/>
    </w:pPr>
  </w:p>
  <w:p w:rsidR="00B45826" w:rsidRDefault="00B45826"/>
  <w:p w:rsidR="00B45826" w:rsidRDefault="00B458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26" w:rsidRDefault="00B45826" w:rsidP="0042130F">
    <w:pPr>
      <w:pStyle w:val="Footer"/>
      <w:framePr w:wrap="around" w:vAnchor="text" w:hAnchor="margin" w:xAlign="right" w:y="1"/>
      <w:rPr>
        <w:rStyle w:val="PageNumber"/>
      </w:rPr>
    </w:pPr>
  </w:p>
  <w:p w:rsidR="00B45826" w:rsidRPr="004915A1" w:rsidRDefault="00B45826" w:rsidP="0042130F">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935790"/>
      <w:docPartObj>
        <w:docPartGallery w:val="Page Numbers (Bottom of Page)"/>
        <w:docPartUnique/>
      </w:docPartObj>
    </w:sdtPr>
    <w:sdtEndPr>
      <w:rPr>
        <w:noProof/>
        <w:sz w:val="20"/>
      </w:rPr>
    </w:sdtEndPr>
    <w:sdtContent>
      <w:p w:rsidR="00B45826" w:rsidRPr="0058793B" w:rsidRDefault="00B45826" w:rsidP="0042130F">
        <w:pPr>
          <w:pBdr>
            <w:top w:val="single" w:sz="4" w:space="1" w:color="auto"/>
          </w:pBdr>
          <w:spacing w:line="240" w:lineRule="auto"/>
          <w:jc w:val="left"/>
          <w:rPr>
            <w:sz w:val="8"/>
          </w:rPr>
        </w:pPr>
      </w:p>
      <w:p w:rsidR="00B45826" w:rsidRDefault="00B45826" w:rsidP="0042130F">
        <w:pPr>
          <w:spacing w:line="240" w:lineRule="auto"/>
          <w:ind w:firstLine="720"/>
          <w:jc w:val="center"/>
          <w:rPr>
            <w:rFonts w:asciiTheme="minorHAnsi" w:hAnsiTheme="minorHAnsi"/>
            <w:b/>
            <w:bCs/>
            <w:iCs/>
            <w:sz w:val="20"/>
            <w:szCs w:val="22"/>
          </w:rPr>
        </w:pPr>
        <w:r w:rsidRPr="00832D62">
          <w:rPr>
            <w:rFonts w:asciiTheme="minorHAnsi" w:hAnsiTheme="minorHAnsi"/>
            <w:b/>
            <w:bCs/>
            <w:iCs/>
            <w:sz w:val="20"/>
            <w:szCs w:val="22"/>
          </w:rPr>
          <w:t>THE HEALTH AND WELLBEING OF NEW ZEALAND SECONDARY SCHOOL STUDENTS IN 2012</w:t>
        </w:r>
        <w:r>
          <w:rPr>
            <w:rFonts w:asciiTheme="minorHAnsi" w:hAnsiTheme="minorHAnsi"/>
            <w:b/>
            <w:bCs/>
            <w:iCs/>
            <w:sz w:val="20"/>
            <w:szCs w:val="22"/>
          </w:rPr>
          <w:t xml:space="preserve">: </w:t>
        </w:r>
        <w:r>
          <w:rPr>
            <w:rFonts w:asciiTheme="minorHAnsi" w:hAnsiTheme="minorHAnsi"/>
            <w:b/>
            <w:bCs/>
            <w:iCs/>
            <w:sz w:val="20"/>
            <w:szCs w:val="22"/>
          </w:rPr>
          <w:tab/>
        </w:r>
        <w:r w:rsidRPr="00832D62">
          <w:rPr>
            <w:rFonts w:asciiTheme="minorHAnsi" w:hAnsiTheme="minorHAnsi"/>
            <w:sz w:val="20"/>
          </w:rPr>
          <w:fldChar w:fldCharType="begin"/>
        </w:r>
        <w:r w:rsidRPr="00832D62">
          <w:rPr>
            <w:rFonts w:asciiTheme="minorHAnsi" w:hAnsiTheme="minorHAnsi"/>
            <w:sz w:val="20"/>
          </w:rPr>
          <w:instrText xml:space="preserve"> PAGE   \* MERGEFORMAT </w:instrText>
        </w:r>
        <w:r w:rsidRPr="00832D62">
          <w:rPr>
            <w:rFonts w:asciiTheme="minorHAnsi" w:hAnsiTheme="minorHAnsi"/>
            <w:sz w:val="20"/>
          </w:rPr>
          <w:fldChar w:fldCharType="separate"/>
        </w:r>
        <w:r w:rsidR="00082F17">
          <w:rPr>
            <w:rFonts w:asciiTheme="minorHAnsi" w:hAnsiTheme="minorHAnsi"/>
            <w:noProof/>
            <w:sz w:val="20"/>
          </w:rPr>
          <w:t>8</w:t>
        </w:r>
        <w:r w:rsidRPr="00832D62">
          <w:rPr>
            <w:rFonts w:asciiTheme="minorHAnsi" w:hAnsiTheme="minorHAnsi"/>
            <w:noProof/>
            <w:sz w:val="20"/>
          </w:rPr>
          <w:fldChar w:fldCharType="end"/>
        </w:r>
      </w:p>
      <w:p w:rsidR="00B45826" w:rsidRPr="001D3AB2" w:rsidRDefault="00B45826" w:rsidP="0042130F">
        <w:pPr>
          <w:spacing w:line="240" w:lineRule="auto"/>
          <w:ind w:firstLine="720"/>
          <w:jc w:val="center"/>
          <w:rPr>
            <w:rFonts w:asciiTheme="minorHAnsi" w:hAnsiTheme="minorHAnsi"/>
            <w:b/>
            <w:bCs/>
            <w:iCs/>
            <w:sz w:val="20"/>
            <w:szCs w:val="22"/>
          </w:rPr>
        </w:pPr>
        <w:r>
          <w:rPr>
            <w:rFonts w:asciiTheme="minorHAnsi" w:hAnsiTheme="minorHAnsi"/>
            <w:b/>
            <w:bCs/>
            <w:iCs/>
            <w:sz w:val="20"/>
            <w:szCs w:val="22"/>
          </w:rPr>
          <w:t>YOUTH GAMBLING</w:t>
        </w:r>
        <w:r>
          <w:rPr>
            <w:rFonts w:asciiTheme="minorHAnsi" w:hAnsiTheme="minorHAnsi"/>
            <w:b/>
            <w:bCs/>
            <w:iCs/>
            <w:sz w:val="20"/>
            <w:szCs w:val="22"/>
          </w:rPr>
          <w:tab/>
        </w:r>
        <w:r>
          <w:rPr>
            <w:rFonts w:asciiTheme="minorHAnsi" w:hAnsiTheme="minorHAnsi"/>
            <w:b/>
            <w:bCs/>
            <w:iCs/>
            <w:sz w:val="20"/>
            <w:szCs w:val="22"/>
          </w:rPr>
          <w:tab/>
        </w:r>
        <w:r>
          <w:rPr>
            <w:rFonts w:asciiTheme="minorHAnsi" w:hAnsiTheme="minorHAnsi"/>
            <w:b/>
            <w:bCs/>
            <w:iCs/>
            <w:sz w:val="20"/>
            <w:szCs w:val="22"/>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847" w:rsidRDefault="00092847" w:rsidP="00043311">
      <w:pPr>
        <w:spacing w:before="0" w:line="240" w:lineRule="auto"/>
      </w:pPr>
      <w:r>
        <w:separator/>
      </w:r>
    </w:p>
  </w:footnote>
  <w:footnote w:type="continuationSeparator" w:id="0">
    <w:p w:rsidR="00092847" w:rsidRDefault="00092847" w:rsidP="00043311">
      <w:pPr>
        <w:spacing w:before="0" w:line="240" w:lineRule="auto"/>
      </w:pPr>
      <w:r>
        <w:continuationSeparator/>
      </w:r>
    </w:p>
  </w:footnote>
  <w:footnote w:id="1">
    <w:p w:rsidR="00B45826" w:rsidRPr="00C202B5" w:rsidRDefault="00B45826" w:rsidP="00A329A2">
      <w:pPr>
        <w:spacing w:line="276" w:lineRule="auto"/>
        <w:rPr>
          <w:rFonts w:asciiTheme="minorHAnsi" w:hAnsiTheme="minorHAnsi"/>
          <w:sz w:val="20"/>
        </w:rPr>
      </w:pPr>
      <w:r w:rsidRPr="00BD1B09">
        <w:rPr>
          <w:rStyle w:val="FootnoteReference"/>
        </w:rPr>
        <w:footnoteRef/>
      </w:r>
      <w:r w:rsidRPr="00BD1B09">
        <w:t xml:space="preserve"> </w:t>
      </w:r>
      <w:r w:rsidRPr="00BD1B09">
        <w:rPr>
          <w:rFonts w:asciiTheme="minorHAnsi" w:hAnsiTheme="minorHAnsi" w:cstheme="minorHAnsi"/>
          <w:sz w:val="20"/>
        </w:rPr>
        <w:t xml:space="preserve">The </w:t>
      </w:r>
      <w:r w:rsidRPr="00BD1B09">
        <w:rPr>
          <w:rStyle w:val="FootnoteReference"/>
          <w:rFonts w:asciiTheme="minorHAnsi" w:hAnsiTheme="minorHAnsi"/>
          <w:sz w:val="20"/>
          <w:vertAlign w:val="baseline"/>
        </w:rPr>
        <w:t xml:space="preserve">legal age for gambling in New Zealand varies according to the specific activity: Instant Kiwi – 18 years of age; Casino  - 20 years of age; TAB betting – 18 years of age; Pub/Club gambling machines - 18 years of age. </w:t>
      </w:r>
    </w:p>
  </w:footnote>
  <w:footnote w:id="2">
    <w:p w:rsidR="00B45826" w:rsidRPr="00A329A2" w:rsidRDefault="00B45826" w:rsidP="00A329A2">
      <w:pPr>
        <w:spacing w:line="276" w:lineRule="auto"/>
        <w:rPr>
          <w:rStyle w:val="FootnoteReference"/>
        </w:rPr>
      </w:pPr>
      <w:r>
        <w:rPr>
          <w:rStyle w:val="FootnoteReference"/>
        </w:rPr>
        <w:footnoteRef/>
      </w:r>
      <w:r w:rsidRPr="00A329A2">
        <w:rPr>
          <w:rStyle w:val="FootnoteReference"/>
        </w:rPr>
        <w:t xml:space="preserve"> </w:t>
      </w:r>
      <w:r w:rsidRPr="00A329A2">
        <w:rPr>
          <w:rFonts w:asciiTheme="minorHAnsi" w:hAnsiTheme="minorHAnsi" w:cstheme="minorHAnsi"/>
          <w:sz w:val="20"/>
        </w:rPr>
        <w:t xml:space="preserve">Students aged ’17 or older’ have not been included in these figures as </w:t>
      </w:r>
      <w:r>
        <w:rPr>
          <w:rFonts w:asciiTheme="minorHAnsi" w:hAnsiTheme="minorHAnsi" w:cstheme="minorHAnsi"/>
          <w:sz w:val="20"/>
        </w:rPr>
        <w:t>some</w:t>
      </w:r>
      <w:r w:rsidRPr="00A329A2">
        <w:rPr>
          <w:rFonts w:asciiTheme="minorHAnsi" w:hAnsiTheme="minorHAnsi" w:cstheme="minorHAnsi"/>
          <w:sz w:val="20"/>
        </w:rPr>
        <w:t xml:space="preserve"> may be of a legal age to gamble on these modes. As such, the figures reported above may underestimate the actual numbers of minors illegally participating in each activity.</w:t>
      </w:r>
    </w:p>
  </w:footnote>
  <w:footnote w:id="3">
    <w:p w:rsidR="00B45826" w:rsidRPr="00C35AE2" w:rsidRDefault="00B45826" w:rsidP="0042130F">
      <w:pPr>
        <w:pStyle w:val="FootnoteText"/>
        <w:spacing w:before="0" w:line="240" w:lineRule="auto"/>
        <w:rPr>
          <w:rFonts w:asciiTheme="minorHAnsi" w:hAnsiTheme="minorHAnsi" w:cstheme="minorHAnsi"/>
          <w:szCs w:val="16"/>
        </w:rPr>
      </w:pPr>
      <w:r w:rsidRPr="00C35AE2">
        <w:rPr>
          <w:rStyle w:val="FootnoteReference"/>
          <w:rFonts w:asciiTheme="minorHAnsi" w:hAnsiTheme="minorHAnsi" w:cstheme="minorHAnsi"/>
          <w:szCs w:val="16"/>
        </w:rPr>
        <w:footnoteRef/>
      </w:r>
      <w:r w:rsidRPr="00C35AE2">
        <w:rPr>
          <w:rFonts w:asciiTheme="minorHAnsi" w:hAnsiTheme="minorHAnsi" w:cstheme="minorHAnsi"/>
          <w:szCs w:val="16"/>
        </w:rPr>
        <w:t xml:space="preserve"> The literature search employed variations of these words.</w:t>
      </w:r>
    </w:p>
  </w:footnote>
  <w:footnote w:id="4">
    <w:p w:rsidR="00B45826" w:rsidRPr="00D0621F" w:rsidRDefault="00B45826" w:rsidP="0042130F">
      <w:pPr>
        <w:spacing w:before="0" w:line="240" w:lineRule="auto"/>
        <w:rPr>
          <w:rFonts w:cs="Arial"/>
          <w:b/>
          <w:sz w:val="16"/>
          <w:szCs w:val="16"/>
        </w:rPr>
      </w:pPr>
      <w:r w:rsidRPr="00C35AE2">
        <w:rPr>
          <w:rStyle w:val="FootnoteReference"/>
          <w:rFonts w:asciiTheme="minorHAnsi" w:hAnsiTheme="minorHAnsi" w:cstheme="minorHAnsi"/>
          <w:szCs w:val="16"/>
        </w:rPr>
        <w:footnoteRef/>
      </w:r>
      <w:r w:rsidRPr="00C35AE2">
        <w:rPr>
          <w:rFonts w:asciiTheme="minorHAnsi" w:hAnsiTheme="minorHAnsi" w:cstheme="minorHAnsi"/>
          <w:sz w:val="20"/>
          <w:szCs w:val="16"/>
        </w:rPr>
        <w:t xml:space="preserve"> Literature for this age range was sought, where possible. In some cases, the original source categorised age ranges outside this (e.g. 18-30 years); where this occurred, this is indicated in the text.</w:t>
      </w:r>
    </w:p>
  </w:footnote>
  <w:footnote w:id="5">
    <w:p w:rsidR="00B45826" w:rsidRPr="00C35AE2" w:rsidRDefault="00B45826" w:rsidP="0042130F">
      <w:pPr>
        <w:pStyle w:val="FootnoteText"/>
        <w:spacing w:line="240" w:lineRule="auto"/>
        <w:rPr>
          <w:rFonts w:asciiTheme="minorHAnsi" w:hAnsiTheme="minorHAnsi" w:cstheme="minorHAnsi"/>
          <w:sz w:val="16"/>
          <w:szCs w:val="16"/>
        </w:rPr>
      </w:pPr>
      <w:r w:rsidRPr="00C35AE2">
        <w:rPr>
          <w:rStyle w:val="FootnoteReference"/>
          <w:rFonts w:asciiTheme="minorHAnsi" w:hAnsiTheme="minorHAnsi" w:cstheme="minorHAnsi"/>
          <w:szCs w:val="16"/>
        </w:rPr>
        <w:footnoteRef/>
      </w:r>
      <w:r w:rsidRPr="00C35AE2">
        <w:rPr>
          <w:rFonts w:asciiTheme="minorHAnsi" w:hAnsiTheme="minorHAnsi" w:cstheme="minorHAnsi"/>
          <w:szCs w:val="16"/>
        </w:rPr>
        <w:t xml:space="preserve"> It should be noted that some of the gambling rates are based on ‘past year’ gambling, whereas others relate to ‘lifetime’ or ‘last week’ gambling behaviour.</w:t>
      </w:r>
    </w:p>
  </w:footnote>
  <w:footnote w:id="6">
    <w:p w:rsidR="00B45826" w:rsidRPr="00C35AE2" w:rsidRDefault="00B45826" w:rsidP="0042130F">
      <w:pPr>
        <w:pStyle w:val="FootnoteText"/>
        <w:spacing w:line="240" w:lineRule="auto"/>
        <w:rPr>
          <w:rFonts w:asciiTheme="minorHAnsi" w:hAnsiTheme="minorHAnsi" w:cstheme="minorHAnsi"/>
          <w:sz w:val="16"/>
          <w:szCs w:val="16"/>
        </w:rPr>
      </w:pPr>
      <w:r w:rsidRPr="00C35AE2">
        <w:rPr>
          <w:rStyle w:val="FootnoteReference"/>
          <w:rFonts w:asciiTheme="minorHAnsi" w:hAnsiTheme="minorHAnsi" w:cstheme="minorHAnsi"/>
          <w:szCs w:val="16"/>
        </w:rPr>
        <w:footnoteRef/>
      </w:r>
      <w:r w:rsidRPr="00C35AE2">
        <w:rPr>
          <w:rFonts w:asciiTheme="minorHAnsi" w:hAnsiTheme="minorHAnsi" w:cstheme="minorHAnsi"/>
          <w:szCs w:val="16"/>
        </w:rPr>
        <w:t xml:space="preserve"> A range of screening instruments/tools have been utilised for the identification of problem gambling amongst young people. See Derevensky and Gupta (2006) and Blinn-Pike et al (2010) for further discussion of these.</w:t>
      </w:r>
    </w:p>
  </w:footnote>
  <w:footnote w:id="7">
    <w:p w:rsidR="00B45826" w:rsidRDefault="00B45826" w:rsidP="0042130F">
      <w:pPr>
        <w:pStyle w:val="FootnoteText"/>
        <w:spacing w:line="240" w:lineRule="auto"/>
      </w:pPr>
      <w:r>
        <w:rPr>
          <w:rStyle w:val="FootnoteReference"/>
        </w:rPr>
        <w:footnoteRef/>
      </w:r>
      <w:r>
        <w:t xml:space="preserve"> </w:t>
      </w:r>
      <w:r w:rsidRPr="00701FE0">
        <w:rPr>
          <w:rFonts w:asciiTheme="minorHAnsi" w:hAnsiTheme="minorHAnsi" w:cstheme="minorHAnsi"/>
        </w:rPr>
        <w:t xml:space="preserve">Fruit machines are a </w:t>
      </w:r>
      <w:r>
        <w:rPr>
          <w:rFonts w:asciiTheme="minorHAnsi" w:hAnsiTheme="minorHAnsi" w:cstheme="minorHAnsi"/>
        </w:rPr>
        <w:t>variant of an electronic</w:t>
      </w:r>
      <w:r w:rsidRPr="00701FE0">
        <w:rPr>
          <w:rFonts w:asciiTheme="minorHAnsi" w:hAnsiTheme="minorHAnsi" w:cstheme="minorHAnsi"/>
        </w:rPr>
        <w:t xml:space="preserve"> gambling machine</w:t>
      </w:r>
      <w:r>
        <w:rPr>
          <w:rFonts w:asciiTheme="minorHAnsi" w:hAnsiTheme="minorHAnsi" w:cstheme="minorHAnsi"/>
        </w:rPr>
        <w:t xml:space="preserve"> / pokie machine that is widely</w:t>
      </w:r>
      <w:r w:rsidRPr="00701FE0">
        <w:rPr>
          <w:rFonts w:asciiTheme="minorHAnsi" w:hAnsiTheme="minorHAnsi" w:cstheme="minorHAnsi"/>
        </w:rPr>
        <w:t xml:space="preserve"> available in the UK</w:t>
      </w:r>
      <w:r>
        <w:rPr>
          <w:rFonts w:asciiTheme="minorHAnsi" w:hAnsiTheme="minorHAnsi" w:cstheme="minorHAnsi"/>
        </w:rPr>
        <w:t xml:space="preserve">. </w:t>
      </w:r>
    </w:p>
  </w:footnote>
  <w:footnote w:id="8">
    <w:p w:rsidR="00B45826" w:rsidRPr="00C35AE2" w:rsidRDefault="00B45826" w:rsidP="0042130F">
      <w:pPr>
        <w:pStyle w:val="FootnoteText"/>
        <w:spacing w:line="240" w:lineRule="auto"/>
        <w:rPr>
          <w:rFonts w:asciiTheme="minorHAnsi" w:hAnsiTheme="minorHAnsi" w:cstheme="minorHAnsi"/>
          <w:szCs w:val="16"/>
        </w:rPr>
      </w:pPr>
      <w:r w:rsidRPr="00C35AE2">
        <w:rPr>
          <w:rStyle w:val="FootnoteReference"/>
          <w:rFonts w:asciiTheme="minorHAnsi" w:hAnsiTheme="minorHAnsi" w:cstheme="minorHAnsi"/>
          <w:szCs w:val="16"/>
        </w:rPr>
        <w:footnoteRef/>
      </w:r>
      <w:r w:rsidRPr="00C35AE2">
        <w:rPr>
          <w:rFonts w:asciiTheme="minorHAnsi" w:hAnsiTheme="minorHAnsi" w:cstheme="minorHAnsi"/>
          <w:szCs w:val="16"/>
        </w:rPr>
        <w:t xml:space="preserve"> The limitations of this study need to be acknowledged, including that it involved a small sample of problem gamblers drawn from a private school; thus generalisability to other populations is limited (Splevins et al, 2010). </w:t>
      </w:r>
    </w:p>
  </w:footnote>
  <w:footnote w:id="9">
    <w:p w:rsidR="00B45826" w:rsidRPr="00C35AE2" w:rsidRDefault="00B45826" w:rsidP="0042130F">
      <w:pPr>
        <w:pStyle w:val="FootnoteText"/>
        <w:spacing w:line="240" w:lineRule="auto"/>
        <w:rPr>
          <w:rFonts w:asciiTheme="minorHAnsi" w:hAnsiTheme="minorHAnsi" w:cstheme="minorHAnsi"/>
          <w:szCs w:val="16"/>
        </w:rPr>
      </w:pPr>
      <w:r w:rsidRPr="00C35AE2">
        <w:rPr>
          <w:rStyle w:val="FootnoteReference"/>
          <w:rFonts w:asciiTheme="minorHAnsi" w:hAnsiTheme="minorHAnsi" w:cstheme="minorHAnsi"/>
          <w:szCs w:val="16"/>
        </w:rPr>
        <w:footnoteRef/>
      </w:r>
      <w:r w:rsidRPr="00C35AE2">
        <w:rPr>
          <w:rFonts w:asciiTheme="minorHAnsi" w:hAnsiTheme="minorHAnsi" w:cstheme="minorHAnsi"/>
          <w:szCs w:val="16"/>
        </w:rPr>
        <w:t xml:space="preserve"> This included young adults aged 18-27 years, with the average age of respondents 22 years.</w:t>
      </w:r>
    </w:p>
  </w:footnote>
  <w:footnote w:id="10">
    <w:p w:rsidR="00B45826" w:rsidRPr="00FA53AF" w:rsidRDefault="00B45826" w:rsidP="0042130F">
      <w:pPr>
        <w:spacing w:line="240" w:lineRule="auto"/>
        <w:ind w:left="142"/>
        <w:rPr>
          <w:rFonts w:asciiTheme="minorHAnsi" w:hAnsiTheme="minorHAnsi" w:cstheme="minorHAnsi"/>
          <w:sz w:val="20"/>
          <w:szCs w:val="20"/>
        </w:rPr>
      </w:pPr>
      <w:r w:rsidRPr="00C35AE2">
        <w:rPr>
          <w:rStyle w:val="FootnoteReference"/>
          <w:rFonts w:asciiTheme="minorHAnsi" w:hAnsiTheme="minorHAnsi" w:cstheme="minorHAnsi"/>
        </w:rPr>
        <w:footnoteRef/>
      </w:r>
      <w:r w:rsidRPr="00C35AE2">
        <w:rPr>
          <w:rFonts w:asciiTheme="minorHAnsi" w:hAnsiTheme="minorHAnsi" w:cstheme="minorHAnsi"/>
          <w:sz w:val="20"/>
          <w:szCs w:val="20"/>
        </w:rPr>
        <w:t xml:space="preserve"> Rossen, F. V., Butler, R., &amp; Denny, S. (2011). </w:t>
      </w:r>
      <w:r w:rsidRPr="00C35AE2">
        <w:rPr>
          <w:rFonts w:asciiTheme="minorHAnsi" w:hAnsiTheme="minorHAnsi" w:cstheme="minorHAnsi"/>
          <w:i/>
          <w:sz w:val="20"/>
          <w:szCs w:val="20"/>
        </w:rPr>
        <w:t>An Exploration of Youth Participation in Gambling and the Impact of Problem Gambling on Young People in New Zealand.</w:t>
      </w:r>
      <w:r w:rsidRPr="00C35AE2">
        <w:rPr>
          <w:rFonts w:asciiTheme="minorHAnsi" w:hAnsiTheme="minorHAnsi" w:cstheme="minorHAnsi"/>
          <w:sz w:val="20"/>
          <w:szCs w:val="20"/>
        </w:rPr>
        <w:t xml:space="preserve"> Auckland: Centre for Gambling Studies, Auckland UniServices Limited, The University of Auckland (a report prepared for the Ministry of Health).</w:t>
      </w:r>
    </w:p>
  </w:footnote>
  <w:footnote w:id="11">
    <w:p w:rsidR="00B45826" w:rsidRPr="00C35AE2" w:rsidRDefault="00B45826" w:rsidP="0042130F">
      <w:pPr>
        <w:pStyle w:val="FootnoteText"/>
        <w:spacing w:line="240" w:lineRule="auto"/>
        <w:rPr>
          <w:rFonts w:asciiTheme="minorHAnsi" w:hAnsiTheme="minorHAnsi" w:cstheme="minorHAnsi"/>
        </w:rPr>
      </w:pPr>
      <w:r w:rsidRPr="00C35AE2">
        <w:rPr>
          <w:rStyle w:val="FootnoteReference"/>
          <w:rFonts w:asciiTheme="minorHAnsi" w:eastAsia="Calibri" w:hAnsiTheme="minorHAnsi" w:cstheme="minorHAnsi"/>
        </w:rPr>
        <w:footnoteRef/>
      </w:r>
      <w:r w:rsidRPr="00C35AE2">
        <w:rPr>
          <w:rFonts w:asciiTheme="minorHAnsi" w:hAnsiTheme="minorHAnsi" w:cstheme="minorHAnsi"/>
        </w:rPr>
        <w:t xml:space="preserve"> Single level one prioritized ethnicity for each student, which is based on the prioritization system developed by Statistics NZ using the following hierarchy: Māori &gt; Pacific &gt;Asian &gt;Other &gt;European. Statistics New Zealand (1996). Ethnicity - Standard Classification.</w:t>
      </w:r>
    </w:p>
  </w:footnote>
  <w:footnote w:id="12">
    <w:p w:rsidR="00B45826" w:rsidRDefault="00B45826" w:rsidP="0042130F">
      <w:pPr>
        <w:pStyle w:val="FootnoteText"/>
        <w:spacing w:line="240" w:lineRule="auto"/>
      </w:pPr>
      <w:r>
        <w:rPr>
          <w:rStyle w:val="FootnoteReference"/>
        </w:rPr>
        <w:footnoteRef/>
      </w:r>
      <w:r>
        <w:t xml:space="preserve"> </w:t>
      </w:r>
      <w:r w:rsidRPr="0040676B">
        <w:rPr>
          <w:rFonts w:asciiTheme="minorHAnsi" w:hAnsiTheme="minorHAnsi" w:cstheme="minorHAnsi"/>
        </w:rPr>
        <w:t>New Zealand Secondary Schools teach students from Year 9 (in which students are typically 12 years of age) to Year 13 (in which students are typically 18 years of age).</w:t>
      </w:r>
    </w:p>
  </w:footnote>
  <w:footnote w:id="13">
    <w:p w:rsidR="00B45826" w:rsidRDefault="00B45826">
      <w:pPr>
        <w:pStyle w:val="FootnoteText"/>
      </w:pPr>
      <w:r>
        <w:rPr>
          <w:rStyle w:val="FootnoteReference"/>
        </w:rPr>
        <w:footnoteRef/>
      </w:r>
      <w:r>
        <w:t xml:space="preserve"> </w:t>
      </w:r>
      <w:r w:rsidRPr="00B650E8">
        <w:rPr>
          <w:rFonts w:asciiTheme="minorHAnsi" w:hAnsiTheme="minorHAnsi"/>
        </w:rPr>
        <w:t>Years 14 and 15 are those students who are repeating Years 12 and 13</w:t>
      </w:r>
      <w:r>
        <w:rPr>
          <w:rFonts w:asciiTheme="minorHAnsi" w:hAnsiTheme="minorHAnsi"/>
        </w:rPr>
        <w:t>.</w:t>
      </w:r>
    </w:p>
  </w:footnote>
  <w:footnote w:id="14">
    <w:p w:rsidR="00B45826" w:rsidRDefault="00B45826" w:rsidP="00BA3BA9">
      <w:pPr>
        <w:pStyle w:val="FootnoteText"/>
        <w:spacing w:line="240" w:lineRule="auto"/>
      </w:pPr>
      <w:r w:rsidRPr="00ED34B7">
        <w:rPr>
          <w:rStyle w:val="FootnoteReference"/>
          <w:rFonts w:asciiTheme="minorHAnsi" w:hAnsiTheme="minorHAnsi" w:cstheme="minorHAnsi"/>
        </w:rPr>
        <w:footnoteRef/>
      </w:r>
      <w:r w:rsidRPr="00ED34B7">
        <w:rPr>
          <w:rFonts w:asciiTheme="minorHAnsi" w:hAnsiTheme="minorHAnsi" w:cstheme="minorHAnsi"/>
        </w:rPr>
        <w:t xml:space="preserve"> D</w:t>
      </w:r>
      <w:r>
        <w:rPr>
          <w:rFonts w:asciiTheme="minorHAnsi" w:hAnsiTheme="minorHAnsi" w:cstheme="minorHAnsi"/>
        </w:rPr>
        <w:t>ue to a technological</w:t>
      </w:r>
      <w:r w:rsidRPr="00ED34B7">
        <w:rPr>
          <w:rFonts w:asciiTheme="minorHAnsi" w:hAnsiTheme="minorHAnsi" w:cstheme="minorHAnsi"/>
        </w:rPr>
        <w:t xml:space="preserve"> error, </w:t>
      </w:r>
      <w:r>
        <w:rPr>
          <w:rFonts w:asciiTheme="minorHAnsi" w:hAnsiTheme="minorHAnsi" w:cstheme="minorHAnsi"/>
        </w:rPr>
        <w:t>this</w:t>
      </w:r>
      <w:r w:rsidRPr="00ED34B7">
        <w:rPr>
          <w:rFonts w:asciiTheme="minorHAnsi" w:hAnsiTheme="minorHAnsi" w:cstheme="minorHAnsi"/>
        </w:rPr>
        <w:t xml:space="preserve"> question </w:t>
      </w:r>
      <w:r>
        <w:rPr>
          <w:rFonts w:asciiTheme="minorHAnsi" w:hAnsiTheme="minorHAnsi" w:cstheme="minorHAnsi"/>
        </w:rPr>
        <w:t>(</w:t>
      </w:r>
      <w:r w:rsidRPr="009D71C8">
        <w:rPr>
          <w:rFonts w:asciiTheme="minorHAnsi" w:hAnsiTheme="minorHAnsi" w:cstheme="minorHAnsi"/>
        </w:rPr>
        <w:t>five indicators of problematic student gambling</w:t>
      </w:r>
      <w:r w:rsidRPr="00ED34B7">
        <w:rPr>
          <w:rFonts w:asciiTheme="minorHAnsi" w:hAnsiTheme="minorHAnsi" w:cstheme="minorHAnsi"/>
        </w:rPr>
        <w:t xml:space="preserve">) was inconsistently coded and </w:t>
      </w:r>
      <w:r>
        <w:rPr>
          <w:rFonts w:asciiTheme="minorHAnsi" w:hAnsiTheme="minorHAnsi" w:cstheme="minorHAnsi"/>
        </w:rPr>
        <w:t xml:space="preserve">subsequently </w:t>
      </w:r>
      <w:r w:rsidRPr="00ED34B7">
        <w:rPr>
          <w:rFonts w:asciiTheme="minorHAnsi" w:hAnsiTheme="minorHAnsi" w:cstheme="minorHAnsi"/>
        </w:rPr>
        <w:t>omitted from the questionnaire. As such, data relating to this item ha</w:t>
      </w:r>
      <w:r>
        <w:rPr>
          <w:rFonts w:asciiTheme="minorHAnsi" w:hAnsiTheme="minorHAnsi" w:cstheme="minorHAnsi"/>
        </w:rPr>
        <w:t>ve</w:t>
      </w:r>
      <w:r w:rsidRPr="00ED34B7">
        <w:rPr>
          <w:rFonts w:asciiTheme="minorHAnsi" w:hAnsiTheme="minorHAnsi" w:cstheme="minorHAnsi"/>
        </w:rPr>
        <w:t xml:space="preserve"> not been reported on or analysed.</w:t>
      </w:r>
      <w:r>
        <w:t xml:space="preserve"> </w:t>
      </w:r>
    </w:p>
  </w:footnote>
  <w:footnote w:id="15">
    <w:p w:rsidR="00B45826" w:rsidRPr="00BB3055" w:rsidRDefault="00B45826" w:rsidP="00BB3055">
      <w:pPr>
        <w:pStyle w:val="FootnoteText"/>
        <w:spacing w:line="240" w:lineRule="auto"/>
        <w:rPr>
          <w:rFonts w:asciiTheme="minorHAnsi" w:hAnsiTheme="minorHAnsi"/>
        </w:rPr>
      </w:pPr>
      <w:r w:rsidRPr="00BB3055">
        <w:rPr>
          <w:rStyle w:val="FootnoteReference"/>
          <w:rFonts w:asciiTheme="minorHAnsi" w:hAnsiTheme="minorHAnsi"/>
        </w:rPr>
        <w:footnoteRef/>
      </w:r>
      <w:r w:rsidRPr="00BB3055">
        <w:rPr>
          <w:rFonts w:asciiTheme="minorHAnsi" w:hAnsiTheme="minorHAnsi"/>
        </w:rPr>
        <w:t xml:space="preserve"> The legal age for gambling in New Zealand varies according to the specific activity: Instant Kiwi – 18 years of age; Casino  - 20 years of age; TAB betting – 18 years of age; Pub/Club EGMs - 18 years of age. There are currently no age limits on the following NZ Lotteries products: Lotto, Strike, Powerball and Big Wednesday. </w:t>
      </w:r>
    </w:p>
  </w:footnote>
  <w:footnote w:id="16">
    <w:p w:rsidR="00B45826" w:rsidRPr="008F363C" w:rsidRDefault="00B45826" w:rsidP="0042130F">
      <w:pPr>
        <w:spacing w:line="240" w:lineRule="auto"/>
        <w:rPr>
          <w:rFonts w:asciiTheme="minorHAnsi" w:hAnsiTheme="minorHAnsi" w:cstheme="minorHAnsi"/>
          <w:sz w:val="20"/>
          <w:szCs w:val="20"/>
        </w:rPr>
      </w:pPr>
      <w:r>
        <w:rPr>
          <w:rStyle w:val="FootnoteReference"/>
        </w:rPr>
        <w:footnoteRef/>
      </w:r>
      <w:r>
        <w:t xml:space="preserve"> </w:t>
      </w:r>
      <w:r>
        <w:rPr>
          <w:rFonts w:asciiTheme="minorHAnsi" w:hAnsiTheme="minorHAnsi" w:cstheme="minorHAnsi"/>
          <w:sz w:val="20"/>
          <w:szCs w:val="20"/>
        </w:rPr>
        <w:t>Significance testing accounted for age, sex, ethnicity, level of neighbourhood socioeconomic deprivation, and urban/rural setting. However, caution is required when interpreting these results</w:t>
      </w:r>
      <w:r w:rsidRPr="00C35AE2">
        <w:rPr>
          <w:rFonts w:asciiTheme="minorHAnsi" w:hAnsiTheme="minorHAnsi" w:cstheme="minorHAnsi"/>
          <w:sz w:val="20"/>
          <w:szCs w:val="20"/>
        </w:rPr>
        <w:t xml:space="preserve">. Differences in the branching design of the initial gambling items in Youth’07 and Youth’12 may have resulted in different sub-samples of students answering this question. </w:t>
      </w:r>
    </w:p>
  </w:footnote>
  <w:footnote w:id="17">
    <w:p w:rsidR="00B45826" w:rsidRPr="008F363C" w:rsidRDefault="00B45826" w:rsidP="0042130F">
      <w:pPr>
        <w:spacing w:line="240" w:lineRule="auto"/>
        <w:rPr>
          <w:rFonts w:asciiTheme="minorHAnsi" w:hAnsiTheme="minorHAnsi" w:cstheme="minorHAnsi"/>
          <w:sz w:val="20"/>
          <w:szCs w:val="20"/>
        </w:rPr>
      </w:pPr>
      <w:r w:rsidRPr="00C35AE2">
        <w:rPr>
          <w:rStyle w:val="FootnoteReference"/>
          <w:rFonts w:asciiTheme="minorHAnsi" w:hAnsiTheme="minorHAnsi" w:cstheme="minorHAnsi"/>
        </w:rPr>
        <w:footnoteRef/>
      </w:r>
      <w:r>
        <w:rPr>
          <w:rFonts w:asciiTheme="minorHAnsi" w:hAnsiTheme="minorHAnsi" w:cstheme="minorHAnsi"/>
          <w:sz w:val="20"/>
          <w:szCs w:val="20"/>
        </w:rPr>
        <w:t xml:space="preserve"> </w:t>
      </w:r>
      <w:r w:rsidRPr="00D5611D">
        <w:rPr>
          <w:rFonts w:asciiTheme="minorHAnsi" w:hAnsiTheme="minorHAnsi" w:cstheme="minorHAnsi"/>
          <w:sz w:val="20"/>
          <w:szCs w:val="20"/>
        </w:rPr>
        <w:t xml:space="preserve">Formal tests of significance to compare these items across the Youth’07 and Youth’12 </w:t>
      </w:r>
      <w:r>
        <w:rPr>
          <w:rFonts w:asciiTheme="minorHAnsi" w:hAnsiTheme="minorHAnsi" w:cstheme="minorHAnsi"/>
          <w:sz w:val="20"/>
          <w:szCs w:val="20"/>
        </w:rPr>
        <w:t xml:space="preserve">survey </w:t>
      </w:r>
      <w:r w:rsidRPr="00D5611D">
        <w:rPr>
          <w:rFonts w:asciiTheme="minorHAnsi" w:hAnsiTheme="minorHAnsi" w:cstheme="minorHAnsi"/>
          <w:sz w:val="20"/>
          <w:szCs w:val="20"/>
        </w:rPr>
        <w:t xml:space="preserve">waves were not carried out as differences </w:t>
      </w:r>
      <w:r w:rsidRPr="00C35AE2">
        <w:rPr>
          <w:rFonts w:asciiTheme="minorHAnsi" w:hAnsiTheme="minorHAnsi" w:cstheme="minorHAnsi"/>
          <w:sz w:val="20"/>
          <w:szCs w:val="20"/>
        </w:rPr>
        <w:t xml:space="preserve">in the branching design of the initial gambling items in Youth’07 and Youth’12 may have resulted in different sub-samples of students answering this question. Moreover, the Youth’12 survey included two response options </w:t>
      </w:r>
      <w:r>
        <w:rPr>
          <w:rFonts w:asciiTheme="minorHAnsi" w:hAnsiTheme="minorHAnsi" w:cstheme="minorHAnsi"/>
          <w:sz w:val="20"/>
          <w:szCs w:val="20"/>
        </w:rPr>
        <w:t>(“None of these” and “Because I am lonely”) that were not available in the Youth’07 survey</w:t>
      </w:r>
      <w:r w:rsidRPr="00C35AE2">
        <w:rPr>
          <w:rFonts w:asciiTheme="minorHAnsi" w:hAnsiTheme="minorHAnsi" w:cstheme="minorHAnsi"/>
          <w:sz w:val="20"/>
          <w:szCs w:val="20"/>
        </w:rPr>
        <w:t xml:space="preserve">. </w:t>
      </w:r>
      <w:r>
        <w:rPr>
          <w:rFonts w:asciiTheme="minorHAnsi" w:hAnsiTheme="minorHAnsi" w:cstheme="minorHAnsi"/>
          <w:sz w:val="20"/>
          <w:szCs w:val="20"/>
        </w:rPr>
        <w:t xml:space="preserve">As such, any apparent </w:t>
      </w:r>
      <w:r w:rsidRPr="00C35AE2">
        <w:rPr>
          <w:rFonts w:asciiTheme="minorHAnsi" w:hAnsiTheme="minorHAnsi" w:cstheme="minorHAnsi"/>
          <w:sz w:val="20"/>
          <w:szCs w:val="20"/>
        </w:rPr>
        <w:t xml:space="preserve">differences </w:t>
      </w:r>
      <w:r>
        <w:rPr>
          <w:rFonts w:asciiTheme="minorHAnsi" w:hAnsiTheme="minorHAnsi" w:cstheme="minorHAnsi"/>
          <w:sz w:val="20"/>
          <w:szCs w:val="20"/>
        </w:rPr>
        <w:t xml:space="preserve">between the two waves </w:t>
      </w:r>
      <w:r w:rsidRPr="00C35AE2">
        <w:rPr>
          <w:rFonts w:asciiTheme="minorHAnsi" w:hAnsiTheme="minorHAnsi" w:cstheme="minorHAnsi"/>
          <w:sz w:val="20"/>
          <w:szCs w:val="20"/>
        </w:rPr>
        <w:t>should be treated with caution.</w:t>
      </w:r>
    </w:p>
  </w:footnote>
  <w:footnote w:id="18">
    <w:p w:rsidR="00B45826" w:rsidRPr="009C5209" w:rsidRDefault="00B45826" w:rsidP="0042130F">
      <w:pPr>
        <w:spacing w:line="240" w:lineRule="auto"/>
        <w:ind w:left="142"/>
        <w:rPr>
          <w:rFonts w:asciiTheme="minorHAnsi" w:hAnsiTheme="minorHAnsi" w:cstheme="minorHAnsi"/>
          <w:sz w:val="20"/>
          <w:szCs w:val="20"/>
        </w:rPr>
      </w:pPr>
      <w:r>
        <w:rPr>
          <w:rStyle w:val="FootnoteReference"/>
        </w:rPr>
        <w:footnoteRef/>
      </w:r>
      <w:r>
        <w:t xml:space="preserve"> </w:t>
      </w:r>
      <w:r w:rsidRPr="006A565F">
        <w:rPr>
          <w:rFonts w:asciiTheme="minorHAnsi" w:hAnsiTheme="minorHAnsi" w:cstheme="minorHAnsi"/>
          <w:sz w:val="20"/>
          <w:szCs w:val="20"/>
        </w:rPr>
        <w:t>The authors would like to acknowledge the</w:t>
      </w:r>
      <w:r>
        <w:rPr>
          <w:rFonts w:asciiTheme="minorHAnsi" w:hAnsiTheme="minorHAnsi" w:cstheme="minorHAnsi"/>
          <w:sz w:val="20"/>
          <w:szCs w:val="20"/>
        </w:rPr>
        <w:t xml:space="preserve"> expertise and significant input of Dr Simon Denny in the Youth’07 gambling IRT analyses and the development of a framework to measure an underlying continuum of ‘unhealthy’ gambling behaviour. These analyses have been integral in this subsequent analysis of Youht’12 data.</w:t>
      </w:r>
    </w:p>
  </w:footnote>
  <w:footnote w:id="19">
    <w:p w:rsidR="00B45826" w:rsidRPr="009C5209" w:rsidRDefault="00B45826" w:rsidP="0042130F">
      <w:pPr>
        <w:spacing w:line="240" w:lineRule="auto"/>
        <w:ind w:left="142"/>
        <w:rPr>
          <w:rFonts w:asciiTheme="minorHAnsi" w:hAnsiTheme="minorHAnsi" w:cstheme="minorHAnsi"/>
          <w:sz w:val="20"/>
          <w:szCs w:val="20"/>
        </w:rPr>
      </w:pPr>
      <w:r>
        <w:rPr>
          <w:rStyle w:val="FootnoteReference"/>
        </w:rPr>
        <w:footnoteRef/>
      </w:r>
      <w:r>
        <w:t xml:space="preserve"> </w:t>
      </w:r>
      <w:r w:rsidRPr="009C5209">
        <w:rPr>
          <w:rFonts w:asciiTheme="minorHAnsi" w:hAnsiTheme="minorHAnsi" w:cstheme="minorHAnsi"/>
          <w:sz w:val="20"/>
          <w:szCs w:val="20"/>
        </w:rPr>
        <w:t>For a full discussion of the IRT analysis undertaken with the Youth’07 gambling data see the report:</w:t>
      </w:r>
      <w:r>
        <w:t xml:space="preserve"> </w:t>
      </w:r>
      <w:r w:rsidRPr="00C35AE2">
        <w:rPr>
          <w:rFonts w:asciiTheme="minorHAnsi" w:hAnsiTheme="minorHAnsi" w:cstheme="minorHAnsi"/>
          <w:sz w:val="20"/>
          <w:szCs w:val="20"/>
        </w:rPr>
        <w:t xml:space="preserve">Rossen, F. V., Butler, R., &amp; Denny, S. (2011). </w:t>
      </w:r>
      <w:r w:rsidRPr="00C35AE2">
        <w:rPr>
          <w:rFonts w:asciiTheme="minorHAnsi" w:hAnsiTheme="minorHAnsi" w:cstheme="minorHAnsi"/>
          <w:i/>
          <w:sz w:val="20"/>
          <w:szCs w:val="20"/>
        </w:rPr>
        <w:t>An Exploration of Youth Participation in Gambling and the Impact of Problem Gambling on Young People in New Zealand.</w:t>
      </w:r>
      <w:r w:rsidRPr="00C35AE2">
        <w:rPr>
          <w:rFonts w:asciiTheme="minorHAnsi" w:hAnsiTheme="minorHAnsi" w:cstheme="minorHAnsi"/>
          <w:sz w:val="20"/>
          <w:szCs w:val="20"/>
        </w:rPr>
        <w:t xml:space="preserve"> Auckland: Centre for Gambling Studies, Auckland UniServices Limited, The University of Auckland (a report prepared for the Ministry of Health).</w:t>
      </w:r>
    </w:p>
  </w:footnote>
  <w:footnote w:id="20">
    <w:p w:rsidR="00B45826" w:rsidRPr="00F407DD" w:rsidRDefault="00B45826" w:rsidP="0042130F">
      <w:pPr>
        <w:pStyle w:val="FootnoteText"/>
        <w:spacing w:line="240" w:lineRule="auto"/>
        <w:rPr>
          <w:rFonts w:asciiTheme="minorHAnsi" w:hAnsiTheme="minorHAnsi" w:cstheme="minorHAnsi"/>
        </w:rPr>
      </w:pPr>
      <w:r w:rsidRPr="00F407DD">
        <w:rPr>
          <w:rStyle w:val="FootnoteReference"/>
          <w:rFonts w:asciiTheme="minorHAnsi" w:hAnsiTheme="minorHAnsi" w:cstheme="minorHAnsi"/>
        </w:rPr>
        <w:footnoteRef/>
      </w:r>
      <w:r w:rsidRPr="00F407DD">
        <w:rPr>
          <w:rFonts w:asciiTheme="minorHAnsi" w:hAnsiTheme="minorHAnsi" w:cstheme="minorHAnsi"/>
        </w:rPr>
        <w:t xml:space="preserve"> Based on the Statistics New Zealand ethnicity prioritisation method (Lang, 2002), i.e. the method used consistently throughout this report. For total ethnic reporting, 6,250 students were categorised as New Zealand European and </w:t>
      </w:r>
      <w:r>
        <w:rPr>
          <w:rFonts w:asciiTheme="minorHAnsi" w:hAnsiTheme="minorHAnsi" w:cstheme="minorHAnsi"/>
        </w:rPr>
        <w:t>1,701</w:t>
      </w:r>
      <w:r w:rsidRPr="00F407DD">
        <w:rPr>
          <w:rFonts w:asciiTheme="minorHAnsi" w:hAnsiTheme="minorHAnsi" w:cstheme="minorHAnsi"/>
        </w:rPr>
        <w:t xml:space="preserve"> student</w:t>
      </w:r>
      <w:r>
        <w:rPr>
          <w:rFonts w:asciiTheme="minorHAnsi" w:hAnsiTheme="minorHAnsi" w:cstheme="minorHAnsi"/>
        </w:rPr>
        <w:t>s were categorised as Māori.</w:t>
      </w:r>
    </w:p>
  </w:footnote>
  <w:footnote w:id="21">
    <w:p w:rsidR="00B45826" w:rsidRDefault="00B45826" w:rsidP="0042130F">
      <w:pPr>
        <w:pStyle w:val="FootnoteText"/>
        <w:spacing w:line="240" w:lineRule="auto"/>
      </w:pPr>
      <w:r>
        <w:rPr>
          <w:rStyle w:val="FootnoteReference"/>
        </w:rPr>
        <w:footnoteRef/>
      </w:r>
      <w:r>
        <w:t xml:space="preserve"> </w:t>
      </w:r>
      <w:r w:rsidRPr="00F407DD">
        <w:rPr>
          <w:rFonts w:asciiTheme="minorHAnsi" w:hAnsiTheme="minorHAnsi" w:cstheme="minorHAnsi"/>
        </w:rPr>
        <w:t xml:space="preserve">Based on the Statistics New Zealand ethnicity prioritisation method (Lang, 2002), i.e. the method used consistently throughout this report. For total ethnic reporting, 6,250 students were categorised as New Zealand European and </w:t>
      </w:r>
      <w:r>
        <w:rPr>
          <w:rFonts w:asciiTheme="minorHAnsi" w:hAnsiTheme="minorHAnsi" w:cstheme="minorHAnsi"/>
        </w:rPr>
        <w:t>1,445</w:t>
      </w:r>
      <w:r w:rsidRPr="00F407DD">
        <w:rPr>
          <w:rFonts w:asciiTheme="minorHAnsi" w:hAnsiTheme="minorHAnsi" w:cstheme="minorHAnsi"/>
        </w:rPr>
        <w:t xml:space="preserve"> student</w:t>
      </w:r>
      <w:r>
        <w:rPr>
          <w:rFonts w:asciiTheme="minorHAnsi" w:hAnsiTheme="minorHAnsi" w:cstheme="minorHAnsi"/>
        </w:rPr>
        <w:t>s were categorised as Pacific.</w:t>
      </w:r>
    </w:p>
  </w:footnote>
  <w:footnote w:id="22">
    <w:p w:rsidR="00B45826" w:rsidRDefault="00B45826" w:rsidP="0042130F">
      <w:pPr>
        <w:pStyle w:val="FootnoteText"/>
        <w:spacing w:line="240" w:lineRule="auto"/>
      </w:pPr>
      <w:r>
        <w:rPr>
          <w:rStyle w:val="FootnoteReference"/>
        </w:rPr>
        <w:footnoteRef/>
      </w:r>
      <w:r>
        <w:t xml:space="preserve"> </w:t>
      </w:r>
      <w:r w:rsidRPr="00F407DD">
        <w:rPr>
          <w:rFonts w:asciiTheme="minorHAnsi" w:hAnsiTheme="minorHAnsi" w:cstheme="minorHAnsi"/>
        </w:rPr>
        <w:t xml:space="preserve">Based on the Statistics New Zealand ethnicity prioritisation method (Lang, 2002), i.e. the method used consistently throughout this report. For total ethnic reporting, 6,250 students were categorised as New Zealand European and </w:t>
      </w:r>
      <w:r>
        <w:rPr>
          <w:rFonts w:asciiTheme="minorHAnsi" w:hAnsiTheme="minorHAnsi" w:cstheme="minorHAnsi"/>
        </w:rPr>
        <w:t>1,293</w:t>
      </w:r>
      <w:r w:rsidRPr="00F407DD">
        <w:rPr>
          <w:rFonts w:asciiTheme="minorHAnsi" w:hAnsiTheme="minorHAnsi" w:cstheme="minorHAnsi"/>
        </w:rPr>
        <w:t xml:space="preserve"> student</w:t>
      </w:r>
      <w:r>
        <w:rPr>
          <w:rFonts w:asciiTheme="minorHAnsi" w:hAnsiTheme="minorHAnsi" w:cstheme="minorHAnsi"/>
        </w:rPr>
        <w:t>s were categorised as Asian.</w:t>
      </w:r>
    </w:p>
  </w:footnote>
  <w:footnote w:id="23">
    <w:p w:rsidR="00B45826" w:rsidRPr="00584A3D" w:rsidRDefault="00B45826" w:rsidP="0042130F">
      <w:pPr>
        <w:pStyle w:val="FootnoteText"/>
        <w:spacing w:line="240" w:lineRule="auto"/>
        <w:rPr>
          <w:rFonts w:asciiTheme="minorHAnsi" w:hAnsiTheme="minorHAnsi" w:cstheme="minorHAnsi"/>
        </w:rPr>
      </w:pPr>
      <w:r>
        <w:rPr>
          <w:rStyle w:val="FootnoteReference"/>
        </w:rPr>
        <w:footnoteRef/>
      </w:r>
      <w:r>
        <w:t xml:space="preserve"> </w:t>
      </w:r>
      <w:r w:rsidRPr="00C35AE2">
        <w:rPr>
          <w:rFonts w:asciiTheme="minorHAnsi" w:hAnsiTheme="minorHAnsi" w:cstheme="minorHAnsi"/>
        </w:rPr>
        <w:t xml:space="preserve">NB: </w:t>
      </w:r>
      <w:r>
        <w:rPr>
          <w:rFonts w:asciiTheme="minorHAnsi" w:hAnsiTheme="minorHAnsi" w:cstheme="minorHAnsi"/>
        </w:rPr>
        <w:t>Formal tests of significance to compare these items across the Youth’07 and Youth’12 waves were not carried out as d</w:t>
      </w:r>
      <w:r w:rsidRPr="00C35AE2">
        <w:rPr>
          <w:rFonts w:asciiTheme="minorHAnsi" w:hAnsiTheme="minorHAnsi" w:cstheme="minorHAnsi"/>
        </w:rPr>
        <w:t>ifferences in the branching design of the initial gambling items in Youth’07 and Youth’12 may have resulted in different sub-s</w:t>
      </w:r>
      <w:r>
        <w:rPr>
          <w:rFonts w:asciiTheme="minorHAnsi" w:hAnsiTheme="minorHAnsi" w:cstheme="minorHAnsi"/>
        </w:rPr>
        <w:t>amples of students answering the</w:t>
      </w:r>
      <w:r w:rsidRPr="00C35AE2">
        <w:rPr>
          <w:rFonts w:asciiTheme="minorHAnsi" w:hAnsiTheme="minorHAnsi" w:cstheme="minorHAnsi"/>
        </w:rPr>
        <w:t>s</w:t>
      </w:r>
      <w:r>
        <w:rPr>
          <w:rFonts w:asciiTheme="minorHAnsi" w:hAnsiTheme="minorHAnsi" w:cstheme="minorHAnsi"/>
        </w:rPr>
        <w:t>e</w:t>
      </w:r>
      <w:r w:rsidRPr="00C35AE2">
        <w:rPr>
          <w:rFonts w:asciiTheme="minorHAnsi" w:hAnsiTheme="minorHAnsi" w:cstheme="minorHAnsi"/>
        </w:rPr>
        <w:t xml:space="preserve"> </w:t>
      </w:r>
      <w:r>
        <w:rPr>
          <w:rFonts w:asciiTheme="minorHAnsi" w:hAnsiTheme="minorHAnsi" w:cstheme="minorHAnsi"/>
        </w:rPr>
        <w:t>items</w:t>
      </w:r>
      <w:r w:rsidRPr="00C35AE2">
        <w:rPr>
          <w:rFonts w:asciiTheme="minorHAnsi" w:hAnsiTheme="minorHAnsi" w:cstheme="minorHAnsi"/>
        </w:rPr>
        <w:t>.</w:t>
      </w:r>
      <w:r>
        <w:rPr>
          <w:rFonts w:asciiTheme="minorHAnsi" w:hAnsiTheme="minorHAnsi" w:cstheme="minorHAnsi"/>
        </w:rPr>
        <w:t xml:space="preserve"> Any comparisons of this item across the two survey waves must be treated with a degree of caution. </w:t>
      </w:r>
    </w:p>
  </w:footnote>
  <w:footnote w:id="24">
    <w:p w:rsidR="00B45826" w:rsidRPr="00BB3055" w:rsidRDefault="00B45826" w:rsidP="00273C0F">
      <w:pPr>
        <w:pStyle w:val="FootnoteText"/>
        <w:spacing w:line="276" w:lineRule="auto"/>
        <w:rPr>
          <w:rFonts w:asciiTheme="minorHAnsi" w:hAnsiTheme="minorHAnsi" w:cs="Arial"/>
        </w:rPr>
      </w:pPr>
      <w:r w:rsidRPr="00BB3055">
        <w:rPr>
          <w:rStyle w:val="FootnoteReference"/>
          <w:rFonts w:asciiTheme="minorHAnsi" w:hAnsiTheme="minorHAnsi" w:cs="Arial"/>
        </w:rPr>
        <w:footnoteRef/>
      </w:r>
      <w:r w:rsidRPr="00BB3055">
        <w:rPr>
          <w:rFonts w:asciiTheme="minorHAnsi" w:hAnsiTheme="minorHAnsi" w:cs="Arial"/>
        </w:rPr>
        <w:t xml:space="preserve"> These were all school-based initiatives: one involved a video and lecture presentations; another </w:t>
      </w:r>
      <w:r>
        <w:rPr>
          <w:rFonts w:asciiTheme="minorHAnsi" w:hAnsiTheme="minorHAnsi" w:cs="Arial"/>
        </w:rPr>
        <w:t xml:space="preserve">was </w:t>
      </w:r>
      <w:r w:rsidRPr="00BB3055">
        <w:rPr>
          <w:rFonts w:asciiTheme="minorHAnsi" w:hAnsiTheme="minorHAnsi" w:cs="Arial"/>
        </w:rPr>
        <w:t>comprised of three 75-minute sessions which were followed up six months later; and, the third was a 45-minute programme consisting of a lecture, discussion, and activities. Evaluations of the initiatives showed mixed results (see Blinn-Pike et al (2010) for a</w:t>
      </w:r>
      <w:r>
        <w:rPr>
          <w:rFonts w:asciiTheme="minorHAnsi" w:hAnsiTheme="minorHAnsi" w:cs="Arial"/>
        </w:rPr>
        <w:t xml:space="preserve">n in-depth </w:t>
      </w:r>
      <w:r w:rsidRPr="00BB3055">
        <w:rPr>
          <w:rFonts w:asciiTheme="minorHAnsi" w:hAnsiTheme="minorHAnsi" w:cs="Arial"/>
        </w:rPr>
        <w:t>discussion).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26" w:rsidRDefault="00B458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5826" w:rsidRDefault="00B45826">
    <w:pPr>
      <w:pStyle w:val="Header"/>
      <w:ind w:right="360"/>
    </w:pPr>
  </w:p>
  <w:p w:rsidR="00B45826" w:rsidRDefault="00B45826"/>
  <w:p w:rsidR="00B45826" w:rsidRDefault="00B458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26" w:rsidRDefault="00B45826">
    <w:pPr>
      <w:pStyle w:val="Header"/>
      <w:framePr w:wrap="around" w:vAnchor="text" w:hAnchor="margin" w:xAlign="right" w:y="1"/>
      <w:rPr>
        <w:rStyle w:val="PageNumber"/>
      </w:rPr>
    </w:pPr>
  </w:p>
  <w:p w:rsidR="00B45826" w:rsidRDefault="00B45826" w:rsidP="002871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26" w:rsidRDefault="00B458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26" w:rsidRDefault="00B45826">
    <w:pPr>
      <w:pStyle w:val="Header"/>
      <w:framePr w:wrap="around" w:vAnchor="text" w:hAnchor="margin" w:xAlign="right" w:y="1"/>
      <w:rPr>
        <w:rStyle w:val="PageNumber"/>
      </w:rPr>
    </w:pPr>
  </w:p>
  <w:p w:rsidR="00B45826" w:rsidRDefault="00B45826" w:rsidP="0042130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26" w:rsidRDefault="00B458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20F23B9"/>
    <w:multiLevelType w:val="hybridMultilevel"/>
    <w:tmpl w:val="5114FBF8"/>
    <w:lvl w:ilvl="0" w:tplc="D7B26976">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5ED05B7"/>
    <w:multiLevelType w:val="multilevel"/>
    <w:tmpl w:val="EE96A186"/>
    <w:lvl w:ilvl="0">
      <w:start w:val="1"/>
      <w:numFmt w:val="decimal"/>
      <w:pStyle w:val="bulletnumbered"/>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F4F7FF2"/>
    <w:multiLevelType w:val="hybridMultilevel"/>
    <w:tmpl w:val="644ACC6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1064A6E"/>
    <w:multiLevelType w:val="hybridMultilevel"/>
    <w:tmpl w:val="A6A491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8D081468">
      <w:numFmt w:val="bullet"/>
      <w:lvlText w:val="-"/>
      <w:lvlJc w:val="left"/>
      <w:pPr>
        <w:ind w:left="2160" w:hanging="360"/>
      </w:pPr>
      <w:rPr>
        <w:rFonts w:ascii="Calibri" w:eastAsia="Calibri" w:hAnsi="Calibri" w:cs="Calibri"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7EC73AE"/>
    <w:multiLevelType w:val="hybridMultilevel"/>
    <w:tmpl w:val="76203D5E"/>
    <w:lvl w:ilvl="0" w:tplc="453ECF3C">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ADA53F8"/>
    <w:multiLevelType w:val="multilevel"/>
    <w:tmpl w:val="2510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6A47B0"/>
    <w:multiLevelType w:val="hybridMultilevel"/>
    <w:tmpl w:val="4EDEFE8A"/>
    <w:lvl w:ilvl="0" w:tplc="BDE6DB8E">
      <w:start w:val="1"/>
      <w:numFmt w:val="decimal"/>
      <w:pStyle w:val="Subhead4b"/>
      <w:lvlText w:val="4.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2C085B28"/>
    <w:multiLevelType w:val="hybridMultilevel"/>
    <w:tmpl w:val="8A6E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806060"/>
    <w:multiLevelType w:val="hybridMultilevel"/>
    <w:tmpl w:val="31D0759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30D45FAA"/>
    <w:multiLevelType w:val="hybridMultilevel"/>
    <w:tmpl w:val="7C565458"/>
    <w:lvl w:ilvl="0" w:tplc="F3B642F0">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nsid w:val="32180CE6"/>
    <w:multiLevelType w:val="hybridMultilevel"/>
    <w:tmpl w:val="D80CDC1E"/>
    <w:lvl w:ilvl="0" w:tplc="67F22E7C">
      <w:start w:val="1"/>
      <w:numFmt w:val="decimal"/>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1">
    <w:nsid w:val="38780B3A"/>
    <w:multiLevelType w:val="hybridMultilevel"/>
    <w:tmpl w:val="D4CC2070"/>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395C4641"/>
    <w:multiLevelType w:val="hybridMultilevel"/>
    <w:tmpl w:val="45A8B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C735618"/>
    <w:multiLevelType w:val="hybridMultilevel"/>
    <w:tmpl w:val="1AA82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F8A3FCE"/>
    <w:multiLevelType w:val="hybridMultilevel"/>
    <w:tmpl w:val="5A5C0BE0"/>
    <w:lvl w:ilvl="0" w:tplc="C53C2ECA">
      <w:start w:val="2"/>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0AC4E36"/>
    <w:multiLevelType w:val="hybridMultilevel"/>
    <w:tmpl w:val="8DBAA616"/>
    <w:lvl w:ilvl="0" w:tplc="343648B4">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3345B98"/>
    <w:multiLevelType w:val="hybridMultilevel"/>
    <w:tmpl w:val="520ABA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44EB2885"/>
    <w:multiLevelType w:val="hybridMultilevel"/>
    <w:tmpl w:val="7C565458"/>
    <w:lvl w:ilvl="0" w:tplc="F3B642F0">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nsid w:val="45FE6C4F"/>
    <w:multiLevelType w:val="multilevel"/>
    <w:tmpl w:val="C3CCF7BC"/>
    <w:lvl w:ilvl="0">
      <w:start w:val="1"/>
      <w:numFmt w:val="decimal"/>
      <w:pStyle w:val="Heading1"/>
      <w:lvlText w:val="%1."/>
      <w:lvlJc w:val="left"/>
      <w:pPr>
        <w:ind w:left="360" w:hanging="360"/>
      </w:pPr>
      <w:rPr>
        <w:rFonts w:hint="default"/>
      </w:rPr>
    </w:lvl>
    <w:lvl w:ilvl="1">
      <w:start w:val="6"/>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9">
    <w:nsid w:val="47DA4C47"/>
    <w:multiLevelType w:val="hybridMultilevel"/>
    <w:tmpl w:val="869A4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87A25F4"/>
    <w:multiLevelType w:val="hybridMultilevel"/>
    <w:tmpl w:val="3CD07D0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49C3026E"/>
    <w:multiLevelType w:val="multilevel"/>
    <w:tmpl w:val="052222EC"/>
    <w:lvl w:ilvl="0">
      <w:start w:val="1"/>
      <w:numFmt w:val="decimal"/>
      <w:pStyle w:val="StyleHeading114pt"/>
      <w:lvlText w:val="%1."/>
      <w:lvlJc w:val="left"/>
      <w:pPr>
        <w:tabs>
          <w:tab w:val="num" w:pos="359"/>
        </w:tabs>
        <w:ind w:left="359" w:hanging="360"/>
      </w:pPr>
      <w:rPr>
        <w:rFonts w:cs="Times New Roman" w:hint="default"/>
      </w:rPr>
    </w:lvl>
    <w:lvl w:ilvl="1">
      <w:start w:val="1"/>
      <w:numFmt w:val="decimal"/>
      <w:pStyle w:val="StyleHeading212pt"/>
      <w:lvlText w:val="%1.%2"/>
      <w:lvlJc w:val="left"/>
      <w:pPr>
        <w:tabs>
          <w:tab w:val="num" w:pos="967"/>
        </w:tabs>
        <w:ind w:left="679" w:hanging="679"/>
      </w:pPr>
      <w:rPr>
        <w:rFonts w:cs="Times New Roman" w:hint="default"/>
      </w:rPr>
    </w:lvl>
    <w:lvl w:ilvl="2">
      <w:start w:val="1"/>
      <w:numFmt w:val="decimal"/>
      <w:pStyle w:val="StyleHeading3Left02cmFirstline0cm"/>
      <w:lvlText w:val="%1.%2.%3"/>
      <w:lvlJc w:val="left"/>
      <w:pPr>
        <w:tabs>
          <w:tab w:val="num" w:pos="4199"/>
        </w:tabs>
        <w:ind w:left="3623" w:hanging="504"/>
      </w:pPr>
      <w:rPr>
        <w:rFonts w:cs="Times New Roman" w:hint="default"/>
      </w:rPr>
    </w:lvl>
    <w:lvl w:ilvl="3">
      <w:start w:val="1"/>
      <w:numFmt w:val="decimal"/>
      <w:lvlText w:val="%1.%2.%3.%4."/>
      <w:lvlJc w:val="left"/>
      <w:pPr>
        <w:tabs>
          <w:tab w:val="num" w:pos="2159"/>
        </w:tabs>
        <w:ind w:left="1727" w:hanging="648"/>
      </w:pPr>
      <w:rPr>
        <w:rFonts w:cs="Times New Roman" w:hint="default"/>
      </w:rPr>
    </w:lvl>
    <w:lvl w:ilvl="4">
      <w:start w:val="1"/>
      <w:numFmt w:val="decimal"/>
      <w:lvlText w:val="%1.%2.%3.%4.%5."/>
      <w:lvlJc w:val="left"/>
      <w:pPr>
        <w:tabs>
          <w:tab w:val="num" w:pos="2879"/>
        </w:tabs>
        <w:ind w:left="2231" w:hanging="792"/>
      </w:pPr>
      <w:rPr>
        <w:rFonts w:cs="Times New Roman" w:hint="default"/>
      </w:rPr>
    </w:lvl>
    <w:lvl w:ilvl="5">
      <w:start w:val="1"/>
      <w:numFmt w:val="decimal"/>
      <w:lvlText w:val="%1.%2.%3.%4.%5.%6."/>
      <w:lvlJc w:val="left"/>
      <w:pPr>
        <w:tabs>
          <w:tab w:val="num" w:pos="3599"/>
        </w:tabs>
        <w:ind w:left="2735" w:hanging="936"/>
      </w:pPr>
      <w:rPr>
        <w:rFonts w:cs="Times New Roman" w:hint="default"/>
      </w:rPr>
    </w:lvl>
    <w:lvl w:ilvl="6">
      <w:start w:val="1"/>
      <w:numFmt w:val="decimal"/>
      <w:lvlText w:val="%1.%2.%3.%4.%5.%6.%7."/>
      <w:lvlJc w:val="left"/>
      <w:pPr>
        <w:tabs>
          <w:tab w:val="num" w:pos="4319"/>
        </w:tabs>
        <w:ind w:left="3239" w:hanging="1080"/>
      </w:pPr>
      <w:rPr>
        <w:rFonts w:cs="Times New Roman" w:hint="default"/>
      </w:rPr>
    </w:lvl>
    <w:lvl w:ilvl="7">
      <w:start w:val="1"/>
      <w:numFmt w:val="decimal"/>
      <w:lvlText w:val="%1.%2.%3.%4.%5.%6.%7.%8."/>
      <w:lvlJc w:val="left"/>
      <w:pPr>
        <w:tabs>
          <w:tab w:val="num" w:pos="4679"/>
        </w:tabs>
        <w:ind w:left="3743" w:hanging="1224"/>
      </w:pPr>
      <w:rPr>
        <w:rFonts w:cs="Times New Roman" w:hint="default"/>
      </w:rPr>
    </w:lvl>
    <w:lvl w:ilvl="8">
      <w:start w:val="1"/>
      <w:numFmt w:val="decimal"/>
      <w:lvlText w:val="%1.%2.%3.%4.%5.%6.%7.%8.%9."/>
      <w:lvlJc w:val="left"/>
      <w:pPr>
        <w:tabs>
          <w:tab w:val="num" w:pos="5399"/>
        </w:tabs>
        <w:ind w:left="4319" w:hanging="1440"/>
      </w:pPr>
      <w:rPr>
        <w:rFonts w:cs="Times New Roman" w:hint="default"/>
      </w:rPr>
    </w:lvl>
  </w:abstractNum>
  <w:abstractNum w:abstractNumId="22">
    <w:nsid w:val="4B8158FA"/>
    <w:multiLevelType w:val="hybridMultilevel"/>
    <w:tmpl w:val="A6A21ABE"/>
    <w:lvl w:ilvl="0" w:tplc="A392B8C0">
      <w:start w:val="1"/>
      <w:numFmt w:val="upperLetter"/>
      <w:pStyle w:val="FionasAppendixtitles"/>
      <w:lvlText w:val="Appendix %1"/>
      <w:lvlJc w:val="right"/>
      <w:pPr>
        <w:ind w:left="360" w:hanging="360"/>
      </w:pPr>
      <w:rPr>
        <w:rFonts w:ascii="Arial Bold" w:hAnsi="Arial Bold" w:hint="default"/>
        <w:b/>
        <w:i w:val="0"/>
        <w:strike w:val="0"/>
        <w:dstrike w:val="0"/>
        <w:color w:val="244061" w:themeColor="accent1" w:themeShade="80"/>
        <w:sz w:val="22"/>
        <w:vertAlign w:val="baseline"/>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4C6C10F3"/>
    <w:multiLevelType w:val="hybridMultilevel"/>
    <w:tmpl w:val="E3A267D0"/>
    <w:lvl w:ilvl="0" w:tplc="EF008252">
      <w:start w:val="1"/>
      <w:numFmt w:val="bullet"/>
      <w:lvlText w:val="•"/>
      <w:lvlJc w:val="left"/>
      <w:pPr>
        <w:tabs>
          <w:tab w:val="num" w:pos="720"/>
        </w:tabs>
        <w:ind w:left="720" w:hanging="360"/>
      </w:pPr>
      <w:rPr>
        <w:rFonts w:ascii="Times New Roman" w:hAnsi="Times New Roman" w:hint="default"/>
      </w:rPr>
    </w:lvl>
    <w:lvl w:ilvl="1" w:tplc="FDE4DCD0">
      <w:start w:val="2396"/>
      <w:numFmt w:val="bullet"/>
      <w:lvlText w:val="•"/>
      <w:lvlJc w:val="left"/>
      <w:pPr>
        <w:tabs>
          <w:tab w:val="num" w:pos="1440"/>
        </w:tabs>
        <w:ind w:left="1440" w:hanging="360"/>
      </w:pPr>
      <w:rPr>
        <w:rFonts w:ascii="Times New Roman" w:hAnsi="Times New Roman" w:hint="default"/>
      </w:rPr>
    </w:lvl>
    <w:lvl w:ilvl="2" w:tplc="D38E877E">
      <w:start w:val="2396"/>
      <w:numFmt w:val="bullet"/>
      <w:lvlText w:val="•"/>
      <w:lvlJc w:val="left"/>
      <w:pPr>
        <w:tabs>
          <w:tab w:val="num" w:pos="2160"/>
        </w:tabs>
        <w:ind w:left="2160" w:hanging="360"/>
      </w:pPr>
      <w:rPr>
        <w:rFonts w:ascii="Times New Roman" w:hAnsi="Times New Roman" w:hint="default"/>
      </w:rPr>
    </w:lvl>
    <w:lvl w:ilvl="3" w:tplc="4BBE2A04" w:tentative="1">
      <w:start w:val="1"/>
      <w:numFmt w:val="bullet"/>
      <w:lvlText w:val="•"/>
      <w:lvlJc w:val="left"/>
      <w:pPr>
        <w:tabs>
          <w:tab w:val="num" w:pos="2880"/>
        </w:tabs>
        <w:ind w:left="2880" w:hanging="360"/>
      </w:pPr>
      <w:rPr>
        <w:rFonts w:ascii="Times New Roman" w:hAnsi="Times New Roman" w:hint="default"/>
      </w:rPr>
    </w:lvl>
    <w:lvl w:ilvl="4" w:tplc="5B205BBA" w:tentative="1">
      <w:start w:val="1"/>
      <w:numFmt w:val="bullet"/>
      <w:lvlText w:val="•"/>
      <w:lvlJc w:val="left"/>
      <w:pPr>
        <w:tabs>
          <w:tab w:val="num" w:pos="3600"/>
        </w:tabs>
        <w:ind w:left="3600" w:hanging="360"/>
      </w:pPr>
      <w:rPr>
        <w:rFonts w:ascii="Times New Roman" w:hAnsi="Times New Roman" w:hint="default"/>
      </w:rPr>
    </w:lvl>
    <w:lvl w:ilvl="5" w:tplc="8C72722E" w:tentative="1">
      <w:start w:val="1"/>
      <w:numFmt w:val="bullet"/>
      <w:lvlText w:val="•"/>
      <w:lvlJc w:val="left"/>
      <w:pPr>
        <w:tabs>
          <w:tab w:val="num" w:pos="4320"/>
        </w:tabs>
        <w:ind w:left="4320" w:hanging="360"/>
      </w:pPr>
      <w:rPr>
        <w:rFonts w:ascii="Times New Roman" w:hAnsi="Times New Roman" w:hint="default"/>
      </w:rPr>
    </w:lvl>
    <w:lvl w:ilvl="6" w:tplc="F1284EA8" w:tentative="1">
      <w:start w:val="1"/>
      <w:numFmt w:val="bullet"/>
      <w:lvlText w:val="•"/>
      <w:lvlJc w:val="left"/>
      <w:pPr>
        <w:tabs>
          <w:tab w:val="num" w:pos="5040"/>
        </w:tabs>
        <w:ind w:left="5040" w:hanging="360"/>
      </w:pPr>
      <w:rPr>
        <w:rFonts w:ascii="Times New Roman" w:hAnsi="Times New Roman" w:hint="default"/>
      </w:rPr>
    </w:lvl>
    <w:lvl w:ilvl="7" w:tplc="02F607D6" w:tentative="1">
      <w:start w:val="1"/>
      <w:numFmt w:val="bullet"/>
      <w:lvlText w:val="•"/>
      <w:lvlJc w:val="left"/>
      <w:pPr>
        <w:tabs>
          <w:tab w:val="num" w:pos="5760"/>
        </w:tabs>
        <w:ind w:left="5760" w:hanging="360"/>
      </w:pPr>
      <w:rPr>
        <w:rFonts w:ascii="Times New Roman" w:hAnsi="Times New Roman" w:hint="default"/>
      </w:rPr>
    </w:lvl>
    <w:lvl w:ilvl="8" w:tplc="176E5C6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DC66158"/>
    <w:multiLevelType w:val="hybridMultilevel"/>
    <w:tmpl w:val="7F46080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3C7CDE42">
      <w:start w:val="1"/>
      <w:numFmt w:val="decimal"/>
      <w:lvlText w:val="%3."/>
      <w:lvlJc w:val="left"/>
      <w:pPr>
        <w:ind w:left="2340" w:hanging="360"/>
      </w:pPr>
      <w:rPr>
        <w:rFonts w:hint="default"/>
        <w:b w:val="0"/>
        <w:u w:val="none"/>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4EBA6C35"/>
    <w:multiLevelType w:val="hybridMultilevel"/>
    <w:tmpl w:val="8B5E075C"/>
    <w:lvl w:ilvl="0" w:tplc="D0A877A2">
      <w:start w:val="1"/>
      <w:numFmt w:val="decimal"/>
      <w:pStyle w:val="Subhead4a"/>
      <w:lvlText w:val="4.%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4FDF758D"/>
    <w:multiLevelType w:val="hybridMultilevel"/>
    <w:tmpl w:val="E780DF64"/>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29F7445"/>
    <w:multiLevelType w:val="hybridMultilevel"/>
    <w:tmpl w:val="D8A834E2"/>
    <w:lvl w:ilvl="0" w:tplc="0F28AD74">
      <w:start w:val="1"/>
      <w:numFmt w:val="decimal"/>
      <w:lvlText w:val="%1."/>
      <w:lvlJc w:val="left"/>
      <w:pPr>
        <w:ind w:left="1353" w:hanging="360"/>
      </w:pPr>
      <w:rPr>
        <w:rFonts w:hint="default"/>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28">
    <w:nsid w:val="55F60BF4"/>
    <w:multiLevelType w:val="hybridMultilevel"/>
    <w:tmpl w:val="0FDE3232"/>
    <w:lvl w:ilvl="0" w:tplc="B172F686">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nsid w:val="58C40DEE"/>
    <w:multiLevelType w:val="hybridMultilevel"/>
    <w:tmpl w:val="9B0A60D0"/>
    <w:lvl w:ilvl="0" w:tplc="2EC490C6">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5E360135"/>
    <w:multiLevelType w:val="hybridMultilevel"/>
    <w:tmpl w:val="674EBCFC"/>
    <w:lvl w:ilvl="0" w:tplc="5AE47364">
      <w:start w:val="1"/>
      <w:numFmt w:val="decimal"/>
      <w:lvlText w:val="%1."/>
      <w:lvlJc w:val="left"/>
      <w:pPr>
        <w:ind w:left="1353" w:hanging="360"/>
      </w:pPr>
      <w:rPr>
        <w:rFonts w:hint="default"/>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31">
    <w:nsid w:val="5F783AF8"/>
    <w:multiLevelType w:val="multilevel"/>
    <w:tmpl w:val="D9F639DA"/>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pStyle w:val="Subhead3b"/>
      <w:lvlText w:val="3.6.%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600D1955"/>
    <w:multiLevelType w:val="hybridMultilevel"/>
    <w:tmpl w:val="EC0048DC"/>
    <w:lvl w:ilvl="0" w:tplc="F3B642F0">
      <w:start w:val="1"/>
      <w:numFmt w:val="decimal"/>
      <w:lvlText w:val="%1."/>
      <w:lvlJc w:val="left"/>
      <w:pPr>
        <w:ind w:left="1080" w:hanging="360"/>
      </w:pPr>
      <w:rPr>
        <w:rFonts w:hint="default"/>
      </w:rPr>
    </w:lvl>
    <w:lvl w:ilvl="1" w:tplc="165AB82A">
      <w:numFmt w:val="bullet"/>
      <w:lvlText w:val="-"/>
      <w:lvlJc w:val="left"/>
      <w:pPr>
        <w:ind w:left="1800" w:hanging="360"/>
      </w:pPr>
      <w:rPr>
        <w:rFonts w:ascii="Arial" w:eastAsia="Times New Roman" w:hAnsi="Arial" w:cs="Arial"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nsid w:val="61FB2DB8"/>
    <w:multiLevelType w:val="hybridMultilevel"/>
    <w:tmpl w:val="DAE40C8C"/>
    <w:lvl w:ilvl="0" w:tplc="165AB82A">
      <w:numFmt w:val="bullet"/>
      <w:lvlText w:val="-"/>
      <w:lvlJc w:val="left"/>
      <w:pPr>
        <w:ind w:left="360" w:hanging="360"/>
      </w:pPr>
      <w:rPr>
        <w:rFonts w:ascii="Arial" w:eastAsia="Times New Roman" w:hAnsi="Arial" w:cs="Arial" w:hint="default"/>
      </w:rPr>
    </w:lvl>
    <w:lvl w:ilvl="1" w:tplc="14090003">
      <w:start w:val="1"/>
      <w:numFmt w:val="bullet"/>
      <w:lvlText w:val="o"/>
      <w:lvlJc w:val="left"/>
      <w:pPr>
        <w:ind w:left="513" w:hanging="360"/>
      </w:pPr>
      <w:rPr>
        <w:rFonts w:ascii="Courier New" w:hAnsi="Courier New" w:cs="Courier New" w:hint="default"/>
      </w:rPr>
    </w:lvl>
    <w:lvl w:ilvl="2" w:tplc="14090005">
      <w:start w:val="1"/>
      <w:numFmt w:val="bullet"/>
      <w:lvlText w:val=""/>
      <w:lvlJc w:val="left"/>
      <w:pPr>
        <w:ind w:left="1233" w:hanging="360"/>
      </w:pPr>
      <w:rPr>
        <w:rFonts w:ascii="Wingdings" w:hAnsi="Wingdings" w:hint="default"/>
      </w:rPr>
    </w:lvl>
    <w:lvl w:ilvl="3" w:tplc="14090001">
      <w:start w:val="1"/>
      <w:numFmt w:val="bullet"/>
      <w:lvlText w:val=""/>
      <w:lvlJc w:val="left"/>
      <w:pPr>
        <w:ind w:left="1953" w:hanging="360"/>
      </w:pPr>
      <w:rPr>
        <w:rFonts w:ascii="Symbol" w:hAnsi="Symbol" w:hint="default"/>
      </w:rPr>
    </w:lvl>
    <w:lvl w:ilvl="4" w:tplc="14090003" w:tentative="1">
      <w:start w:val="1"/>
      <w:numFmt w:val="bullet"/>
      <w:lvlText w:val="o"/>
      <w:lvlJc w:val="left"/>
      <w:pPr>
        <w:ind w:left="2673" w:hanging="360"/>
      </w:pPr>
      <w:rPr>
        <w:rFonts w:ascii="Courier New" w:hAnsi="Courier New" w:cs="Courier New" w:hint="default"/>
      </w:rPr>
    </w:lvl>
    <w:lvl w:ilvl="5" w:tplc="14090005" w:tentative="1">
      <w:start w:val="1"/>
      <w:numFmt w:val="bullet"/>
      <w:lvlText w:val=""/>
      <w:lvlJc w:val="left"/>
      <w:pPr>
        <w:ind w:left="3393" w:hanging="360"/>
      </w:pPr>
      <w:rPr>
        <w:rFonts w:ascii="Wingdings" w:hAnsi="Wingdings" w:hint="default"/>
      </w:rPr>
    </w:lvl>
    <w:lvl w:ilvl="6" w:tplc="14090001" w:tentative="1">
      <w:start w:val="1"/>
      <w:numFmt w:val="bullet"/>
      <w:lvlText w:val=""/>
      <w:lvlJc w:val="left"/>
      <w:pPr>
        <w:ind w:left="4113" w:hanging="360"/>
      </w:pPr>
      <w:rPr>
        <w:rFonts w:ascii="Symbol" w:hAnsi="Symbol" w:hint="default"/>
      </w:rPr>
    </w:lvl>
    <w:lvl w:ilvl="7" w:tplc="14090003" w:tentative="1">
      <w:start w:val="1"/>
      <w:numFmt w:val="bullet"/>
      <w:lvlText w:val="o"/>
      <w:lvlJc w:val="left"/>
      <w:pPr>
        <w:ind w:left="4833" w:hanging="360"/>
      </w:pPr>
      <w:rPr>
        <w:rFonts w:ascii="Courier New" w:hAnsi="Courier New" w:cs="Courier New" w:hint="default"/>
      </w:rPr>
    </w:lvl>
    <w:lvl w:ilvl="8" w:tplc="14090005" w:tentative="1">
      <w:start w:val="1"/>
      <w:numFmt w:val="bullet"/>
      <w:lvlText w:val=""/>
      <w:lvlJc w:val="left"/>
      <w:pPr>
        <w:ind w:left="5553" w:hanging="360"/>
      </w:pPr>
      <w:rPr>
        <w:rFonts w:ascii="Wingdings" w:hAnsi="Wingdings" w:hint="default"/>
      </w:rPr>
    </w:lvl>
  </w:abstractNum>
  <w:abstractNum w:abstractNumId="34">
    <w:nsid w:val="62F80618"/>
    <w:multiLevelType w:val="hybridMultilevel"/>
    <w:tmpl w:val="59A2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3E59B8"/>
    <w:multiLevelType w:val="hybridMultilevel"/>
    <w:tmpl w:val="3C469C94"/>
    <w:lvl w:ilvl="0" w:tplc="2EC490C6">
      <w:numFmt w:val="bullet"/>
      <w:lvlText w:val="-"/>
      <w:lvlJc w:val="left"/>
      <w:pPr>
        <w:ind w:left="720" w:hanging="360"/>
      </w:pPr>
      <w:rPr>
        <w:rFonts w:ascii="Calibri" w:eastAsia="Times New Roman"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15B7FC2"/>
    <w:multiLevelType w:val="hybridMultilevel"/>
    <w:tmpl w:val="C7F0C848"/>
    <w:lvl w:ilvl="0" w:tplc="055AC15C">
      <w:start w:val="1"/>
      <w:numFmt w:val="bullet"/>
      <w:pStyle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3572A8B"/>
    <w:multiLevelType w:val="hybridMultilevel"/>
    <w:tmpl w:val="A112AF18"/>
    <w:lvl w:ilvl="0" w:tplc="3A8206C8">
      <w:start w:val="1"/>
      <w:numFmt w:val="decimal"/>
      <w:lvlText w:val="%1."/>
      <w:lvlJc w:val="left"/>
      <w:pPr>
        <w:ind w:left="1080" w:hanging="360"/>
      </w:pPr>
      <w:rPr>
        <w:rFonts w:hint="default"/>
        <w:sz w:val="1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8">
    <w:nsid w:val="7CEE1BE8"/>
    <w:multiLevelType w:val="hybridMultilevel"/>
    <w:tmpl w:val="4E187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E4D1B7C"/>
    <w:multiLevelType w:val="hybridMultilevel"/>
    <w:tmpl w:val="9D401572"/>
    <w:lvl w:ilvl="0" w:tplc="2B62D7F0">
      <w:start w:val="1"/>
      <w:numFmt w:val="decimal"/>
      <w:lvlText w:val="%1."/>
      <w:lvlJc w:val="left"/>
      <w:pPr>
        <w:ind w:left="2520" w:hanging="360"/>
      </w:pPr>
      <w:rPr>
        <w:rFonts w:hint="default"/>
      </w:r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num w:numId="1">
    <w:abstractNumId w:val="21"/>
  </w:num>
  <w:num w:numId="2">
    <w:abstractNumId w:val="31"/>
  </w:num>
  <w:num w:numId="3">
    <w:abstractNumId w:val="6"/>
  </w:num>
  <w:num w:numId="4">
    <w:abstractNumId w:val="1"/>
  </w:num>
  <w:num w:numId="5">
    <w:abstractNumId w:val="36"/>
  </w:num>
  <w:num w:numId="6">
    <w:abstractNumId w:val="25"/>
  </w:num>
  <w:num w:numId="7">
    <w:abstractNumId w:val="22"/>
  </w:num>
  <w:num w:numId="8">
    <w:abstractNumId w:val="18"/>
  </w:num>
  <w:num w:numId="9">
    <w:abstractNumId w:val="33"/>
  </w:num>
  <w:num w:numId="10">
    <w:abstractNumId w:val="26"/>
  </w:num>
  <w:num w:numId="11">
    <w:abstractNumId w:val="15"/>
  </w:num>
  <w:num w:numId="12">
    <w:abstractNumId w:val="5"/>
  </w:num>
  <w:num w:numId="13">
    <w:abstractNumId w:val="4"/>
  </w:num>
  <w:num w:numId="14">
    <w:abstractNumId w:val="14"/>
  </w:num>
  <w:num w:numId="15">
    <w:abstractNumId w:val="34"/>
  </w:num>
  <w:num w:numId="16">
    <w:abstractNumId w:val="7"/>
  </w:num>
  <w:num w:numId="17">
    <w:abstractNumId w:val="12"/>
  </w:num>
  <w:num w:numId="18">
    <w:abstractNumId w:val="13"/>
  </w:num>
  <w:num w:numId="19">
    <w:abstractNumId w:val="19"/>
  </w:num>
  <w:num w:numId="20">
    <w:abstractNumId w:val="38"/>
  </w:num>
  <w:num w:numId="21">
    <w:abstractNumId w:val="16"/>
  </w:num>
  <w:num w:numId="22">
    <w:abstractNumId w:val="2"/>
  </w:num>
  <w:num w:numId="23">
    <w:abstractNumId w:val="8"/>
  </w:num>
  <w:num w:numId="24">
    <w:abstractNumId w:val="18"/>
    <w:lvlOverride w:ilvl="0">
      <w:startOverride w:val="12"/>
    </w:lvlOverride>
    <w:lvlOverride w:ilvl="1">
      <w:startOverride w:val="1"/>
    </w:lvlOverride>
  </w:num>
  <w:num w:numId="25">
    <w:abstractNumId w:val="23"/>
  </w:num>
  <w:num w:numId="26">
    <w:abstractNumId w:val="29"/>
  </w:num>
  <w:num w:numId="2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39"/>
  </w:num>
  <w:num w:numId="40">
    <w:abstractNumId w:val="30"/>
  </w:num>
  <w:num w:numId="41">
    <w:abstractNumId w:val="37"/>
  </w:num>
  <w:num w:numId="42">
    <w:abstractNumId w:val="27"/>
  </w:num>
  <w:num w:numId="43">
    <w:abstractNumId w:val="3"/>
  </w:num>
  <w:num w:numId="44">
    <w:abstractNumId w:val="11"/>
  </w:num>
  <w:num w:numId="45">
    <w:abstractNumId w:val="35"/>
  </w:num>
  <w:num w:numId="46">
    <w:abstractNumId w:val="24"/>
  </w:num>
  <w:num w:numId="47">
    <w:abstractNumId w:val="28"/>
  </w:num>
  <w:num w:numId="48">
    <w:abstractNumId w:val="9"/>
  </w:num>
  <w:num w:numId="49">
    <w:abstractNumId w:val="17"/>
  </w:num>
  <w:num w:numId="50">
    <w:abstractNumId w:val="32"/>
  </w:num>
  <w:num w:numId="51">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s>
  <w:rsids>
    <w:rsidRoot w:val="00043311"/>
    <w:rsid w:val="00005701"/>
    <w:rsid w:val="00006006"/>
    <w:rsid w:val="00006352"/>
    <w:rsid w:val="000079ED"/>
    <w:rsid w:val="00007C77"/>
    <w:rsid w:val="00011469"/>
    <w:rsid w:val="00025A11"/>
    <w:rsid w:val="00043311"/>
    <w:rsid w:val="00043499"/>
    <w:rsid w:val="00044E18"/>
    <w:rsid w:val="000562CB"/>
    <w:rsid w:val="00061D91"/>
    <w:rsid w:val="000666FE"/>
    <w:rsid w:val="00066927"/>
    <w:rsid w:val="00074C89"/>
    <w:rsid w:val="00082F17"/>
    <w:rsid w:val="00092847"/>
    <w:rsid w:val="00092E87"/>
    <w:rsid w:val="000A3545"/>
    <w:rsid w:val="000A52D4"/>
    <w:rsid w:val="000A5393"/>
    <w:rsid w:val="000A7425"/>
    <w:rsid w:val="000B1908"/>
    <w:rsid w:val="000B3317"/>
    <w:rsid w:val="000C154D"/>
    <w:rsid w:val="000F7645"/>
    <w:rsid w:val="0010082B"/>
    <w:rsid w:val="001055C9"/>
    <w:rsid w:val="001146BF"/>
    <w:rsid w:val="00146641"/>
    <w:rsid w:val="001608B9"/>
    <w:rsid w:val="001774D4"/>
    <w:rsid w:val="00197DBF"/>
    <w:rsid w:val="001A618C"/>
    <w:rsid w:val="001B5341"/>
    <w:rsid w:val="001C5C20"/>
    <w:rsid w:val="001D4967"/>
    <w:rsid w:val="001D66B5"/>
    <w:rsid w:val="001E4AF0"/>
    <w:rsid w:val="00200C3C"/>
    <w:rsid w:val="002023E9"/>
    <w:rsid w:val="002031AC"/>
    <w:rsid w:val="00234ABF"/>
    <w:rsid w:val="00235DD5"/>
    <w:rsid w:val="00251AE6"/>
    <w:rsid w:val="00254884"/>
    <w:rsid w:val="002732EB"/>
    <w:rsid w:val="002738F8"/>
    <w:rsid w:val="00273C0F"/>
    <w:rsid w:val="002744F3"/>
    <w:rsid w:val="00283873"/>
    <w:rsid w:val="002871D3"/>
    <w:rsid w:val="00290023"/>
    <w:rsid w:val="00296950"/>
    <w:rsid w:val="002A2574"/>
    <w:rsid w:val="002B1BB2"/>
    <w:rsid w:val="002B3E83"/>
    <w:rsid w:val="002D69F1"/>
    <w:rsid w:val="002F509F"/>
    <w:rsid w:val="003131B7"/>
    <w:rsid w:val="0032771A"/>
    <w:rsid w:val="003404CC"/>
    <w:rsid w:val="00341E67"/>
    <w:rsid w:val="00363BE2"/>
    <w:rsid w:val="00372C4C"/>
    <w:rsid w:val="00375DB5"/>
    <w:rsid w:val="003925A9"/>
    <w:rsid w:val="003A1CB2"/>
    <w:rsid w:val="003B0E51"/>
    <w:rsid w:val="003C7948"/>
    <w:rsid w:val="003C7F01"/>
    <w:rsid w:val="003D090E"/>
    <w:rsid w:val="003D2D75"/>
    <w:rsid w:val="003D3B9D"/>
    <w:rsid w:val="003D61C3"/>
    <w:rsid w:val="003D6F01"/>
    <w:rsid w:val="003F7B67"/>
    <w:rsid w:val="00410534"/>
    <w:rsid w:val="00420749"/>
    <w:rsid w:val="0042130F"/>
    <w:rsid w:val="00434CE2"/>
    <w:rsid w:val="00436C1D"/>
    <w:rsid w:val="004371B0"/>
    <w:rsid w:val="004513E9"/>
    <w:rsid w:val="004527CA"/>
    <w:rsid w:val="00464243"/>
    <w:rsid w:val="004873D8"/>
    <w:rsid w:val="0049187E"/>
    <w:rsid w:val="004933F4"/>
    <w:rsid w:val="00494815"/>
    <w:rsid w:val="004E0EF4"/>
    <w:rsid w:val="004E59B3"/>
    <w:rsid w:val="004F324D"/>
    <w:rsid w:val="00501694"/>
    <w:rsid w:val="00507ED0"/>
    <w:rsid w:val="00511C02"/>
    <w:rsid w:val="0052254E"/>
    <w:rsid w:val="005248A9"/>
    <w:rsid w:val="005305A8"/>
    <w:rsid w:val="00532FCC"/>
    <w:rsid w:val="00536A2E"/>
    <w:rsid w:val="005538CA"/>
    <w:rsid w:val="0056220B"/>
    <w:rsid w:val="0058632E"/>
    <w:rsid w:val="00592F2C"/>
    <w:rsid w:val="005939A7"/>
    <w:rsid w:val="005B0336"/>
    <w:rsid w:val="005B4E65"/>
    <w:rsid w:val="005F669A"/>
    <w:rsid w:val="006068C2"/>
    <w:rsid w:val="00607083"/>
    <w:rsid w:val="00611573"/>
    <w:rsid w:val="0061632D"/>
    <w:rsid w:val="00616373"/>
    <w:rsid w:val="006245C5"/>
    <w:rsid w:val="00646E8E"/>
    <w:rsid w:val="006536C4"/>
    <w:rsid w:val="00657F58"/>
    <w:rsid w:val="0066575C"/>
    <w:rsid w:val="00670E63"/>
    <w:rsid w:val="00671B96"/>
    <w:rsid w:val="00671CE0"/>
    <w:rsid w:val="00674D59"/>
    <w:rsid w:val="006A1A09"/>
    <w:rsid w:val="006B134C"/>
    <w:rsid w:val="006B70CA"/>
    <w:rsid w:val="006C2763"/>
    <w:rsid w:val="006C7953"/>
    <w:rsid w:val="006D0512"/>
    <w:rsid w:val="006D0FC5"/>
    <w:rsid w:val="006D4D86"/>
    <w:rsid w:val="006D5EEF"/>
    <w:rsid w:val="006F20B0"/>
    <w:rsid w:val="00707924"/>
    <w:rsid w:val="00720A6C"/>
    <w:rsid w:val="007223E2"/>
    <w:rsid w:val="007349B6"/>
    <w:rsid w:val="00734D8D"/>
    <w:rsid w:val="00740B76"/>
    <w:rsid w:val="007420F6"/>
    <w:rsid w:val="00767078"/>
    <w:rsid w:val="007831B4"/>
    <w:rsid w:val="00787F4C"/>
    <w:rsid w:val="007B2A0C"/>
    <w:rsid w:val="007B447B"/>
    <w:rsid w:val="007C53CC"/>
    <w:rsid w:val="007D1DDC"/>
    <w:rsid w:val="007D324B"/>
    <w:rsid w:val="007E1071"/>
    <w:rsid w:val="007E2721"/>
    <w:rsid w:val="007E52B8"/>
    <w:rsid w:val="00800C94"/>
    <w:rsid w:val="00821A99"/>
    <w:rsid w:val="00826FF4"/>
    <w:rsid w:val="008316D8"/>
    <w:rsid w:val="008744AE"/>
    <w:rsid w:val="00874FB8"/>
    <w:rsid w:val="008A11DC"/>
    <w:rsid w:val="008B1BE5"/>
    <w:rsid w:val="008B4C8B"/>
    <w:rsid w:val="008B5AC1"/>
    <w:rsid w:val="008E0D52"/>
    <w:rsid w:val="008E6625"/>
    <w:rsid w:val="009015DD"/>
    <w:rsid w:val="0090209B"/>
    <w:rsid w:val="00912957"/>
    <w:rsid w:val="00936547"/>
    <w:rsid w:val="009471D5"/>
    <w:rsid w:val="0095236A"/>
    <w:rsid w:val="0096450D"/>
    <w:rsid w:val="00972518"/>
    <w:rsid w:val="00982130"/>
    <w:rsid w:val="00983F9A"/>
    <w:rsid w:val="009970B6"/>
    <w:rsid w:val="009B02C1"/>
    <w:rsid w:val="009C080C"/>
    <w:rsid w:val="009C7090"/>
    <w:rsid w:val="009D09D2"/>
    <w:rsid w:val="009D48F3"/>
    <w:rsid w:val="009D71C8"/>
    <w:rsid w:val="009E3D1C"/>
    <w:rsid w:val="009E435B"/>
    <w:rsid w:val="009F6C42"/>
    <w:rsid w:val="00A03649"/>
    <w:rsid w:val="00A27516"/>
    <w:rsid w:val="00A329A2"/>
    <w:rsid w:val="00A5339F"/>
    <w:rsid w:val="00A90917"/>
    <w:rsid w:val="00A92B18"/>
    <w:rsid w:val="00AB48B4"/>
    <w:rsid w:val="00AC27DF"/>
    <w:rsid w:val="00AC30C4"/>
    <w:rsid w:val="00AC79BD"/>
    <w:rsid w:val="00AD4A88"/>
    <w:rsid w:val="00AE30B2"/>
    <w:rsid w:val="00AE74F0"/>
    <w:rsid w:val="00AE7DDD"/>
    <w:rsid w:val="00AF4C33"/>
    <w:rsid w:val="00AF6EFA"/>
    <w:rsid w:val="00B2239E"/>
    <w:rsid w:val="00B23EE5"/>
    <w:rsid w:val="00B2593F"/>
    <w:rsid w:val="00B45826"/>
    <w:rsid w:val="00B63444"/>
    <w:rsid w:val="00B64952"/>
    <w:rsid w:val="00B650E8"/>
    <w:rsid w:val="00B65F4E"/>
    <w:rsid w:val="00B8546F"/>
    <w:rsid w:val="00B9775D"/>
    <w:rsid w:val="00BA3BA9"/>
    <w:rsid w:val="00BB3055"/>
    <w:rsid w:val="00BC3645"/>
    <w:rsid w:val="00BC495A"/>
    <w:rsid w:val="00BC4F94"/>
    <w:rsid w:val="00BD1B09"/>
    <w:rsid w:val="00BD4AEC"/>
    <w:rsid w:val="00BE149C"/>
    <w:rsid w:val="00C03531"/>
    <w:rsid w:val="00C1398B"/>
    <w:rsid w:val="00C13B7F"/>
    <w:rsid w:val="00C202B5"/>
    <w:rsid w:val="00C2192B"/>
    <w:rsid w:val="00C42BE3"/>
    <w:rsid w:val="00C46650"/>
    <w:rsid w:val="00C55645"/>
    <w:rsid w:val="00C6005A"/>
    <w:rsid w:val="00C62DF3"/>
    <w:rsid w:val="00C726D6"/>
    <w:rsid w:val="00C8032B"/>
    <w:rsid w:val="00C838FA"/>
    <w:rsid w:val="00CA4D8F"/>
    <w:rsid w:val="00CA6852"/>
    <w:rsid w:val="00CD36A0"/>
    <w:rsid w:val="00CE43A5"/>
    <w:rsid w:val="00D465E8"/>
    <w:rsid w:val="00D66E9F"/>
    <w:rsid w:val="00D72395"/>
    <w:rsid w:val="00D850E5"/>
    <w:rsid w:val="00D955ED"/>
    <w:rsid w:val="00DD10EC"/>
    <w:rsid w:val="00DD6632"/>
    <w:rsid w:val="00DD72E5"/>
    <w:rsid w:val="00DE18A7"/>
    <w:rsid w:val="00DF175E"/>
    <w:rsid w:val="00E10D57"/>
    <w:rsid w:val="00E26A1C"/>
    <w:rsid w:val="00E34E42"/>
    <w:rsid w:val="00E355F3"/>
    <w:rsid w:val="00E375C0"/>
    <w:rsid w:val="00E43E01"/>
    <w:rsid w:val="00E44826"/>
    <w:rsid w:val="00E478E1"/>
    <w:rsid w:val="00E547A4"/>
    <w:rsid w:val="00E54ABD"/>
    <w:rsid w:val="00E84F9A"/>
    <w:rsid w:val="00E92127"/>
    <w:rsid w:val="00E97D23"/>
    <w:rsid w:val="00EA266D"/>
    <w:rsid w:val="00EB4AB7"/>
    <w:rsid w:val="00EB5CE9"/>
    <w:rsid w:val="00EC173A"/>
    <w:rsid w:val="00ED37E4"/>
    <w:rsid w:val="00EE0A44"/>
    <w:rsid w:val="00EE2D92"/>
    <w:rsid w:val="00EF64F2"/>
    <w:rsid w:val="00F024BB"/>
    <w:rsid w:val="00F06B39"/>
    <w:rsid w:val="00F07616"/>
    <w:rsid w:val="00F1332D"/>
    <w:rsid w:val="00F20231"/>
    <w:rsid w:val="00F2551F"/>
    <w:rsid w:val="00F2652D"/>
    <w:rsid w:val="00F32FFA"/>
    <w:rsid w:val="00F3429C"/>
    <w:rsid w:val="00F43B9D"/>
    <w:rsid w:val="00F562CB"/>
    <w:rsid w:val="00F6040A"/>
    <w:rsid w:val="00F64383"/>
    <w:rsid w:val="00F67AE0"/>
    <w:rsid w:val="00F728A8"/>
    <w:rsid w:val="00F73A6B"/>
    <w:rsid w:val="00F80883"/>
    <w:rsid w:val="00F80E4D"/>
    <w:rsid w:val="00F87A93"/>
    <w:rsid w:val="00F92CD6"/>
    <w:rsid w:val="00FA027D"/>
    <w:rsid w:val="00FC6796"/>
    <w:rsid w:val="00FD58E7"/>
    <w:rsid w:val="00FE0BA4"/>
    <w:rsid w:val="00FE2E35"/>
    <w:rsid w:val="00FF349A"/>
    <w:rsid w:val="00FF58DD"/>
    <w:rsid w:val="00FF644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4" type="connector" idref="#Straight Arrow Connector 30"/>
        <o:r id="V:Rule5" type="connector" idref="#Straight Arrow Connector 29"/>
        <o:r id="V:Rule6" type="connector" idref="#Straight Arrow Connector 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311"/>
    <w:pPr>
      <w:spacing w:before="120" w:after="0" w:line="480" w:lineRule="auto"/>
      <w:jc w:val="both"/>
    </w:pPr>
    <w:rPr>
      <w:rFonts w:ascii="Arial" w:eastAsia="Times New Roman" w:hAnsi="Arial" w:cs="Times New Roman"/>
      <w:szCs w:val="24"/>
    </w:rPr>
  </w:style>
  <w:style w:type="paragraph" w:styleId="Heading1">
    <w:name w:val="heading 1"/>
    <w:aliases w:val="Fiona's Heading 1"/>
    <w:basedOn w:val="Normal"/>
    <w:next w:val="Normal"/>
    <w:link w:val="Heading1Char"/>
    <w:uiPriority w:val="9"/>
    <w:qFormat/>
    <w:rsid w:val="00043311"/>
    <w:pPr>
      <w:keepNext/>
      <w:pageBreakBefore/>
      <w:numPr>
        <w:numId w:val="8"/>
      </w:numPr>
      <w:outlineLvl w:val="0"/>
    </w:pPr>
    <w:rPr>
      <w:rFonts w:ascii="Arial Bold" w:hAnsi="Arial Bold"/>
      <w:b/>
      <w:caps/>
      <w:color w:val="1F497D"/>
      <w:sz w:val="26"/>
    </w:rPr>
  </w:style>
  <w:style w:type="paragraph" w:styleId="Heading2">
    <w:name w:val="heading 2"/>
    <w:aliases w:val="Fiona's Heading 2"/>
    <w:basedOn w:val="Normal"/>
    <w:next w:val="Normal"/>
    <w:link w:val="Heading2Char"/>
    <w:autoRedefine/>
    <w:uiPriority w:val="9"/>
    <w:qFormat/>
    <w:rsid w:val="00043311"/>
    <w:pPr>
      <w:keepNext/>
      <w:numPr>
        <w:ilvl w:val="1"/>
        <w:numId w:val="8"/>
      </w:numPr>
      <w:spacing w:before="240" w:after="60" w:line="276" w:lineRule="auto"/>
      <w:outlineLvl w:val="1"/>
    </w:pPr>
    <w:rPr>
      <w:rFonts w:asciiTheme="minorHAnsi" w:hAnsiTheme="minorHAnsi" w:cstheme="minorHAnsi"/>
      <w:b/>
      <w:bCs/>
      <w:iCs/>
      <w:color w:val="1F497D"/>
      <w:szCs w:val="22"/>
    </w:rPr>
  </w:style>
  <w:style w:type="paragraph" w:styleId="Heading3">
    <w:name w:val="heading 3"/>
    <w:aliases w:val="Fiona's Heading 3 v2"/>
    <w:basedOn w:val="StyleHeading212pt"/>
    <w:next w:val="Normal"/>
    <w:link w:val="Heading3Char"/>
    <w:uiPriority w:val="9"/>
    <w:qFormat/>
    <w:rsid w:val="00043311"/>
    <w:pPr>
      <w:numPr>
        <w:ilvl w:val="2"/>
        <w:numId w:val="8"/>
      </w:numPr>
      <w:spacing w:before="240"/>
      <w:outlineLvl w:val="2"/>
    </w:pPr>
    <w:rPr>
      <w:bCs w:val="0"/>
      <w:szCs w:val="26"/>
    </w:rPr>
  </w:style>
  <w:style w:type="paragraph" w:styleId="Heading4">
    <w:name w:val="heading 4"/>
    <w:aliases w:val="Fiona Heading four"/>
    <w:basedOn w:val="StyleParagraph11pt"/>
    <w:next w:val="Normal"/>
    <w:link w:val="Heading4Char"/>
    <w:uiPriority w:val="99"/>
    <w:qFormat/>
    <w:rsid w:val="00043311"/>
    <w:pPr>
      <w:keepNext/>
      <w:numPr>
        <w:ilvl w:val="3"/>
        <w:numId w:val="8"/>
      </w:numPr>
      <w:spacing w:before="240" w:after="60"/>
      <w:outlineLvl w:val="3"/>
    </w:pPr>
    <w:rPr>
      <w:b/>
      <w:bCs/>
      <w:color w:val="1F497D"/>
      <w:szCs w:val="28"/>
    </w:rPr>
  </w:style>
  <w:style w:type="paragraph" w:styleId="Heading5">
    <w:name w:val="heading 5"/>
    <w:basedOn w:val="Normal"/>
    <w:next w:val="Normal"/>
    <w:link w:val="Heading5Char"/>
    <w:uiPriority w:val="99"/>
    <w:qFormat/>
    <w:rsid w:val="00043311"/>
    <w:pPr>
      <w:numPr>
        <w:ilvl w:val="4"/>
        <w:numId w:val="8"/>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043311"/>
    <w:pPr>
      <w:numPr>
        <w:ilvl w:val="5"/>
        <w:numId w:val="8"/>
      </w:numPr>
      <w:spacing w:before="240" w:after="60"/>
      <w:outlineLvl w:val="5"/>
    </w:pPr>
    <w:rPr>
      <w:rFonts w:ascii="Calibri" w:hAnsi="Calibri"/>
      <w:b/>
      <w:bCs/>
      <w:szCs w:val="22"/>
    </w:rPr>
  </w:style>
  <w:style w:type="paragraph" w:styleId="Heading7">
    <w:name w:val="heading 7"/>
    <w:basedOn w:val="Normal"/>
    <w:next w:val="Normal"/>
    <w:link w:val="Heading7Char"/>
    <w:uiPriority w:val="99"/>
    <w:qFormat/>
    <w:rsid w:val="00043311"/>
    <w:pPr>
      <w:numPr>
        <w:ilvl w:val="6"/>
        <w:numId w:val="8"/>
      </w:numPr>
      <w:spacing w:before="240" w:after="60"/>
      <w:outlineLvl w:val="6"/>
    </w:pPr>
    <w:rPr>
      <w:rFonts w:ascii="Calibri" w:hAnsi="Calibri"/>
    </w:rPr>
  </w:style>
  <w:style w:type="paragraph" w:styleId="Heading8">
    <w:name w:val="heading 8"/>
    <w:basedOn w:val="Normal"/>
    <w:next w:val="Normal"/>
    <w:link w:val="Heading8Char"/>
    <w:uiPriority w:val="99"/>
    <w:qFormat/>
    <w:rsid w:val="00043311"/>
    <w:pPr>
      <w:numPr>
        <w:ilvl w:val="7"/>
        <w:numId w:val="8"/>
      </w:numPr>
      <w:spacing w:before="240" w:after="60"/>
      <w:outlineLvl w:val="7"/>
    </w:pPr>
    <w:rPr>
      <w:rFonts w:ascii="Calibri" w:hAnsi="Calibri"/>
      <w:i/>
      <w:iCs/>
    </w:rPr>
  </w:style>
  <w:style w:type="paragraph" w:styleId="Heading9">
    <w:name w:val="heading 9"/>
    <w:basedOn w:val="Normal"/>
    <w:next w:val="Normal"/>
    <w:link w:val="Heading9Char"/>
    <w:uiPriority w:val="99"/>
    <w:qFormat/>
    <w:rsid w:val="00043311"/>
    <w:pPr>
      <w:numPr>
        <w:ilvl w:val="8"/>
        <w:numId w:val="8"/>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iona's Heading 1 Char"/>
    <w:basedOn w:val="DefaultParagraphFont"/>
    <w:link w:val="Heading1"/>
    <w:uiPriority w:val="9"/>
    <w:rsid w:val="00043311"/>
    <w:rPr>
      <w:rFonts w:ascii="Arial Bold" w:eastAsia="Times New Roman" w:hAnsi="Arial Bold" w:cs="Times New Roman"/>
      <w:b/>
      <w:caps/>
      <w:color w:val="1F497D"/>
      <w:sz w:val="26"/>
      <w:szCs w:val="24"/>
    </w:rPr>
  </w:style>
  <w:style w:type="character" w:customStyle="1" w:styleId="Heading2Char">
    <w:name w:val="Heading 2 Char"/>
    <w:aliases w:val="Fiona's Heading 2 Char"/>
    <w:basedOn w:val="DefaultParagraphFont"/>
    <w:link w:val="Heading2"/>
    <w:uiPriority w:val="9"/>
    <w:rsid w:val="00043311"/>
    <w:rPr>
      <w:rFonts w:eastAsia="Times New Roman" w:cstheme="minorHAnsi"/>
      <w:b/>
      <w:bCs/>
      <w:iCs/>
      <w:color w:val="1F497D"/>
    </w:rPr>
  </w:style>
  <w:style w:type="character" w:customStyle="1" w:styleId="Heading3Char">
    <w:name w:val="Heading 3 Char"/>
    <w:aliases w:val="Fiona's Heading 3 v2 Char"/>
    <w:basedOn w:val="DefaultParagraphFont"/>
    <w:link w:val="Heading3"/>
    <w:uiPriority w:val="9"/>
    <w:rsid w:val="00043311"/>
    <w:rPr>
      <w:rFonts w:eastAsia="Times New Roman" w:cstheme="minorHAnsi"/>
      <w:b/>
      <w:iCs/>
      <w:color w:val="1F497D"/>
      <w:szCs w:val="26"/>
    </w:rPr>
  </w:style>
  <w:style w:type="character" w:customStyle="1" w:styleId="Heading4Char">
    <w:name w:val="Heading 4 Char"/>
    <w:aliases w:val="Fiona Heading four Char"/>
    <w:basedOn w:val="DefaultParagraphFont"/>
    <w:link w:val="Heading4"/>
    <w:uiPriority w:val="99"/>
    <w:rsid w:val="00043311"/>
    <w:rPr>
      <w:rFonts w:ascii="Arial" w:eastAsia="Times New Roman" w:hAnsi="Arial" w:cs="Times New Roman"/>
      <w:b/>
      <w:bCs/>
      <w:color w:val="1F497D"/>
      <w:szCs w:val="28"/>
    </w:rPr>
  </w:style>
  <w:style w:type="character" w:customStyle="1" w:styleId="Heading5Char">
    <w:name w:val="Heading 5 Char"/>
    <w:basedOn w:val="DefaultParagraphFont"/>
    <w:link w:val="Heading5"/>
    <w:uiPriority w:val="99"/>
    <w:rsid w:val="00043311"/>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043311"/>
    <w:rPr>
      <w:rFonts w:ascii="Calibri" w:eastAsia="Times New Roman" w:hAnsi="Calibri" w:cs="Times New Roman"/>
      <w:b/>
      <w:bCs/>
    </w:rPr>
  </w:style>
  <w:style w:type="character" w:customStyle="1" w:styleId="Heading7Char">
    <w:name w:val="Heading 7 Char"/>
    <w:basedOn w:val="DefaultParagraphFont"/>
    <w:link w:val="Heading7"/>
    <w:uiPriority w:val="99"/>
    <w:rsid w:val="00043311"/>
    <w:rPr>
      <w:rFonts w:ascii="Calibri" w:eastAsia="Times New Roman" w:hAnsi="Calibri" w:cs="Times New Roman"/>
      <w:szCs w:val="24"/>
    </w:rPr>
  </w:style>
  <w:style w:type="character" w:customStyle="1" w:styleId="Heading8Char">
    <w:name w:val="Heading 8 Char"/>
    <w:basedOn w:val="DefaultParagraphFont"/>
    <w:link w:val="Heading8"/>
    <w:uiPriority w:val="99"/>
    <w:rsid w:val="00043311"/>
    <w:rPr>
      <w:rFonts w:ascii="Calibri" w:eastAsia="Times New Roman" w:hAnsi="Calibri" w:cs="Times New Roman"/>
      <w:i/>
      <w:iCs/>
      <w:szCs w:val="24"/>
    </w:rPr>
  </w:style>
  <w:style w:type="character" w:customStyle="1" w:styleId="Heading9Char">
    <w:name w:val="Heading 9 Char"/>
    <w:basedOn w:val="DefaultParagraphFont"/>
    <w:link w:val="Heading9"/>
    <w:uiPriority w:val="99"/>
    <w:rsid w:val="00043311"/>
    <w:rPr>
      <w:rFonts w:ascii="Cambria" w:eastAsia="Times New Roman" w:hAnsi="Cambria" w:cs="Times New Roman"/>
    </w:rPr>
  </w:style>
  <w:style w:type="paragraph" w:customStyle="1" w:styleId="StyleHeading212pt">
    <w:name w:val="Style Heading 2 + 12 pt"/>
    <w:basedOn w:val="Heading2"/>
    <w:next w:val="Normal"/>
    <w:link w:val="StyleHeading212ptChar"/>
    <w:uiPriority w:val="99"/>
    <w:rsid w:val="00043311"/>
    <w:pPr>
      <w:numPr>
        <w:numId w:val="1"/>
      </w:numPr>
      <w:tabs>
        <w:tab w:val="left" w:pos="851"/>
      </w:tabs>
      <w:spacing w:before="360"/>
    </w:pPr>
  </w:style>
  <w:style w:type="character" w:customStyle="1" w:styleId="StyleHeading212ptChar">
    <w:name w:val="Style Heading 2 + 12 pt Char"/>
    <w:basedOn w:val="Heading2Char"/>
    <w:link w:val="StyleHeading212pt"/>
    <w:uiPriority w:val="99"/>
    <w:rsid w:val="00043311"/>
    <w:rPr>
      <w:rFonts w:eastAsia="Times New Roman" w:cstheme="minorHAnsi"/>
      <w:b/>
      <w:bCs/>
      <w:iCs/>
      <w:color w:val="1F497D"/>
    </w:rPr>
  </w:style>
  <w:style w:type="paragraph" w:customStyle="1" w:styleId="StyleParagraph11pt">
    <w:name w:val="Style Paragraph + 11 pt"/>
    <w:basedOn w:val="Paragraph"/>
    <w:rsid w:val="00043311"/>
    <w:pPr>
      <w:spacing w:before="120" w:after="120"/>
    </w:pPr>
  </w:style>
  <w:style w:type="paragraph" w:customStyle="1" w:styleId="Paragraph">
    <w:name w:val="Paragraph"/>
    <w:basedOn w:val="Normal"/>
    <w:link w:val="ParagraphChar"/>
    <w:qFormat/>
    <w:rsid w:val="00043311"/>
    <w:pPr>
      <w:spacing w:before="0"/>
    </w:pPr>
  </w:style>
  <w:style w:type="character" w:customStyle="1" w:styleId="ParagraphChar">
    <w:name w:val="Paragraph Char"/>
    <w:basedOn w:val="DefaultParagraphFont"/>
    <w:link w:val="Paragraph"/>
    <w:rsid w:val="00043311"/>
    <w:rPr>
      <w:rFonts w:ascii="Arial" w:eastAsia="Times New Roman" w:hAnsi="Arial" w:cs="Times New Roman"/>
      <w:szCs w:val="24"/>
    </w:rPr>
  </w:style>
  <w:style w:type="paragraph" w:styleId="Footer">
    <w:name w:val="footer"/>
    <w:basedOn w:val="Normal"/>
    <w:link w:val="FooterChar"/>
    <w:uiPriority w:val="99"/>
    <w:rsid w:val="00043311"/>
    <w:pPr>
      <w:tabs>
        <w:tab w:val="center" w:pos="4153"/>
        <w:tab w:val="right" w:pos="8306"/>
      </w:tabs>
    </w:pPr>
    <w:rPr>
      <w:szCs w:val="20"/>
    </w:rPr>
  </w:style>
  <w:style w:type="character" w:customStyle="1" w:styleId="FooterChar">
    <w:name w:val="Footer Char"/>
    <w:basedOn w:val="DefaultParagraphFont"/>
    <w:link w:val="Footer"/>
    <w:uiPriority w:val="99"/>
    <w:rsid w:val="00043311"/>
    <w:rPr>
      <w:rFonts w:ascii="Arial" w:eastAsia="Times New Roman" w:hAnsi="Arial" w:cs="Times New Roman"/>
      <w:szCs w:val="20"/>
    </w:rPr>
  </w:style>
  <w:style w:type="paragraph" w:styleId="Header">
    <w:name w:val="header"/>
    <w:basedOn w:val="Normal"/>
    <w:link w:val="HeaderChar"/>
    <w:uiPriority w:val="99"/>
    <w:rsid w:val="00043311"/>
    <w:pPr>
      <w:tabs>
        <w:tab w:val="center" w:pos="4320"/>
        <w:tab w:val="right" w:pos="8640"/>
      </w:tabs>
    </w:pPr>
  </w:style>
  <w:style w:type="character" w:customStyle="1" w:styleId="HeaderChar">
    <w:name w:val="Header Char"/>
    <w:basedOn w:val="DefaultParagraphFont"/>
    <w:link w:val="Header"/>
    <w:uiPriority w:val="99"/>
    <w:rsid w:val="00043311"/>
    <w:rPr>
      <w:rFonts w:ascii="Arial" w:eastAsia="Times New Roman" w:hAnsi="Arial" w:cs="Times New Roman"/>
      <w:szCs w:val="24"/>
    </w:rPr>
  </w:style>
  <w:style w:type="character" w:styleId="PageNumber">
    <w:name w:val="page number"/>
    <w:basedOn w:val="DefaultParagraphFont"/>
    <w:uiPriority w:val="99"/>
    <w:rsid w:val="00043311"/>
    <w:rPr>
      <w:rFonts w:cs="Times New Roman"/>
    </w:rPr>
  </w:style>
  <w:style w:type="paragraph" w:styleId="BodyText">
    <w:name w:val="Body Text"/>
    <w:basedOn w:val="Normal"/>
    <w:link w:val="BodyTextChar"/>
    <w:uiPriority w:val="99"/>
    <w:rsid w:val="00043311"/>
    <w:pPr>
      <w:autoSpaceDE w:val="0"/>
      <w:autoSpaceDN w:val="0"/>
      <w:spacing w:after="120" w:line="360" w:lineRule="auto"/>
    </w:pPr>
    <w:rPr>
      <w:rFonts w:asciiTheme="minorHAnsi" w:hAnsiTheme="minorHAnsi" w:cstheme="minorHAnsi"/>
      <w:lang w:val="en-GB"/>
    </w:rPr>
  </w:style>
  <w:style w:type="character" w:customStyle="1" w:styleId="BodyTextChar">
    <w:name w:val="Body Text Char"/>
    <w:basedOn w:val="DefaultParagraphFont"/>
    <w:link w:val="BodyText"/>
    <w:uiPriority w:val="99"/>
    <w:rsid w:val="00043311"/>
    <w:rPr>
      <w:rFonts w:eastAsia="Times New Roman" w:cstheme="minorHAnsi"/>
      <w:szCs w:val="24"/>
      <w:lang w:val="en-GB"/>
    </w:rPr>
  </w:style>
  <w:style w:type="paragraph" w:styleId="TOC1">
    <w:name w:val="toc 1"/>
    <w:basedOn w:val="Normal"/>
    <w:next w:val="Normal"/>
    <w:autoRedefine/>
    <w:uiPriority w:val="39"/>
    <w:rsid w:val="00043311"/>
    <w:pPr>
      <w:tabs>
        <w:tab w:val="left" w:pos="426"/>
        <w:tab w:val="right" w:leader="dot" w:pos="8364"/>
      </w:tabs>
      <w:spacing w:before="100" w:beforeAutospacing="1" w:after="100" w:afterAutospacing="1" w:line="240" w:lineRule="auto"/>
      <w:ind w:left="709" w:hanging="709"/>
    </w:pPr>
    <w:rPr>
      <w:rFonts w:ascii="Arial Narrow" w:hAnsi="Arial Narrow"/>
    </w:rPr>
  </w:style>
  <w:style w:type="paragraph" w:styleId="TOC2">
    <w:name w:val="toc 2"/>
    <w:basedOn w:val="Normal"/>
    <w:next w:val="Normal"/>
    <w:autoRedefine/>
    <w:uiPriority w:val="39"/>
    <w:rsid w:val="00CD36A0"/>
    <w:pPr>
      <w:tabs>
        <w:tab w:val="left" w:pos="1134"/>
        <w:tab w:val="right" w:leader="dot" w:pos="9072"/>
      </w:tabs>
      <w:spacing w:line="240" w:lineRule="auto"/>
      <w:ind w:left="1560" w:right="2125" w:hanging="1320"/>
    </w:pPr>
    <w:rPr>
      <w:rFonts w:asciiTheme="minorHAnsi" w:hAnsiTheme="minorHAnsi"/>
      <w:noProof/>
    </w:rPr>
  </w:style>
  <w:style w:type="paragraph" w:styleId="TOC3">
    <w:name w:val="toc 3"/>
    <w:basedOn w:val="Normal"/>
    <w:next w:val="Normal"/>
    <w:autoRedefine/>
    <w:uiPriority w:val="39"/>
    <w:rsid w:val="00043311"/>
    <w:pPr>
      <w:tabs>
        <w:tab w:val="left" w:pos="1320"/>
        <w:tab w:val="right" w:leader="dot" w:pos="9072"/>
      </w:tabs>
      <w:spacing w:line="240" w:lineRule="auto"/>
      <w:ind w:left="1276" w:right="498" w:hanging="796"/>
    </w:pPr>
    <w:rPr>
      <w:rFonts w:ascii="Arial Narrow" w:hAnsi="Arial Narrow"/>
    </w:rPr>
  </w:style>
  <w:style w:type="table" w:styleId="TableGrid">
    <w:name w:val="Table Grid"/>
    <w:basedOn w:val="TableNormal"/>
    <w:uiPriority w:val="59"/>
    <w:rsid w:val="000433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043311"/>
    <w:rPr>
      <w:rFonts w:cs="Times New Roman"/>
      <w:sz w:val="16"/>
      <w:szCs w:val="16"/>
    </w:rPr>
  </w:style>
  <w:style w:type="paragraph" w:styleId="CommentText">
    <w:name w:val="annotation text"/>
    <w:basedOn w:val="Normal"/>
    <w:link w:val="CommentTextChar1"/>
    <w:rsid w:val="00043311"/>
    <w:rPr>
      <w:sz w:val="20"/>
      <w:szCs w:val="20"/>
    </w:rPr>
  </w:style>
  <w:style w:type="character" w:customStyle="1" w:styleId="CommentTextChar">
    <w:name w:val="Comment Text Char"/>
    <w:basedOn w:val="DefaultParagraphFont"/>
    <w:uiPriority w:val="99"/>
    <w:rsid w:val="00043311"/>
    <w:rPr>
      <w:rFonts w:ascii="Arial" w:hAnsi="Arial" w:cs="Arial"/>
      <w:sz w:val="20"/>
      <w:szCs w:val="20"/>
      <w:lang w:val="en-NZ"/>
    </w:rPr>
  </w:style>
  <w:style w:type="character" w:customStyle="1" w:styleId="CommentTextChar1">
    <w:name w:val="Comment Text Char1"/>
    <w:basedOn w:val="DefaultParagraphFont"/>
    <w:link w:val="CommentText"/>
    <w:uiPriority w:val="99"/>
    <w:locked/>
    <w:rsid w:val="0004331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rsid w:val="00043311"/>
    <w:rPr>
      <w:b/>
      <w:bCs/>
    </w:rPr>
  </w:style>
  <w:style w:type="character" w:customStyle="1" w:styleId="CommentSubjectChar">
    <w:name w:val="Comment Subject Char"/>
    <w:basedOn w:val="CommentTextChar1"/>
    <w:link w:val="CommentSubject"/>
    <w:uiPriority w:val="99"/>
    <w:semiHidden/>
    <w:rsid w:val="00043311"/>
    <w:rPr>
      <w:rFonts w:ascii="Arial" w:eastAsia="Times New Roman" w:hAnsi="Arial" w:cs="Times New Roman"/>
      <w:b/>
      <w:bCs/>
      <w:sz w:val="20"/>
      <w:szCs w:val="20"/>
    </w:rPr>
  </w:style>
  <w:style w:type="paragraph" w:styleId="BalloonText">
    <w:name w:val="Balloon Text"/>
    <w:basedOn w:val="Normal"/>
    <w:link w:val="BalloonTextChar"/>
    <w:uiPriority w:val="99"/>
    <w:semiHidden/>
    <w:rsid w:val="00043311"/>
    <w:rPr>
      <w:rFonts w:ascii="Tahoma" w:hAnsi="Tahoma" w:cs="Tahoma"/>
      <w:sz w:val="16"/>
      <w:szCs w:val="16"/>
    </w:rPr>
  </w:style>
  <w:style w:type="character" w:customStyle="1" w:styleId="BalloonTextChar">
    <w:name w:val="Balloon Text Char"/>
    <w:basedOn w:val="DefaultParagraphFont"/>
    <w:link w:val="BalloonText"/>
    <w:uiPriority w:val="99"/>
    <w:semiHidden/>
    <w:rsid w:val="00043311"/>
    <w:rPr>
      <w:rFonts w:ascii="Tahoma" w:eastAsia="Times New Roman" w:hAnsi="Tahoma" w:cs="Tahoma"/>
      <w:sz w:val="16"/>
      <w:szCs w:val="16"/>
    </w:rPr>
  </w:style>
  <w:style w:type="paragraph" w:styleId="Caption">
    <w:name w:val="caption"/>
    <w:basedOn w:val="Normal"/>
    <w:next w:val="Normal"/>
    <w:qFormat/>
    <w:rsid w:val="00043311"/>
    <w:pPr>
      <w:spacing w:after="120"/>
    </w:pPr>
    <w:rPr>
      <w:b/>
      <w:bCs/>
      <w:sz w:val="20"/>
      <w:szCs w:val="20"/>
    </w:rPr>
  </w:style>
  <w:style w:type="paragraph" w:styleId="FootnoteText">
    <w:name w:val="footnote text"/>
    <w:basedOn w:val="Normal"/>
    <w:link w:val="FootnoteTextChar"/>
    <w:uiPriority w:val="99"/>
    <w:semiHidden/>
    <w:rsid w:val="00043311"/>
    <w:rPr>
      <w:sz w:val="20"/>
      <w:szCs w:val="20"/>
    </w:rPr>
  </w:style>
  <w:style w:type="character" w:customStyle="1" w:styleId="FootnoteTextChar">
    <w:name w:val="Footnote Text Char"/>
    <w:basedOn w:val="DefaultParagraphFont"/>
    <w:link w:val="FootnoteText"/>
    <w:uiPriority w:val="99"/>
    <w:semiHidden/>
    <w:rsid w:val="00043311"/>
    <w:rPr>
      <w:rFonts w:ascii="Arial" w:eastAsia="Times New Roman" w:hAnsi="Arial" w:cs="Times New Roman"/>
      <w:sz w:val="20"/>
      <w:szCs w:val="20"/>
    </w:rPr>
  </w:style>
  <w:style w:type="character" w:styleId="FootnoteReference">
    <w:name w:val="footnote reference"/>
    <w:basedOn w:val="DefaultParagraphFont"/>
    <w:uiPriority w:val="99"/>
    <w:semiHidden/>
    <w:rsid w:val="00043311"/>
    <w:rPr>
      <w:rFonts w:cs="Times New Roman"/>
      <w:vertAlign w:val="superscript"/>
    </w:rPr>
  </w:style>
  <w:style w:type="paragraph" w:customStyle="1" w:styleId="Default">
    <w:name w:val="Default"/>
    <w:rsid w:val="0004331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Hyperlink">
    <w:name w:val="Hyperlink"/>
    <w:basedOn w:val="DefaultParagraphFont"/>
    <w:uiPriority w:val="99"/>
    <w:rsid w:val="00043311"/>
    <w:rPr>
      <w:rFonts w:cs="Times New Roman"/>
      <w:color w:val="0000FF"/>
      <w:u w:val="single"/>
    </w:rPr>
  </w:style>
  <w:style w:type="character" w:customStyle="1" w:styleId="Normal3">
    <w:name w:val="Normal3"/>
    <w:basedOn w:val="DefaultParagraphFont"/>
    <w:uiPriority w:val="99"/>
    <w:rsid w:val="00043311"/>
    <w:rPr>
      <w:rFonts w:ascii="Times New Roman" w:hAnsi="Times New Roman" w:cs="Times New Roman"/>
      <w:bCs/>
      <w:position w:val="6"/>
      <w:sz w:val="22"/>
      <w:szCs w:val="22"/>
    </w:rPr>
  </w:style>
  <w:style w:type="paragraph" w:customStyle="1" w:styleId="StyleHeading1ArialNarrow12ptBefore6ptAfter6pt">
    <w:name w:val="Style Heading 1 + Arial Narrow 12 pt Before:  6 pt After:  6 pt..."/>
    <w:basedOn w:val="Heading1"/>
    <w:uiPriority w:val="99"/>
    <w:rsid w:val="00043311"/>
    <w:pPr>
      <w:spacing w:after="120"/>
    </w:pPr>
    <w:rPr>
      <w:rFonts w:ascii="Arial Narrow" w:hAnsi="Arial Narrow"/>
      <w:bCs/>
      <w:sz w:val="24"/>
      <w:szCs w:val="20"/>
    </w:rPr>
  </w:style>
  <w:style w:type="paragraph" w:customStyle="1" w:styleId="StyleBodyTextArialNarrow11ptBoldJustifiedBefore6">
    <w:name w:val="Style Body Text + Arial Narrow 11 pt Bold Justified Before:  6 ..."/>
    <w:basedOn w:val="BodyText"/>
    <w:uiPriority w:val="99"/>
    <w:rsid w:val="00043311"/>
    <w:rPr>
      <w:rFonts w:cs="Times New Roman"/>
      <w:b/>
      <w:bCs/>
      <w:szCs w:val="20"/>
    </w:rPr>
  </w:style>
  <w:style w:type="paragraph" w:customStyle="1" w:styleId="StyleHeading114pt">
    <w:name w:val="Style Heading 1 + 14 pt"/>
    <w:basedOn w:val="Heading1"/>
    <w:uiPriority w:val="99"/>
    <w:rsid w:val="00043311"/>
    <w:pPr>
      <w:numPr>
        <w:numId w:val="1"/>
      </w:numPr>
    </w:pPr>
    <w:rPr>
      <w:bCs/>
      <w:sz w:val="28"/>
    </w:rPr>
  </w:style>
  <w:style w:type="paragraph" w:customStyle="1" w:styleId="StyleHeading3Left02cmFirstline0cm">
    <w:name w:val="Style Heading 3 + Left:  0.2 cm First line:  0 cm"/>
    <w:basedOn w:val="Heading3"/>
    <w:next w:val="Normal"/>
    <w:link w:val="StyleHeading3Left02cmFirstline0cmChar"/>
    <w:uiPriority w:val="99"/>
    <w:rsid w:val="00043311"/>
    <w:pPr>
      <w:numPr>
        <w:numId w:val="1"/>
      </w:numPr>
    </w:pPr>
    <w:rPr>
      <w:rFonts w:cs="Times New Roman"/>
      <w:sz w:val="24"/>
      <w:szCs w:val="24"/>
    </w:rPr>
  </w:style>
  <w:style w:type="character" w:customStyle="1" w:styleId="StyleHeading3Left02cmFirstline0cmChar">
    <w:name w:val="Style Heading 3 + Left:  0.2 cm First line:  0 cm Char"/>
    <w:basedOn w:val="Heading3Char"/>
    <w:link w:val="StyleHeading3Left02cmFirstline0cm"/>
    <w:uiPriority w:val="99"/>
    <w:rsid w:val="00043311"/>
    <w:rPr>
      <w:rFonts w:eastAsia="Times New Roman" w:cs="Times New Roman"/>
      <w:b/>
      <w:iCs/>
      <w:color w:val="1F497D"/>
      <w:sz w:val="24"/>
      <w:szCs w:val="24"/>
    </w:rPr>
  </w:style>
  <w:style w:type="paragraph" w:styleId="BodyTextIndent2">
    <w:name w:val="Body Text Indent 2"/>
    <w:basedOn w:val="Normal"/>
    <w:link w:val="BodyTextIndent2Char"/>
    <w:uiPriority w:val="99"/>
    <w:rsid w:val="00043311"/>
    <w:pPr>
      <w:spacing w:after="120"/>
      <w:ind w:left="283"/>
    </w:pPr>
  </w:style>
  <w:style w:type="character" w:customStyle="1" w:styleId="BodyTextIndent2Char">
    <w:name w:val="Body Text Indent 2 Char"/>
    <w:basedOn w:val="DefaultParagraphFont"/>
    <w:link w:val="BodyTextIndent2"/>
    <w:uiPriority w:val="99"/>
    <w:rsid w:val="00043311"/>
    <w:rPr>
      <w:rFonts w:ascii="Arial" w:eastAsia="Times New Roman" w:hAnsi="Arial" w:cs="Times New Roman"/>
      <w:szCs w:val="24"/>
    </w:rPr>
  </w:style>
  <w:style w:type="paragraph" w:customStyle="1" w:styleId="default0">
    <w:name w:val="default"/>
    <w:basedOn w:val="Normal"/>
    <w:uiPriority w:val="99"/>
    <w:rsid w:val="00043311"/>
    <w:pPr>
      <w:autoSpaceDE w:val="0"/>
      <w:autoSpaceDN w:val="0"/>
      <w:spacing w:before="0" w:line="240" w:lineRule="auto"/>
      <w:jc w:val="left"/>
    </w:pPr>
    <w:rPr>
      <w:rFonts w:cs="Arial"/>
      <w:color w:val="000000"/>
      <w:lang w:val="en-GB" w:eastAsia="en-GB"/>
    </w:rPr>
  </w:style>
  <w:style w:type="paragraph" w:styleId="NormalWeb">
    <w:name w:val="Normal (Web)"/>
    <w:basedOn w:val="Normal"/>
    <w:uiPriority w:val="99"/>
    <w:rsid w:val="00043311"/>
    <w:pPr>
      <w:spacing w:before="100" w:beforeAutospacing="1" w:after="100" w:afterAutospacing="1" w:line="240" w:lineRule="auto"/>
      <w:jc w:val="left"/>
    </w:pPr>
    <w:rPr>
      <w:rFonts w:ascii="Times New Roman" w:hAnsi="Times New Roman"/>
      <w:lang w:val="en-GB" w:eastAsia="en-GB"/>
    </w:rPr>
  </w:style>
  <w:style w:type="character" w:customStyle="1" w:styleId="mw-headline">
    <w:name w:val="mw-headline"/>
    <w:basedOn w:val="DefaultParagraphFont"/>
    <w:uiPriority w:val="99"/>
    <w:rsid w:val="00043311"/>
    <w:rPr>
      <w:rFonts w:cs="Times New Roman"/>
    </w:rPr>
  </w:style>
  <w:style w:type="character" w:styleId="FollowedHyperlink">
    <w:name w:val="FollowedHyperlink"/>
    <w:basedOn w:val="DefaultParagraphFont"/>
    <w:uiPriority w:val="99"/>
    <w:rsid w:val="00043311"/>
    <w:rPr>
      <w:rFonts w:cs="Times New Roman"/>
      <w:color w:val="800080"/>
      <w:u w:val="single"/>
    </w:rPr>
  </w:style>
  <w:style w:type="paragraph" w:customStyle="1" w:styleId="Proposalbody">
    <w:name w:val="Proposal body"/>
    <w:basedOn w:val="Normal"/>
    <w:link w:val="ProposalbodyChar"/>
    <w:uiPriority w:val="99"/>
    <w:rsid w:val="00043311"/>
    <w:pPr>
      <w:spacing w:before="240" w:after="240" w:line="300" w:lineRule="auto"/>
    </w:pPr>
    <w:rPr>
      <w:rFonts w:ascii="Tahoma" w:hAnsi="Tahoma" w:cs="Arial"/>
      <w:sz w:val="20"/>
      <w:lang w:val="en-GB" w:eastAsia="en-GB"/>
    </w:rPr>
  </w:style>
  <w:style w:type="character" w:customStyle="1" w:styleId="ProposalbodyChar">
    <w:name w:val="Proposal body Char"/>
    <w:basedOn w:val="DefaultParagraphFont"/>
    <w:link w:val="Proposalbody"/>
    <w:uiPriority w:val="99"/>
    <w:locked/>
    <w:rsid w:val="00043311"/>
    <w:rPr>
      <w:rFonts w:ascii="Tahoma" w:eastAsia="Times New Roman" w:hAnsi="Tahoma" w:cs="Arial"/>
      <w:sz w:val="20"/>
      <w:szCs w:val="24"/>
      <w:lang w:val="en-GB" w:eastAsia="en-GB"/>
    </w:rPr>
  </w:style>
  <w:style w:type="paragraph" w:customStyle="1" w:styleId="References">
    <w:name w:val="References"/>
    <w:basedOn w:val="Normal"/>
    <w:rsid w:val="00043311"/>
    <w:pPr>
      <w:spacing w:before="0" w:line="276" w:lineRule="auto"/>
      <w:ind w:left="851" w:hanging="851"/>
    </w:pPr>
  </w:style>
  <w:style w:type="paragraph" w:styleId="NoSpacing">
    <w:name w:val="No Spacing"/>
    <w:uiPriority w:val="1"/>
    <w:qFormat/>
    <w:rsid w:val="00043311"/>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043311"/>
    <w:pPr>
      <w:spacing w:before="0"/>
      <w:ind w:left="720"/>
      <w:contextualSpacing/>
    </w:pPr>
    <w:rPr>
      <w:rFonts w:eastAsia="Calibri"/>
      <w:szCs w:val="22"/>
    </w:rPr>
  </w:style>
  <w:style w:type="paragraph" w:customStyle="1" w:styleId="Chapterheading">
    <w:name w:val="Chapter heading"/>
    <w:basedOn w:val="Heading1"/>
    <w:uiPriority w:val="99"/>
    <w:rsid w:val="00043311"/>
    <w:pPr>
      <w:numPr>
        <w:numId w:val="0"/>
      </w:numPr>
      <w:tabs>
        <w:tab w:val="num" w:pos="359"/>
      </w:tabs>
      <w:ind w:left="359" w:hanging="360"/>
    </w:pPr>
    <w:rPr>
      <w:bCs/>
      <w:sz w:val="28"/>
    </w:rPr>
  </w:style>
  <w:style w:type="paragraph" w:styleId="Quote">
    <w:name w:val="Quote"/>
    <w:basedOn w:val="Normal"/>
    <w:next w:val="Normal"/>
    <w:link w:val="QuoteChar"/>
    <w:uiPriority w:val="29"/>
    <w:qFormat/>
    <w:rsid w:val="00043311"/>
    <w:pPr>
      <w:spacing w:after="240" w:line="240" w:lineRule="auto"/>
      <w:ind w:left="709" w:right="714"/>
    </w:pPr>
    <w:rPr>
      <w:rFonts w:eastAsia="Calibri" w:cs="Arial"/>
      <w:iCs/>
      <w:color w:val="000000"/>
      <w:sz w:val="20"/>
      <w:szCs w:val="22"/>
    </w:rPr>
  </w:style>
  <w:style w:type="character" w:customStyle="1" w:styleId="QuoteChar">
    <w:name w:val="Quote Char"/>
    <w:basedOn w:val="DefaultParagraphFont"/>
    <w:link w:val="Quote"/>
    <w:uiPriority w:val="29"/>
    <w:rsid w:val="00043311"/>
    <w:rPr>
      <w:rFonts w:ascii="Arial" w:eastAsia="Calibri" w:hAnsi="Arial" w:cs="Arial"/>
      <w:iCs/>
      <w:color w:val="000000"/>
      <w:sz w:val="20"/>
    </w:rPr>
  </w:style>
  <w:style w:type="paragraph" w:customStyle="1" w:styleId="Subhead1">
    <w:name w:val="Subhead 1"/>
    <w:basedOn w:val="Normal"/>
    <w:link w:val="Subhead1Char"/>
    <w:qFormat/>
    <w:rsid w:val="00043311"/>
    <w:pPr>
      <w:spacing w:before="0" w:after="240"/>
      <w:ind w:left="567" w:hanging="567"/>
    </w:pPr>
    <w:rPr>
      <w:rFonts w:eastAsia="Calibri" w:cs="Arial"/>
      <w:b/>
      <w:szCs w:val="22"/>
    </w:rPr>
  </w:style>
  <w:style w:type="character" w:customStyle="1" w:styleId="Subhead1Char">
    <w:name w:val="Subhead 1 Char"/>
    <w:basedOn w:val="DefaultParagraphFont"/>
    <w:link w:val="Subhead1"/>
    <w:rsid w:val="00043311"/>
    <w:rPr>
      <w:rFonts w:ascii="Arial" w:eastAsia="Calibri" w:hAnsi="Arial" w:cs="Arial"/>
      <w:b/>
    </w:rPr>
  </w:style>
  <w:style w:type="paragraph" w:customStyle="1" w:styleId="Subhead2a">
    <w:name w:val="Subhead 2a"/>
    <w:basedOn w:val="Normal"/>
    <w:link w:val="Subhead2aChar"/>
    <w:qFormat/>
    <w:rsid w:val="00043311"/>
    <w:pPr>
      <w:tabs>
        <w:tab w:val="left" w:pos="709"/>
      </w:tabs>
      <w:spacing w:before="0"/>
      <w:ind w:left="720" w:hanging="720"/>
    </w:pPr>
    <w:rPr>
      <w:rFonts w:eastAsia="Calibri" w:cs="Arial"/>
      <w:b/>
      <w:szCs w:val="22"/>
    </w:rPr>
  </w:style>
  <w:style w:type="character" w:customStyle="1" w:styleId="Subhead2aChar">
    <w:name w:val="Subhead 2a Char"/>
    <w:basedOn w:val="DefaultParagraphFont"/>
    <w:link w:val="Subhead2a"/>
    <w:rsid w:val="00043311"/>
    <w:rPr>
      <w:rFonts w:ascii="Arial" w:eastAsia="Calibri" w:hAnsi="Arial" w:cs="Arial"/>
      <w:b/>
    </w:rPr>
  </w:style>
  <w:style w:type="paragraph" w:customStyle="1" w:styleId="Subhead3">
    <w:name w:val="Subhead 3"/>
    <w:basedOn w:val="Normal"/>
    <w:link w:val="Subhead3Char"/>
    <w:qFormat/>
    <w:rsid w:val="00043311"/>
    <w:pPr>
      <w:spacing w:before="0" w:after="240"/>
    </w:pPr>
    <w:rPr>
      <w:rFonts w:eastAsia="Calibri" w:cs="Arial"/>
      <w:b/>
      <w:i/>
      <w:szCs w:val="22"/>
    </w:rPr>
  </w:style>
  <w:style w:type="character" w:customStyle="1" w:styleId="Subhead3Char">
    <w:name w:val="Subhead 3 Char"/>
    <w:basedOn w:val="DefaultParagraphFont"/>
    <w:link w:val="Subhead3"/>
    <w:rsid w:val="00043311"/>
    <w:rPr>
      <w:rFonts w:ascii="Arial" w:eastAsia="Calibri" w:hAnsi="Arial" w:cs="Arial"/>
      <w:b/>
      <w:i/>
    </w:rPr>
  </w:style>
  <w:style w:type="paragraph" w:customStyle="1" w:styleId="Subhead2b">
    <w:name w:val="Subhead 2b"/>
    <w:basedOn w:val="Normal"/>
    <w:link w:val="Subhead2bChar"/>
    <w:qFormat/>
    <w:rsid w:val="00043311"/>
    <w:pPr>
      <w:spacing w:before="0" w:after="240"/>
    </w:pPr>
    <w:rPr>
      <w:rFonts w:eastAsia="Calibri" w:cs="Arial"/>
      <w:b/>
      <w:szCs w:val="22"/>
    </w:rPr>
  </w:style>
  <w:style w:type="character" w:customStyle="1" w:styleId="Subhead2bChar">
    <w:name w:val="Subhead 2b Char"/>
    <w:basedOn w:val="DefaultParagraphFont"/>
    <w:link w:val="Subhead2b"/>
    <w:rsid w:val="00043311"/>
    <w:rPr>
      <w:rFonts w:ascii="Arial" w:eastAsia="Calibri" w:hAnsi="Arial" w:cs="Arial"/>
      <w:b/>
    </w:rPr>
  </w:style>
  <w:style w:type="paragraph" w:customStyle="1" w:styleId="Subhead4">
    <w:name w:val="Subhead 4"/>
    <w:basedOn w:val="Normal"/>
    <w:link w:val="Subhead4Char"/>
    <w:qFormat/>
    <w:rsid w:val="00043311"/>
    <w:pPr>
      <w:spacing w:before="0" w:after="240"/>
    </w:pPr>
    <w:rPr>
      <w:rFonts w:eastAsia="Calibri" w:cs="Arial"/>
      <w:i/>
      <w:szCs w:val="22"/>
      <w:lang w:val="en-GB" w:eastAsia="en-GB"/>
    </w:rPr>
  </w:style>
  <w:style w:type="character" w:customStyle="1" w:styleId="Subhead4Char">
    <w:name w:val="Subhead 4 Char"/>
    <w:basedOn w:val="DefaultParagraphFont"/>
    <w:link w:val="Subhead4"/>
    <w:rsid w:val="00043311"/>
    <w:rPr>
      <w:rFonts w:ascii="Arial" w:eastAsia="Calibri" w:hAnsi="Arial" w:cs="Arial"/>
      <w:i/>
      <w:lang w:val="en-GB" w:eastAsia="en-GB"/>
    </w:rPr>
  </w:style>
  <w:style w:type="character" w:styleId="Strong">
    <w:name w:val="Strong"/>
    <w:basedOn w:val="DefaultParagraphFont"/>
    <w:uiPriority w:val="22"/>
    <w:qFormat/>
    <w:rsid w:val="00043311"/>
    <w:rPr>
      <w:b/>
      <w:bCs/>
    </w:rPr>
  </w:style>
  <w:style w:type="paragraph" w:customStyle="1" w:styleId="TableData">
    <w:name w:val="Table Data"/>
    <w:basedOn w:val="Normal"/>
    <w:link w:val="TableDataChar"/>
    <w:qFormat/>
    <w:rsid w:val="00043311"/>
    <w:pPr>
      <w:spacing w:before="0" w:line="240" w:lineRule="auto"/>
    </w:pPr>
    <w:rPr>
      <w:rFonts w:eastAsia="Calibri" w:cs="Arial"/>
      <w:sz w:val="20"/>
      <w:szCs w:val="20"/>
    </w:rPr>
  </w:style>
  <w:style w:type="character" w:customStyle="1" w:styleId="TableDataChar">
    <w:name w:val="Table Data Char"/>
    <w:basedOn w:val="DefaultParagraphFont"/>
    <w:link w:val="TableData"/>
    <w:rsid w:val="00043311"/>
    <w:rPr>
      <w:rFonts w:ascii="Arial" w:eastAsia="Calibri" w:hAnsi="Arial" w:cs="Arial"/>
      <w:sz w:val="20"/>
      <w:szCs w:val="20"/>
    </w:rPr>
  </w:style>
  <w:style w:type="paragraph" w:styleId="IntenseQuote">
    <w:name w:val="Intense Quote"/>
    <w:basedOn w:val="Normal"/>
    <w:next w:val="Normal"/>
    <w:link w:val="IntenseQuoteChar"/>
    <w:uiPriority w:val="30"/>
    <w:qFormat/>
    <w:rsid w:val="00043311"/>
    <w:pPr>
      <w:pBdr>
        <w:bottom w:val="single" w:sz="4" w:space="4" w:color="4F81BD"/>
      </w:pBdr>
      <w:spacing w:before="200" w:after="280"/>
      <w:ind w:left="936" w:right="936"/>
    </w:pPr>
    <w:rPr>
      <w:rFonts w:eastAsia="Calibri" w:cs="Arial"/>
      <w:b/>
      <w:bCs/>
      <w:i/>
      <w:iCs/>
      <w:color w:val="4F81BD"/>
      <w:szCs w:val="22"/>
    </w:rPr>
  </w:style>
  <w:style w:type="character" w:customStyle="1" w:styleId="IntenseQuoteChar">
    <w:name w:val="Intense Quote Char"/>
    <w:basedOn w:val="DefaultParagraphFont"/>
    <w:link w:val="IntenseQuote"/>
    <w:uiPriority w:val="30"/>
    <w:rsid w:val="00043311"/>
    <w:rPr>
      <w:rFonts w:ascii="Arial" w:eastAsia="Calibri" w:hAnsi="Arial" w:cs="Arial"/>
      <w:b/>
      <w:bCs/>
      <w:i/>
      <w:iCs/>
      <w:color w:val="4F81BD"/>
    </w:rPr>
  </w:style>
  <w:style w:type="paragraph" w:customStyle="1" w:styleId="WEQuoteChar">
    <w:name w:val="WEQuote Char"/>
    <w:basedOn w:val="Normal"/>
    <w:link w:val="WEQuoteCharChar"/>
    <w:qFormat/>
    <w:rsid w:val="00043311"/>
    <w:pPr>
      <w:spacing w:before="0"/>
      <w:ind w:left="709" w:right="713"/>
    </w:pPr>
    <w:rPr>
      <w:rFonts w:eastAsia="Calibri"/>
      <w:sz w:val="20"/>
      <w:szCs w:val="22"/>
    </w:rPr>
  </w:style>
  <w:style w:type="character" w:customStyle="1" w:styleId="WEQuoteCharChar">
    <w:name w:val="WEQuote Char Char"/>
    <w:basedOn w:val="DefaultParagraphFont"/>
    <w:link w:val="WEQuoteChar"/>
    <w:rsid w:val="00043311"/>
    <w:rPr>
      <w:rFonts w:ascii="Arial" w:eastAsia="Calibri" w:hAnsi="Arial" w:cs="Times New Roman"/>
      <w:sz w:val="20"/>
    </w:rPr>
  </w:style>
  <w:style w:type="paragraph" w:customStyle="1" w:styleId="FigCaption">
    <w:name w:val="Fig Caption"/>
    <w:basedOn w:val="TableData"/>
    <w:link w:val="FigCaptionChar"/>
    <w:qFormat/>
    <w:rsid w:val="00043311"/>
    <w:pPr>
      <w:spacing w:line="480" w:lineRule="auto"/>
    </w:pPr>
    <w:rPr>
      <w:sz w:val="24"/>
    </w:rPr>
  </w:style>
  <w:style w:type="character" w:customStyle="1" w:styleId="FigCaptionChar">
    <w:name w:val="Fig Caption Char"/>
    <w:basedOn w:val="TableDataChar"/>
    <w:link w:val="FigCaption"/>
    <w:rsid w:val="00043311"/>
    <w:rPr>
      <w:rFonts w:ascii="Arial" w:eastAsia="Calibri" w:hAnsi="Arial" w:cs="Arial"/>
      <w:sz w:val="24"/>
      <w:szCs w:val="20"/>
    </w:rPr>
  </w:style>
  <w:style w:type="paragraph" w:customStyle="1" w:styleId="ChapterHeading0">
    <w:name w:val="Chapter Heading"/>
    <w:basedOn w:val="Normal"/>
    <w:link w:val="ChapterHeadingChar"/>
    <w:qFormat/>
    <w:rsid w:val="00043311"/>
    <w:pPr>
      <w:spacing w:before="0"/>
      <w:jc w:val="center"/>
    </w:pPr>
    <w:rPr>
      <w:rFonts w:eastAsia="Calibri"/>
      <w:b/>
      <w:sz w:val="28"/>
      <w:szCs w:val="22"/>
    </w:rPr>
  </w:style>
  <w:style w:type="character" w:customStyle="1" w:styleId="ChapterHeadingChar">
    <w:name w:val="Chapter Heading Char"/>
    <w:basedOn w:val="DefaultParagraphFont"/>
    <w:link w:val="ChapterHeading0"/>
    <w:rsid w:val="00043311"/>
    <w:rPr>
      <w:rFonts w:ascii="Arial" w:eastAsia="Calibri" w:hAnsi="Arial" w:cs="Times New Roman"/>
      <w:b/>
      <w:sz w:val="28"/>
    </w:rPr>
  </w:style>
  <w:style w:type="character" w:customStyle="1" w:styleId="TableCaptionChar">
    <w:name w:val="Table Caption Char"/>
    <w:basedOn w:val="TableDataChar"/>
    <w:rsid w:val="00043311"/>
    <w:rPr>
      <w:rFonts w:ascii="Arial" w:eastAsia="Calibri" w:hAnsi="Arial" w:cs="Arial"/>
      <w:sz w:val="20"/>
      <w:szCs w:val="20"/>
    </w:rPr>
  </w:style>
  <w:style w:type="paragraph" w:customStyle="1" w:styleId="TableDataBOLD">
    <w:name w:val="Table Data BOLD"/>
    <w:basedOn w:val="TableData"/>
    <w:qFormat/>
    <w:rsid w:val="00043311"/>
    <w:rPr>
      <w:b/>
    </w:rPr>
  </w:style>
  <w:style w:type="paragraph" w:customStyle="1" w:styleId="TableCaption">
    <w:name w:val="Table Caption"/>
    <w:basedOn w:val="FigCaption"/>
    <w:link w:val="TableCaptionChar1"/>
    <w:qFormat/>
    <w:rsid w:val="00043311"/>
    <w:rPr>
      <w:i/>
    </w:rPr>
  </w:style>
  <w:style w:type="character" w:customStyle="1" w:styleId="TableCaptionChar1">
    <w:name w:val="Table Caption Char1"/>
    <w:basedOn w:val="FigCaptionChar"/>
    <w:link w:val="TableCaption"/>
    <w:rsid w:val="00043311"/>
    <w:rPr>
      <w:rFonts w:ascii="Arial" w:eastAsia="Calibri" w:hAnsi="Arial" w:cs="Arial"/>
      <w:i/>
      <w:sz w:val="24"/>
      <w:szCs w:val="20"/>
    </w:rPr>
  </w:style>
  <w:style w:type="paragraph" w:customStyle="1" w:styleId="bullet">
    <w:name w:val="bullet"/>
    <w:basedOn w:val="Paragraph"/>
    <w:link w:val="bulletChar"/>
    <w:qFormat/>
    <w:rsid w:val="00043311"/>
    <w:pPr>
      <w:numPr>
        <w:numId w:val="5"/>
      </w:numPr>
    </w:pPr>
  </w:style>
  <w:style w:type="character" w:customStyle="1" w:styleId="bulletChar">
    <w:name w:val="bullet Char"/>
    <w:basedOn w:val="ParagraphChar"/>
    <w:link w:val="bullet"/>
    <w:rsid w:val="00043311"/>
    <w:rPr>
      <w:rFonts w:ascii="Arial" w:eastAsia="Times New Roman" w:hAnsi="Arial" w:cs="Times New Roman"/>
      <w:szCs w:val="24"/>
    </w:rPr>
  </w:style>
  <w:style w:type="paragraph" w:customStyle="1" w:styleId="bulletnumbered">
    <w:name w:val="bullet numbered"/>
    <w:basedOn w:val="Paragraph"/>
    <w:link w:val="bulletnumberedChar"/>
    <w:qFormat/>
    <w:rsid w:val="00043311"/>
    <w:pPr>
      <w:numPr>
        <w:numId w:val="4"/>
      </w:numPr>
    </w:pPr>
  </w:style>
  <w:style w:type="character" w:customStyle="1" w:styleId="bulletnumberedChar">
    <w:name w:val="bullet numbered Char"/>
    <w:basedOn w:val="ParagraphChar"/>
    <w:link w:val="bulletnumbered"/>
    <w:rsid w:val="00043311"/>
    <w:rPr>
      <w:rFonts w:ascii="Arial" w:eastAsia="Times New Roman" w:hAnsi="Arial" w:cs="Times New Roman"/>
      <w:szCs w:val="24"/>
    </w:rPr>
  </w:style>
  <w:style w:type="paragraph" w:customStyle="1" w:styleId="Footer2">
    <w:name w:val="Footer2"/>
    <w:basedOn w:val="Footer"/>
    <w:link w:val="Footer2Char"/>
    <w:qFormat/>
    <w:rsid w:val="00043311"/>
    <w:pPr>
      <w:ind w:right="360"/>
      <w:jc w:val="center"/>
    </w:pPr>
    <w:rPr>
      <w:sz w:val="20"/>
    </w:rPr>
  </w:style>
  <w:style w:type="character" w:customStyle="1" w:styleId="Footer2Char">
    <w:name w:val="Footer2 Char"/>
    <w:basedOn w:val="FooterChar"/>
    <w:link w:val="Footer2"/>
    <w:rsid w:val="00043311"/>
    <w:rPr>
      <w:rFonts w:ascii="Arial" w:eastAsia="Times New Roman" w:hAnsi="Arial" w:cs="Times New Roman"/>
      <w:sz w:val="20"/>
      <w:szCs w:val="20"/>
    </w:rPr>
  </w:style>
  <w:style w:type="paragraph" w:customStyle="1" w:styleId="Subhead3a">
    <w:name w:val="Subhead 3a"/>
    <w:basedOn w:val="StyleHeading212pt"/>
    <w:link w:val="Subhead3aChar"/>
    <w:qFormat/>
    <w:rsid w:val="00043311"/>
  </w:style>
  <w:style w:type="character" w:customStyle="1" w:styleId="Subhead3aChar">
    <w:name w:val="Subhead 3a Char"/>
    <w:basedOn w:val="StyleHeading212ptChar"/>
    <w:link w:val="Subhead3a"/>
    <w:rsid w:val="00043311"/>
    <w:rPr>
      <w:rFonts w:eastAsia="Times New Roman" w:cstheme="minorHAnsi"/>
      <w:b/>
      <w:bCs/>
      <w:iCs/>
      <w:color w:val="1F497D"/>
    </w:rPr>
  </w:style>
  <w:style w:type="paragraph" w:customStyle="1" w:styleId="Subhead3b">
    <w:name w:val="Subhead 3b"/>
    <w:basedOn w:val="StyleHeading3Left02cmFirstline0cm"/>
    <w:link w:val="Subhead3bChar"/>
    <w:qFormat/>
    <w:rsid w:val="00043311"/>
    <w:pPr>
      <w:numPr>
        <w:numId w:val="2"/>
      </w:numPr>
      <w:spacing w:before="120" w:after="120"/>
      <w:jc w:val="left"/>
    </w:pPr>
  </w:style>
  <w:style w:type="character" w:customStyle="1" w:styleId="Subhead3bChar">
    <w:name w:val="Subhead 3b Char"/>
    <w:basedOn w:val="StyleHeading3Left02cmFirstline0cmChar"/>
    <w:link w:val="Subhead3b"/>
    <w:rsid w:val="00043311"/>
    <w:rPr>
      <w:rFonts w:eastAsia="Times New Roman" w:cs="Times New Roman"/>
      <w:b/>
      <w:iCs/>
      <w:color w:val="1F497D"/>
      <w:sz w:val="24"/>
      <w:szCs w:val="24"/>
    </w:rPr>
  </w:style>
  <w:style w:type="paragraph" w:customStyle="1" w:styleId="Subhead4a">
    <w:name w:val="Subhead 4a"/>
    <w:basedOn w:val="Subhead1"/>
    <w:link w:val="Subhead4aChar"/>
    <w:qFormat/>
    <w:rsid w:val="00043311"/>
    <w:pPr>
      <w:numPr>
        <w:numId w:val="6"/>
      </w:numPr>
      <w:ind w:hanging="720"/>
    </w:pPr>
  </w:style>
  <w:style w:type="character" w:customStyle="1" w:styleId="Subhead4aChar">
    <w:name w:val="Subhead 4a Char"/>
    <w:basedOn w:val="Subhead1Char"/>
    <w:link w:val="Subhead4a"/>
    <w:rsid w:val="00043311"/>
    <w:rPr>
      <w:rFonts w:ascii="Arial" w:eastAsia="Calibri" w:hAnsi="Arial" w:cs="Arial"/>
      <w:b/>
    </w:rPr>
  </w:style>
  <w:style w:type="paragraph" w:customStyle="1" w:styleId="Subhead4b">
    <w:name w:val="Subhead 4b"/>
    <w:basedOn w:val="Subhead2a"/>
    <w:link w:val="Subhead4bChar"/>
    <w:qFormat/>
    <w:rsid w:val="00043311"/>
    <w:pPr>
      <w:numPr>
        <w:numId w:val="3"/>
      </w:numPr>
      <w:ind w:hanging="720"/>
    </w:pPr>
    <w:rPr>
      <w:sz w:val="24"/>
    </w:rPr>
  </w:style>
  <w:style w:type="character" w:customStyle="1" w:styleId="Subhead4bChar">
    <w:name w:val="Subhead 4b Char"/>
    <w:basedOn w:val="Subhead2aChar"/>
    <w:link w:val="Subhead4b"/>
    <w:rsid w:val="00043311"/>
    <w:rPr>
      <w:rFonts w:ascii="Arial" w:eastAsia="Calibri" w:hAnsi="Arial" w:cs="Arial"/>
      <w:b/>
      <w:sz w:val="24"/>
    </w:rPr>
  </w:style>
  <w:style w:type="character" w:customStyle="1" w:styleId="CharCharCharChar">
    <w:name w:val="Char Char Char Char"/>
    <w:basedOn w:val="DefaultParagraphFont"/>
    <w:locked/>
    <w:rsid w:val="00043311"/>
    <w:rPr>
      <w:rFonts w:ascii="Arial" w:hAnsi="Arial"/>
      <w:sz w:val="24"/>
      <w:szCs w:val="24"/>
      <w:lang w:val="en-NZ" w:eastAsia="en-US" w:bidi="ar-SA"/>
    </w:rPr>
  </w:style>
  <w:style w:type="character" w:customStyle="1" w:styleId="Subhead4CharChar">
    <w:name w:val="Subhead 4 Char Char"/>
    <w:basedOn w:val="DefaultParagraphFont"/>
    <w:rsid w:val="00043311"/>
    <w:rPr>
      <w:rFonts w:ascii="Arial" w:eastAsia="Calibri" w:hAnsi="Arial" w:cs="Arial"/>
      <w:i/>
      <w:sz w:val="24"/>
      <w:szCs w:val="22"/>
      <w:lang w:val="en-GB" w:eastAsia="en-GB" w:bidi="ar-SA"/>
    </w:rPr>
  </w:style>
  <w:style w:type="character" w:customStyle="1" w:styleId="WEQuoteCharCharChar">
    <w:name w:val="WEQuote Char Char Char"/>
    <w:basedOn w:val="DefaultParagraphFont"/>
    <w:rsid w:val="00043311"/>
    <w:rPr>
      <w:rFonts w:ascii="Arial" w:eastAsia="Calibri" w:hAnsi="Arial"/>
      <w:sz w:val="24"/>
      <w:szCs w:val="22"/>
      <w:lang w:val="en-NZ" w:eastAsia="en-US" w:bidi="ar-SA"/>
    </w:rPr>
  </w:style>
  <w:style w:type="character" w:customStyle="1" w:styleId="ParagraphCharChar">
    <w:name w:val="Paragraph Char Char"/>
    <w:basedOn w:val="DefaultParagraphFont"/>
    <w:rsid w:val="00043311"/>
    <w:rPr>
      <w:rFonts w:ascii="Arial" w:hAnsi="Arial"/>
      <w:sz w:val="24"/>
      <w:szCs w:val="24"/>
      <w:lang w:val="en-NZ" w:eastAsia="en-US" w:bidi="ar-SA"/>
    </w:rPr>
  </w:style>
  <w:style w:type="paragraph" w:styleId="TableofFigures">
    <w:name w:val="table of figures"/>
    <w:basedOn w:val="Normal"/>
    <w:next w:val="Normal"/>
    <w:uiPriority w:val="99"/>
    <w:rsid w:val="00043311"/>
  </w:style>
  <w:style w:type="paragraph" w:customStyle="1" w:styleId="para">
    <w:name w:val="para"/>
    <w:basedOn w:val="Normal"/>
    <w:rsid w:val="00043311"/>
    <w:pPr>
      <w:spacing w:before="100" w:beforeAutospacing="1" w:after="100" w:afterAutospacing="1" w:line="240" w:lineRule="auto"/>
      <w:jc w:val="left"/>
    </w:pPr>
    <w:rPr>
      <w:rFonts w:ascii="Times New Roman" w:eastAsia="Calibri" w:hAnsi="Times New Roman"/>
      <w:lang w:val="en-US"/>
    </w:rPr>
  </w:style>
  <w:style w:type="character" w:customStyle="1" w:styleId="A9">
    <w:name w:val="A9"/>
    <w:rsid w:val="00043311"/>
    <w:rPr>
      <w:rFonts w:cs="VPQWJA+OfficinaSans-Book"/>
      <w:color w:val="000000"/>
      <w:sz w:val="15"/>
      <w:szCs w:val="15"/>
    </w:rPr>
  </w:style>
  <w:style w:type="character" w:styleId="Emphasis">
    <w:name w:val="Emphasis"/>
    <w:basedOn w:val="DefaultParagraphFont"/>
    <w:uiPriority w:val="20"/>
    <w:qFormat/>
    <w:rsid w:val="00043311"/>
    <w:rPr>
      <w:i/>
      <w:iCs/>
    </w:rPr>
  </w:style>
  <w:style w:type="paragraph" w:styleId="DocumentMap">
    <w:name w:val="Document Map"/>
    <w:basedOn w:val="Normal"/>
    <w:link w:val="DocumentMapChar"/>
    <w:semiHidden/>
    <w:rsid w:val="0004331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043311"/>
    <w:rPr>
      <w:rFonts w:ascii="Tahoma" w:eastAsia="Times New Roman" w:hAnsi="Tahoma" w:cs="Tahoma"/>
      <w:sz w:val="20"/>
      <w:szCs w:val="20"/>
      <w:shd w:val="clear" w:color="auto" w:fill="000080"/>
    </w:rPr>
  </w:style>
  <w:style w:type="paragraph" w:styleId="Revision">
    <w:name w:val="Revision"/>
    <w:hidden/>
    <w:uiPriority w:val="99"/>
    <w:semiHidden/>
    <w:rsid w:val="00043311"/>
    <w:pPr>
      <w:spacing w:after="0" w:line="240" w:lineRule="auto"/>
    </w:pPr>
    <w:rPr>
      <w:rFonts w:ascii="Arial" w:eastAsia="Times New Roman" w:hAnsi="Arial" w:cs="Times New Roman"/>
      <w:sz w:val="24"/>
      <w:szCs w:val="24"/>
    </w:rPr>
  </w:style>
  <w:style w:type="paragraph" w:customStyle="1" w:styleId="Titlepage">
    <w:name w:val="Title page"/>
    <w:basedOn w:val="CommentText"/>
    <w:link w:val="TitlepageChar"/>
    <w:qFormat/>
    <w:rsid w:val="00043311"/>
    <w:pPr>
      <w:pBdr>
        <w:bottom w:val="single" w:sz="4" w:space="1" w:color="0070C0"/>
      </w:pBdr>
      <w:spacing w:before="0" w:after="300" w:line="240" w:lineRule="auto"/>
      <w:contextualSpacing/>
      <w:jc w:val="center"/>
    </w:pPr>
    <w:rPr>
      <w:color w:val="000000"/>
      <w:spacing w:val="5"/>
      <w:kern w:val="28"/>
      <w:sz w:val="52"/>
      <w:szCs w:val="52"/>
    </w:rPr>
  </w:style>
  <w:style w:type="character" w:customStyle="1" w:styleId="TitlepageChar">
    <w:name w:val="Title page Char"/>
    <w:basedOn w:val="TitleChar"/>
    <w:link w:val="Titlepage"/>
    <w:rsid w:val="00043311"/>
    <w:rPr>
      <w:rFonts w:ascii="Arial" w:eastAsia="Times New Roman" w:hAnsi="Arial" w:cs="Times New Roman"/>
      <w:color w:val="000000"/>
      <w:spacing w:val="5"/>
      <w:kern w:val="28"/>
      <w:sz w:val="52"/>
      <w:szCs w:val="52"/>
    </w:rPr>
  </w:style>
  <w:style w:type="character" w:customStyle="1" w:styleId="TitleChar">
    <w:name w:val="Title Char"/>
    <w:basedOn w:val="DefaultParagraphFont"/>
    <w:link w:val="Title"/>
    <w:uiPriority w:val="10"/>
    <w:rsid w:val="00043311"/>
    <w:rPr>
      <w:rFonts w:ascii="Cambria" w:eastAsia="Times New Roman" w:hAnsi="Cambria" w:cs="Times New Roman"/>
      <w:color w:val="17365D"/>
      <w:spacing w:val="5"/>
      <w:kern w:val="28"/>
      <w:sz w:val="52"/>
      <w:szCs w:val="52"/>
    </w:rPr>
  </w:style>
  <w:style w:type="paragraph" w:styleId="Title">
    <w:name w:val="Title"/>
    <w:basedOn w:val="Normal"/>
    <w:next w:val="Normal"/>
    <w:link w:val="TitleChar"/>
    <w:uiPriority w:val="10"/>
    <w:qFormat/>
    <w:rsid w:val="00043311"/>
    <w:pPr>
      <w:pBdr>
        <w:bottom w:val="single" w:sz="8" w:space="4" w:color="4F81BD"/>
      </w:pBdr>
      <w:spacing w:before="0" w:after="300" w:line="240" w:lineRule="auto"/>
      <w:contextualSpacing/>
    </w:pPr>
    <w:rPr>
      <w:rFonts w:ascii="Cambria" w:hAnsi="Cambria"/>
      <w:color w:val="17365D"/>
      <w:spacing w:val="5"/>
      <w:kern w:val="28"/>
      <w:sz w:val="52"/>
      <w:szCs w:val="52"/>
    </w:rPr>
  </w:style>
  <w:style w:type="character" w:customStyle="1" w:styleId="TitleChar1">
    <w:name w:val="Title Char1"/>
    <w:basedOn w:val="DefaultParagraphFont"/>
    <w:uiPriority w:val="10"/>
    <w:rsid w:val="00043311"/>
    <w:rPr>
      <w:rFonts w:asciiTheme="majorHAnsi" w:eastAsiaTheme="majorEastAsia" w:hAnsiTheme="majorHAnsi" w:cstheme="majorBidi"/>
      <w:color w:val="17365D" w:themeColor="text2" w:themeShade="BF"/>
      <w:spacing w:val="5"/>
      <w:kern w:val="28"/>
      <w:sz w:val="52"/>
      <w:szCs w:val="52"/>
    </w:rPr>
  </w:style>
  <w:style w:type="paragraph" w:customStyle="1" w:styleId="Titlepage2">
    <w:name w:val="Title page2"/>
    <w:basedOn w:val="Normal"/>
    <w:link w:val="Titlepage2Char"/>
    <w:qFormat/>
    <w:rsid w:val="00043311"/>
    <w:pPr>
      <w:spacing w:before="0" w:line="240" w:lineRule="auto"/>
      <w:jc w:val="center"/>
    </w:pPr>
    <w:rPr>
      <w:rFonts w:eastAsia="Calibri"/>
      <w:b/>
      <w:sz w:val="28"/>
      <w:szCs w:val="22"/>
    </w:rPr>
  </w:style>
  <w:style w:type="character" w:customStyle="1" w:styleId="Titlepage2Char">
    <w:name w:val="Title page2 Char"/>
    <w:basedOn w:val="DefaultParagraphFont"/>
    <w:link w:val="Titlepage2"/>
    <w:rsid w:val="00043311"/>
    <w:rPr>
      <w:rFonts w:ascii="Arial" w:eastAsia="Calibri" w:hAnsi="Arial" w:cs="Times New Roman"/>
      <w:b/>
      <w:sz w:val="28"/>
    </w:rPr>
  </w:style>
  <w:style w:type="paragraph" w:customStyle="1" w:styleId="FionasHeading3">
    <w:name w:val="Fiona's Heading 3"/>
    <w:basedOn w:val="Paragraph"/>
    <w:next w:val="Paragraph"/>
    <w:link w:val="FionasHeading3Char"/>
    <w:qFormat/>
    <w:rsid w:val="00043311"/>
    <w:pPr>
      <w:ind w:right="22"/>
    </w:pPr>
    <w:rPr>
      <w:rFonts w:cs="Arial"/>
      <w:b/>
      <w:bCs/>
      <w:iCs/>
      <w:color w:val="1F497D"/>
    </w:rPr>
  </w:style>
  <w:style w:type="character" w:customStyle="1" w:styleId="FionasHeading3Char">
    <w:name w:val="Fiona's Heading 3 Char"/>
    <w:basedOn w:val="ParagraphChar"/>
    <w:link w:val="FionasHeading3"/>
    <w:rsid w:val="00043311"/>
    <w:rPr>
      <w:rFonts w:ascii="Arial" w:eastAsia="Times New Roman" w:hAnsi="Arial" w:cs="Arial"/>
      <w:b/>
      <w:bCs/>
      <w:iCs/>
      <w:color w:val="1F497D"/>
      <w:szCs w:val="24"/>
    </w:rPr>
  </w:style>
  <w:style w:type="paragraph" w:styleId="TOCHeading">
    <w:name w:val="TOC Heading"/>
    <w:basedOn w:val="Heading1"/>
    <w:next w:val="Normal"/>
    <w:uiPriority w:val="39"/>
    <w:unhideWhenUsed/>
    <w:qFormat/>
    <w:rsid w:val="00043311"/>
    <w:pPr>
      <w:keepLines/>
      <w:pageBreakBefore w:val="0"/>
      <w:numPr>
        <w:numId w:val="0"/>
      </w:numPr>
      <w:spacing w:before="480" w:line="276" w:lineRule="auto"/>
      <w:jc w:val="left"/>
      <w:outlineLvl w:val="9"/>
    </w:pPr>
    <w:rPr>
      <w:rFonts w:ascii="Cambria" w:hAnsi="Cambria"/>
      <w:bCs/>
      <w:caps w:val="0"/>
      <w:color w:val="365F91"/>
      <w:sz w:val="28"/>
      <w:szCs w:val="28"/>
      <w:lang w:val="en-US"/>
    </w:rPr>
  </w:style>
  <w:style w:type="paragraph" w:customStyle="1" w:styleId="LPPtext">
    <w:name w:val="LPP text"/>
    <w:basedOn w:val="Normal"/>
    <w:link w:val="LPPtextChar"/>
    <w:uiPriority w:val="99"/>
    <w:rsid w:val="00043311"/>
    <w:pPr>
      <w:spacing w:before="0" w:after="120" w:line="240" w:lineRule="auto"/>
    </w:pPr>
    <w:rPr>
      <w:rFonts w:ascii="Calibri" w:hAnsi="Calibri"/>
      <w:sz w:val="24"/>
      <w:szCs w:val="20"/>
      <w:lang w:val="en-GB" w:eastAsia="en-GB"/>
    </w:rPr>
  </w:style>
  <w:style w:type="character" w:customStyle="1" w:styleId="LPPtextChar">
    <w:name w:val="LPP text Char"/>
    <w:basedOn w:val="DefaultParagraphFont"/>
    <w:link w:val="LPPtext"/>
    <w:uiPriority w:val="99"/>
    <w:locked/>
    <w:rsid w:val="00043311"/>
    <w:rPr>
      <w:rFonts w:ascii="Calibri" w:eastAsia="Times New Roman" w:hAnsi="Calibri" w:cs="Times New Roman"/>
      <w:sz w:val="24"/>
      <w:szCs w:val="20"/>
      <w:lang w:val="en-GB" w:eastAsia="en-GB"/>
    </w:rPr>
  </w:style>
  <w:style w:type="paragraph" w:styleId="EndnoteText">
    <w:name w:val="endnote text"/>
    <w:basedOn w:val="Normal"/>
    <w:link w:val="EndnoteTextChar"/>
    <w:uiPriority w:val="99"/>
    <w:semiHidden/>
    <w:unhideWhenUsed/>
    <w:rsid w:val="00043311"/>
    <w:pPr>
      <w:spacing w:before="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043311"/>
    <w:rPr>
      <w:rFonts w:ascii="Calibri" w:eastAsia="Calibri" w:hAnsi="Calibri" w:cs="Times New Roman"/>
      <w:sz w:val="20"/>
      <w:szCs w:val="20"/>
    </w:rPr>
  </w:style>
  <w:style w:type="paragraph" w:customStyle="1" w:styleId="FionasAppendixtitles">
    <w:name w:val="Fiona's Appendix titles"/>
    <w:basedOn w:val="Heading2"/>
    <w:next w:val="Normal"/>
    <w:link w:val="FionasAppendixtitlesChar"/>
    <w:qFormat/>
    <w:rsid w:val="00043311"/>
    <w:pPr>
      <w:numPr>
        <w:ilvl w:val="0"/>
        <w:numId w:val="7"/>
      </w:numPr>
    </w:pPr>
    <w:rPr>
      <w:rFonts w:ascii="Arial Bold" w:hAnsi="Arial Bold"/>
      <w:szCs w:val="24"/>
    </w:rPr>
  </w:style>
  <w:style w:type="character" w:customStyle="1" w:styleId="FionasAppendixtitlesChar">
    <w:name w:val="Fiona's Appendix titles Char"/>
    <w:basedOn w:val="FionasHeading3Char"/>
    <w:link w:val="FionasAppendixtitles"/>
    <w:rsid w:val="00043311"/>
    <w:rPr>
      <w:rFonts w:ascii="Arial Bold" w:eastAsia="Times New Roman" w:hAnsi="Arial Bold" w:cstheme="minorHAnsi"/>
      <w:b/>
      <w:bCs/>
      <w:iCs/>
      <w:color w:val="1F497D"/>
      <w:szCs w:val="24"/>
    </w:rPr>
  </w:style>
  <w:style w:type="character" w:customStyle="1" w:styleId="rwrro4">
    <w:name w:val="rwrro4"/>
    <w:basedOn w:val="DefaultParagraphFont"/>
    <w:rsid w:val="00043311"/>
    <w:rPr>
      <w:strike w:val="0"/>
      <w:dstrike w:val="0"/>
      <w:color w:val="408CD9"/>
      <w:u w:val="none"/>
      <w:effect w:val="none"/>
    </w:rPr>
  </w:style>
  <w:style w:type="table" w:customStyle="1" w:styleId="TableGrid1">
    <w:name w:val="Table Grid1"/>
    <w:basedOn w:val="TableNormal"/>
    <w:next w:val="TableGrid"/>
    <w:uiPriority w:val="59"/>
    <w:rsid w:val="000433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43311"/>
    <w:pPr>
      <w:spacing w:after="0" w:line="240" w:lineRule="auto"/>
    </w:pPr>
    <w:rPr>
      <w:rFonts w:ascii="Calibri" w:eastAsia="Calibri" w:hAnsi="Calibri"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043311"/>
    <w:rPr>
      <w:vertAlign w:val="superscript"/>
    </w:rPr>
  </w:style>
  <w:style w:type="paragraph" w:styleId="TOC4">
    <w:name w:val="toc 4"/>
    <w:basedOn w:val="Normal"/>
    <w:next w:val="Normal"/>
    <w:autoRedefine/>
    <w:uiPriority w:val="39"/>
    <w:unhideWhenUsed/>
    <w:rsid w:val="00043311"/>
    <w:pPr>
      <w:spacing w:before="0" w:after="100" w:line="276" w:lineRule="auto"/>
      <w:ind w:left="660"/>
      <w:jc w:val="left"/>
    </w:pPr>
    <w:rPr>
      <w:rFonts w:asciiTheme="minorHAnsi" w:eastAsiaTheme="minorEastAsia" w:hAnsiTheme="minorHAnsi" w:cstheme="minorBidi"/>
      <w:szCs w:val="22"/>
      <w:lang w:eastAsia="en-NZ"/>
    </w:rPr>
  </w:style>
  <w:style w:type="paragraph" w:styleId="TOC5">
    <w:name w:val="toc 5"/>
    <w:basedOn w:val="Normal"/>
    <w:next w:val="Normal"/>
    <w:autoRedefine/>
    <w:uiPriority w:val="39"/>
    <w:unhideWhenUsed/>
    <w:rsid w:val="00043311"/>
    <w:pPr>
      <w:spacing w:before="0" w:after="100" w:line="276" w:lineRule="auto"/>
      <w:ind w:left="880"/>
      <w:jc w:val="left"/>
    </w:pPr>
    <w:rPr>
      <w:rFonts w:asciiTheme="minorHAnsi" w:eastAsiaTheme="minorEastAsia" w:hAnsiTheme="minorHAnsi" w:cstheme="minorBidi"/>
      <w:szCs w:val="22"/>
      <w:lang w:eastAsia="en-NZ"/>
    </w:rPr>
  </w:style>
  <w:style w:type="paragraph" w:styleId="TOC6">
    <w:name w:val="toc 6"/>
    <w:basedOn w:val="Normal"/>
    <w:next w:val="Normal"/>
    <w:autoRedefine/>
    <w:uiPriority w:val="39"/>
    <w:unhideWhenUsed/>
    <w:rsid w:val="00043311"/>
    <w:pPr>
      <w:spacing w:before="0" w:after="100" w:line="276" w:lineRule="auto"/>
      <w:ind w:left="1100"/>
      <w:jc w:val="left"/>
    </w:pPr>
    <w:rPr>
      <w:rFonts w:asciiTheme="minorHAnsi" w:eastAsiaTheme="minorEastAsia" w:hAnsiTheme="minorHAnsi" w:cstheme="minorBidi"/>
      <w:szCs w:val="22"/>
      <w:lang w:eastAsia="en-NZ"/>
    </w:rPr>
  </w:style>
  <w:style w:type="paragraph" w:styleId="TOC7">
    <w:name w:val="toc 7"/>
    <w:basedOn w:val="Normal"/>
    <w:next w:val="Normal"/>
    <w:autoRedefine/>
    <w:uiPriority w:val="39"/>
    <w:unhideWhenUsed/>
    <w:rsid w:val="00043311"/>
    <w:pPr>
      <w:spacing w:before="0" w:after="100" w:line="276" w:lineRule="auto"/>
      <w:ind w:left="1320"/>
      <w:jc w:val="left"/>
    </w:pPr>
    <w:rPr>
      <w:rFonts w:asciiTheme="minorHAnsi" w:eastAsiaTheme="minorEastAsia" w:hAnsiTheme="minorHAnsi" w:cstheme="minorBidi"/>
      <w:szCs w:val="22"/>
      <w:lang w:eastAsia="en-NZ"/>
    </w:rPr>
  </w:style>
  <w:style w:type="paragraph" w:styleId="TOC8">
    <w:name w:val="toc 8"/>
    <w:basedOn w:val="Normal"/>
    <w:next w:val="Normal"/>
    <w:autoRedefine/>
    <w:uiPriority w:val="39"/>
    <w:unhideWhenUsed/>
    <w:rsid w:val="00043311"/>
    <w:pPr>
      <w:spacing w:before="0" w:after="100" w:line="276" w:lineRule="auto"/>
      <w:ind w:left="1540"/>
      <w:jc w:val="left"/>
    </w:pPr>
    <w:rPr>
      <w:rFonts w:asciiTheme="minorHAnsi" w:eastAsiaTheme="minorEastAsia" w:hAnsiTheme="minorHAnsi" w:cstheme="minorBidi"/>
      <w:szCs w:val="22"/>
      <w:lang w:eastAsia="en-NZ"/>
    </w:rPr>
  </w:style>
  <w:style w:type="paragraph" w:styleId="TOC9">
    <w:name w:val="toc 9"/>
    <w:basedOn w:val="Normal"/>
    <w:next w:val="Normal"/>
    <w:autoRedefine/>
    <w:uiPriority w:val="39"/>
    <w:unhideWhenUsed/>
    <w:rsid w:val="00043311"/>
    <w:pPr>
      <w:spacing w:before="0" w:after="100" w:line="276" w:lineRule="auto"/>
      <w:ind w:left="1760"/>
      <w:jc w:val="left"/>
    </w:pPr>
    <w:rPr>
      <w:rFonts w:asciiTheme="minorHAnsi" w:eastAsiaTheme="minorEastAsia" w:hAnsiTheme="minorHAnsi" w:cstheme="minorBidi"/>
      <w:szCs w:val="22"/>
      <w:lang w:eastAsia="en-NZ"/>
    </w:rPr>
  </w:style>
  <w:style w:type="table" w:customStyle="1" w:styleId="TableGrid3">
    <w:name w:val="Table Grid3"/>
    <w:basedOn w:val="TableNormal"/>
    <w:next w:val="TableGrid"/>
    <w:uiPriority w:val="59"/>
    <w:rsid w:val="00B22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311"/>
    <w:pPr>
      <w:spacing w:before="120" w:after="0" w:line="480" w:lineRule="auto"/>
      <w:jc w:val="both"/>
    </w:pPr>
    <w:rPr>
      <w:rFonts w:ascii="Arial" w:eastAsia="Times New Roman" w:hAnsi="Arial" w:cs="Times New Roman"/>
      <w:szCs w:val="24"/>
    </w:rPr>
  </w:style>
  <w:style w:type="paragraph" w:styleId="Heading1">
    <w:name w:val="heading 1"/>
    <w:aliases w:val="Fiona's Heading 1"/>
    <w:basedOn w:val="Normal"/>
    <w:next w:val="Normal"/>
    <w:link w:val="Heading1Char"/>
    <w:uiPriority w:val="9"/>
    <w:qFormat/>
    <w:rsid w:val="00043311"/>
    <w:pPr>
      <w:keepNext/>
      <w:pageBreakBefore/>
      <w:numPr>
        <w:numId w:val="8"/>
      </w:numPr>
      <w:outlineLvl w:val="0"/>
    </w:pPr>
    <w:rPr>
      <w:rFonts w:ascii="Arial Bold" w:hAnsi="Arial Bold"/>
      <w:b/>
      <w:caps/>
      <w:color w:val="1F497D"/>
      <w:sz w:val="26"/>
    </w:rPr>
  </w:style>
  <w:style w:type="paragraph" w:styleId="Heading2">
    <w:name w:val="heading 2"/>
    <w:aliases w:val="Fiona's Heading 2"/>
    <w:basedOn w:val="Normal"/>
    <w:next w:val="Normal"/>
    <w:link w:val="Heading2Char"/>
    <w:autoRedefine/>
    <w:uiPriority w:val="9"/>
    <w:qFormat/>
    <w:rsid w:val="00043311"/>
    <w:pPr>
      <w:keepNext/>
      <w:numPr>
        <w:ilvl w:val="1"/>
        <w:numId w:val="8"/>
      </w:numPr>
      <w:spacing w:before="240" w:after="60" w:line="276" w:lineRule="auto"/>
      <w:outlineLvl w:val="1"/>
    </w:pPr>
    <w:rPr>
      <w:rFonts w:asciiTheme="minorHAnsi" w:hAnsiTheme="minorHAnsi" w:cstheme="minorHAnsi"/>
      <w:b/>
      <w:bCs/>
      <w:iCs/>
      <w:color w:val="1F497D"/>
      <w:szCs w:val="22"/>
    </w:rPr>
  </w:style>
  <w:style w:type="paragraph" w:styleId="Heading3">
    <w:name w:val="heading 3"/>
    <w:aliases w:val="Fiona's Heading 3 v2"/>
    <w:basedOn w:val="StyleHeading212pt"/>
    <w:next w:val="Normal"/>
    <w:link w:val="Heading3Char"/>
    <w:uiPriority w:val="9"/>
    <w:qFormat/>
    <w:rsid w:val="00043311"/>
    <w:pPr>
      <w:numPr>
        <w:ilvl w:val="2"/>
        <w:numId w:val="8"/>
      </w:numPr>
      <w:spacing w:before="240"/>
      <w:outlineLvl w:val="2"/>
    </w:pPr>
    <w:rPr>
      <w:bCs w:val="0"/>
      <w:szCs w:val="26"/>
    </w:rPr>
  </w:style>
  <w:style w:type="paragraph" w:styleId="Heading4">
    <w:name w:val="heading 4"/>
    <w:aliases w:val="Fiona Heading four"/>
    <w:basedOn w:val="StyleParagraph11pt"/>
    <w:next w:val="Normal"/>
    <w:link w:val="Heading4Char"/>
    <w:uiPriority w:val="99"/>
    <w:qFormat/>
    <w:rsid w:val="00043311"/>
    <w:pPr>
      <w:keepNext/>
      <w:numPr>
        <w:ilvl w:val="3"/>
        <w:numId w:val="8"/>
      </w:numPr>
      <w:spacing w:before="240" w:after="60"/>
      <w:outlineLvl w:val="3"/>
    </w:pPr>
    <w:rPr>
      <w:b/>
      <w:bCs/>
      <w:color w:val="1F497D"/>
      <w:szCs w:val="28"/>
    </w:rPr>
  </w:style>
  <w:style w:type="paragraph" w:styleId="Heading5">
    <w:name w:val="heading 5"/>
    <w:basedOn w:val="Normal"/>
    <w:next w:val="Normal"/>
    <w:link w:val="Heading5Char"/>
    <w:uiPriority w:val="99"/>
    <w:qFormat/>
    <w:rsid w:val="00043311"/>
    <w:pPr>
      <w:numPr>
        <w:ilvl w:val="4"/>
        <w:numId w:val="8"/>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043311"/>
    <w:pPr>
      <w:numPr>
        <w:ilvl w:val="5"/>
        <w:numId w:val="8"/>
      </w:numPr>
      <w:spacing w:before="240" w:after="60"/>
      <w:outlineLvl w:val="5"/>
    </w:pPr>
    <w:rPr>
      <w:rFonts w:ascii="Calibri" w:hAnsi="Calibri"/>
      <w:b/>
      <w:bCs/>
      <w:szCs w:val="22"/>
    </w:rPr>
  </w:style>
  <w:style w:type="paragraph" w:styleId="Heading7">
    <w:name w:val="heading 7"/>
    <w:basedOn w:val="Normal"/>
    <w:next w:val="Normal"/>
    <w:link w:val="Heading7Char"/>
    <w:uiPriority w:val="99"/>
    <w:qFormat/>
    <w:rsid w:val="00043311"/>
    <w:pPr>
      <w:numPr>
        <w:ilvl w:val="6"/>
        <w:numId w:val="8"/>
      </w:numPr>
      <w:spacing w:before="240" w:after="60"/>
      <w:outlineLvl w:val="6"/>
    </w:pPr>
    <w:rPr>
      <w:rFonts w:ascii="Calibri" w:hAnsi="Calibri"/>
    </w:rPr>
  </w:style>
  <w:style w:type="paragraph" w:styleId="Heading8">
    <w:name w:val="heading 8"/>
    <w:basedOn w:val="Normal"/>
    <w:next w:val="Normal"/>
    <w:link w:val="Heading8Char"/>
    <w:uiPriority w:val="99"/>
    <w:qFormat/>
    <w:rsid w:val="00043311"/>
    <w:pPr>
      <w:numPr>
        <w:ilvl w:val="7"/>
        <w:numId w:val="8"/>
      </w:numPr>
      <w:spacing w:before="240" w:after="60"/>
      <w:outlineLvl w:val="7"/>
    </w:pPr>
    <w:rPr>
      <w:rFonts w:ascii="Calibri" w:hAnsi="Calibri"/>
      <w:i/>
      <w:iCs/>
    </w:rPr>
  </w:style>
  <w:style w:type="paragraph" w:styleId="Heading9">
    <w:name w:val="heading 9"/>
    <w:basedOn w:val="Normal"/>
    <w:next w:val="Normal"/>
    <w:link w:val="Heading9Char"/>
    <w:uiPriority w:val="99"/>
    <w:qFormat/>
    <w:rsid w:val="00043311"/>
    <w:pPr>
      <w:numPr>
        <w:ilvl w:val="8"/>
        <w:numId w:val="8"/>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iona's Heading 1 Char"/>
    <w:basedOn w:val="DefaultParagraphFont"/>
    <w:link w:val="Heading1"/>
    <w:uiPriority w:val="9"/>
    <w:rsid w:val="00043311"/>
    <w:rPr>
      <w:rFonts w:ascii="Arial Bold" w:eastAsia="Times New Roman" w:hAnsi="Arial Bold" w:cs="Times New Roman"/>
      <w:b/>
      <w:caps/>
      <w:color w:val="1F497D"/>
      <w:sz w:val="26"/>
      <w:szCs w:val="24"/>
    </w:rPr>
  </w:style>
  <w:style w:type="character" w:customStyle="1" w:styleId="Heading2Char">
    <w:name w:val="Heading 2 Char"/>
    <w:aliases w:val="Fiona's Heading 2 Char"/>
    <w:basedOn w:val="DefaultParagraphFont"/>
    <w:link w:val="Heading2"/>
    <w:uiPriority w:val="9"/>
    <w:rsid w:val="00043311"/>
    <w:rPr>
      <w:rFonts w:eastAsia="Times New Roman" w:cstheme="minorHAnsi"/>
      <w:b/>
      <w:bCs/>
      <w:iCs/>
      <w:color w:val="1F497D"/>
    </w:rPr>
  </w:style>
  <w:style w:type="character" w:customStyle="1" w:styleId="Heading3Char">
    <w:name w:val="Heading 3 Char"/>
    <w:aliases w:val="Fiona's Heading 3 v2 Char"/>
    <w:basedOn w:val="DefaultParagraphFont"/>
    <w:link w:val="Heading3"/>
    <w:uiPriority w:val="9"/>
    <w:rsid w:val="00043311"/>
    <w:rPr>
      <w:rFonts w:eastAsia="Times New Roman" w:cstheme="minorHAnsi"/>
      <w:b/>
      <w:iCs/>
      <w:color w:val="1F497D"/>
      <w:szCs w:val="26"/>
    </w:rPr>
  </w:style>
  <w:style w:type="character" w:customStyle="1" w:styleId="Heading4Char">
    <w:name w:val="Heading 4 Char"/>
    <w:aliases w:val="Fiona Heading four Char"/>
    <w:basedOn w:val="DefaultParagraphFont"/>
    <w:link w:val="Heading4"/>
    <w:uiPriority w:val="99"/>
    <w:rsid w:val="00043311"/>
    <w:rPr>
      <w:rFonts w:ascii="Arial" w:eastAsia="Times New Roman" w:hAnsi="Arial" w:cs="Times New Roman"/>
      <w:b/>
      <w:bCs/>
      <w:color w:val="1F497D"/>
      <w:szCs w:val="28"/>
    </w:rPr>
  </w:style>
  <w:style w:type="character" w:customStyle="1" w:styleId="Heading5Char">
    <w:name w:val="Heading 5 Char"/>
    <w:basedOn w:val="DefaultParagraphFont"/>
    <w:link w:val="Heading5"/>
    <w:uiPriority w:val="99"/>
    <w:rsid w:val="00043311"/>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043311"/>
    <w:rPr>
      <w:rFonts w:ascii="Calibri" w:eastAsia="Times New Roman" w:hAnsi="Calibri" w:cs="Times New Roman"/>
      <w:b/>
      <w:bCs/>
    </w:rPr>
  </w:style>
  <w:style w:type="character" w:customStyle="1" w:styleId="Heading7Char">
    <w:name w:val="Heading 7 Char"/>
    <w:basedOn w:val="DefaultParagraphFont"/>
    <w:link w:val="Heading7"/>
    <w:uiPriority w:val="99"/>
    <w:rsid w:val="00043311"/>
    <w:rPr>
      <w:rFonts w:ascii="Calibri" w:eastAsia="Times New Roman" w:hAnsi="Calibri" w:cs="Times New Roman"/>
      <w:szCs w:val="24"/>
    </w:rPr>
  </w:style>
  <w:style w:type="character" w:customStyle="1" w:styleId="Heading8Char">
    <w:name w:val="Heading 8 Char"/>
    <w:basedOn w:val="DefaultParagraphFont"/>
    <w:link w:val="Heading8"/>
    <w:uiPriority w:val="99"/>
    <w:rsid w:val="00043311"/>
    <w:rPr>
      <w:rFonts w:ascii="Calibri" w:eastAsia="Times New Roman" w:hAnsi="Calibri" w:cs="Times New Roman"/>
      <w:i/>
      <w:iCs/>
      <w:szCs w:val="24"/>
    </w:rPr>
  </w:style>
  <w:style w:type="character" w:customStyle="1" w:styleId="Heading9Char">
    <w:name w:val="Heading 9 Char"/>
    <w:basedOn w:val="DefaultParagraphFont"/>
    <w:link w:val="Heading9"/>
    <w:uiPriority w:val="99"/>
    <w:rsid w:val="00043311"/>
    <w:rPr>
      <w:rFonts w:ascii="Cambria" w:eastAsia="Times New Roman" w:hAnsi="Cambria" w:cs="Times New Roman"/>
    </w:rPr>
  </w:style>
  <w:style w:type="paragraph" w:customStyle="1" w:styleId="StyleHeading212pt">
    <w:name w:val="Style Heading 2 + 12 pt"/>
    <w:basedOn w:val="Heading2"/>
    <w:next w:val="Normal"/>
    <w:link w:val="StyleHeading212ptChar"/>
    <w:uiPriority w:val="99"/>
    <w:rsid w:val="00043311"/>
    <w:pPr>
      <w:numPr>
        <w:numId w:val="1"/>
      </w:numPr>
      <w:tabs>
        <w:tab w:val="left" w:pos="851"/>
      </w:tabs>
      <w:spacing w:before="360"/>
    </w:pPr>
  </w:style>
  <w:style w:type="character" w:customStyle="1" w:styleId="StyleHeading212ptChar">
    <w:name w:val="Style Heading 2 + 12 pt Char"/>
    <w:basedOn w:val="Heading2Char"/>
    <w:link w:val="StyleHeading212pt"/>
    <w:uiPriority w:val="99"/>
    <w:rsid w:val="00043311"/>
    <w:rPr>
      <w:rFonts w:eastAsia="Times New Roman" w:cstheme="minorHAnsi"/>
      <w:b/>
      <w:bCs/>
      <w:iCs/>
      <w:color w:val="1F497D"/>
    </w:rPr>
  </w:style>
  <w:style w:type="paragraph" w:customStyle="1" w:styleId="StyleParagraph11pt">
    <w:name w:val="Style Paragraph + 11 pt"/>
    <w:basedOn w:val="Paragraph"/>
    <w:rsid w:val="00043311"/>
    <w:pPr>
      <w:spacing w:before="120" w:after="120"/>
    </w:pPr>
  </w:style>
  <w:style w:type="paragraph" w:customStyle="1" w:styleId="Paragraph">
    <w:name w:val="Paragraph"/>
    <w:basedOn w:val="Normal"/>
    <w:link w:val="ParagraphChar"/>
    <w:qFormat/>
    <w:rsid w:val="00043311"/>
    <w:pPr>
      <w:spacing w:before="0"/>
    </w:pPr>
  </w:style>
  <w:style w:type="character" w:customStyle="1" w:styleId="ParagraphChar">
    <w:name w:val="Paragraph Char"/>
    <w:basedOn w:val="DefaultParagraphFont"/>
    <w:link w:val="Paragraph"/>
    <w:rsid w:val="00043311"/>
    <w:rPr>
      <w:rFonts w:ascii="Arial" w:eastAsia="Times New Roman" w:hAnsi="Arial" w:cs="Times New Roman"/>
      <w:szCs w:val="24"/>
    </w:rPr>
  </w:style>
  <w:style w:type="paragraph" w:styleId="Footer">
    <w:name w:val="footer"/>
    <w:basedOn w:val="Normal"/>
    <w:link w:val="FooterChar"/>
    <w:uiPriority w:val="99"/>
    <w:rsid w:val="00043311"/>
    <w:pPr>
      <w:tabs>
        <w:tab w:val="center" w:pos="4153"/>
        <w:tab w:val="right" w:pos="8306"/>
      </w:tabs>
    </w:pPr>
    <w:rPr>
      <w:szCs w:val="20"/>
    </w:rPr>
  </w:style>
  <w:style w:type="character" w:customStyle="1" w:styleId="FooterChar">
    <w:name w:val="Footer Char"/>
    <w:basedOn w:val="DefaultParagraphFont"/>
    <w:link w:val="Footer"/>
    <w:uiPriority w:val="99"/>
    <w:rsid w:val="00043311"/>
    <w:rPr>
      <w:rFonts w:ascii="Arial" w:eastAsia="Times New Roman" w:hAnsi="Arial" w:cs="Times New Roman"/>
      <w:szCs w:val="20"/>
    </w:rPr>
  </w:style>
  <w:style w:type="paragraph" w:styleId="Header">
    <w:name w:val="header"/>
    <w:basedOn w:val="Normal"/>
    <w:link w:val="HeaderChar"/>
    <w:uiPriority w:val="99"/>
    <w:rsid w:val="00043311"/>
    <w:pPr>
      <w:tabs>
        <w:tab w:val="center" w:pos="4320"/>
        <w:tab w:val="right" w:pos="8640"/>
      </w:tabs>
    </w:pPr>
  </w:style>
  <w:style w:type="character" w:customStyle="1" w:styleId="HeaderChar">
    <w:name w:val="Header Char"/>
    <w:basedOn w:val="DefaultParagraphFont"/>
    <w:link w:val="Header"/>
    <w:uiPriority w:val="99"/>
    <w:rsid w:val="00043311"/>
    <w:rPr>
      <w:rFonts w:ascii="Arial" w:eastAsia="Times New Roman" w:hAnsi="Arial" w:cs="Times New Roman"/>
      <w:szCs w:val="24"/>
    </w:rPr>
  </w:style>
  <w:style w:type="character" w:styleId="PageNumber">
    <w:name w:val="page number"/>
    <w:basedOn w:val="DefaultParagraphFont"/>
    <w:uiPriority w:val="99"/>
    <w:rsid w:val="00043311"/>
    <w:rPr>
      <w:rFonts w:cs="Times New Roman"/>
    </w:rPr>
  </w:style>
  <w:style w:type="paragraph" w:styleId="BodyText">
    <w:name w:val="Body Text"/>
    <w:basedOn w:val="Normal"/>
    <w:link w:val="BodyTextChar"/>
    <w:uiPriority w:val="99"/>
    <w:rsid w:val="00043311"/>
    <w:pPr>
      <w:autoSpaceDE w:val="0"/>
      <w:autoSpaceDN w:val="0"/>
      <w:spacing w:after="120" w:line="360" w:lineRule="auto"/>
    </w:pPr>
    <w:rPr>
      <w:rFonts w:asciiTheme="minorHAnsi" w:hAnsiTheme="minorHAnsi" w:cstheme="minorHAnsi"/>
      <w:lang w:val="en-GB"/>
    </w:rPr>
  </w:style>
  <w:style w:type="character" w:customStyle="1" w:styleId="BodyTextChar">
    <w:name w:val="Body Text Char"/>
    <w:basedOn w:val="DefaultParagraphFont"/>
    <w:link w:val="BodyText"/>
    <w:uiPriority w:val="99"/>
    <w:rsid w:val="00043311"/>
    <w:rPr>
      <w:rFonts w:eastAsia="Times New Roman" w:cstheme="minorHAnsi"/>
      <w:szCs w:val="24"/>
      <w:lang w:val="en-GB"/>
    </w:rPr>
  </w:style>
  <w:style w:type="paragraph" w:styleId="TOC1">
    <w:name w:val="toc 1"/>
    <w:basedOn w:val="Normal"/>
    <w:next w:val="Normal"/>
    <w:autoRedefine/>
    <w:uiPriority w:val="39"/>
    <w:rsid w:val="00043311"/>
    <w:pPr>
      <w:tabs>
        <w:tab w:val="left" w:pos="426"/>
        <w:tab w:val="right" w:leader="dot" w:pos="8364"/>
      </w:tabs>
      <w:spacing w:before="100" w:beforeAutospacing="1" w:after="100" w:afterAutospacing="1" w:line="240" w:lineRule="auto"/>
      <w:ind w:left="709" w:hanging="709"/>
    </w:pPr>
    <w:rPr>
      <w:rFonts w:ascii="Arial Narrow" w:hAnsi="Arial Narrow"/>
    </w:rPr>
  </w:style>
  <w:style w:type="paragraph" w:styleId="TOC2">
    <w:name w:val="toc 2"/>
    <w:basedOn w:val="Normal"/>
    <w:next w:val="Normal"/>
    <w:autoRedefine/>
    <w:uiPriority w:val="39"/>
    <w:rsid w:val="00CD36A0"/>
    <w:pPr>
      <w:tabs>
        <w:tab w:val="left" w:pos="1134"/>
        <w:tab w:val="right" w:leader="dot" w:pos="9072"/>
      </w:tabs>
      <w:spacing w:line="240" w:lineRule="auto"/>
      <w:ind w:left="1560" w:right="2125" w:hanging="1320"/>
    </w:pPr>
    <w:rPr>
      <w:rFonts w:asciiTheme="minorHAnsi" w:hAnsiTheme="minorHAnsi"/>
      <w:noProof/>
    </w:rPr>
  </w:style>
  <w:style w:type="paragraph" w:styleId="TOC3">
    <w:name w:val="toc 3"/>
    <w:basedOn w:val="Normal"/>
    <w:next w:val="Normal"/>
    <w:autoRedefine/>
    <w:uiPriority w:val="39"/>
    <w:rsid w:val="00043311"/>
    <w:pPr>
      <w:tabs>
        <w:tab w:val="left" w:pos="1320"/>
        <w:tab w:val="right" w:leader="dot" w:pos="9072"/>
      </w:tabs>
      <w:spacing w:line="240" w:lineRule="auto"/>
      <w:ind w:left="1276" w:right="498" w:hanging="796"/>
    </w:pPr>
    <w:rPr>
      <w:rFonts w:ascii="Arial Narrow" w:hAnsi="Arial Narrow"/>
    </w:rPr>
  </w:style>
  <w:style w:type="table" w:styleId="TableGrid">
    <w:name w:val="Table Grid"/>
    <w:basedOn w:val="TableNormal"/>
    <w:uiPriority w:val="59"/>
    <w:rsid w:val="000433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043311"/>
    <w:rPr>
      <w:rFonts w:cs="Times New Roman"/>
      <w:sz w:val="16"/>
      <w:szCs w:val="16"/>
    </w:rPr>
  </w:style>
  <w:style w:type="paragraph" w:styleId="CommentText">
    <w:name w:val="annotation text"/>
    <w:basedOn w:val="Normal"/>
    <w:link w:val="CommentTextChar1"/>
    <w:rsid w:val="00043311"/>
    <w:rPr>
      <w:sz w:val="20"/>
      <w:szCs w:val="20"/>
    </w:rPr>
  </w:style>
  <w:style w:type="character" w:customStyle="1" w:styleId="CommentTextChar">
    <w:name w:val="Comment Text Char"/>
    <w:basedOn w:val="DefaultParagraphFont"/>
    <w:uiPriority w:val="99"/>
    <w:rsid w:val="00043311"/>
    <w:rPr>
      <w:rFonts w:ascii="Arial" w:hAnsi="Arial" w:cs="Arial"/>
      <w:sz w:val="20"/>
      <w:szCs w:val="20"/>
      <w:lang w:val="en-NZ"/>
    </w:rPr>
  </w:style>
  <w:style w:type="character" w:customStyle="1" w:styleId="CommentTextChar1">
    <w:name w:val="Comment Text Char1"/>
    <w:basedOn w:val="DefaultParagraphFont"/>
    <w:link w:val="CommentText"/>
    <w:uiPriority w:val="99"/>
    <w:locked/>
    <w:rsid w:val="0004331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rsid w:val="00043311"/>
    <w:rPr>
      <w:b/>
      <w:bCs/>
    </w:rPr>
  </w:style>
  <w:style w:type="character" w:customStyle="1" w:styleId="CommentSubjectChar">
    <w:name w:val="Comment Subject Char"/>
    <w:basedOn w:val="CommentTextChar1"/>
    <w:link w:val="CommentSubject"/>
    <w:uiPriority w:val="99"/>
    <w:semiHidden/>
    <w:rsid w:val="00043311"/>
    <w:rPr>
      <w:rFonts w:ascii="Arial" w:eastAsia="Times New Roman" w:hAnsi="Arial" w:cs="Times New Roman"/>
      <w:b/>
      <w:bCs/>
      <w:sz w:val="20"/>
      <w:szCs w:val="20"/>
    </w:rPr>
  </w:style>
  <w:style w:type="paragraph" w:styleId="BalloonText">
    <w:name w:val="Balloon Text"/>
    <w:basedOn w:val="Normal"/>
    <w:link w:val="BalloonTextChar"/>
    <w:uiPriority w:val="99"/>
    <w:semiHidden/>
    <w:rsid w:val="00043311"/>
    <w:rPr>
      <w:rFonts w:ascii="Tahoma" w:hAnsi="Tahoma" w:cs="Tahoma"/>
      <w:sz w:val="16"/>
      <w:szCs w:val="16"/>
    </w:rPr>
  </w:style>
  <w:style w:type="character" w:customStyle="1" w:styleId="BalloonTextChar">
    <w:name w:val="Balloon Text Char"/>
    <w:basedOn w:val="DefaultParagraphFont"/>
    <w:link w:val="BalloonText"/>
    <w:uiPriority w:val="99"/>
    <w:semiHidden/>
    <w:rsid w:val="00043311"/>
    <w:rPr>
      <w:rFonts w:ascii="Tahoma" w:eastAsia="Times New Roman" w:hAnsi="Tahoma" w:cs="Tahoma"/>
      <w:sz w:val="16"/>
      <w:szCs w:val="16"/>
    </w:rPr>
  </w:style>
  <w:style w:type="paragraph" w:styleId="Caption">
    <w:name w:val="caption"/>
    <w:basedOn w:val="Normal"/>
    <w:next w:val="Normal"/>
    <w:qFormat/>
    <w:rsid w:val="00043311"/>
    <w:pPr>
      <w:spacing w:after="120"/>
    </w:pPr>
    <w:rPr>
      <w:b/>
      <w:bCs/>
      <w:sz w:val="20"/>
      <w:szCs w:val="20"/>
    </w:rPr>
  </w:style>
  <w:style w:type="paragraph" w:styleId="FootnoteText">
    <w:name w:val="footnote text"/>
    <w:basedOn w:val="Normal"/>
    <w:link w:val="FootnoteTextChar"/>
    <w:uiPriority w:val="99"/>
    <w:semiHidden/>
    <w:rsid w:val="00043311"/>
    <w:rPr>
      <w:sz w:val="20"/>
      <w:szCs w:val="20"/>
    </w:rPr>
  </w:style>
  <w:style w:type="character" w:customStyle="1" w:styleId="FootnoteTextChar">
    <w:name w:val="Footnote Text Char"/>
    <w:basedOn w:val="DefaultParagraphFont"/>
    <w:link w:val="FootnoteText"/>
    <w:uiPriority w:val="99"/>
    <w:semiHidden/>
    <w:rsid w:val="00043311"/>
    <w:rPr>
      <w:rFonts w:ascii="Arial" w:eastAsia="Times New Roman" w:hAnsi="Arial" w:cs="Times New Roman"/>
      <w:sz w:val="20"/>
      <w:szCs w:val="20"/>
    </w:rPr>
  </w:style>
  <w:style w:type="character" w:styleId="FootnoteReference">
    <w:name w:val="footnote reference"/>
    <w:basedOn w:val="DefaultParagraphFont"/>
    <w:uiPriority w:val="99"/>
    <w:semiHidden/>
    <w:rsid w:val="00043311"/>
    <w:rPr>
      <w:rFonts w:cs="Times New Roman"/>
      <w:vertAlign w:val="superscript"/>
    </w:rPr>
  </w:style>
  <w:style w:type="paragraph" w:customStyle="1" w:styleId="Default">
    <w:name w:val="Default"/>
    <w:rsid w:val="0004331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Hyperlink">
    <w:name w:val="Hyperlink"/>
    <w:basedOn w:val="DefaultParagraphFont"/>
    <w:uiPriority w:val="99"/>
    <w:rsid w:val="00043311"/>
    <w:rPr>
      <w:rFonts w:cs="Times New Roman"/>
      <w:color w:val="0000FF"/>
      <w:u w:val="single"/>
    </w:rPr>
  </w:style>
  <w:style w:type="character" w:customStyle="1" w:styleId="Normal3">
    <w:name w:val="Normal3"/>
    <w:basedOn w:val="DefaultParagraphFont"/>
    <w:uiPriority w:val="99"/>
    <w:rsid w:val="00043311"/>
    <w:rPr>
      <w:rFonts w:ascii="Times New Roman" w:hAnsi="Times New Roman" w:cs="Times New Roman"/>
      <w:bCs/>
      <w:position w:val="6"/>
      <w:sz w:val="22"/>
      <w:szCs w:val="22"/>
    </w:rPr>
  </w:style>
  <w:style w:type="paragraph" w:customStyle="1" w:styleId="StyleHeading1ArialNarrow12ptBefore6ptAfter6pt">
    <w:name w:val="Style Heading 1 + Arial Narrow 12 pt Before:  6 pt After:  6 pt..."/>
    <w:basedOn w:val="Heading1"/>
    <w:uiPriority w:val="99"/>
    <w:rsid w:val="00043311"/>
    <w:pPr>
      <w:spacing w:after="120"/>
    </w:pPr>
    <w:rPr>
      <w:rFonts w:ascii="Arial Narrow" w:hAnsi="Arial Narrow"/>
      <w:bCs/>
      <w:sz w:val="24"/>
      <w:szCs w:val="20"/>
    </w:rPr>
  </w:style>
  <w:style w:type="paragraph" w:customStyle="1" w:styleId="StyleBodyTextArialNarrow11ptBoldJustifiedBefore6">
    <w:name w:val="Style Body Text + Arial Narrow 11 pt Bold Justified Before:  6 ..."/>
    <w:basedOn w:val="BodyText"/>
    <w:uiPriority w:val="99"/>
    <w:rsid w:val="00043311"/>
    <w:rPr>
      <w:rFonts w:cs="Times New Roman"/>
      <w:b/>
      <w:bCs/>
      <w:szCs w:val="20"/>
    </w:rPr>
  </w:style>
  <w:style w:type="paragraph" w:customStyle="1" w:styleId="StyleHeading114pt">
    <w:name w:val="Style Heading 1 + 14 pt"/>
    <w:basedOn w:val="Heading1"/>
    <w:uiPriority w:val="99"/>
    <w:rsid w:val="00043311"/>
    <w:pPr>
      <w:numPr>
        <w:numId w:val="1"/>
      </w:numPr>
    </w:pPr>
    <w:rPr>
      <w:bCs/>
      <w:sz w:val="28"/>
    </w:rPr>
  </w:style>
  <w:style w:type="paragraph" w:customStyle="1" w:styleId="StyleHeading3Left02cmFirstline0cm">
    <w:name w:val="Style Heading 3 + Left:  0.2 cm First line:  0 cm"/>
    <w:basedOn w:val="Heading3"/>
    <w:next w:val="Normal"/>
    <w:link w:val="StyleHeading3Left02cmFirstline0cmChar"/>
    <w:uiPriority w:val="99"/>
    <w:rsid w:val="00043311"/>
    <w:pPr>
      <w:numPr>
        <w:numId w:val="1"/>
      </w:numPr>
    </w:pPr>
    <w:rPr>
      <w:rFonts w:cs="Times New Roman"/>
      <w:sz w:val="24"/>
      <w:szCs w:val="24"/>
    </w:rPr>
  </w:style>
  <w:style w:type="character" w:customStyle="1" w:styleId="StyleHeading3Left02cmFirstline0cmChar">
    <w:name w:val="Style Heading 3 + Left:  0.2 cm First line:  0 cm Char"/>
    <w:basedOn w:val="Heading3Char"/>
    <w:link w:val="StyleHeading3Left02cmFirstline0cm"/>
    <w:uiPriority w:val="99"/>
    <w:rsid w:val="00043311"/>
    <w:rPr>
      <w:rFonts w:eastAsia="Times New Roman" w:cs="Times New Roman"/>
      <w:b/>
      <w:iCs/>
      <w:color w:val="1F497D"/>
      <w:sz w:val="24"/>
      <w:szCs w:val="24"/>
    </w:rPr>
  </w:style>
  <w:style w:type="paragraph" w:styleId="BodyTextIndent2">
    <w:name w:val="Body Text Indent 2"/>
    <w:basedOn w:val="Normal"/>
    <w:link w:val="BodyTextIndent2Char"/>
    <w:uiPriority w:val="99"/>
    <w:rsid w:val="00043311"/>
    <w:pPr>
      <w:spacing w:after="120"/>
      <w:ind w:left="283"/>
    </w:pPr>
  </w:style>
  <w:style w:type="character" w:customStyle="1" w:styleId="BodyTextIndent2Char">
    <w:name w:val="Body Text Indent 2 Char"/>
    <w:basedOn w:val="DefaultParagraphFont"/>
    <w:link w:val="BodyTextIndent2"/>
    <w:uiPriority w:val="99"/>
    <w:rsid w:val="00043311"/>
    <w:rPr>
      <w:rFonts w:ascii="Arial" w:eastAsia="Times New Roman" w:hAnsi="Arial" w:cs="Times New Roman"/>
      <w:szCs w:val="24"/>
    </w:rPr>
  </w:style>
  <w:style w:type="paragraph" w:customStyle="1" w:styleId="default0">
    <w:name w:val="default"/>
    <w:basedOn w:val="Normal"/>
    <w:uiPriority w:val="99"/>
    <w:rsid w:val="00043311"/>
    <w:pPr>
      <w:autoSpaceDE w:val="0"/>
      <w:autoSpaceDN w:val="0"/>
      <w:spacing w:before="0" w:line="240" w:lineRule="auto"/>
      <w:jc w:val="left"/>
    </w:pPr>
    <w:rPr>
      <w:rFonts w:cs="Arial"/>
      <w:color w:val="000000"/>
      <w:lang w:val="en-GB" w:eastAsia="en-GB"/>
    </w:rPr>
  </w:style>
  <w:style w:type="paragraph" w:styleId="NormalWeb">
    <w:name w:val="Normal (Web)"/>
    <w:basedOn w:val="Normal"/>
    <w:uiPriority w:val="99"/>
    <w:rsid w:val="00043311"/>
    <w:pPr>
      <w:spacing w:before="100" w:beforeAutospacing="1" w:after="100" w:afterAutospacing="1" w:line="240" w:lineRule="auto"/>
      <w:jc w:val="left"/>
    </w:pPr>
    <w:rPr>
      <w:rFonts w:ascii="Times New Roman" w:hAnsi="Times New Roman"/>
      <w:lang w:val="en-GB" w:eastAsia="en-GB"/>
    </w:rPr>
  </w:style>
  <w:style w:type="character" w:customStyle="1" w:styleId="mw-headline">
    <w:name w:val="mw-headline"/>
    <w:basedOn w:val="DefaultParagraphFont"/>
    <w:uiPriority w:val="99"/>
    <w:rsid w:val="00043311"/>
    <w:rPr>
      <w:rFonts w:cs="Times New Roman"/>
    </w:rPr>
  </w:style>
  <w:style w:type="character" w:styleId="FollowedHyperlink">
    <w:name w:val="FollowedHyperlink"/>
    <w:basedOn w:val="DefaultParagraphFont"/>
    <w:uiPriority w:val="99"/>
    <w:rsid w:val="00043311"/>
    <w:rPr>
      <w:rFonts w:cs="Times New Roman"/>
      <w:color w:val="800080"/>
      <w:u w:val="single"/>
    </w:rPr>
  </w:style>
  <w:style w:type="paragraph" w:customStyle="1" w:styleId="Proposalbody">
    <w:name w:val="Proposal body"/>
    <w:basedOn w:val="Normal"/>
    <w:link w:val="ProposalbodyChar"/>
    <w:uiPriority w:val="99"/>
    <w:rsid w:val="00043311"/>
    <w:pPr>
      <w:spacing w:before="240" w:after="240" w:line="300" w:lineRule="auto"/>
    </w:pPr>
    <w:rPr>
      <w:rFonts w:ascii="Tahoma" w:hAnsi="Tahoma" w:cs="Arial"/>
      <w:sz w:val="20"/>
      <w:lang w:val="en-GB" w:eastAsia="en-GB"/>
    </w:rPr>
  </w:style>
  <w:style w:type="character" w:customStyle="1" w:styleId="ProposalbodyChar">
    <w:name w:val="Proposal body Char"/>
    <w:basedOn w:val="DefaultParagraphFont"/>
    <w:link w:val="Proposalbody"/>
    <w:uiPriority w:val="99"/>
    <w:locked/>
    <w:rsid w:val="00043311"/>
    <w:rPr>
      <w:rFonts w:ascii="Tahoma" w:eastAsia="Times New Roman" w:hAnsi="Tahoma" w:cs="Arial"/>
      <w:sz w:val="20"/>
      <w:szCs w:val="24"/>
      <w:lang w:val="en-GB" w:eastAsia="en-GB"/>
    </w:rPr>
  </w:style>
  <w:style w:type="paragraph" w:customStyle="1" w:styleId="References">
    <w:name w:val="References"/>
    <w:basedOn w:val="Normal"/>
    <w:rsid w:val="00043311"/>
    <w:pPr>
      <w:spacing w:before="0" w:line="276" w:lineRule="auto"/>
      <w:ind w:left="851" w:hanging="851"/>
    </w:pPr>
  </w:style>
  <w:style w:type="paragraph" w:styleId="NoSpacing">
    <w:name w:val="No Spacing"/>
    <w:uiPriority w:val="1"/>
    <w:qFormat/>
    <w:rsid w:val="00043311"/>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043311"/>
    <w:pPr>
      <w:spacing w:before="0"/>
      <w:ind w:left="720"/>
      <w:contextualSpacing/>
    </w:pPr>
    <w:rPr>
      <w:rFonts w:eastAsia="Calibri"/>
      <w:szCs w:val="22"/>
    </w:rPr>
  </w:style>
  <w:style w:type="paragraph" w:customStyle="1" w:styleId="Chapterheading">
    <w:name w:val="Chapter heading"/>
    <w:basedOn w:val="Heading1"/>
    <w:uiPriority w:val="99"/>
    <w:rsid w:val="00043311"/>
    <w:pPr>
      <w:numPr>
        <w:numId w:val="0"/>
      </w:numPr>
      <w:tabs>
        <w:tab w:val="num" w:pos="359"/>
      </w:tabs>
      <w:ind w:left="359" w:hanging="360"/>
    </w:pPr>
    <w:rPr>
      <w:bCs/>
      <w:sz w:val="28"/>
    </w:rPr>
  </w:style>
  <w:style w:type="paragraph" w:styleId="Quote">
    <w:name w:val="Quote"/>
    <w:basedOn w:val="Normal"/>
    <w:next w:val="Normal"/>
    <w:link w:val="QuoteChar"/>
    <w:uiPriority w:val="29"/>
    <w:qFormat/>
    <w:rsid w:val="00043311"/>
    <w:pPr>
      <w:spacing w:after="240" w:line="240" w:lineRule="auto"/>
      <w:ind w:left="709" w:right="714"/>
    </w:pPr>
    <w:rPr>
      <w:rFonts w:eastAsia="Calibri" w:cs="Arial"/>
      <w:iCs/>
      <w:color w:val="000000"/>
      <w:sz w:val="20"/>
      <w:szCs w:val="22"/>
    </w:rPr>
  </w:style>
  <w:style w:type="character" w:customStyle="1" w:styleId="QuoteChar">
    <w:name w:val="Quote Char"/>
    <w:basedOn w:val="DefaultParagraphFont"/>
    <w:link w:val="Quote"/>
    <w:uiPriority w:val="29"/>
    <w:rsid w:val="00043311"/>
    <w:rPr>
      <w:rFonts w:ascii="Arial" w:eastAsia="Calibri" w:hAnsi="Arial" w:cs="Arial"/>
      <w:iCs/>
      <w:color w:val="000000"/>
      <w:sz w:val="20"/>
    </w:rPr>
  </w:style>
  <w:style w:type="paragraph" w:customStyle="1" w:styleId="Subhead1">
    <w:name w:val="Subhead 1"/>
    <w:basedOn w:val="Normal"/>
    <w:link w:val="Subhead1Char"/>
    <w:qFormat/>
    <w:rsid w:val="00043311"/>
    <w:pPr>
      <w:spacing w:before="0" w:after="240"/>
      <w:ind w:left="567" w:hanging="567"/>
    </w:pPr>
    <w:rPr>
      <w:rFonts w:eastAsia="Calibri" w:cs="Arial"/>
      <w:b/>
      <w:szCs w:val="22"/>
    </w:rPr>
  </w:style>
  <w:style w:type="character" w:customStyle="1" w:styleId="Subhead1Char">
    <w:name w:val="Subhead 1 Char"/>
    <w:basedOn w:val="DefaultParagraphFont"/>
    <w:link w:val="Subhead1"/>
    <w:rsid w:val="00043311"/>
    <w:rPr>
      <w:rFonts w:ascii="Arial" w:eastAsia="Calibri" w:hAnsi="Arial" w:cs="Arial"/>
      <w:b/>
    </w:rPr>
  </w:style>
  <w:style w:type="paragraph" w:customStyle="1" w:styleId="Subhead2a">
    <w:name w:val="Subhead 2a"/>
    <w:basedOn w:val="Normal"/>
    <w:link w:val="Subhead2aChar"/>
    <w:qFormat/>
    <w:rsid w:val="00043311"/>
    <w:pPr>
      <w:tabs>
        <w:tab w:val="left" w:pos="709"/>
      </w:tabs>
      <w:spacing w:before="0"/>
      <w:ind w:left="720" w:hanging="720"/>
    </w:pPr>
    <w:rPr>
      <w:rFonts w:eastAsia="Calibri" w:cs="Arial"/>
      <w:b/>
      <w:szCs w:val="22"/>
    </w:rPr>
  </w:style>
  <w:style w:type="character" w:customStyle="1" w:styleId="Subhead2aChar">
    <w:name w:val="Subhead 2a Char"/>
    <w:basedOn w:val="DefaultParagraphFont"/>
    <w:link w:val="Subhead2a"/>
    <w:rsid w:val="00043311"/>
    <w:rPr>
      <w:rFonts w:ascii="Arial" w:eastAsia="Calibri" w:hAnsi="Arial" w:cs="Arial"/>
      <w:b/>
    </w:rPr>
  </w:style>
  <w:style w:type="paragraph" w:customStyle="1" w:styleId="Subhead3">
    <w:name w:val="Subhead 3"/>
    <w:basedOn w:val="Normal"/>
    <w:link w:val="Subhead3Char"/>
    <w:qFormat/>
    <w:rsid w:val="00043311"/>
    <w:pPr>
      <w:spacing w:before="0" w:after="240"/>
    </w:pPr>
    <w:rPr>
      <w:rFonts w:eastAsia="Calibri" w:cs="Arial"/>
      <w:b/>
      <w:i/>
      <w:szCs w:val="22"/>
    </w:rPr>
  </w:style>
  <w:style w:type="character" w:customStyle="1" w:styleId="Subhead3Char">
    <w:name w:val="Subhead 3 Char"/>
    <w:basedOn w:val="DefaultParagraphFont"/>
    <w:link w:val="Subhead3"/>
    <w:rsid w:val="00043311"/>
    <w:rPr>
      <w:rFonts w:ascii="Arial" w:eastAsia="Calibri" w:hAnsi="Arial" w:cs="Arial"/>
      <w:b/>
      <w:i/>
    </w:rPr>
  </w:style>
  <w:style w:type="paragraph" w:customStyle="1" w:styleId="Subhead2b">
    <w:name w:val="Subhead 2b"/>
    <w:basedOn w:val="Normal"/>
    <w:link w:val="Subhead2bChar"/>
    <w:qFormat/>
    <w:rsid w:val="00043311"/>
    <w:pPr>
      <w:spacing w:before="0" w:after="240"/>
    </w:pPr>
    <w:rPr>
      <w:rFonts w:eastAsia="Calibri" w:cs="Arial"/>
      <w:b/>
      <w:szCs w:val="22"/>
    </w:rPr>
  </w:style>
  <w:style w:type="character" w:customStyle="1" w:styleId="Subhead2bChar">
    <w:name w:val="Subhead 2b Char"/>
    <w:basedOn w:val="DefaultParagraphFont"/>
    <w:link w:val="Subhead2b"/>
    <w:rsid w:val="00043311"/>
    <w:rPr>
      <w:rFonts w:ascii="Arial" w:eastAsia="Calibri" w:hAnsi="Arial" w:cs="Arial"/>
      <w:b/>
    </w:rPr>
  </w:style>
  <w:style w:type="paragraph" w:customStyle="1" w:styleId="Subhead4">
    <w:name w:val="Subhead 4"/>
    <w:basedOn w:val="Normal"/>
    <w:link w:val="Subhead4Char"/>
    <w:qFormat/>
    <w:rsid w:val="00043311"/>
    <w:pPr>
      <w:spacing w:before="0" w:after="240"/>
    </w:pPr>
    <w:rPr>
      <w:rFonts w:eastAsia="Calibri" w:cs="Arial"/>
      <w:i/>
      <w:szCs w:val="22"/>
      <w:lang w:val="en-GB" w:eastAsia="en-GB"/>
    </w:rPr>
  </w:style>
  <w:style w:type="character" w:customStyle="1" w:styleId="Subhead4Char">
    <w:name w:val="Subhead 4 Char"/>
    <w:basedOn w:val="DefaultParagraphFont"/>
    <w:link w:val="Subhead4"/>
    <w:rsid w:val="00043311"/>
    <w:rPr>
      <w:rFonts w:ascii="Arial" w:eastAsia="Calibri" w:hAnsi="Arial" w:cs="Arial"/>
      <w:i/>
      <w:lang w:val="en-GB" w:eastAsia="en-GB"/>
    </w:rPr>
  </w:style>
  <w:style w:type="character" w:styleId="Strong">
    <w:name w:val="Strong"/>
    <w:basedOn w:val="DefaultParagraphFont"/>
    <w:uiPriority w:val="22"/>
    <w:qFormat/>
    <w:rsid w:val="00043311"/>
    <w:rPr>
      <w:b/>
      <w:bCs/>
    </w:rPr>
  </w:style>
  <w:style w:type="paragraph" w:customStyle="1" w:styleId="TableData">
    <w:name w:val="Table Data"/>
    <w:basedOn w:val="Normal"/>
    <w:link w:val="TableDataChar"/>
    <w:qFormat/>
    <w:rsid w:val="00043311"/>
    <w:pPr>
      <w:spacing w:before="0" w:line="240" w:lineRule="auto"/>
    </w:pPr>
    <w:rPr>
      <w:rFonts w:eastAsia="Calibri" w:cs="Arial"/>
      <w:sz w:val="20"/>
      <w:szCs w:val="20"/>
    </w:rPr>
  </w:style>
  <w:style w:type="character" w:customStyle="1" w:styleId="TableDataChar">
    <w:name w:val="Table Data Char"/>
    <w:basedOn w:val="DefaultParagraphFont"/>
    <w:link w:val="TableData"/>
    <w:rsid w:val="00043311"/>
    <w:rPr>
      <w:rFonts w:ascii="Arial" w:eastAsia="Calibri" w:hAnsi="Arial" w:cs="Arial"/>
      <w:sz w:val="20"/>
      <w:szCs w:val="20"/>
    </w:rPr>
  </w:style>
  <w:style w:type="paragraph" w:styleId="IntenseQuote">
    <w:name w:val="Intense Quote"/>
    <w:basedOn w:val="Normal"/>
    <w:next w:val="Normal"/>
    <w:link w:val="IntenseQuoteChar"/>
    <w:uiPriority w:val="30"/>
    <w:qFormat/>
    <w:rsid w:val="00043311"/>
    <w:pPr>
      <w:pBdr>
        <w:bottom w:val="single" w:sz="4" w:space="4" w:color="4F81BD"/>
      </w:pBdr>
      <w:spacing w:before="200" w:after="280"/>
      <w:ind w:left="936" w:right="936"/>
    </w:pPr>
    <w:rPr>
      <w:rFonts w:eastAsia="Calibri" w:cs="Arial"/>
      <w:b/>
      <w:bCs/>
      <w:i/>
      <w:iCs/>
      <w:color w:val="4F81BD"/>
      <w:szCs w:val="22"/>
    </w:rPr>
  </w:style>
  <w:style w:type="character" w:customStyle="1" w:styleId="IntenseQuoteChar">
    <w:name w:val="Intense Quote Char"/>
    <w:basedOn w:val="DefaultParagraphFont"/>
    <w:link w:val="IntenseQuote"/>
    <w:uiPriority w:val="30"/>
    <w:rsid w:val="00043311"/>
    <w:rPr>
      <w:rFonts w:ascii="Arial" w:eastAsia="Calibri" w:hAnsi="Arial" w:cs="Arial"/>
      <w:b/>
      <w:bCs/>
      <w:i/>
      <w:iCs/>
      <w:color w:val="4F81BD"/>
    </w:rPr>
  </w:style>
  <w:style w:type="paragraph" w:customStyle="1" w:styleId="WEQuoteChar">
    <w:name w:val="WEQuote Char"/>
    <w:basedOn w:val="Normal"/>
    <w:link w:val="WEQuoteCharChar"/>
    <w:qFormat/>
    <w:rsid w:val="00043311"/>
    <w:pPr>
      <w:spacing w:before="0"/>
      <w:ind w:left="709" w:right="713"/>
    </w:pPr>
    <w:rPr>
      <w:rFonts w:eastAsia="Calibri"/>
      <w:sz w:val="20"/>
      <w:szCs w:val="22"/>
    </w:rPr>
  </w:style>
  <w:style w:type="character" w:customStyle="1" w:styleId="WEQuoteCharChar">
    <w:name w:val="WEQuote Char Char"/>
    <w:basedOn w:val="DefaultParagraphFont"/>
    <w:link w:val="WEQuoteChar"/>
    <w:rsid w:val="00043311"/>
    <w:rPr>
      <w:rFonts w:ascii="Arial" w:eastAsia="Calibri" w:hAnsi="Arial" w:cs="Times New Roman"/>
      <w:sz w:val="20"/>
    </w:rPr>
  </w:style>
  <w:style w:type="paragraph" w:customStyle="1" w:styleId="FigCaption">
    <w:name w:val="Fig Caption"/>
    <w:basedOn w:val="TableData"/>
    <w:link w:val="FigCaptionChar"/>
    <w:qFormat/>
    <w:rsid w:val="00043311"/>
    <w:pPr>
      <w:spacing w:line="480" w:lineRule="auto"/>
    </w:pPr>
    <w:rPr>
      <w:sz w:val="24"/>
    </w:rPr>
  </w:style>
  <w:style w:type="character" w:customStyle="1" w:styleId="FigCaptionChar">
    <w:name w:val="Fig Caption Char"/>
    <w:basedOn w:val="TableDataChar"/>
    <w:link w:val="FigCaption"/>
    <w:rsid w:val="00043311"/>
    <w:rPr>
      <w:rFonts w:ascii="Arial" w:eastAsia="Calibri" w:hAnsi="Arial" w:cs="Arial"/>
      <w:sz w:val="24"/>
      <w:szCs w:val="20"/>
    </w:rPr>
  </w:style>
  <w:style w:type="paragraph" w:customStyle="1" w:styleId="ChapterHeading0">
    <w:name w:val="Chapter Heading"/>
    <w:basedOn w:val="Normal"/>
    <w:link w:val="ChapterHeadingChar"/>
    <w:qFormat/>
    <w:rsid w:val="00043311"/>
    <w:pPr>
      <w:spacing w:before="0"/>
      <w:jc w:val="center"/>
    </w:pPr>
    <w:rPr>
      <w:rFonts w:eastAsia="Calibri"/>
      <w:b/>
      <w:sz w:val="28"/>
      <w:szCs w:val="22"/>
    </w:rPr>
  </w:style>
  <w:style w:type="character" w:customStyle="1" w:styleId="ChapterHeadingChar">
    <w:name w:val="Chapter Heading Char"/>
    <w:basedOn w:val="DefaultParagraphFont"/>
    <w:link w:val="ChapterHeading0"/>
    <w:rsid w:val="00043311"/>
    <w:rPr>
      <w:rFonts w:ascii="Arial" w:eastAsia="Calibri" w:hAnsi="Arial" w:cs="Times New Roman"/>
      <w:b/>
      <w:sz w:val="28"/>
    </w:rPr>
  </w:style>
  <w:style w:type="character" w:customStyle="1" w:styleId="TableCaptionChar">
    <w:name w:val="Table Caption Char"/>
    <w:basedOn w:val="TableDataChar"/>
    <w:rsid w:val="00043311"/>
    <w:rPr>
      <w:rFonts w:ascii="Arial" w:eastAsia="Calibri" w:hAnsi="Arial" w:cs="Arial"/>
      <w:sz w:val="20"/>
      <w:szCs w:val="20"/>
    </w:rPr>
  </w:style>
  <w:style w:type="paragraph" w:customStyle="1" w:styleId="TableDataBOLD">
    <w:name w:val="Table Data BOLD"/>
    <w:basedOn w:val="TableData"/>
    <w:qFormat/>
    <w:rsid w:val="00043311"/>
    <w:rPr>
      <w:b/>
    </w:rPr>
  </w:style>
  <w:style w:type="paragraph" w:customStyle="1" w:styleId="TableCaption">
    <w:name w:val="Table Caption"/>
    <w:basedOn w:val="FigCaption"/>
    <w:link w:val="TableCaptionChar1"/>
    <w:qFormat/>
    <w:rsid w:val="00043311"/>
    <w:rPr>
      <w:i/>
    </w:rPr>
  </w:style>
  <w:style w:type="character" w:customStyle="1" w:styleId="TableCaptionChar1">
    <w:name w:val="Table Caption Char1"/>
    <w:basedOn w:val="FigCaptionChar"/>
    <w:link w:val="TableCaption"/>
    <w:rsid w:val="00043311"/>
    <w:rPr>
      <w:rFonts w:ascii="Arial" w:eastAsia="Calibri" w:hAnsi="Arial" w:cs="Arial"/>
      <w:i/>
      <w:sz w:val="24"/>
      <w:szCs w:val="20"/>
    </w:rPr>
  </w:style>
  <w:style w:type="paragraph" w:customStyle="1" w:styleId="bullet">
    <w:name w:val="bullet"/>
    <w:basedOn w:val="Paragraph"/>
    <w:link w:val="bulletChar"/>
    <w:qFormat/>
    <w:rsid w:val="00043311"/>
    <w:pPr>
      <w:numPr>
        <w:numId w:val="5"/>
      </w:numPr>
    </w:pPr>
  </w:style>
  <w:style w:type="character" w:customStyle="1" w:styleId="bulletChar">
    <w:name w:val="bullet Char"/>
    <w:basedOn w:val="ParagraphChar"/>
    <w:link w:val="bullet"/>
    <w:rsid w:val="00043311"/>
    <w:rPr>
      <w:rFonts w:ascii="Arial" w:eastAsia="Times New Roman" w:hAnsi="Arial" w:cs="Times New Roman"/>
      <w:szCs w:val="24"/>
    </w:rPr>
  </w:style>
  <w:style w:type="paragraph" w:customStyle="1" w:styleId="bulletnumbered">
    <w:name w:val="bullet numbered"/>
    <w:basedOn w:val="Paragraph"/>
    <w:link w:val="bulletnumberedChar"/>
    <w:qFormat/>
    <w:rsid w:val="00043311"/>
    <w:pPr>
      <w:numPr>
        <w:numId w:val="4"/>
      </w:numPr>
    </w:pPr>
  </w:style>
  <w:style w:type="character" w:customStyle="1" w:styleId="bulletnumberedChar">
    <w:name w:val="bullet numbered Char"/>
    <w:basedOn w:val="ParagraphChar"/>
    <w:link w:val="bulletnumbered"/>
    <w:rsid w:val="00043311"/>
    <w:rPr>
      <w:rFonts w:ascii="Arial" w:eastAsia="Times New Roman" w:hAnsi="Arial" w:cs="Times New Roman"/>
      <w:szCs w:val="24"/>
    </w:rPr>
  </w:style>
  <w:style w:type="paragraph" w:customStyle="1" w:styleId="Footer2">
    <w:name w:val="Footer2"/>
    <w:basedOn w:val="Footer"/>
    <w:link w:val="Footer2Char"/>
    <w:qFormat/>
    <w:rsid w:val="00043311"/>
    <w:pPr>
      <w:ind w:right="360"/>
      <w:jc w:val="center"/>
    </w:pPr>
    <w:rPr>
      <w:sz w:val="20"/>
    </w:rPr>
  </w:style>
  <w:style w:type="character" w:customStyle="1" w:styleId="Footer2Char">
    <w:name w:val="Footer2 Char"/>
    <w:basedOn w:val="FooterChar"/>
    <w:link w:val="Footer2"/>
    <w:rsid w:val="00043311"/>
    <w:rPr>
      <w:rFonts w:ascii="Arial" w:eastAsia="Times New Roman" w:hAnsi="Arial" w:cs="Times New Roman"/>
      <w:sz w:val="20"/>
      <w:szCs w:val="20"/>
    </w:rPr>
  </w:style>
  <w:style w:type="paragraph" w:customStyle="1" w:styleId="Subhead3a">
    <w:name w:val="Subhead 3a"/>
    <w:basedOn w:val="StyleHeading212pt"/>
    <w:link w:val="Subhead3aChar"/>
    <w:qFormat/>
    <w:rsid w:val="00043311"/>
  </w:style>
  <w:style w:type="character" w:customStyle="1" w:styleId="Subhead3aChar">
    <w:name w:val="Subhead 3a Char"/>
    <w:basedOn w:val="StyleHeading212ptChar"/>
    <w:link w:val="Subhead3a"/>
    <w:rsid w:val="00043311"/>
    <w:rPr>
      <w:rFonts w:eastAsia="Times New Roman" w:cstheme="minorHAnsi"/>
      <w:b/>
      <w:bCs/>
      <w:iCs/>
      <w:color w:val="1F497D"/>
    </w:rPr>
  </w:style>
  <w:style w:type="paragraph" w:customStyle="1" w:styleId="Subhead3b">
    <w:name w:val="Subhead 3b"/>
    <w:basedOn w:val="StyleHeading3Left02cmFirstline0cm"/>
    <w:link w:val="Subhead3bChar"/>
    <w:qFormat/>
    <w:rsid w:val="00043311"/>
    <w:pPr>
      <w:numPr>
        <w:numId w:val="2"/>
      </w:numPr>
      <w:spacing w:before="120" w:after="120"/>
      <w:jc w:val="left"/>
    </w:pPr>
  </w:style>
  <w:style w:type="character" w:customStyle="1" w:styleId="Subhead3bChar">
    <w:name w:val="Subhead 3b Char"/>
    <w:basedOn w:val="StyleHeading3Left02cmFirstline0cmChar"/>
    <w:link w:val="Subhead3b"/>
    <w:rsid w:val="00043311"/>
    <w:rPr>
      <w:rFonts w:eastAsia="Times New Roman" w:cs="Times New Roman"/>
      <w:b/>
      <w:iCs/>
      <w:color w:val="1F497D"/>
      <w:sz w:val="24"/>
      <w:szCs w:val="24"/>
    </w:rPr>
  </w:style>
  <w:style w:type="paragraph" w:customStyle="1" w:styleId="Subhead4a">
    <w:name w:val="Subhead 4a"/>
    <w:basedOn w:val="Subhead1"/>
    <w:link w:val="Subhead4aChar"/>
    <w:qFormat/>
    <w:rsid w:val="00043311"/>
    <w:pPr>
      <w:numPr>
        <w:numId w:val="6"/>
      </w:numPr>
      <w:ind w:hanging="720"/>
    </w:pPr>
  </w:style>
  <w:style w:type="character" w:customStyle="1" w:styleId="Subhead4aChar">
    <w:name w:val="Subhead 4a Char"/>
    <w:basedOn w:val="Subhead1Char"/>
    <w:link w:val="Subhead4a"/>
    <w:rsid w:val="00043311"/>
    <w:rPr>
      <w:rFonts w:ascii="Arial" w:eastAsia="Calibri" w:hAnsi="Arial" w:cs="Arial"/>
      <w:b/>
    </w:rPr>
  </w:style>
  <w:style w:type="paragraph" w:customStyle="1" w:styleId="Subhead4b">
    <w:name w:val="Subhead 4b"/>
    <w:basedOn w:val="Subhead2a"/>
    <w:link w:val="Subhead4bChar"/>
    <w:qFormat/>
    <w:rsid w:val="00043311"/>
    <w:pPr>
      <w:numPr>
        <w:numId w:val="3"/>
      </w:numPr>
      <w:ind w:hanging="720"/>
    </w:pPr>
    <w:rPr>
      <w:sz w:val="24"/>
    </w:rPr>
  </w:style>
  <w:style w:type="character" w:customStyle="1" w:styleId="Subhead4bChar">
    <w:name w:val="Subhead 4b Char"/>
    <w:basedOn w:val="Subhead2aChar"/>
    <w:link w:val="Subhead4b"/>
    <w:rsid w:val="00043311"/>
    <w:rPr>
      <w:rFonts w:ascii="Arial" w:eastAsia="Calibri" w:hAnsi="Arial" w:cs="Arial"/>
      <w:b/>
      <w:sz w:val="24"/>
    </w:rPr>
  </w:style>
  <w:style w:type="character" w:customStyle="1" w:styleId="CharCharCharChar">
    <w:name w:val="Char Char Char Char"/>
    <w:basedOn w:val="DefaultParagraphFont"/>
    <w:locked/>
    <w:rsid w:val="00043311"/>
    <w:rPr>
      <w:rFonts w:ascii="Arial" w:hAnsi="Arial"/>
      <w:sz w:val="24"/>
      <w:szCs w:val="24"/>
      <w:lang w:val="en-NZ" w:eastAsia="en-US" w:bidi="ar-SA"/>
    </w:rPr>
  </w:style>
  <w:style w:type="character" w:customStyle="1" w:styleId="Subhead4CharChar">
    <w:name w:val="Subhead 4 Char Char"/>
    <w:basedOn w:val="DefaultParagraphFont"/>
    <w:rsid w:val="00043311"/>
    <w:rPr>
      <w:rFonts w:ascii="Arial" w:eastAsia="Calibri" w:hAnsi="Arial" w:cs="Arial"/>
      <w:i/>
      <w:sz w:val="24"/>
      <w:szCs w:val="22"/>
      <w:lang w:val="en-GB" w:eastAsia="en-GB" w:bidi="ar-SA"/>
    </w:rPr>
  </w:style>
  <w:style w:type="character" w:customStyle="1" w:styleId="WEQuoteCharCharChar">
    <w:name w:val="WEQuote Char Char Char"/>
    <w:basedOn w:val="DefaultParagraphFont"/>
    <w:rsid w:val="00043311"/>
    <w:rPr>
      <w:rFonts w:ascii="Arial" w:eastAsia="Calibri" w:hAnsi="Arial"/>
      <w:sz w:val="24"/>
      <w:szCs w:val="22"/>
      <w:lang w:val="en-NZ" w:eastAsia="en-US" w:bidi="ar-SA"/>
    </w:rPr>
  </w:style>
  <w:style w:type="character" w:customStyle="1" w:styleId="ParagraphCharChar">
    <w:name w:val="Paragraph Char Char"/>
    <w:basedOn w:val="DefaultParagraphFont"/>
    <w:rsid w:val="00043311"/>
    <w:rPr>
      <w:rFonts w:ascii="Arial" w:hAnsi="Arial"/>
      <w:sz w:val="24"/>
      <w:szCs w:val="24"/>
      <w:lang w:val="en-NZ" w:eastAsia="en-US" w:bidi="ar-SA"/>
    </w:rPr>
  </w:style>
  <w:style w:type="paragraph" w:styleId="TableofFigures">
    <w:name w:val="table of figures"/>
    <w:basedOn w:val="Normal"/>
    <w:next w:val="Normal"/>
    <w:uiPriority w:val="99"/>
    <w:rsid w:val="00043311"/>
  </w:style>
  <w:style w:type="paragraph" w:customStyle="1" w:styleId="para">
    <w:name w:val="para"/>
    <w:basedOn w:val="Normal"/>
    <w:rsid w:val="00043311"/>
    <w:pPr>
      <w:spacing w:before="100" w:beforeAutospacing="1" w:after="100" w:afterAutospacing="1" w:line="240" w:lineRule="auto"/>
      <w:jc w:val="left"/>
    </w:pPr>
    <w:rPr>
      <w:rFonts w:ascii="Times New Roman" w:eastAsia="Calibri" w:hAnsi="Times New Roman"/>
      <w:lang w:val="en-US"/>
    </w:rPr>
  </w:style>
  <w:style w:type="character" w:customStyle="1" w:styleId="A9">
    <w:name w:val="A9"/>
    <w:rsid w:val="00043311"/>
    <w:rPr>
      <w:rFonts w:cs="VPQWJA+OfficinaSans-Book"/>
      <w:color w:val="000000"/>
      <w:sz w:val="15"/>
      <w:szCs w:val="15"/>
    </w:rPr>
  </w:style>
  <w:style w:type="character" w:styleId="Emphasis">
    <w:name w:val="Emphasis"/>
    <w:basedOn w:val="DefaultParagraphFont"/>
    <w:uiPriority w:val="20"/>
    <w:qFormat/>
    <w:rsid w:val="00043311"/>
    <w:rPr>
      <w:i/>
      <w:iCs/>
    </w:rPr>
  </w:style>
  <w:style w:type="paragraph" w:styleId="DocumentMap">
    <w:name w:val="Document Map"/>
    <w:basedOn w:val="Normal"/>
    <w:link w:val="DocumentMapChar"/>
    <w:semiHidden/>
    <w:rsid w:val="0004331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043311"/>
    <w:rPr>
      <w:rFonts w:ascii="Tahoma" w:eastAsia="Times New Roman" w:hAnsi="Tahoma" w:cs="Tahoma"/>
      <w:sz w:val="20"/>
      <w:szCs w:val="20"/>
      <w:shd w:val="clear" w:color="auto" w:fill="000080"/>
    </w:rPr>
  </w:style>
  <w:style w:type="paragraph" w:styleId="Revision">
    <w:name w:val="Revision"/>
    <w:hidden/>
    <w:uiPriority w:val="99"/>
    <w:semiHidden/>
    <w:rsid w:val="00043311"/>
    <w:pPr>
      <w:spacing w:after="0" w:line="240" w:lineRule="auto"/>
    </w:pPr>
    <w:rPr>
      <w:rFonts w:ascii="Arial" w:eastAsia="Times New Roman" w:hAnsi="Arial" w:cs="Times New Roman"/>
      <w:sz w:val="24"/>
      <w:szCs w:val="24"/>
    </w:rPr>
  </w:style>
  <w:style w:type="paragraph" w:customStyle="1" w:styleId="Titlepage">
    <w:name w:val="Title page"/>
    <w:basedOn w:val="CommentText"/>
    <w:link w:val="TitlepageChar"/>
    <w:qFormat/>
    <w:rsid w:val="00043311"/>
    <w:pPr>
      <w:pBdr>
        <w:bottom w:val="single" w:sz="4" w:space="1" w:color="0070C0"/>
      </w:pBdr>
      <w:spacing w:before="0" w:after="300" w:line="240" w:lineRule="auto"/>
      <w:contextualSpacing/>
      <w:jc w:val="center"/>
    </w:pPr>
    <w:rPr>
      <w:color w:val="000000"/>
      <w:spacing w:val="5"/>
      <w:kern w:val="28"/>
      <w:sz w:val="52"/>
      <w:szCs w:val="52"/>
    </w:rPr>
  </w:style>
  <w:style w:type="character" w:customStyle="1" w:styleId="TitlepageChar">
    <w:name w:val="Title page Char"/>
    <w:basedOn w:val="TitleChar"/>
    <w:link w:val="Titlepage"/>
    <w:rsid w:val="00043311"/>
    <w:rPr>
      <w:rFonts w:ascii="Arial" w:eastAsia="Times New Roman" w:hAnsi="Arial" w:cs="Times New Roman"/>
      <w:color w:val="000000"/>
      <w:spacing w:val="5"/>
      <w:kern w:val="28"/>
      <w:sz w:val="52"/>
      <w:szCs w:val="52"/>
    </w:rPr>
  </w:style>
  <w:style w:type="character" w:customStyle="1" w:styleId="TitleChar">
    <w:name w:val="Title Char"/>
    <w:basedOn w:val="DefaultParagraphFont"/>
    <w:link w:val="Title"/>
    <w:uiPriority w:val="10"/>
    <w:rsid w:val="00043311"/>
    <w:rPr>
      <w:rFonts w:ascii="Cambria" w:eastAsia="Times New Roman" w:hAnsi="Cambria" w:cs="Times New Roman"/>
      <w:color w:val="17365D"/>
      <w:spacing w:val="5"/>
      <w:kern w:val="28"/>
      <w:sz w:val="52"/>
      <w:szCs w:val="52"/>
    </w:rPr>
  </w:style>
  <w:style w:type="paragraph" w:styleId="Title">
    <w:name w:val="Title"/>
    <w:basedOn w:val="Normal"/>
    <w:next w:val="Normal"/>
    <w:link w:val="TitleChar"/>
    <w:uiPriority w:val="10"/>
    <w:qFormat/>
    <w:rsid w:val="00043311"/>
    <w:pPr>
      <w:pBdr>
        <w:bottom w:val="single" w:sz="8" w:space="4" w:color="4F81BD"/>
      </w:pBdr>
      <w:spacing w:before="0" w:after="300" w:line="240" w:lineRule="auto"/>
      <w:contextualSpacing/>
    </w:pPr>
    <w:rPr>
      <w:rFonts w:ascii="Cambria" w:hAnsi="Cambria"/>
      <w:color w:val="17365D"/>
      <w:spacing w:val="5"/>
      <w:kern w:val="28"/>
      <w:sz w:val="52"/>
      <w:szCs w:val="52"/>
    </w:rPr>
  </w:style>
  <w:style w:type="character" w:customStyle="1" w:styleId="TitleChar1">
    <w:name w:val="Title Char1"/>
    <w:basedOn w:val="DefaultParagraphFont"/>
    <w:uiPriority w:val="10"/>
    <w:rsid w:val="00043311"/>
    <w:rPr>
      <w:rFonts w:asciiTheme="majorHAnsi" w:eastAsiaTheme="majorEastAsia" w:hAnsiTheme="majorHAnsi" w:cstheme="majorBidi"/>
      <w:color w:val="17365D" w:themeColor="text2" w:themeShade="BF"/>
      <w:spacing w:val="5"/>
      <w:kern w:val="28"/>
      <w:sz w:val="52"/>
      <w:szCs w:val="52"/>
    </w:rPr>
  </w:style>
  <w:style w:type="paragraph" w:customStyle="1" w:styleId="Titlepage2">
    <w:name w:val="Title page2"/>
    <w:basedOn w:val="Normal"/>
    <w:link w:val="Titlepage2Char"/>
    <w:qFormat/>
    <w:rsid w:val="00043311"/>
    <w:pPr>
      <w:spacing w:before="0" w:line="240" w:lineRule="auto"/>
      <w:jc w:val="center"/>
    </w:pPr>
    <w:rPr>
      <w:rFonts w:eastAsia="Calibri"/>
      <w:b/>
      <w:sz w:val="28"/>
      <w:szCs w:val="22"/>
    </w:rPr>
  </w:style>
  <w:style w:type="character" w:customStyle="1" w:styleId="Titlepage2Char">
    <w:name w:val="Title page2 Char"/>
    <w:basedOn w:val="DefaultParagraphFont"/>
    <w:link w:val="Titlepage2"/>
    <w:rsid w:val="00043311"/>
    <w:rPr>
      <w:rFonts w:ascii="Arial" w:eastAsia="Calibri" w:hAnsi="Arial" w:cs="Times New Roman"/>
      <w:b/>
      <w:sz w:val="28"/>
    </w:rPr>
  </w:style>
  <w:style w:type="paragraph" w:customStyle="1" w:styleId="FionasHeading3">
    <w:name w:val="Fiona's Heading 3"/>
    <w:basedOn w:val="Paragraph"/>
    <w:next w:val="Paragraph"/>
    <w:link w:val="FionasHeading3Char"/>
    <w:qFormat/>
    <w:rsid w:val="00043311"/>
    <w:pPr>
      <w:ind w:right="22"/>
    </w:pPr>
    <w:rPr>
      <w:rFonts w:cs="Arial"/>
      <w:b/>
      <w:bCs/>
      <w:iCs/>
      <w:color w:val="1F497D"/>
    </w:rPr>
  </w:style>
  <w:style w:type="character" w:customStyle="1" w:styleId="FionasHeading3Char">
    <w:name w:val="Fiona's Heading 3 Char"/>
    <w:basedOn w:val="ParagraphChar"/>
    <w:link w:val="FionasHeading3"/>
    <w:rsid w:val="00043311"/>
    <w:rPr>
      <w:rFonts w:ascii="Arial" w:eastAsia="Times New Roman" w:hAnsi="Arial" w:cs="Arial"/>
      <w:b/>
      <w:bCs/>
      <w:iCs/>
      <w:color w:val="1F497D"/>
      <w:szCs w:val="24"/>
    </w:rPr>
  </w:style>
  <w:style w:type="paragraph" w:styleId="TOCHeading">
    <w:name w:val="TOC Heading"/>
    <w:basedOn w:val="Heading1"/>
    <w:next w:val="Normal"/>
    <w:uiPriority w:val="39"/>
    <w:unhideWhenUsed/>
    <w:qFormat/>
    <w:rsid w:val="00043311"/>
    <w:pPr>
      <w:keepLines/>
      <w:pageBreakBefore w:val="0"/>
      <w:numPr>
        <w:numId w:val="0"/>
      </w:numPr>
      <w:spacing w:before="480" w:line="276" w:lineRule="auto"/>
      <w:jc w:val="left"/>
      <w:outlineLvl w:val="9"/>
    </w:pPr>
    <w:rPr>
      <w:rFonts w:ascii="Cambria" w:hAnsi="Cambria"/>
      <w:bCs/>
      <w:caps w:val="0"/>
      <w:color w:val="365F91"/>
      <w:sz w:val="28"/>
      <w:szCs w:val="28"/>
      <w:lang w:val="en-US"/>
    </w:rPr>
  </w:style>
  <w:style w:type="paragraph" w:customStyle="1" w:styleId="LPPtext">
    <w:name w:val="LPP text"/>
    <w:basedOn w:val="Normal"/>
    <w:link w:val="LPPtextChar"/>
    <w:uiPriority w:val="99"/>
    <w:rsid w:val="00043311"/>
    <w:pPr>
      <w:spacing w:before="0" w:after="120" w:line="240" w:lineRule="auto"/>
    </w:pPr>
    <w:rPr>
      <w:rFonts w:ascii="Calibri" w:hAnsi="Calibri"/>
      <w:sz w:val="24"/>
      <w:szCs w:val="20"/>
      <w:lang w:val="en-GB" w:eastAsia="en-GB"/>
    </w:rPr>
  </w:style>
  <w:style w:type="character" w:customStyle="1" w:styleId="LPPtextChar">
    <w:name w:val="LPP text Char"/>
    <w:basedOn w:val="DefaultParagraphFont"/>
    <w:link w:val="LPPtext"/>
    <w:uiPriority w:val="99"/>
    <w:locked/>
    <w:rsid w:val="00043311"/>
    <w:rPr>
      <w:rFonts w:ascii="Calibri" w:eastAsia="Times New Roman" w:hAnsi="Calibri" w:cs="Times New Roman"/>
      <w:sz w:val="24"/>
      <w:szCs w:val="20"/>
      <w:lang w:val="en-GB" w:eastAsia="en-GB"/>
    </w:rPr>
  </w:style>
  <w:style w:type="paragraph" w:styleId="EndnoteText">
    <w:name w:val="endnote text"/>
    <w:basedOn w:val="Normal"/>
    <w:link w:val="EndnoteTextChar"/>
    <w:uiPriority w:val="99"/>
    <w:semiHidden/>
    <w:unhideWhenUsed/>
    <w:rsid w:val="00043311"/>
    <w:pPr>
      <w:spacing w:before="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043311"/>
    <w:rPr>
      <w:rFonts w:ascii="Calibri" w:eastAsia="Calibri" w:hAnsi="Calibri" w:cs="Times New Roman"/>
      <w:sz w:val="20"/>
      <w:szCs w:val="20"/>
    </w:rPr>
  </w:style>
  <w:style w:type="paragraph" w:customStyle="1" w:styleId="FionasAppendixtitles">
    <w:name w:val="Fiona's Appendix titles"/>
    <w:basedOn w:val="Heading2"/>
    <w:next w:val="Normal"/>
    <w:link w:val="FionasAppendixtitlesChar"/>
    <w:qFormat/>
    <w:rsid w:val="00043311"/>
    <w:pPr>
      <w:numPr>
        <w:ilvl w:val="0"/>
        <w:numId w:val="7"/>
      </w:numPr>
    </w:pPr>
    <w:rPr>
      <w:rFonts w:ascii="Arial Bold" w:hAnsi="Arial Bold"/>
      <w:szCs w:val="24"/>
    </w:rPr>
  </w:style>
  <w:style w:type="character" w:customStyle="1" w:styleId="FionasAppendixtitlesChar">
    <w:name w:val="Fiona's Appendix titles Char"/>
    <w:basedOn w:val="FionasHeading3Char"/>
    <w:link w:val="FionasAppendixtitles"/>
    <w:rsid w:val="00043311"/>
    <w:rPr>
      <w:rFonts w:ascii="Arial Bold" w:eastAsia="Times New Roman" w:hAnsi="Arial Bold" w:cstheme="minorHAnsi"/>
      <w:b/>
      <w:bCs/>
      <w:iCs/>
      <w:color w:val="1F497D"/>
      <w:szCs w:val="24"/>
    </w:rPr>
  </w:style>
  <w:style w:type="character" w:customStyle="1" w:styleId="rwrro4">
    <w:name w:val="rwrro4"/>
    <w:basedOn w:val="DefaultParagraphFont"/>
    <w:rsid w:val="00043311"/>
    <w:rPr>
      <w:strike w:val="0"/>
      <w:dstrike w:val="0"/>
      <w:color w:val="408CD9"/>
      <w:u w:val="none"/>
      <w:effect w:val="none"/>
    </w:rPr>
  </w:style>
  <w:style w:type="table" w:customStyle="1" w:styleId="TableGrid1">
    <w:name w:val="Table Grid1"/>
    <w:basedOn w:val="TableNormal"/>
    <w:next w:val="TableGrid"/>
    <w:uiPriority w:val="59"/>
    <w:rsid w:val="000433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43311"/>
    <w:pPr>
      <w:spacing w:after="0" w:line="240" w:lineRule="auto"/>
    </w:pPr>
    <w:rPr>
      <w:rFonts w:ascii="Calibri" w:eastAsia="Calibri" w:hAnsi="Calibri"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043311"/>
    <w:rPr>
      <w:vertAlign w:val="superscript"/>
    </w:rPr>
  </w:style>
  <w:style w:type="paragraph" w:styleId="TOC4">
    <w:name w:val="toc 4"/>
    <w:basedOn w:val="Normal"/>
    <w:next w:val="Normal"/>
    <w:autoRedefine/>
    <w:uiPriority w:val="39"/>
    <w:unhideWhenUsed/>
    <w:rsid w:val="00043311"/>
    <w:pPr>
      <w:spacing w:before="0" w:after="100" w:line="276" w:lineRule="auto"/>
      <w:ind w:left="660"/>
      <w:jc w:val="left"/>
    </w:pPr>
    <w:rPr>
      <w:rFonts w:asciiTheme="minorHAnsi" w:eastAsiaTheme="minorEastAsia" w:hAnsiTheme="minorHAnsi" w:cstheme="minorBidi"/>
      <w:szCs w:val="22"/>
      <w:lang w:eastAsia="en-NZ"/>
    </w:rPr>
  </w:style>
  <w:style w:type="paragraph" w:styleId="TOC5">
    <w:name w:val="toc 5"/>
    <w:basedOn w:val="Normal"/>
    <w:next w:val="Normal"/>
    <w:autoRedefine/>
    <w:uiPriority w:val="39"/>
    <w:unhideWhenUsed/>
    <w:rsid w:val="00043311"/>
    <w:pPr>
      <w:spacing w:before="0" w:after="100" w:line="276" w:lineRule="auto"/>
      <w:ind w:left="880"/>
      <w:jc w:val="left"/>
    </w:pPr>
    <w:rPr>
      <w:rFonts w:asciiTheme="minorHAnsi" w:eastAsiaTheme="minorEastAsia" w:hAnsiTheme="minorHAnsi" w:cstheme="minorBidi"/>
      <w:szCs w:val="22"/>
      <w:lang w:eastAsia="en-NZ"/>
    </w:rPr>
  </w:style>
  <w:style w:type="paragraph" w:styleId="TOC6">
    <w:name w:val="toc 6"/>
    <w:basedOn w:val="Normal"/>
    <w:next w:val="Normal"/>
    <w:autoRedefine/>
    <w:uiPriority w:val="39"/>
    <w:unhideWhenUsed/>
    <w:rsid w:val="00043311"/>
    <w:pPr>
      <w:spacing w:before="0" w:after="100" w:line="276" w:lineRule="auto"/>
      <w:ind w:left="1100"/>
      <w:jc w:val="left"/>
    </w:pPr>
    <w:rPr>
      <w:rFonts w:asciiTheme="minorHAnsi" w:eastAsiaTheme="minorEastAsia" w:hAnsiTheme="minorHAnsi" w:cstheme="minorBidi"/>
      <w:szCs w:val="22"/>
      <w:lang w:eastAsia="en-NZ"/>
    </w:rPr>
  </w:style>
  <w:style w:type="paragraph" w:styleId="TOC7">
    <w:name w:val="toc 7"/>
    <w:basedOn w:val="Normal"/>
    <w:next w:val="Normal"/>
    <w:autoRedefine/>
    <w:uiPriority w:val="39"/>
    <w:unhideWhenUsed/>
    <w:rsid w:val="00043311"/>
    <w:pPr>
      <w:spacing w:before="0" w:after="100" w:line="276" w:lineRule="auto"/>
      <w:ind w:left="1320"/>
      <w:jc w:val="left"/>
    </w:pPr>
    <w:rPr>
      <w:rFonts w:asciiTheme="minorHAnsi" w:eastAsiaTheme="minorEastAsia" w:hAnsiTheme="minorHAnsi" w:cstheme="minorBidi"/>
      <w:szCs w:val="22"/>
      <w:lang w:eastAsia="en-NZ"/>
    </w:rPr>
  </w:style>
  <w:style w:type="paragraph" w:styleId="TOC8">
    <w:name w:val="toc 8"/>
    <w:basedOn w:val="Normal"/>
    <w:next w:val="Normal"/>
    <w:autoRedefine/>
    <w:uiPriority w:val="39"/>
    <w:unhideWhenUsed/>
    <w:rsid w:val="00043311"/>
    <w:pPr>
      <w:spacing w:before="0" w:after="100" w:line="276" w:lineRule="auto"/>
      <w:ind w:left="1540"/>
      <w:jc w:val="left"/>
    </w:pPr>
    <w:rPr>
      <w:rFonts w:asciiTheme="minorHAnsi" w:eastAsiaTheme="minorEastAsia" w:hAnsiTheme="minorHAnsi" w:cstheme="minorBidi"/>
      <w:szCs w:val="22"/>
      <w:lang w:eastAsia="en-NZ"/>
    </w:rPr>
  </w:style>
  <w:style w:type="paragraph" w:styleId="TOC9">
    <w:name w:val="toc 9"/>
    <w:basedOn w:val="Normal"/>
    <w:next w:val="Normal"/>
    <w:autoRedefine/>
    <w:uiPriority w:val="39"/>
    <w:unhideWhenUsed/>
    <w:rsid w:val="00043311"/>
    <w:pPr>
      <w:spacing w:before="0" w:after="100" w:line="276" w:lineRule="auto"/>
      <w:ind w:left="1760"/>
      <w:jc w:val="left"/>
    </w:pPr>
    <w:rPr>
      <w:rFonts w:asciiTheme="minorHAnsi" w:eastAsiaTheme="minorEastAsia" w:hAnsiTheme="minorHAnsi" w:cstheme="minorBidi"/>
      <w:szCs w:val="22"/>
      <w:lang w:eastAsia="en-NZ"/>
    </w:rPr>
  </w:style>
  <w:style w:type="table" w:customStyle="1" w:styleId="TableGrid3">
    <w:name w:val="Table Grid3"/>
    <w:basedOn w:val="TableNormal"/>
    <w:next w:val="TableGrid"/>
    <w:uiPriority w:val="59"/>
    <w:rsid w:val="00B22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193490">
      <w:bodyDiv w:val="1"/>
      <w:marLeft w:val="0"/>
      <w:marRight w:val="0"/>
      <w:marTop w:val="0"/>
      <w:marBottom w:val="0"/>
      <w:divBdr>
        <w:top w:val="none" w:sz="0" w:space="0" w:color="auto"/>
        <w:left w:val="none" w:sz="0" w:space="0" w:color="auto"/>
        <w:bottom w:val="none" w:sz="0" w:space="0" w:color="auto"/>
        <w:right w:val="none" w:sz="0" w:space="0" w:color="auto"/>
      </w:divBdr>
    </w:div>
    <w:div w:id="749548744">
      <w:bodyDiv w:val="1"/>
      <w:marLeft w:val="0"/>
      <w:marRight w:val="0"/>
      <w:marTop w:val="0"/>
      <w:marBottom w:val="0"/>
      <w:divBdr>
        <w:top w:val="none" w:sz="0" w:space="0" w:color="auto"/>
        <w:left w:val="none" w:sz="0" w:space="0" w:color="auto"/>
        <w:bottom w:val="none" w:sz="0" w:space="0" w:color="auto"/>
        <w:right w:val="none" w:sz="0" w:space="0" w:color="auto"/>
      </w:divBdr>
    </w:div>
    <w:div w:id="866406782">
      <w:bodyDiv w:val="1"/>
      <w:marLeft w:val="0"/>
      <w:marRight w:val="0"/>
      <w:marTop w:val="0"/>
      <w:marBottom w:val="0"/>
      <w:divBdr>
        <w:top w:val="none" w:sz="0" w:space="0" w:color="auto"/>
        <w:left w:val="none" w:sz="0" w:space="0" w:color="auto"/>
        <w:bottom w:val="none" w:sz="0" w:space="0" w:color="auto"/>
        <w:right w:val="none" w:sz="0" w:space="0" w:color="auto"/>
      </w:divBdr>
    </w:div>
    <w:div w:id="1046684940">
      <w:bodyDiv w:val="1"/>
      <w:marLeft w:val="0"/>
      <w:marRight w:val="0"/>
      <w:marTop w:val="0"/>
      <w:marBottom w:val="0"/>
      <w:divBdr>
        <w:top w:val="none" w:sz="0" w:space="0" w:color="auto"/>
        <w:left w:val="none" w:sz="0" w:space="0" w:color="auto"/>
        <w:bottom w:val="none" w:sz="0" w:space="0" w:color="auto"/>
        <w:right w:val="none" w:sz="0" w:space="0" w:color="auto"/>
      </w:divBdr>
    </w:div>
    <w:div w:id="145609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hresearch.auckland.ac.nz" TargetMode="External"/><Relationship Id="rId18" Type="http://schemas.openxmlformats.org/officeDocument/2006/relationships/hyperlink" Target="http://www.fmhs.auckland.ac.nz/faculty/ahrg/survey2001.aspx" TargetMode="External"/><Relationship Id="rId26" Type="http://schemas.openxmlformats.org/officeDocument/2006/relationships/chart" Target="charts/chart7.xml"/><Relationship Id="rId39" Type="http://schemas.openxmlformats.org/officeDocument/2006/relationships/chart" Target="charts/chart15.xml"/><Relationship Id="rId21" Type="http://schemas.openxmlformats.org/officeDocument/2006/relationships/chart" Target="charts/chart2.xml"/><Relationship Id="rId34" Type="http://schemas.openxmlformats.org/officeDocument/2006/relationships/image" Target="media/image3.emf"/><Relationship Id="rId42" Type="http://schemas.openxmlformats.org/officeDocument/2006/relationships/chart" Target="charts/chart18.xml"/><Relationship Id="rId47" Type="http://schemas.openxmlformats.org/officeDocument/2006/relationships/diagramQuickStyle" Target="diagrams/quickStyle1.xml"/><Relationship Id="rId50" Type="http://schemas.openxmlformats.org/officeDocument/2006/relationships/hyperlink" Target="http://www.who-5.org/" TargetMode="External"/><Relationship Id="rId55" Type="http://schemas.openxmlformats.org/officeDocument/2006/relationships/image" Target="media/image8.emf"/><Relationship Id="rId63" Type="http://schemas.openxmlformats.org/officeDocument/2006/relationships/image" Target="media/image16.emf"/><Relationship Id="rId68"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fmhs.auckland.ac.nz/faculty/ahrg/survey2012.aspx" TargetMode="External"/><Relationship Id="rId29"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image" Target="media/image6.emf"/><Relationship Id="rId40" Type="http://schemas.openxmlformats.org/officeDocument/2006/relationships/chart" Target="charts/chart16.xml"/><Relationship Id="rId45" Type="http://schemas.openxmlformats.org/officeDocument/2006/relationships/diagramData" Target="diagrams/data1.xml"/><Relationship Id="rId53" Type="http://schemas.openxmlformats.org/officeDocument/2006/relationships/footer" Target="footer3.xml"/><Relationship Id="rId58" Type="http://schemas.openxmlformats.org/officeDocument/2006/relationships/image" Target="media/image11.emf"/><Relationship Id="rId66"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hyperlink" Target="http://www.youthresearch.auckland.ac.nz" TargetMode="External"/><Relationship Id="rId23" Type="http://schemas.openxmlformats.org/officeDocument/2006/relationships/chart" Target="charts/chart4.xml"/><Relationship Id="rId28" Type="http://schemas.openxmlformats.org/officeDocument/2006/relationships/image" Target="media/image2.emf"/><Relationship Id="rId36" Type="http://schemas.openxmlformats.org/officeDocument/2006/relationships/image" Target="media/image5.emf"/><Relationship Id="rId49" Type="http://schemas.microsoft.com/office/2007/relationships/diagramDrawing" Target="diagrams/drawing1.xml"/><Relationship Id="rId57" Type="http://schemas.openxmlformats.org/officeDocument/2006/relationships/image" Target="media/image10.emf"/><Relationship Id="rId61"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hyperlink" Target="http://www.youthresearch.auckland.ac.nz" TargetMode="External"/><Relationship Id="rId31" Type="http://schemas.openxmlformats.org/officeDocument/2006/relationships/chart" Target="charts/chart11.xml"/><Relationship Id="rId44" Type="http://schemas.openxmlformats.org/officeDocument/2006/relationships/image" Target="media/image7.gif"/><Relationship Id="rId52" Type="http://schemas.openxmlformats.org/officeDocument/2006/relationships/header" Target="header4.xml"/><Relationship Id="rId60" Type="http://schemas.openxmlformats.org/officeDocument/2006/relationships/image" Target="media/image13.emf"/><Relationship Id="rId65"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youthresearch.auckland.ac.nz"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image" Target="media/image4.emf"/><Relationship Id="rId43" Type="http://schemas.openxmlformats.org/officeDocument/2006/relationships/chart" Target="charts/chart19.xml"/><Relationship Id="rId48" Type="http://schemas.openxmlformats.org/officeDocument/2006/relationships/diagramColors" Target="diagrams/colors1.xml"/><Relationship Id="rId56" Type="http://schemas.openxmlformats.org/officeDocument/2006/relationships/image" Target="media/image9.emf"/><Relationship Id="rId64" Type="http://schemas.openxmlformats.org/officeDocument/2006/relationships/image" Target="media/image17.emf"/><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www.fmhs.auckland.ac.nz/faculty/ahrg/survey2007.aspx" TargetMode="External"/><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chart" Target="charts/chart14.xml"/><Relationship Id="rId46" Type="http://schemas.openxmlformats.org/officeDocument/2006/relationships/diagramLayout" Target="diagrams/layout1.xml"/><Relationship Id="rId59" Type="http://schemas.openxmlformats.org/officeDocument/2006/relationships/image" Target="media/image12.emf"/><Relationship Id="rId67" Type="http://schemas.openxmlformats.org/officeDocument/2006/relationships/image" Target="media/image20.emf"/><Relationship Id="rId20" Type="http://schemas.openxmlformats.org/officeDocument/2006/relationships/chart" Target="charts/chart1.xml"/><Relationship Id="rId41" Type="http://schemas.openxmlformats.org/officeDocument/2006/relationships/chart" Target="charts/chart17.xml"/><Relationship Id="rId54" Type="http://schemas.openxmlformats.org/officeDocument/2006/relationships/header" Target="header5.xml"/><Relationship Id="rId62" Type="http://schemas.openxmlformats.org/officeDocument/2006/relationships/image" Target="media/image15.emf"/><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oleObject" Target="file:///\\FMHSC1\Home4$\mluc007\Research%20Fellow\AHRG\Gambling\Supporting%20graphs%20by%20Mathij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fros001\AppData\Local\Microsoft\Windows\Temporary%20Internet%20Files\Content.IE5\AGFYOHMB\Supporting%20graphs%20by%20Mathijs.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FMHSC1\Home4$\mluc007\Research%20Fellow\AHRG\Gambling\Supporting%20graphs%20by%20Mathijs.xlsx" TargetMode="External"/><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1" Type="http://schemas.openxmlformats.org/officeDocument/2006/relationships/oleObject" Target="file:///\\fmhsb3\home2$\fros001\AHRG%20-%20Adol%20Health%20Research%20Group\Youth%2012%20-%20Gambling%20project%20-%20MOH\Analysis\Ethnic%20specific%20-%20Supporting%20graphs%20by%20Mathij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MHSC1\Home4$\mluc007\Research%20Fellow\AHRG\Gambling\Supporting%20graphs%20by%20Mathij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fros001\AppData\Local\Microsoft\Windows\Temporary%20Internet%20Files\Content.IE5\AGFYOHMB\Supporting%20graphs%20by%20Mathij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24570967091481E-2"/>
          <c:y val="4.5394053058055425E-2"/>
          <c:w val="0.89120549835116825"/>
          <c:h val="0.73479402031268071"/>
        </c:manualLayout>
      </c:layout>
      <c:barChart>
        <c:barDir val="col"/>
        <c:grouping val="clustered"/>
        <c:varyColors val="0"/>
        <c:ser>
          <c:idx val="0"/>
          <c:order val="0"/>
          <c:tx>
            <c:strRef>
              <c:f>Sheet1!$B$1</c:f>
              <c:strCache>
                <c:ptCount val="1"/>
                <c:pt idx="0">
                  <c:v>Column1</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Sheet1!$A$2:$A$12</c:f>
              <c:strCache>
                <c:ptCount val="11"/>
                <c:pt idx="0">
                  <c:v>Bets with friends or family</c:v>
                </c:pt>
                <c:pt idx="1">
                  <c:v>Instant
 Kiwi</c:v>
                </c:pt>
                <c:pt idx="2">
                  <c:v>Cards or coin games</c:v>
                </c:pt>
                <c:pt idx="3">
                  <c:v>Lotto etc</c:v>
                </c:pt>
                <c:pt idx="4">
                  <c:v>TAB betting</c:v>
                </c:pt>
                <c:pt idx="5">
                  <c:v>Bingo or housie</c:v>
                </c:pt>
                <c:pt idx="6">
                  <c:v>Games or gambling on
a mobile phone</c:v>
                </c:pt>
                <c:pt idx="7">
                  <c:v>Gambling on the internet</c:v>
                </c:pt>
                <c:pt idx="8">
                  <c:v>Pub or club pokies</c:v>
                </c:pt>
                <c:pt idx="9">
                  <c:v>Casino 
pokies or tables</c:v>
                </c:pt>
                <c:pt idx="10">
                  <c:v>0900 phone games</c:v>
                </c:pt>
              </c:strCache>
            </c:strRef>
          </c:cat>
          <c:val>
            <c:numRef>
              <c:f>Sheet1!$B$2:$B$12</c:f>
              <c:numCache>
                <c:formatCode>General</c:formatCode>
                <c:ptCount val="11"/>
                <c:pt idx="0">
                  <c:v>16.7</c:v>
                </c:pt>
                <c:pt idx="1">
                  <c:v>8.6</c:v>
                </c:pt>
                <c:pt idx="2">
                  <c:v>5.7</c:v>
                </c:pt>
                <c:pt idx="3">
                  <c:v>3.6</c:v>
                </c:pt>
                <c:pt idx="4">
                  <c:v>2.2000000000000002</c:v>
                </c:pt>
                <c:pt idx="5">
                  <c:v>2.1</c:v>
                </c:pt>
                <c:pt idx="6">
                  <c:v>1.5</c:v>
                </c:pt>
                <c:pt idx="7">
                  <c:v>1.4</c:v>
                </c:pt>
                <c:pt idx="8">
                  <c:v>1.3</c:v>
                </c:pt>
                <c:pt idx="9">
                  <c:v>0.9</c:v>
                </c:pt>
                <c:pt idx="10">
                  <c:v>0.9</c:v>
                </c:pt>
              </c:numCache>
            </c:numRef>
          </c:val>
        </c:ser>
        <c:dLbls>
          <c:showLegendKey val="0"/>
          <c:showVal val="0"/>
          <c:showCatName val="0"/>
          <c:showSerName val="0"/>
          <c:showPercent val="0"/>
          <c:showBubbleSize val="0"/>
        </c:dLbls>
        <c:gapWidth val="75"/>
        <c:axId val="71073152"/>
        <c:axId val="71099904"/>
      </c:barChart>
      <c:catAx>
        <c:axId val="71073152"/>
        <c:scaling>
          <c:orientation val="minMax"/>
        </c:scaling>
        <c:delete val="0"/>
        <c:axPos val="b"/>
        <c:numFmt formatCode="General" sourceLinked="1"/>
        <c:majorTickMark val="none"/>
        <c:minorTickMark val="none"/>
        <c:tickLblPos val="nextTo"/>
        <c:txPr>
          <a:bodyPr anchor="t" anchorCtr="0"/>
          <a:lstStyle/>
          <a:p>
            <a:pPr>
              <a:defRPr sz="800"/>
            </a:pPr>
            <a:endParaRPr lang="en-US"/>
          </a:p>
        </c:txPr>
        <c:crossAx val="71099904"/>
        <c:crosses val="autoZero"/>
        <c:auto val="1"/>
        <c:lblAlgn val="ctr"/>
        <c:lblOffset val="100"/>
        <c:noMultiLvlLbl val="0"/>
      </c:catAx>
      <c:valAx>
        <c:axId val="71099904"/>
        <c:scaling>
          <c:orientation val="minMax"/>
          <c:max val="25"/>
        </c:scaling>
        <c:delete val="0"/>
        <c:axPos val="l"/>
        <c:title>
          <c:tx>
            <c:rich>
              <a:bodyPr rot="-5400000" vert="horz"/>
              <a:lstStyle/>
              <a:p>
                <a:pPr>
                  <a:defRPr/>
                </a:pPr>
                <a:r>
                  <a:rPr lang="en-NZ" sz="900"/>
                  <a:t>Percent (%)</a:t>
                </a:r>
              </a:p>
            </c:rich>
          </c:tx>
          <c:layout>
            <c:manualLayout>
              <c:xMode val="edge"/>
              <c:yMode val="edge"/>
              <c:x val="1.2169728783902057E-2"/>
              <c:y val="0.30209709967158627"/>
            </c:manualLayout>
          </c:layout>
          <c:overlay val="0"/>
        </c:title>
        <c:numFmt formatCode="General" sourceLinked="1"/>
        <c:majorTickMark val="out"/>
        <c:minorTickMark val="none"/>
        <c:tickLblPos val="nextTo"/>
        <c:crossAx val="7107315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6423282269477"/>
          <c:y val="4.2131480128799803E-2"/>
          <c:w val="0.87475751151062164"/>
          <c:h val="0.83283190637439908"/>
        </c:manualLayout>
      </c:layout>
      <c:barChart>
        <c:barDir val="col"/>
        <c:grouping val="clustered"/>
        <c:varyColors val="0"/>
        <c:ser>
          <c:idx val="0"/>
          <c:order val="0"/>
          <c:tx>
            <c:strRef>
              <c:f>Sheet1!$B$1</c:f>
              <c:strCache>
                <c:ptCount val="1"/>
                <c:pt idx="0">
                  <c:v>Column1</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No, never</c:v>
                </c:pt>
                <c:pt idx="1">
                  <c:v>No, hardly ever</c:v>
                </c:pt>
                <c:pt idx="2">
                  <c:v>Yes</c:v>
                </c:pt>
                <c:pt idx="3">
                  <c:v>I don’t know</c:v>
                </c:pt>
              </c:strCache>
            </c:strRef>
          </c:cat>
          <c:val>
            <c:numRef>
              <c:f>Sheet1!$B$2:$B$5</c:f>
              <c:numCache>
                <c:formatCode>General</c:formatCode>
                <c:ptCount val="4"/>
                <c:pt idx="0">
                  <c:v>60.6</c:v>
                </c:pt>
                <c:pt idx="1">
                  <c:v>9.3000000000000007</c:v>
                </c:pt>
                <c:pt idx="2">
                  <c:v>10.6</c:v>
                </c:pt>
                <c:pt idx="3">
                  <c:v>19.5</c:v>
                </c:pt>
              </c:numCache>
            </c:numRef>
          </c:val>
        </c:ser>
        <c:dLbls>
          <c:showLegendKey val="0"/>
          <c:showVal val="0"/>
          <c:showCatName val="0"/>
          <c:showSerName val="0"/>
          <c:showPercent val="0"/>
          <c:showBubbleSize val="0"/>
        </c:dLbls>
        <c:gapWidth val="75"/>
        <c:axId val="106765312"/>
        <c:axId val="106771200"/>
      </c:barChart>
      <c:catAx>
        <c:axId val="106765312"/>
        <c:scaling>
          <c:orientation val="minMax"/>
        </c:scaling>
        <c:delete val="0"/>
        <c:axPos val="b"/>
        <c:numFmt formatCode="General" sourceLinked="1"/>
        <c:majorTickMark val="none"/>
        <c:minorTickMark val="none"/>
        <c:tickLblPos val="nextTo"/>
        <c:txPr>
          <a:bodyPr anchor="ctr" anchorCtr="0"/>
          <a:lstStyle/>
          <a:p>
            <a:pPr>
              <a:defRPr sz="900"/>
            </a:pPr>
            <a:endParaRPr lang="en-US"/>
          </a:p>
        </c:txPr>
        <c:crossAx val="106771200"/>
        <c:crosses val="autoZero"/>
        <c:auto val="1"/>
        <c:lblAlgn val="ctr"/>
        <c:lblOffset val="100"/>
        <c:noMultiLvlLbl val="0"/>
      </c:catAx>
      <c:valAx>
        <c:axId val="106771200"/>
        <c:scaling>
          <c:orientation val="minMax"/>
          <c:max val="100"/>
        </c:scaling>
        <c:delete val="0"/>
        <c:axPos val="l"/>
        <c:title>
          <c:tx>
            <c:rich>
              <a:bodyPr rot="-5400000" vert="horz"/>
              <a:lstStyle/>
              <a:p>
                <a:pPr>
                  <a:defRPr/>
                </a:pPr>
                <a:r>
                  <a:rPr lang="en-NZ"/>
                  <a:t>Percent (%)</a:t>
                </a:r>
              </a:p>
            </c:rich>
          </c:tx>
          <c:layout>
            <c:manualLayout>
              <c:xMode val="edge"/>
              <c:yMode val="edge"/>
              <c:x val="1.4465727805847067E-2"/>
              <c:y val="0.36254865098676281"/>
            </c:manualLayout>
          </c:layout>
          <c:overlay val="0"/>
        </c:title>
        <c:numFmt formatCode="General" sourceLinked="1"/>
        <c:majorTickMark val="out"/>
        <c:minorTickMark val="none"/>
        <c:tickLblPos val="nextTo"/>
        <c:crossAx val="1067653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641916801018"/>
          <c:y val="4.5749327454523973E-2"/>
          <c:w val="0.87475751151062164"/>
          <c:h val="0.82750256237654518"/>
        </c:manualLayout>
      </c:layout>
      <c:barChart>
        <c:barDir val="col"/>
        <c:grouping val="clustered"/>
        <c:varyColors val="0"/>
        <c:ser>
          <c:idx val="0"/>
          <c:order val="0"/>
          <c:tx>
            <c:strRef>
              <c:f>Sheet1!$B$1</c:f>
              <c:strCache>
                <c:ptCount val="1"/>
                <c:pt idx="0">
                  <c:v>Lower Deprivation</c:v>
                </c:pt>
              </c:strCache>
            </c:strRef>
          </c:tx>
          <c:spPr>
            <a:solidFill>
              <a:schemeClr val="accent1">
                <a:lumMod val="7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Yes</c:v>
                </c:pt>
                <c:pt idx="1">
                  <c:v>No, hardly ever</c:v>
                </c:pt>
                <c:pt idx="2">
                  <c:v>No, never</c:v>
                </c:pt>
                <c:pt idx="3">
                  <c:v>I don't know</c:v>
                </c:pt>
              </c:strCache>
            </c:strRef>
          </c:cat>
          <c:val>
            <c:numRef>
              <c:f>Sheet1!$B$2:$B$5</c:f>
              <c:numCache>
                <c:formatCode>0.0</c:formatCode>
                <c:ptCount val="4"/>
                <c:pt idx="0">
                  <c:v>5.7</c:v>
                </c:pt>
                <c:pt idx="1">
                  <c:v>7.4</c:v>
                </c:pt>
                <c:pt idx="2">
                  <c:v>71.3</c:v>
                </c:pt>
                <c:pt idx="3">
                  <c:v>15.6</c:v>
                </c:pt>
              </c:numCache>
            </c:numRef>
          </c:val>
        </c:ser>
        <c:ser>
          <c:idx val="1"/>
          <c:order val="1"/>
          <c:tx>
            <c:strRef>
              <c:f>Sheet1!$C$1</c:f>
              <c:strCache>
                <c:ptCount val="1"/>
                <c:pt idx="0">
                  <c:v>Medium Deprivation</c:v>
                </c:pt>
              </c:strCache>
            </c:strRef>
          </c:tx>
          <c:spPr>
            <a:solidFill>
              <a:schemeClr val="tx2">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Yes</c:v>
                </c:pt>
                <c:pt idx="1">
                  <c:v>No, hardly ever</c:v>
                </c:pt>
                <c:pt idx="2">
                  <c:v>No, never</c:v>
                </c:pt>
                <c:pt idx="3">
                  <c:v>I don't know</c:v>
                </c:pt>
              </c:strCache>
            </c:strRef>
          </c:cat>
          <c:val>
            <c:numRef>
              <c:f>Sheet1!$C$2:$C$5</c:f>
              <c:numCache>
                <c:formatCode>0.0</c:formatCode>
                <c:ptCount val="4"/>
                <c:pt idx="0">
                  <c:v>6.5</c:v>
                </c:pt>
                <c:pt idx="1">
                  <c:v>9.1</c:v>
                </c:pt>
                <c:pt idx="2">
                  <c:v>65.099999999999994</c:v>
                </c:pt>
                <c:pt idx="3">
                  <c:v>19.2</c:v>
                </c:pt>
              </c:numCache>
            </c:numRef>
          </c:val>
        </c:ser>
        <c:ser>
          <c:idx val="2"/>
          <c:order val="2"/>
          <c:tx>
            <c:strRef>
              <c:f>Sheet1!$D$1</c:f>
              <c:strCache>
                <c:ptCount val="1"/>
                <c:pt idx="0">
                  <c:v>Higher Deprivation</c:v>
                </c:pt>
              </c:strCache>
            </c:strRef>
          </c:tx>
          <c:spPr>
            <a:solidFill>
              <a:schemeClr val="accent1">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Yes</c:v>
                </c:pt>
                <c:pt idx="1">
                  <c:v>No, hardly ever</c:v>
                </c:pt>
                <c:pt idx="2">
                  <c:v>No, never</c:v>
                </c:pt>
                <c:pt idx="3">
                  <c:v>I don't know</c:v>
                </c:pt>
              </c:strCache>
            </c:strRef>
          </c:cat>
          <c:val>
            <c:numRef>
              <c:f>Sheet1!$D$2:$D$5</c:f>
              <c:numCache>
                <c:formatCode>0.0</c:formatCode>
                <c:ptCount val="4"/>
                <c:pt idx="0">
                  <c:v>20</c:v>
                </c:pt>
                <c:pt idx="1">
                  <c:v>11.6</c:v>
                </c:pt>
                <c:pt idx="2">
                  <c:v>44.8</c:v>
                </c:pt>
                <c:pt idx="3">
                  <c:v>23.6</c:v>
                </c:pt>
              </c:numCache>
            </c:numRef>
          </c:val>
        </c:ser>
        <c:dLbls>
          <c:showLegendKey val="0"/>
          <c:showVal val="0"/>
          <c:showCatName val="0"/>
          <c:showSerName val="0"/>
          <c:showPercent val="0"/>
          <c:showBubbleSize val="0"/>
        </c:dLbls>
        <c:gapWidth val="75"/>
        <c:axId val="107904000"/>
        <c:axId val="107922176"/>
      </c:barChart>
      <c:catAx>
        <c:axId val="107904000"/>
        <c:scaling>
          <c:orientation val="minMax"/>
        </c:scaling>
        <c:delete val="0"/>
        <c:axPos val="b"/>
        <c:numFmt formatCode="General" sourceLinked="1"/>
        <c:majorTickMark val="none"/>
        <c:minorTickMark val="none"/>
        <c:tickLblPos val="nextTo"/>
        <c:txPr>
          <a:bodyPr anchor="ctr" anchorCtr="0"/>
          <a:lstStyle/>
          <a:p>
            <a:pPr>
              <a:defRPr sz="900"/>
            </a:pPr>
            <a:endParaRPr lang="en-US"/>
          </a:p>
        </c:txPr>
        <c:crossAx val="107922176"/>
        <c:crosses val="autoZero"/>
        <c:auto val="1"/>
        <c:lblAlgn val="ctr"/>
        <c:lblOffset val="100"/>
        <c:noMultiLvlLbl val="0"/>
      </c:catAx>
      <c:valAx>
        <c:axId val="107922176"/>
        <c:scaling>
          <c:orientation val="minMax"/>
          <c:max val="100"/>
        </c:scaling>
        <c:delete val="0"/>
        <c:axPos val="l"/>
        <c:title>
          <c:tx>
            <c:rich>
              <a:bodyPr rot="-5400000" vert="horz"/>
              <a:lstStyle/>
              <a:p>
                <a:pPr>
                  <a:defRPr/>
                </a:pPr>
                <a:r>
                  <a:rPr lang="en-NZ"/>
                  <a:t>Percent (%)</a:t>
                </a:r>
              </a:p>
            </c:rich>
          </c:tx>
          <c:layout>
            <c:manualLayout>
              <c:xMode val="edge"/>
              <c:yMode val="edge"/>
              <c:x val="1.4465727805847067E-2"/>
              <c:y val="0.36254865098676281"/>
            </c:manualLayout>
          </c:layout>
          <c:overlay val="0"/>
        </c:title>
        <c:numFmt formatCode="General" sourceLinked="0"/>
        <c:majorTickMark val="out"/>
        <c:minorTickMark val="none"/>
        <c:tickLblPos val="nextTo"/>
        <c:crossAx val="107904000"/>
        <c:crosses val="autoZero"/>
        <c:crossBetween val="between"/>
      </c:valAx>
    </c:plotArea>
    <c:legend>
      <c:legendPos val="t"/>
      <c:layout>
        <c:manualLayout>
          <c:xMode val="edge"/>
          <c:yMode val="edge"/>
          <c:x val="0.76141521607458273"/>
          <c:y val="1.7070088461164579E-2"/>
          <c:w val="0.23598258411678474"/>
          <c:h val="0.21531544668027669"/>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641916801018"/>
          <c:y val="4.5749327454523973E-2"/>
          <c:w val="0.87475751151062164"/>
          <c:h val="0.75469405004201995"/>
        </c:manualLayout>
      </c:layout>
      <c:barChart>
        <c:barDir val="col"/>
        <c:grouping val="clustered"/>
        <c:varyColors val="0"/>
        <c:ser>
          <c:idx val="0"/>
          <c:order val="0"/>
          <c:tx>
            <c:strRef>
              <c:f>Sheet1!$B$1</c:f>
              <c:strCache>
                <c:ptCount val="1"/>
                <c:pt idx="0">
                  <c:v>Has happened, but not in the last 12 months</c:v>
                </c:pt>
              </c:strCache>
            </c:strRef>
          </c:tx>
          <c:spPr>
            <a:solidFill>
              <a:schemeClr val="accent1">
                <a:lumMod val="7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Arguments or fights</c:v>
                </c:pt>
                <c:pt idx="1">
                  <c:v>Bills not paid</c:v>
                </c:pt>
                <c:pt idx="2">
                  <c:v>Had to go without
something we needed</c:v>
                </c:pt>
                <c:pt idx="3">
                  <c:v>Did things that could
 have got them 
into serious trouble</c:v>
                </c:pt>
              </c:strCache>
            </c:strRef>
          </c:cat>
          <c:val>
            <c:numRef>
              <c:f>Sheet1!$B$2:$B$5</c:f>
              <c:numCache>
                <c:formatCode>0.0</c:formatCode>
                <c:ptCount val="4"/>
                <c:pt idx="0">
                  <c:v>2.5</c:v>
                </c:pt>
                <c:pt idx="1">
                  <c:v>1.4</c:v>
                </c:pt>
                <c:pt idx="2">
                  <c:v>1.5</c:v>
                </c:pt>
                <c:pt idx="3">
                  <c:v>0.9</c:v>
                </c:pt>
              </c:numCache>
            </c:numRef>
          </c:val>
        </c:ser>
        <c:ser>
          <c:idx val="1"/>
          <c:order val="1"/>
          <c:tx>
            <c:strRef>
              <c:f>Sheet1!$C$1</c:f>
              <c:strCache>
                <c:ptCount val="1"/>
                <c:pt idx="0">
                  <c:v>Has happened once or more in the past 12 months</c:v>
                </c:pt>
              </c:strCache>
            </c:strRef>
          </c:tx>
          <c:spPr>
            <a:solidFill>
              <a:schemeClr val="accent1">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Arguments or fights</c:v>
                </c:pt>
                <c:pt idx="1">
                  <c:v>Bills not paid</c:v>
                </c:pt>
                <c:pt idx="2">
                  <c:v>Had to go without
something we needed</c:v>
                </c:pt>
                <c:pt idx="3">
                  <c:v>Did things that could
 have got them 
into serious trouble</c:v>
                </c:pt>
              </c:strCache>
            </c:strRef>
          </c:cat>
          <c:val>
            <c:numRef>
              <c:f>Sheet1!$C$2:$C$5</c:f>
              <c:numCache>
                <c:formatCode>0.0</c:formatCode>
                <c:ptCount val="4"/>
                <c:pt idx="0">
                  <c:v>3</c:v>
                </c:pt>
                <c:pt idx="1">
                  <c:v>1.7</c:v>
                </c:pt>
                <c:pt idx="2">
                  <c:v>1.3</c:v>
                </c:pt>
                <c:pt idx="3">
                  <c:v>0.8</c:v>
                </c:pt>
              </c:numCache>
            </c:numRef>
          </c:val>
        </c:ser>
        <c:dLbls>
          <c:showLegendKey val="0"/>
          <c:showVal val="0"/>
          <c:showCatName val="0"/>
          <c:showSerName val="0"/>
          <c:showPercent val="0"/>
          <c:showBubbleSize val="0"/>
        </c:dLbls>
        <c:gapWidth val="75"/>
        <c:axId val="107936000"/>
        <c:axId val="108994560"/>
      </c:barChart>
      <c:catAx>
        <c:axId val="107936000"/>
        <c:scaling>
          <c:orientation val="minMax"/>
        </c:scaling>
        <c:delete val="0"/>
        <c:axPos val="b"/>
        <c:numFmt formatCode="General" sourceLinked="1"/>
        <c:majorTickMark val="none"/>
        <c:minorTickMark val="none"/>
        <c:tickLblPos val="nextTo"/>
        <c:txPr>
          <a:bodyPr anchor="ctr" anchorCtr="0"/>
          <a:lstStyle/>
          <a:p>
            <a:pPr>
              <a:defRPr sz="900"/>
            </a:pPr>
            <a:endParaRPr lang="en-US"/>
          </a:p>
        </c:txPr>
        <c:crossAx val="108994560"/>
        <c:crosses val="autoZero"/>
        <c:auto val="1"/>
        <c:lblAlgn val="ctr"/>
        <c:lblOffset val="100"/>
        <c:noMultiLvlLbl val="0"/>
      </c:catAx>
      <c:valAx>
        <c:axId val="108994560"/>
        <c:scaling>
          <c:orientation val="minMax"/>
          <c:max val="25"/>
        </c:scaling>
        <c:delete val="0"/>
        <c:axPos val="l"/>
        <c:title>
          <c:tx>
            <c:rich>
              <a:bodyPr rot="-5400000" vert="horz"/>
              <a:lstStyle/>
              <a:p>
                <a:pPr>
                  <a:defRPr/>
                </a:pPr>
                <a:r>
                  <a:rPr lang="en-NZ"/>
                  <a:t>Percent (%)</a:t>
                </a:r>
              </a:p>
            </c:rich>
          </c:tx>
          <c:layout>
            <c:manualLayout>
              <c:xMode val="edge"/>
              <c:yMode val="edge"/>
              <c:x val="1.4465727805847067E-2"/>
              <c:y val="0.36254865098676281"/>
            </c:manualLayout>
          </c:layout>
          <c:overlay val="0"/>
        </c:title>
        <c:numFmt formatCode="General" sourceLinked="0"/>
        <c:majorTickMark val="out"/>
        <c:minorTickMark val="none"/>
        <c:tickLblPos val="nextTo"/>
        <c:crossAx val="107936000"/>
        <c:crosses val="autoZero"/>
        <c:crossBetween val="between"/>
      </c:valAx>
    </c:plotArea>
    <c:legend>
      <c:legendPos val="t"/>
      <c:layout>
        <c:manualLayout>
          <c:xMode val="edge"/>
          <c:yMode val="edge"/>
          <c:x val="0.66567880310038119"/>
          <c:y val="4.1785230270028714E-2"/>
          <c:w val="0.29507401504476022"/>
          <c:h val="0.27250428851008834"/>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641916801018"/>
          <c:y val="4.5749327454523973E-2"/>
          <c:w val="0.87475751151062164"/>
          <c:h val="0.75519940538406383"/>
        </c:manualLayout>
      </c:layout>
      <c:barChart>
        <c:barDir val="col"/>
        <c:grouping val="clustered"/>
        <c:varyColors val="0"/>
        <c:ser>
          <c:idx val="0"/>
          <c:order val="0"/>
          <c:tx>
            <c:strRef>
              <c:f>Sheet1!$B$1</c:f>
              <c:strCache>
                <c:ptCount val="1"/>
                <c:pt idx="0">
                  <c:v>Lower deprivation</c:v>
                </c:pt>
              </c:strCache>
            </c:strRef>
          </c:tx>
          <c:spPr>
            <a:solidFill>
              <a:schemeClr val="accent1">
                <a:lumMod val="7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Arguments or fights</c:v>
                </c:pt>
                <c:pt idx="1">
                  <c:v>Bills not paid</c:v>
                </c:pt>
                <c:pt idx="2">
                  <c:v>Had to go without
something we needed</c:v>
                </c:pt>
                <c:pt idx="3">
                  <c:v>Did things that could
 have got them 
into serious trouble</c:v>
                </c:pt>
              </c:strCache>
            </c:strRef>
          </c:cat>
          <c:val>
            <c:numRef>
              <c:f>Sheet1!$B$2:$B$5</c:f>
              <c:numCache>
                <c:formatCode>0.0</c:formatCode>
                <c:ptCount val="4"/>
                <c:pt idx="0">
                  <c:v>2.9</c:v>
                </c:pt>
                <c:pt idx="1">
                  <c:v>1.2</c:v>
                </c:pt>
                <c:pt idx="2">
                  <c:v>1</c:v>
                </c:pt>
                <c:pt idx="3">
                  <c:v>0.9</c:v>
                </c:pt>
              </c:numCache>
            </c:numRef>
          </c:val>
        </c:ser>
        <c:ser>
          <c:idx val="1"/>
          <c:order val="1"/>
          <c:tx>
            <c:strRef>
              <c:f>Sheet1!$C$1</c:f>
              <c:strCache>
                <c:ptCount val="1"/>
                <c:pt idx="0">
                  <c:v>Medium Deprivation</c:v>
                </c:pt>
              </c:strCache>
            </c:strRef>
          </c:tx>
          <c:spPr>
            <a:solidFill>
              <a:schemeClr val="tx2">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Arguments or fights</c:v>
                </c:pt>
                <c:pt idx="1">
                  <c:v>Bills not paid</c:v>
                </c:pt>
                <c:pt idx="2">
                  <c:v>Had to go without
something we needed</c:v>
                </c:pt>
                <c:pt idx="3">
                  <c:v>Did things that could
 have got them 
into serious trouble</c:v>
                </c:pt>
              </c:strCache>
            </c:strRef>
          </c:cat>
          <c:val>
            <c:numRef>
              <c:f>Sheet1!$C$2:$C$5</c:f>
              <c:numCache>
                <c:formatCode>0.0</c:formatCode>
                <c:ptCount val="4"/>
                <c:pt idx="0">
                  <c:v>4.5</c:v>
                </c:pt>
                <c:pt idx="1">
                  <c:v>2.5</c:v>
                </c:pt>
                <c:pt idx="2">
                  <c:v>2.1</c:v>
                </c:pt>
                <c:pt idx="3">
                  <c:v>1.1000000000000001</c:v>
                </c:pt>
              </c:numCache>
            </c:numRef>
          </c:val>
        </c:ser>
        <c:ser>
          <c:idx val="2"/>
          <c:order val="2"/>
          <c:tx>
            <c:strRef>
              <c:f>Sheet1!$D$1</c:f>
              <c:strCache>
                <c:ptCount val="1"/>
                <c:pt idx="0">
                  <c:v>Higher Deprivation</c:v>
                </c:pt>
              </c:strCache>
            </c:strRef>
          </c:tx>
          <c:spPr>
            <a:solidFill>
              <a:schemeClr val="accent1">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Arguments or fights</c:v>
                </c:pt>
                <c:pt idx="1">
                  <c:v>Bills not paid</c:v>
                </c:pt>
                <c:pt idx="2">
                  <c:v>Had to go without
something we needed</c:v>
                </c:pt>
                <c:pt idx="3">
                  <c:v>Did things that could
 have got them 
into serious trouble</c:v>
                </c:pt>
              </c:strCache>
            </c:strRef>
          </c:cat>
          <c:val>
            <c:numRef>
              <c:f>Sheet1!$D$2:$D$5</c:f>
              <c:numCache>
                <c:formatCode>0.0</c:formatCode>
                <c:ptCount val="4"/>
                <c:pt idx="0">
                  <c:v>9.6</c:v>
                </c:pt>
                <c:pt idx="1">
                  <c:v>5.8</c:v>
                </c:pt>
                <c:pt idx="2">
                  <c:v>5.6</c:v>
                </c:pt>
                <c:pt idx="3">
                  <c:v>3.4</c:v>
                </c:pt>
              </c:numCache>
            </c:numRef>
          </c:val>
        </c:ser>
        <c:dLbls>
          <c:showLegendKey val="0"/>
          <c:showVal val="0"/>
          <c:showCatName val="0"/>
          <c:showSerName val="0"/>
          <c:showPercent val="0"/>
          <c:showBubbleSize val="0"/>
        </c:dLbls>
        <c:gapWidth val="75"/>
        <c:axId val="109062784"/>
        <c:axId val="109089152"/>
      </c:barChart>
      <c:catAx>
        <c:axId val="109062784"/>
        <c:scaling>
          <c:orientation val="minMax"/>
        </c:scaling>
        <c:delete val="0"/>
        <c:axPos val="b"/>
        <c:numFmt formatCode="General" sourceLinked="1"/>
        <c:majorTickMark val="none"/>
        <c:minorTickMark val="none"/>
        <c:tickLblPos val="nextTo"/>
        <c:txPr>
          <a:bodyPr anchor="ctr" anchorCtr="0"/>
          <a:lstStyle/>
          <a:p>
            <a:pPr>
              <a:defRPr sz="900"/>
            </a:pPr>
            <a:endParaRPr lang="en-US"/>
          </a:p>
        </c:txPr>
        <c:crossAx val="109089152"/>
        <c:crosses val="autoZero"/>
        <c:auto val="1"/>
        <c:lblAlgn val="ctr"/>
        <c:lblOffset val="100"/>
        <c:noMultiLvlLbl val="0"/>
      </c:catAx>
      <c:valAx>
        <c:axId val="109089152"/>
        <c:scaling>
          <c:orientation val="minMax"/>
          <c:max val="25"/>
        </c:scaling>
        <c:delete val="0"/>
        <c:axPos val="l"/>
        <c:title>
          <c:tx>
            <c:rich>
              <a:bodyPr rot="-5400000" vert="horz"/>
              <a:lstStyle/>
              <a:p>
                <a:pPr>
                  <a:defRPr/>
                </a:pPr>
                <a:r>
                  <a:rPr lang="en-NZ"/>
                  <a:t>Percent (%)</a:t>
                </a:r>
              </a:p>
            </c:rich>
          </c:tx>
          <c:layout>
            <c:manualLayout>
              <c:xMode val="edge"/>
              <c:yMode val="edge"/>
              <c:x val="1.4465727805847067E-2"/>
              <c:y val="0.36254865098676281"/>
            </c:manualLayout>
          </c:layout>
          <c:overlay val="0"/>
        </c:title>
        <c:numFmt formatCode="General" sourceLinked="0"/>
        <c:majorTickMark val="out"/>
        <c:minorTickMark val="none"/>
        <c:tickLblPos val="nextTo"/>
        <c:crossAx val="109062784"/>
        <c:crosses val="autoZero"/>
        <c:crossBetween val="between"/>
      </c:valAx>
    </c:plotArea>
    <c:legend>
      <c:legendPos val="t"/>
      <c:layout>
        <c:manualLayout>
          <c:xMode val="edge"/>
          <c:yMode val="edge"/>
          <c:x val="0.70813537054243414"/>
          <c:y val="4.1785230270028714E-2"/>
          <c:w val="0.29186462862307738"/>
          <c:h val="0.22242481762366267"/>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807524059492625"/>
          <c:y val="4.053248032640179E-2"/>
          <c:w val="0.86927803920188373"/>
          <c:h val="0.79658629176543039"/>
        </c:manualLayout>
      </c:layout>
      <c:barChart>
        <c:barDir val="col"/>
        <c:grouping val="clustered"/>
        <c:varyColors val="0"/>
        <c:ser>
          <c:idx val="0"/>
          <c:order val="0"/>
          <c:tx>
            <c:strRef>
              <c:f>graphs!$D$15</c:f>
              <c:strCache>
                <c:ptCount val="1"/>
                <c:pt idx="0">
                  <c:v>Māori</c:v>
                </c:pt>
              </c:strCache>
            </c:strRef>
          </c:tx>
          <c:invertIfNegative val="0"/>
          <c:dLbls>
            <c:showLegendKey val="0"/>
            <c:showVal val="1"/>
            <c:showCatName val="0"/>
            <c:showSerName val="0"/>
            <c:showPercent val="0"/>
            <c:showBubbleSize val="0"/>
            <c:showLeaderLines val="0"/>
          </c:dLbls>
          <c:cat>
            <c:strRef>
              <c:f>graphs!$C$16:$C$17</c:f>
              <c:strCache>
                <c:ptCount val="2"/>
                <c:pt idx="0">
                  <c:v>Gambled in the last 12 months</c:v>
                </c:pt>
                <c:pt idx="1">
                  <c:v>Gambled in the last 4 weeks</c:v>
                </c:pt>
              </c:strCache>
            </c:strRef>
          </c:cat>
          <c:val>
            <c:numRef>
              <c:f>graphs!$D$16:$D$17</c:f>
              <c:numCache>
                <c:formatCode>General</c:formatCode>
                <c:ptCount val="2"/>
                <c:pt idx="0">
                  <c:v>25.2</c:v>
                </c:pt>
                <c:pt idx="1">
                  <c:v>12.1</c:v>
                </c:pt>
              </c:numCache>
            </c:numRef>
          </c:val>
        </c:ser>
        <c:ser>
          <c:idx val="1"/>
          <c:order val="1"/>
          <c:tx>
            <c:strRef>
              <c:f>graphs!$E$15</c:f>
              <c:strCache>
                <c:ptCount val="1"/>
                <c:pt idx="0">
                  <c:v>NZ European</c:v>
                </c:pt>
              </c:strCache>
            </c:strRef>
          </c:tx>
          <c:invertIfNegative val="0"/>
          <c:dLbls>
            <c:showLegendKey val="0"/>
            <c:showVal val="1"/>
            <c:showCatName val="0"/>
            <c:showSerName val="0"/>
            <c:showPercent val="0"/>
            <c:showBubbleSize val="0"/>
            <c:showLeaderLines val="0"/>
          </c:dLbls>
          <c:cat>
            <c:strRef>
              <c:f>graphs!$C$16:$C$17</c:f>
              <c:strCache>
                <c:ptCount val="2"/>
                <c:pt idx="0">
                  <c:v>Gambled in the last 12 months</c:v>
                </c:pt>
                <c:pt idx="1">
                  <c:v>Gambled in the last 4 weeks</c:v>
                </c:pt>
              </c:strCache>
            </c:strRef>
          </c:cat>
          <c:val>
            <c:numRef>
              <c:f>graphs!$E$16:$E$17</c:f>
              <c:numCache>
                <c:formatCode>General</c:formatCode>
                <c:ptCount val="2"/>
                <c:pt idx="0">
                  <c:v>23.8</c:v>
                </c:pt>
                <c:pt idx="1">
                  <c:v>8.7000000000000011</c:v>
                </c:pt>
              </c:numCache>
            </c:numRef>
          </c:val>
        </c:ser>
        <c:dLbls>
          <c:showLegendKey val="0"/>
          <c:showVal val="0"/>
          <c:showCatName val="0"/>
          <c:showSerName val="0"/>
          <c:showPercent val="0"/>
          <c:showBubbleSize val="0"/>
        </c:dLbls>
        <c:gapWidth val="80"/>
        <c:axId val="109123456"/>
        <c:axId val="109124992"/>
      </c:barChart>
      <c:catAx>
        <c:axId val="109123456"/>
        <c:scaling>
          <c:orientation val="minMax"/>
        </c:scaling>
        <c:delete val="0"/>
        <c:axPos val="b"/>
        <c:numFmt formatCode="General" sourceLinked="1"/>
        <c:majorTickMark val="none"/>
        <c:minorTickMark val="none"/>
        <c:tickLblPos val="nextTo"/>
        <c:txPr>
          <a:bodyPr rot="0" vert="horz"/>
          <a:lstStyle/>
          <a:p>
            <a:pPr>
              <a:defRPr b="1"/>
            </a:pPr>
            <a:endParaRPr lang="en-US"/>
          </a:p>
        </c:txPr>
        <c:crossAx val="109124992"/>
        <c:crosses val="autoZero"/>
        <c:auto val="1"/>
        <c:lblAlgn val="ctr"/>
        <c:lblOffset val="100"/>
        <c:noMultiLvlLbl val="0"/>
      </c:catAx>
      <c:valAx>
        <c:axId val="109124992"/>
        <c:scaling>
          <c:orientation val="minMax"/>
          <c:max val="50"/>
          <c:min val="0"/>
        </c:scaling>
        <c:delete val="0"/>
        <c:axPos val="l"/>
        <c:title>
          <c:tx>
            <c:rich>
              <a:bodyPr/>
              <a:lstStyle/>
              <a:p>
                <a:pPr>
                  <a:defRPr sz="1050" b="1"/>
                </a:pPr>
                <a:r>
                  <a:rPr lang="en-NZ" sz="1050" b="1"/>
                  <a:t>Percent (%)</a:t>
                </a:r>
              </a:p>
            </c:rich>
          </c:tx>
          <c:layout>
            <c:manualLayout>
              <c:xMode val="edge"/>
              <c:yMode val="edge"/>
              <c:x val="1.3319302068373524E-2"/>
              <c:y val="0.35275590551181102"/>
            </c:manualLayout>
          </c:layout>
          <c:overlay val="0"/>
        </c:title>
        <c:numFmt formatCode="General" sourceLinked="1"/>
        <c:majorTickMark val="out"/>
        <c:minorTickMark val="none"/>
        <c:tickLblPos val="nextTo"/>
        <c:txPr>
          <a:bodyPr rot="0" vert="horz"/>
          <a:lstStyle/>
          <a:p>
            <a:pPr>
              <a:defRPr/>
            </a:pPr>
            <a:endParaRPr lang="en-US"/>
          </a:p>
        </c:txPr>
        <c:crossAx val="109123456"/>
        <c:crosses val="autoZero"/>
        <c:crossBetween val="between"/>
        <c:majorUnit val="10"/>
      </c:valAx>
    </c:plotArea>
    <c:legend>
      <c:legendPos val="r"/>
      <c:layout>
        <c:manualLayout>
          <c:xMode val="edge"/>
          <c:yMode val="edge"/>
          <c:x val="0.73172713875881956"/>
          <c:y val="0.20947606462686974"/>
          <c:w val="0.19005345262074788"/>
          <c:h val="0.15514517432725791"/>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mn-lt"/>
          <a:ea typeface="Calibri"/>
          <a:cs typeface="Calibri"/>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807524059492609"/>
          <c:y val="6.7685387214022411E-2"/>
          <c:w val="0.8076636538732106"/>
          <c:h val="0.8075206643945626"/>
        </c:manualLayout>
      </c:layout>
      <c:barChart>
        <c:barDir val="col"/>
        <c:grouping val="clustered"/>
        <c:varyColors val="0"/>
        <c:ser>
          <c:idx val="1"/>
          <c:order val="0"/>
          <c:tx>
            <c:strRef>
              <c:f>graphs!$D$44</c:f>
              <c:strCache>
                <c:ptCount val="1"/>
                <c:pt idx="0">
                  <c:v>Lower deprivation</c:v>
                </c:pt>
              </c:strCache>
            </c:strRef>
          </c:tx>
          <c:invertIfNegative val="0"/>
          <c:dLbls>
            <c:showLegendKey val="0"/>
            <c:showVal val="1"/>
            <c:showCatName val="0"/>
            <c:showSerName val="0"/>
            <c:showPercent val="0"/>
            <c:showBubbleSize val="0"/>
            <c:showLeaderLines val="0"/>
          </c:dLbls>
          <c:cat>
            <c:strRef>
              <c:f>graphs!$C$46</c:f>
              <c:strCache>
                <c:ptCount val="1"/>
                <c:pt idx="0">
                  <c:v>Worried about the gambling behaviours of others</c:v>
                </c:pt>
              </c:strCache>
            </c:strRef>
          </c:cat>
          <c:val>
            <c:numRef>
              <c:f>graphs!$D$46</c:f>
              <c:numCache>
                <c:formatCode>General</c:formatCode>
                <c:ptCount val="1"/>
                <c:pt idx="0">
                  <c:v>7.6</c:v>
                </c:pt>
              </c:numCache>
            </c:numRef>
          </c:val>
        </c:ser>
        <c:ser>
          <c:idx val="0"/>
          <c:order val="1"/>
          <c:tx>
            <c:strRef>
              <c:f>graphs!$E$44</c:f>
              <c:strCache>
                <c:ptCount val="1"/>
                <c:pt idx="0">
                  <c:v>Medium deprivation</c:v>
                </c:pt>
              </c:strCache>
            </c:strRef>
          </c:tx>
          <c:invertIfNegative val="0"/>
          <c:dLbls>
            <c:showLegendKey val="0"/>
            <c:showVal val="1"/>
            <c:showCatName val="0"/>
            <c:showSerName val="0"/>
            <c:showPercent val="0"/>
            <c:showBubbleSize val="0"/>
            <c:showLeaderLines val="0"/>
          </c:dLbls>
          <c:cat>
            <c:strRef>
              <c:f>graphs!$C$46</c:f>
              <c:strCache>
                <c:ptCount val="1"/>
                <c:pt idx="0">
                  <c:v>Worried about the gambling behaviours of others</c:v>
                </c:pt>
              </c:strCache>
            </c:strRef>
          </c:cat>
          <c:val>
            <c:numRef>
              <c:f>graphs!$E$46</c:f>
              <c:numCache>
                <c:formatCode>General</c:formatCode>
                <c:ptCount val="1"/>
                <c:pt idx="0">
                  <c:v>9.5</c:v>
                </c:pt>
              </c:numCache>
            </c:numRef>
          </c:val>
        </c:ser>
        <c:ser>
          <c:idx val="2"/>
          <c:order val="2"/>
          <c:tx>
            <c:strRef>
              <c:f>graphs!$F$44</c:f>
              <c:strCache>
                <c:ptCount val="1"/>
                <c:pt idx="0">
                  <c:v>Higher deprivation</c:v>
                </c:pt>
              </c:strCache>
            </c:strRef>
          </c:tx>
          <c:invertIfNegative val="0"/>
          <c:dLbls>
            <c:showLegendKey val="0"/>
            <c:showVal val="1"/>
            <c:showCatName val="0"/>
            <c:showSerName val="0"/>
            <c:showPercent val="0"/>
            <c:showBubbleSize val="0"/>
            <c:showLeaderLines val="0"/>
          </c:dLbls>
          <c:cat>
            <c:strRef>
              <c:f>graphs!$C$46</c:f>
              <c:strCache>
                <c:ptCount val="1"/>
                <c:pt idx="0">
                  <c:v>Worried about the gambling behaviours of others</c:v>
                </c:pt>
              </c:strCache>
            </c:strRef>
          </c:cat>
          <c:val>
            <c:numRef>
              <c:f>graphs!$F$46</c:f>
              <c:numCache>
                <c:formatCode>General</c:formatCode>
                <c:ptCount val="1"/>
                <c:pt idx="0">
                  <c:v>22.2</c:v>
                </c:pt>
              </c:numCache>
            </c:numRef>
          </c:val>
        </c:ser>
        <c:dLbls>
          <c:showLegendKey val="0"/>
          <c:showVal val="0"/>
          <c:showCatName val="0"/>
          <c:showSerName val="0"/>
          <c:showPercent val="0"/>
          <c:showBubbleSize val="0"/>
        </c:dLbls>
        <c:gapWidth val="80"/>
        <c:axId val="109172992"/>
        <c:axId val="109182976"/>
      </c:barChart>
      <c:catAx>
        <c:axId val="109172992"/>
        <c:scaling>
          <c:orientation val="minMax"/>
        </c:scaling>
        <c:delete val="0"/>
        <c:axPos val="b"/>
        <c:numFmt formatCode="General" sourceLinked="1"/>
        <c:majorTickMark val="none"/>
        <c:minorTickMark val="none"/>
        <c:tickLblPos val="nextTo"/>
        <c:txPr>
          <a:bodyPr rot="0" vert="horz"/>
          <a:lstStyle/>
          <a:p>
            <a:pPr>
              <a:defRPr b="1"/>
            </a:pPr>
            <a:endParaRPr lang="en-US"/>
          </a:p>
        </c:txPr>
        <c:crossAx val="109182976"/>
        <c:crosses val="autoZero"/>
        <c:auto val="1"/>
        <c:lblAlgn val="ctr"/>
        <c:lblOffset val="100"/>
        <c:noMultiLvlLbl val="0"/>
      </c:catAx>
      <c:valAx>
        <c:axId val="109182976"/>
        <c:scaling>
          <c:orientation val="minMax"/>
          <c:max val="50"/>
          <c:min val="0"/>
        </c:scaling>
        <c:delete val="0"/>
        <c:axPos val="l"/>
        <c:title>
          <c:tx>
            <c:rich>
              <a:bodyPr/>
              <a:lstStyle/>
              <a:p>
                <a:pPr>
                  <a:defRPr sz="1050" b="1"/>
                </a:pPr>
                <a:r>
                  <a:rPr lang="en-NZ" sz="1050" b="1"/>
                  <a:t>Percent (%)</a:t>
                </a:r>
              </a:p>
            </c:rich>
          </c:tx>
          <c:layout>
            <c:manualLayout>
              <c:xMode val="edge"/>
              <c:yMode val="edge"/>
              <c:x val="1.3319302068373524E-2"/>
              <c:y val="0.35275590551181102"/>
            </c:manualLayout>
          </c:layout>
          <c:overlay val="0"/>
        </c:title>
        <c:numFmt formatCode="General" sourceLinked="1"/>
        <c:majorTickMark val="out"/>
        <c:minorTickMark val="none"/>
        <c:tickLblPos val="nextTo"/>
        <c:txPr>
          <a:bodyPr rot="0" vert="horz"/>
          <a:lstStyle/>
          <a:p>
            <a:pPr>
              <a:defRPr/>
            </a:pPr>
            <a:endParaRPr lang="en-US"/>
          </a:p>
        </c:txPr>
        <c:crossAx val="109172992"/>
        <c:crosses val="autoZero"/>
        <c:crossBetween val="between"/>
        <c:majorUnit val="10"/>
      </c:valAx>
    </c:plotArea>
    <c:legend>
      <c:legendPos val="r"/>
      <c:layout>
        <c:manualLayout>
          <c:xMode val="edge"/>
          <c:yMode val="edge"/>
          <c:x val="0.67563076250084386"/>
          <c:y val="0.193470709778299"/>
          <c:w val="0.24974306072437524"/>
          <c:h val="0.22622084420750518"/>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mn-lt"/>
          <a:ea typeface="Calibri"/>
          <a:cs typeface="Calibri"/>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07524059492625"/>
          <c:y val="4.4883091527618608E-2"/>
          <c:w val="0.86927803920188373"/>
          <c:h val="0.81574339352159531"/>
        </c:manualLayout>
      </c:layout>
      <c:barChart>
        <c:barDir val="col"/>
        <c:grouping val="clustered"/>
        <c:varyColors val="0"/>
        <c:ser>
          <c:idx val="0"/>
          <c:order val="0"/>
          <c:tx>
            <c:strRef>
              <c:f>graphs!$AB$15</c:f>
              <c:strCache>
                <c:ptCount val="1"/>
                <c:pt idx="0">
                  <c:v>Pacific</c:v>
                </c:pt>
              </c:strCache>
            </c:strRef>
          </c:tx>
          <c:invertIfNegative val="0"/>
          <c:dLbls>
            <c:showLegendKey val="0"/>
            <c:showVal val="1"/>
            <c:showCatName val="0"/>
            <c:showSerName val="0"/>
            <c:showPercent val="0"/>
            <c:showBubbleSize val="0"/>
            <c:showLeaderLines val="0"/>
          </c:dLbls>
          <c:cat>
            <c:strRef>
              <c:f>graphs!$AA$16:$AA$17</c:f>
              <c:strCache>
                <c:ptCount val="2"/>
                <c:pt idx="0">
                  <c:v>Gambled in the last 12 months</c:v>
                </c:pt>
                <c:pt idx="1">
                  <c:v>Gambled in the last 4 weeks</c:v>
                </c:pt>
              </c:strCache>
            </c:strRef>
          </c:cat>
          <c:val>
            <c:numRef>
              <c:f>graphs!$AB$16:$AB$17</c:f>
              <c:numCache>
                <c:formatCode>General</c:formatCode>
                <c:ptCount val="2"/>
                <c:pt idx="0">
                  <c:v>26.3</c:v>
                </c:pt>
                <c:pt idx="1">
                  <c:v>14.2</c:v>
                </c:pt>
              </c:numCache>
            </c:numRef>
          </c:val>
        </c:ser>
        <c:ser>
          <c:idx val="1"/>
          <c:order val="1"/>
          <c:tx>
            <c:strRef>
              <c:f>graphs!$AC$15</c:f>
              <c:strCache>
                <c:ptCount val="1"/>
                <c:pt idx="0">
                  <c:v>NZ European</c:v>
                </c:pt>
              </c:strCache>
            </c:strRef>
          </c:tx>
          <c:invertIfNegative val="0"/>
          <c:dLbls>
            <c:showLegendKey val="0"/>
            <c:showVal val="1"/>
            <c:showCatName val="0"/>
            <c:showSerName val="0"/>
            <c:showPercent val="0"/>
            <c:showBubbleSize val="0"/>
            <c:showLeaderLines val="0"/>
          </c:dLbls>
          <c:cat>
            <c:strRef>
              <c:f>graphs!$AA$16:$AA$17</c:f>
              <c:strCache>
                <c:ptCount val="2"/>
                <c:pt idx="0">
                  <c:v>Gambled in the last 12 months</c:v>
                </c:pt>
                <c:pt idx="1">
                  <c:v>Gambled in the last 4 weeks</c:v>
                </c:pt>
              </c:strCache>
            </c:strRef>
          </c:cat>
          <c:val>
            <c:numRef>
              <c:f>graphs!$AC$16:$AC$17</c:f>
              <c:numCache>
                <c:formatCode>General</c:formatCode>
                <c:ptCount val="2"/>
                <c:pt idx="0">
                  <c:v>23.8</c:v>
                </c:pt>
                <c:pt idx="1">
                  <c:v>8.7000000000000011</c:v>
                </c:pt>
              </c:numCache>
            </c:numRef>
          </c:val>
        </c:ser>
        <c:dLbls>
          <c:showLegendKey val="0"/>
          <c:showVal val="0"/>
          <c:showCatName val="0"/>
          <c:showSerName val="0"/>
          <c:showPercent val="0"/>
          <c:showBubbleSize val="0"/>
        </c:dLbls>
        <c:gapWidth val="80"/>
        <c:axId val="109221376"/>
        <c:axId val="109222912"/>
      </c:barChart>
      <c:catAx>
        <c:axId val="109221376"/>
        <c:scaling>
          <c:orientation val="minMax"/>
        </c:scaling>
        <c:delete val="0"/>
        <c:axPos val="b"/>
        <c:numFmt formatCode="General" sourceLinked="1"/>
        <c:majorTickMark val="none"/>
        <c:minorTickMark val="none"/>
        <c:tickLblPos val="nextTo"/>
        <c:txPr>
          <a:bodyPr rot="0" vert="horz"/>
          <a:lstStyle/>
          <a:p>
            <a:pPr>
              <a:defRPr b="1"/>
            </a:pPr>
            <a:endParaRPr lang="en-US"/>
          </a:p>
        </c:txPr>
        <c:crossAx val="109222912"/>
        <c:crosses val="autoZero"/>
        <c:auto val="1"/>
        <c:lblAlgn val="ctr"/>
        <c:lblOffset val="100"/>
        <c:noMultiLvlLbl val="0"/>
      </c:catAx>
      <c:valAx>
        <c:axId val="109222912"/>
        <c:scaling>
          <c:orientation val="minMax"/>
          <c:max val="50"/>
          <c:min val="0"/>
        </c:scaling>
        <c:delete val="0"/>
        <c:axPos val="l"/>
        <c:title>
          <c:tx>
            <c:rich>
              <a:bodyPr/>
              <a:lstStyle/>
              <a:p>
                <a:pPr>
                  <a:defRPr sz="1050" b="1"/>
                </a:pPr>
                <a:r>
                  <a:rPr lang="en-NZ" sz="1050" b="1"/>
                  <a:t>Percent (%)</a:t>
                </a:r>
              </a:p>
            </c:rich>
          </c:tx>
          <c:layout>
            <c:manualLayout>
              <c:xMode val="edge"/>
              <c:yMode val="edge"/>
              <c:x val="1.3319302068373524E-2"/>
              <c:y val="0.35275590551181102"/>
            </c:manualLayout>
          </c:layout>
          <c:overlay val="0"/>
        </c:title>
        <c:numFmt formatCode="General" sourceLinked="1"/>
        <c:majorTickMark val="out"/>
        <c:minorTickMark val="none"/>
        <c:tickLblPos val="nextTo"/>
        <c:txPr>
          <a:bodyPr rot="0" vert="horz"/>
          <a:lstStyle/>
          <a:p>
            <a:pPr>
              <a:defRPr/>
            </a:pPr>
            <a:endParaRPr lang="en-US"/>
          </a:p>
        </c:txPr>
        <c:crossAx val="109221376"/>
        <c:crosses val="autoZero"/>
        <c:crossBetween val="between"/>
        <c:majorUnit val="10"/>
      </c:valAx>
    </c:plotArea>
    <c:legend>
      <c:legendPos val="r"/>
      <c:layout>
        <c:manualLayout>
          <c:xMode val="edge"/>
          <c:yMode val="edge"/>
          <c:x val="0.73693194600674961"/>
          <c:y val="0.17490147686763102"/>
          <c:w val="0.19343119610048792"/>
          <c:h val="0.16034277431738939"/>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mn-lt"/>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662224914193424"/>
          <c:y val="8.7022073060539565E-2"/>
          <c:w val="0.8076636538732106"/>
          <c:h val="0.8013058314127347"/>
        </c:manualLayout>
      </c:layout>
      <c:barChart>
        <c:barDir val="col"/>
        <c:grouping val="clustered"/>
        <c:varyColors val="0"/>
        <c:ser>
          <c:idx val="1"/>
          <c:order val="0"/>
          <c:tx>
            <c:strRef>
              <c:f>graphs!$AA$44</c:f>
              <c:strCache>
                <c:ptCount val="1"/>
                <c:pt idx="0">
                  <c:v>Lower deprivation</c:v>
                </c:pt>
              </c:strCache>
            </c:strRef>
          </c:tx>
          <c:invertIfNegative val="0"/>
          <c:cat>
            <c:strRef>
              <c:f>graphs!$Z$46</c:f>
              <c:strCache>
                <c:ptCount val="1"/>
                <c:pt idx="0">
                  <c:v>Worried about the gambling behaviours of others</c:v>
                </c:pt>
              </c:strCache>
            </c:strRef>
          </c:cat>
          <c:val>
            <c:numRef>
              <c:f>graphs!$AA$46</c:f>
              <c:numCache>
                <c:formatCode>General</c:formatCode>
                <c:ptCount val="1"/>
                <c:pt idx="0">
                  <c:v>0</c:v>
                </c:pt>
              </c:numCache>
            </c:numRef>
          </c:val>
        </c:ser>
        <c:ser>
          <c:idx val="0"/>
          <c:order val="1"/>
          <c:tx>
            <c:strRef>
              <c:f>graphs!$AB$44</c:f>
              <c:strCache>
                <c:ptCount val="1"/>
                <c:pt idx="0">
                  <c:v>Medium deprivation</c:v>
                </c:pt>
              </c:strCache>
            </c:strRef>
          </c:tx>
          <c:invertIfNegative val="0"/>
          <c:dLbls>
            <c:showLegendKey val="0"/>
            <c:showVal val="1"/>
            <c:showCatName val="0"/>
            <c:showSerName val="0"/>
            <c:showPercent val="0"/>
            <c:showBubbleSize val="0"/>
            <c:showLeaderLines val="0"/>
          </c:dLbls>
          <c:cat>
            <c:strRef>
              <c:f>graphs!$Z$46</c:f>
              <c:strCache>
                <c:ptCount val="1"/>
                <c:pt idx="0">
                  <c:v>Worried about the gambling behaviours of others</c:v>
                </c:pt>
              </c:strCache>
            </c:strRef>
          </c:cat>
          <c:val>
            <c:numRef>
              <c:f>graphs!$AB$46</c:f>
              <c:numCache>
                <c:formatCode>General</c:formatCode>
                <c:ptCount val="1"/>
                <c:pt idx="0">
                  <c:v>17.5</c:v>
                </c:pt>
              </c:numCache>
            </c:numRef>
          </c:val>
        </c:ser>
        <c:ser>
          <c:idx val="2"/>
          <c:order val="2"/>
          <c:tx>
            <c:strRef>
              <c:f>graphs!$AC$44</c:f>
              <c:strCache>
                <c:ptCount val="1"/>
                <c:pt idx="0">
                  <c:v>Higher deprivation</c:v>
                </c:pt>
              </c:strCache>
            </c:strRef>
          </c:tx>
          <c:invertIfNegative val="0"/>
          <c:dLbls>
            <c:showLegendKey val="0"/>
            <c:showVal val="1"/>
            <c:showCatName val="0"/>
            <c:showSerName val="0"/>
            <c:showPercent val="0"/>
            <c:showBubbleSize val="0"/>
            <c:showLeaderLines val="0"/>
          </c:dLbls>
          <c:cat>
            <c:strRef>
              <c:f>graphs!$Z$46</c:f>
              <c:strCache>
                <c:ptCount val="1"/>
                <c:pt idx="0">
                  <c:v>Worried about the gambling behaviours of others</c:v>
                </c:pt>
              </c:strCache>
            </c:strRef>
          </c:cat>
          <c:val>
            <c:numRef>
              <c:f>graphs!$AC$46</c:f>
              <c:numCache>
                <c:formatCode>General</c:formatCode>
                <c:ptCount val="1"/>
                <c:pt idx="0">
                  <c:v>27.9</c:v>
                </c:pt>
              </c:numCache>
            </c:numRef>
          </c:val>
        </c:ser>
        <c:dLbls>
          <c:showLegendKey val="0"/>
          <c:showVal val="0"/>
          <c:showCatName val="0"/>
          <c:showSerName val="0"/>
          <c:showPercent val="0"/>
          <c:showBubbleSize val="0"/>
        </c:dLbls>
        <c:gapWidth val="80"/>
        <c:axId val="109270528"/>
        <c:axId val="109272064"/>
      </c:barChart>
      <c:catAx>
        <c:axId val="109270528"/>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en-US"/>
          </a:p>
        </c:txPr>
        <c:crossAx val="109272064"/>
        <c:crosses val="autoZero"/>
        <c:auto val="1"/>
        <c:lblAlgn val="ctr"/>
        <c:lblOffset val="100"/>
        <c:noMultiLvlLbl val="0"/>
      </c:catAx>
      <c:valAx>
        <c:axId val="109272064"/>
        <c:scaling>
          <c:orientation val="minMax"/>
          <c:max val="50"/>
          <c:min val="0"/>
        </c:scaling>
        <c:delete val="0"/>
        <c:axPos val="l"/>
        <c:title>
          <c:tx>
            <c:rich>
              <a:bodyPr/>
              <a:lstStyle/>
              <a:p>
                <a:pPr>
                  <a:defRPr sz="1050" b="1" i="0" u="none" strike="noStrike" baseline="0">
                    <a:solidFill>
                      <a:srgbClr val="000000"/>
                    </a:solidFill>
                    <a:latin typeface="Calibri"/>
                    <a:ea typeface="Calibri"/>
                    <a:cs typeface="Calibri"/>
                  </a:defRPr>
                </a:pPr>
                <a:r>
                  <a:rPr lang="en-NZ" sz="1050"/>
                  <a:t>Percent (%)</a:t>
                </a:r>
              </a:p>
            </c:rich>
          </c:tx>
          <c:layout>
            <c:manualLayout>
              <c:xMode val="edge"/>
              <c:yMode val="edge"/>
              <c:x val="1.3319302068373524E-2"/>
              <c:y val="0.3527559055118110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9270528"/>
        <c:crosses val="autoZero"/>
        <c:crossBetween val="between"/>
        <c:majorUnit val="10"/>
      </c:valAx>
    </c:plotArea>
    <c:legend>
      <c:legendPos val="r"/>
      <c:layout>
        <c:manualLayout>
          <c:xMode val="edge"/>
          <c:yMode val="edge"/>
          <c:x val="0.79956238643246302"/>
          <c:y val="0.11038466503162514"/>
          <c:w val="0.17789089665635871"/>
          <c:h val="0.20741233165526518"/>
        </c:manualLayout>
      </c:layout>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807524059492617"/>
          <c:y val="4.0999929661247062E-2"/>
          <c:w val="0.8692780392018834"/>
          <c:h val="0.83912422817651522"/>
        </c:manualLayout>
      </c:layout>
      <c:barChart>
        <c:barDir val="col"/>
        <c:grouping val="clustered"/>
        <c:varyColors val="0"/>
        <c:ser>
          <c:idx val="0"/>
          <c:order val="0"/>
          <c:tx>
            <c:strRef>
              <c:f>graphs!$AY$15</c:f>
              <c:strCache>
                <c:ptCount val="1"/>
                <c:pt idx="0">
                  <c:v>Asian</c:v>
                </c:pt>
              </c:strCache>
            </c:strRef>
          </c:tx>
          <c:invertIfNegative val="0"/>
          <c:dLbls>
            <c:showLegendKey val="0"/>
            <c:showVal val="1"/>
            <c:showCatName val="0"/>
            <c:showSerName val="0"/>
            <c:showPercent val="0"/>
            <c:showBubbleSize val="0"/>
            <c:showLeaderLines val="0"/>
          </c:dLbls>
          <c:cat>
            <c:strRef>
              <c:f>graphs!$AX$16:$AX$17</c:f>
              <c:strCache>
                <c:ptCount val="2"/>
                <c:pt idx="0">
                  <c:v>Gambled in the last 12 months</c:v>
                </c:pt>
                <c:pt idx="1">
                  <c:v>Gambled in the last 4 weeks</c:v>
                </c:pt>
              </c:strCache>
            </c:strRef>
          </c:cat>
          <c:val>
            <c:numRef>
              <c:f>graphs!$AY$16:$AY$17</c:f>
              <c:numCache>
                <c:formatCode>General</c:formatCode>
                <c:ptCount val="2"/>
                <c:pt idx="0">
                  <c:v>22.6</c:v>
                </c:pt>
                <c:pt idx="1">
                  <c:v>9.3000000000000007</c:v>
                </c:pt>
              </c:numCache>
            </c:numRef>
          </c:val>
        </c:ser>
        <c:ser>
          <c:idx val="1"/>
          <c:order val="1"/>
          <c:tx>
            <c:strRef>
              <c:f>graphs!$AZ$15</c:f>
              <c:strCache>
                <c:ptCount val="1"/>
                <c:pt idx="0">
                  <c:v>NZ European</c:v>
                </c:pt>
              </c:strCache>
            </c:strRef>
          </c:tx>
          <c:invertIfNegative val="0"/>
          <c:dLbls>
            <c:showLegendKey val="0"/>
            <c:showVal val="1"/>
            <c:showCatName val="0"/>
            <c:showSerName val="0"/>
            <c:showPercent val="0"/>
            <c:showBubbleSize val="0"/>
            <c:showLeaderLines val="0"/>
          </c:dLbls>
          <c:cat>
            <c:strRef>
              <c:f>graphs!$AX$16:$AX$17</c:f>
              <c:strCache>
                <c:ptCount val="2"/>
                <c:pt idx="0">
                  <c:v>Gambled in the last 12 months</c:v>
                </c:pt>
                <c:pt idx="1">
                  <c:v>Gambled in the last 4 weeks</c:v>
                </c:pt>
              </c:strCache>
            </c:strRef>
          </c:cat>
          <c:val>
            <c:numRef>
              <c:f>graphs!$AZ$16:$AZ$17</c:f>
              <c:numCache>
                <c:formatCode>General</c:formatCode>
                <c:ptCount val="2"/>
                <c:pt idx="0">
                  <c:v>23.8</c:v>
                </c:pt>
                <c:pt idx="1">
                  <c:v>8.7000000000000011</c:v>
                </c:pt>
              </c:numCache>
            </c:numRef>
          </c:val>
        </c:ser>
        <c:dLbls>
          <c:showLegendKey val="0"/>
          <c:showVal val="0"/>
          <c:showCatName val="0"/>
          <c:showSerName val="0"/>
          <c:showPercent val="0"/>
          <c:showBubbleSize val="0"/>
        </c:dLbls>
        <c:gapWidth val="80"/>
        <c:axId val="109409024"/>
        <c:axId val="109410560"/>
      </c:barChart>
      <c:catAx>
        <c:axId val="109409024"/>
        <c:scaling>
          <c:orientation val="minMax"/>
        </c:scaling>
        <c:delete val="0"/>
        <c:axPos val="b"/>
        <c:numFmt formatCode="General" sourceLinked="1"/>
        <c:majorTickMark val="none"/>
        <c:minorTickMark val="none"/>
        <c:tickLblPos val="nextTo"/>
        <c:txPr>
          <a:bodyPr rot="0" vert="horz"/>
          <a:lstStyle/>
          <a:p>
            <a:pPr>
              <a:defRPr b="1"/>
            </a:pPr>
            <a:endParaRPr lang="en-US"/>
          </a:p>
        </c:txPr>
        <c:crossAx val="109410560"/>
        <c:crosses val="autoZero"/>
        <c:auto val="1"/>
        <c:lblAlgn val="ctr"/>
        <c:lblOffset val="100"/>
        <c:noMultiLvlLbl val="0"/>
      </c:catAx>
      <c:valAx>
        <c:axId val="109410560"/>
        <c:scaling>
          <c:orientation val="minMax"/>
          <c:max val="50"/>
          <c:min val="0"/>
        </c:scaling>
        <c:delete val="0"/>
        <c:axPos val="l"/>
        <c:title>
          <c:tx>
            <c:rich>
              <a:bodyPr/>
              <a:lstStyle/>
              <a:p>
                <a:pPr>
                  <a:defRPr sz="1050" b="1"/>
                </a:pPr>
                <a:r>
                  <a:rPr lang="en-NZ" sz="1050" b="1"/>
                  <a:t>Percent (%)</a:t>
                </a:r>
              </a:p>
            </c:rich>
          </c:tx>
          <c:layout>
            <c:manualLayout>
              <c:xMode val="edge"/>
              <c:yMode val="edge"/>
              <c:x val="1.3319302068373524E-2"/>
              <c:y val="0.35275590551181102"/>
            </c:manualLayout>
          </c:layout>
          <c:overlay val="0"/>
        </c:title>
        <c:numFmt formatCode="General" sourceLinked="1"/>
        <c:majorTickMark val="out"/>
        <c:minorTickMark val="none"/>
        <c:tickLblPos val="nextTo"/>
        <c:txPr>
          <a:bodyPr rot="0" vert="horz"/>
          <a:lstStyle/>
          <a:p>
            <a:pPr>
              <a:defRPr/>
            </a:pPr>
            <a:endParaRPr lang="en-US"/>
          </a:p>
        </c:txPr>
        <c:crossAx val="109409024"/>
        <c:crosses val="autoZero"/>
        <c:crossBetween val="between"/>
        <c:majorUnit val="10"/>
      </c:valAx>
    </c:plotArea>
    <c:legend>
      <c:legendPos val="r"/>
      <c:layout>
        <c:manualLayout>
          <c:xMode val="edge"/>
          <c:yMode val="edge"/>
          <c:x val="0.75329029705114181"/>
          <c:y val="9.8549063437508008E-2"/>
          <c:w val="0.19858631347813321"/>
          <c:h val="0.15345229328348389"/>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mn-lt"/>
          <a:ea typeface="Calibri"/>
          <a:cs typeface="Calibri"/>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807524059492609"/>
          <c:y val="2.8639422348519846E-2"/>
          <c:w val="0.8076636538732106"/>
          <c:h val="0.84183579165280464"/>
        </c:manualLayout>
      </c:layout>
      <c:barChart>
        <c:barDir val="col"/>
        <c:grouping val="clustered"/>
        <c:varyColors val="0"/>
        <c:ser>
          <c:idx val="1"/>
          <c:order val="0"/>
          <c:tx>
            <c:strRef>
              <c:f>graphs!$BA$45</c:f>
              <c:strCache>
                <c:ptCount val="1"/>
                <c:pt idx="0">
                  <c:v>Lower deprivation</c:v>
                </c:pt>
              </c:strCache>
            </c:strRef>
          </c:tx>
          <c:invertIfNegative val="0"/>
          <c:dLbls>
            <c:numFmt formatCode="#,##0.0" sourceLinked="0"/>
            <c:showLegendKey val="0"/>
            <c:showVal val="1"/>
            <c:showCatName val="0"/>
            <c:showSerName val="0"/>
            <c:showPercent val="0"/>
            <c:showBubbleSize val="0"/>
            <c:showLeaderLines val="0"/>
          </c:dLbls>
          <c:cat>
            <c:strRef>
              <c:f>graphs!$AZ$47</c:f>
              <c:strCache>
                <c:ptCount val="1"/>
                <c:pt idx="0">
                  <c:v>Worried about the gambling behaviours of others</c:v>
                </c:pt>
              </c:strCache>
            </c:strRef>
          </c:cat>
          <c:val>
            <c:numRef>
              <c:f>graphs!$BA$47</c:f>
              <c:numCache>
                <c:formatCode>General</c:formatCode>
                <c:ptCount val="1"/>
                <c:pt idx="0">
                  <c:v>11</c:v>
                </c:pt>
              </c:numCache>
            </c:numRef>
          </c:val>
        </c:ser>
        <c:ser>
          <c:idx val="0"/>
          <c:order val="1"/>
          <c:tx>
            <c:strRef>
              <c:f>graphs!$BB$45</c:f>
              <c:strCache>
                <c:ptCount val="1"/>
                <c:pt idx="0">
                  <c:v>Medium deprivation</c:v>
                </c:pt>
              </c:strCache>
            </c:strRef>
          </c:tx>
          <c:invertIfNegative val="0"/>
          <c:dLbls>
            <c:showLegendKey val="0"/>
            <c:showVal val="1"/>
            <c:showCatName val="0"/>
            <c:showSerName val="0"/>
            <c:showPercent val="0"/>
            <c:showBubbleSize val="0"/>
            <c:showLeaderLines val="0"/>
          </c:dLbls>
          <c:cat>
            <c:strRef>
              <c:f>graphs!$AZ$47</c:f>
              <c:strCache>
                <c:ptCount val="1"/>
                <c:pt idx="0">
                  <c:v>Worried about the gambling behaviours of others</c:v>
                </c:pt>
              </c:strCache>
            </c:strRef>
          </c:cat>
          <c:val>
            <c:numRef>
              <c:f>graphs!$BB$47</c:f>
              <c:numCache>
                <c:formatCode>General</c:formatCode>
                <c:ptCount val="1"/>
                <c:pt idx="0">
                  <c:v>8.2000000000000011</c:v>
                </c:pt>
              </c:numCache>
            </c:numRef>
          </c:val>
        </c:ser>
        <c:ser>
          <c:idx val="2"/>
          <c:order val="2"/>
          <c:tx>
            <c:strRef>
              <c:f>graphs!$BC$45</c:f>
              <c:strCache>
                <c:ptCount val="1"/>
                <c:pt idx="0">
                  <c:v>Higher deprivation</c:v>
                </c:pt>
              </c:strCache>
            </c:strRef>
          </c:tx>
          <c:invertIfNegative val="0"/>
          <c:dLbls>
            <c:showLegendKey val="0"/>
            <c:showVal val="1"/>
            <c:showCatName val="0"/>
            <c:showSerName val="0"/>
            <c:showPercent val="0"/>
            <c:showBubbleSize val="0"/>
            <c:showLeaderLines val="0"/>
          </c:dLbls>
          <c:cat>
            <c:strRef>
              <c:f>graphs!$AZ$47</c:f>
              <c:strCache>
                <c:ptCount val="1"/>
                <c:pt idx="0">
                  <c:v>Worried about the gambling behaviours of others</c:v>
                </c:pt>
              </c:strCache>
            </c:strRef>
          </c:cat>
          <c:val>
            <c:numRef>
              <c:f>graphs!$BC$47</c:f>
              <c:numCache>
                <c:formatCode>General</c:formatCode>
                <c:ptCount val="1"/>
                <c:pt idx="0">
                  <c:v>13.4</c:v>
                </c:pt>
              </c:numCache>
            </c:numRef>
          </c:val>
        </c:ser>
        <c:dLbls>
          <c:showLegendKey val="0"/>
          <c:showVal val="0"/>
          <c:showCatName val="0"/>
          <c:showSerName val="0"/>
          <c:showPercent val="0"/>
          <c:showBubbleSize val="0"/>
        </c:dLbls>
        <c:gapWidth val="80"/>
        <c:axId val="109503232"/>
        <c:axId val="109504768"/>
      </c:barChart>
      <c:catAx>
        <c:axId val="109503232"/>
        <c:scaling>
          <c:orientation val="minMax"/>
        </c:scaling>
        <c:delete val="0"/>
        <c:axPos val="b"/>
        <c:numFmt formatCode="General" sourceLinked="1"/>
        <c:majorTickMark val="none"/>
        <c:minorTickMark val="none"/>
        <c:tickLblPos val="nextTo"/>
        <c:txPr>
          <a:bodyPr rot="0" vert="horz"/>
          <a:lstStyle/>
          <a:p>
            <a:pPr>
              <a:defRPr b="1"/>
            </a:pPr>
            <a:endParaRPr lang="en-US"/>
          </a:p>
        </c:txPr>
        <c:crossAx val="109504768"/>
        <c:crosses val="autoZero"/>
        <c:auto val="1"/>
        <c:lblAlgn val="ctr"/>
        <c:lblOffset val="100"/>
        <c:noMultiLvlLbl val="0"/>
      </c:catAx>
      <c:valAx>
        <c:axId val="109504768"/>
        <c:scaling>
          <c:orientation val="minMax"/>
          <c:max val="50"/>
          <c:min val="0"/>
        </c:scaling>
        <c:delete val="0"/>
        <c:axPos val="l"/>
        <c:title>
          <c:tx>
            <c:rich>
              <a:bodyPr/>
              <a:lstStyle/>
              <a:p>
                <a:pPr>
                  <a:defRPr sz="1050" b="1"/>
                </a:pPr>
                <a:r>
                  <a:rPr lang="en-NZ" sz="1050" b="1"/>
                  <a:t>Percent (%)</a:t>
                </a:r>
              </a:p>
            </c:rich>
          </c:tx>
          <c:layout>
            <c:manualLayout>
              <c:xMode val="edge"/>
              <c:yMode val="edge"/>
              <c:x val="1.3319302068373524E-2"/>
              <c:y val="0.35275590551181102"/>
            </c:manualLayout>
          </c:layout>
          <c:overlay val="0"/>
        </c:title>
        <c:numFmt formatCode="General" sourceLinked="1"/>
        <c:majorTickMark val="out"/>
        <c:minorTickMark val="none"/>
        <c:tickLblPos val="nextTo"/>
        <c:txPr>
          <a:bodyPr rot="0" vert="horz"/>
          <a:lstStyle/>
          <a:p>
            <a:pPr>
              <a:defRPr/>
            </a:pPr>
            <a:endParaRPr lang="en-US"/>
          </a:p>
        </c:txPr>
        <c:crossAx val="109503232"/>
        <c:crosses val="autoZero"/>
        <c:crossBetween val="between"/>
        <c:majorUnit val="10"/>
      </c:valAx>
    </c:plotArea>
    <c:legend>
      <c:legendPos val="r"/>
      <c:layout>
        <c:manualLayout>
          <c:xMode val="edge"/>
          <c:yMode val="edge"/>
          <c:x val="0.67859128331110008"/>
          <c:y val="6.7013049425159898E-2"/>
          <c:w val="0.2603151515151515"/>
          <c:h val="0.2521289416287753"/>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mn-lt"/>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36290233884642E-2"/>
          <c:y val="4.2131480128799803E-2"/>
          <c:w val="0.88697312348745649"/>
          <c:h val="0.78300280778856135"/>
        </c:manualLayout>
      </c:layout>
      <c:barChart>
        <c:barDir val="col"/>
        <c:grouping val="clustered"/>
        <c:varyColors val="0"/>
        <c:ser>
          <c:idx val="0"/>
          <c:order val="0"/>
          <c:tx>
            <c:strRef>
              <c:f>Sheet1!$B$1</c:f>
              <c:strCache>
                <c:ptCount val="1"/>
                <c:pt idx="0">
                  <c:v>Column1</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Sheet1!$A$2:$A$6</c:f>
              <c:strCache>
                <c:ptCount val="5"/>
                <c:pt idx="0">
                  <c:v>Friends</c:v>
                </c:pt>
                <c:pt idx="1">
                  <c:v>Family</c:v>
                </c:pt>
                <c:pt idx="2">
                  <c:v>By myself</c:v>
                </c:pt>
                <c:pt idx="3">
                  <c:v>Other people 
I know</c:v>
                </c:pt>
                <c:pt idx="4">
                  <c:v>Other people
 I don't know 
(e.g. people online)</c:v>
                </c:pt>
              </c:strCache>
            </c:strRef>
          </c:cat>
          <c:val>
            <c:numRef>
              <c:f>Sheet1!$B$2:$B$6</c:f>
              <c:numCache>
                <c:formatCode>General</c:formatCode>
                <c:ptCount val="5"/>
                <c:pt idx="0">
                  <c:v>66.8</c:v>
                </c:pt>
                <c:pt idx="1">
                  <c:v>60.1</c:v>
                </c:pt>
                <c:pt idx="2">
                  <c:v>8.7000000000000011</c:v>
                </c:pt>
                <c:pt idx="3">
                  <c:v>4.9000000000000004</c:v>
                </c:pt>
                <c:pt idx="4">
                  <c:v>2.4</c:v>
                </c:pt>
              </c:numCache>
            </c:numRef>
          </c:val>
        </c:ser>
        <c:dLbls>
          <c:showLegendKey val="0"/>
          <c:showVal val="0"/>
          <c:showCatName val="0"/>
          <c:showSerName val="0"/>
          <c:showPercent val="0"/>
          <c:showBubbleSize val="0"/>
        </c:dLbls>
        <c:gapWidth val="75"/>
        <c:axId val="109391872"/>
        <c:axId val="109393792"/>
      </c:barChart>
      <c:catAx>
        <c:axId val="109391872"/>
        <c:scaling>
          <c:orientation val="minMax"/>
        </c:scaling>
        <c:delete val="0"/>
        <c:axPos val="b"/>
        <c:numFmt formatCode="General" sourceLinked="1"/>
        <c:majorTickMark val="none"/>
        <c:minorTickMark val="none"/>
        <c:tickLblPos val="nextTo"/>
        <c:txPr>
          <a:bodyPr anchor="ctr" anchorCtr="0"/>
          <a:lstStyle/>
          <a:p>
            <a:pPr>
              <a:defRPr sz="900"/>
            </a:pPr>
            <a:endParaRPr lang="en-US"/>
          </a:p>
        </c:txPr>
        <c:crossAx val="109393792"/>
        <c:crosses val="autoZero"/>
        <c:auto val="1"/>
        <c:lblAlgn val="ctr"/>
        <c:lblOffset val="100"/>
        <c:noMultiLvlLbl val="0"/>
      </c:catAx>
      <c:valAx>
        <c:axId val="109393792"/>
        <c:scaling>
          <c:orientation val="minMax"/>
          <c:max val="100"/>
        </c:scaling>
        <c:delete val="0"/>
        <c:axPos val="l"/>
        <c:title>
          <c:tx>
            <c:rich>
              <a:bodyPr rot="-5400000" vert="horz"/>
              <a:lstStyle/>
              <a:p>
                <a:pPr>
                  <a:defRPr/>
                </a:pPr>
                <a:r>
                  <a:rPr lang="en-NZ"/>
                  <a:t>Percent (%)</a:t>
                </a:r>
              </a:p>
            </c:rich>
          </c:tx>
          <c:layout>
            <c:manualLayout>
              <c:xMode val="edge"/>
              <c:yMode val="edge"/>
              <c:x val="7.1290868414413374E-3"/>
              <c:y val="0.37146324361434852"/>
            </c:manualLayout>
          </c:layout>
          <c:overlay val="0"/>
        </c:title>
        <c:numFmt formatCode="General" sourceLinked="1"/>
        <c:majorTickMark val="out"/>
        <c:minorTickMark val="none"/>
        <c:tickLblPos val="nextTo"/>
        <c:crossAx val="1093918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641916801018"/>
          <c:y val="4.5749327454523973E-2"/>
          <c:w val="0.87475751151062164"/>
          <c:h val="0.81054026662508993"/>
        </c:manualLayout>
      </c:layout>
      <c:barChart>
        <c:barDir val="col"/>
        <c:grouping val="clustered"/>
        <c:varyColors val="0"/>
        <c:ser>
          <c:idx val="0"/>
          <c:order val="0"/>
          <c:tx>
            <c:strRef>
              <c:f>Sheet1!$B$1</c:f>
              <c:strCache>
                <c:ptCount val="1"/>
                <c:pt idx="0">
                  <c:v>Lower deprivation</c:v>
                </c:pt>
              </c:strCache>
            </c:strRef>
          </c:tx>
          <c:spPr>
            <a:solidFill>
              <a:schemeClr val="accent1">
                <a:lumMod val="7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c:f>
              <c:strCache>
                <c:ptCount val="1"/>
                <c:pt idx="0">
                  <c:v>Student is worried about the amount of time or money spent gambling</c:v>
                </c:pt>
              </c:strCache>
            </c:strRef>
          </c:cat>
          <c:val>
            <c:numRef>
              <c:f>Sheet1!$B$2</c:f>
              <c:numCache>
                <c:formatCode>General</c:formatCode>
                <c:ptCount val="1"/>
                <c:pt idx="0">
                  <c:v>6.6</c:v>
                </c:pt>
              </c:numCache>
            </c:numRef>
          </c:val>
        </c:ser>
        <c:ser>
          <c:idx val="1"/>
          <c:order val="1"/>
          <c:tx>
            <c:strRef>
              <c:f>Sheet1!$C$1</c:f>
              <c:strCache>
                <c:ptCount val="1"/>
                <c:pt idx="0">
                  <c:v>Medium Deprivation</c:v>
                </c:pt>
              </c:strCache>
            </c:strRef>
          </c:tx>
          <c:spPr>
            <a:solidFill>
              <a:schemeClr val="tx2">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c:f>
              <c:strCache>
                <c:ptCount val="1"/>
                <c:pt idx="0">
                  <c:v>Student is worried about the amount of time or money spent gambling</c:v>
                </c:pt>
              </c:strCache>
            </c:strRef>
          </c:cat>
          <c:val>
            <c:numRef>
              <c:f>Sheet1!$C$2</c:f>
              <c:numCache>
                <c:formatCode>General</c:formatCode>
                <c:ptCount val="1"/>
                <c:pt idx="0">
                  <c:v>11.8</c:v>
                </c:pt>
              </c:numCache>
            </c:numRef>
          </c:val>
        </c:ser>
        <c:ser>
          <c:idx val="2"/>
          <c:order val="2"/>
          <c:tx>
            <c:strRef>
              <c:f>Sheet1!$D$1</c:f>
              <c:strCache>
                <c:ptCount val="1"/>
                <c:pt idx="0">
                  <c:v>Higher Deprivation</c:v>
                </c:pt>
              </c:strCache>
            </c:strRef>
          </c:tx>
          <c:spPr>
            <a:solidFill>
              <a:schemeClr val="accent1">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c:f>
              <c:strCache>
                <c:ptCount val="1"/>
                <c:pt idx="0">
                  <c:v>Student is worried about the amount of time or money spent gambling</c:v>
                </c:pt>
              </c:strCache>
            </c:strRef>
          </c:cat>
          <c:val>
            <c:numRef>
              <c:f>Sheet1!$D$2</c:f>
              <c:numCache>
                <c:formatCode>General</c:formatCode>
                <c:ptCount val="1"/>
                <c:pt idx="0">
                  <c:v>27.7</c:v>
                </c:pt>
              </c:numCache>
            </c:numRef>
          </c:val>
        </c:ser>
        <c:dLbls>
          <c:showLegendKey val="0"/>
          <c:showVal val="0"/>
          <c:showCatName val="0"/>
          <c:showSerName val="0"/>
          <c:showPercent val="0"/>
          <c:showBubbleSize val="0"/>
        </c:dLbls>
        <c:gapWidth val="75"/>
        <c:overlap val="-15"/>
        <c:axId val="39026688"/>
        <c:axId val="39028224"/>
      </c:barChart>
      <c:catAx>
        <c:axId val="39026688"/>
        <c:scaling>
          <c:orientation val="minMax"/>
        </c:scaling>
        <c:delete val="0"/>
        <c:axPos val="b"/>
        <c:numFmt formatCode="General" sourceLinked="1"/>
        <c:majorTickMark val="none"/>
        <c:minorTickMark val="none"/>
        <c:tickLblPos val="nextTo"/>
        <c:txPr>
          <a:bodyPr anchor="ctr" anchorCtr="0"/>
          <a:lstStyle/>
          <a:p>
            <a:pPr>
              <a:defRPr sz="900"/>
            </a:pPr>
            <a:endParaRPr lang="en-US"/>
          </a:p>
        </c:txPr>
        <c:crossAx val="39028224"/>
        <c:crosses val="autoZero"/>
        <c:auto val="1"/>
        <c:lblAlgn val="ctr"/>
        <c:lblOffset val="100"/>
        <c:noMultiLvlLbl val="0"/>
      </c:catAx>
      <c:valAx>
        <c:axId val="39028224"/>
        <c:scaling>
          <c:orientation val="minMax"/>
          <c:max val="50"/>
        </c:scaling>
        <c:delete val="0"/>
        <c:axPos val="l"/>
        <c:title>
          <c:tx>
            <c:rich>
              <a:bodyPr rot="-5400000" vert="horz"/>
              <a:lstStyle/>
              <a:p>
                <a:pPr>
                  <a:defRPr/>
                </a:pPr>
                <a:r>
                  <a:rPr lang="en-NZ"/>
                  <a:t>Percent (%)</a:t>
                </a:r>
              </a:p>
            </c:rich>
          </c:tx>
          <c:layout>
            <c:manualLayout>
              <c:xMode val="edge"/>
              <c:yMode val="edge"/>
              <c:x val="1.4465727805847067E-2"/>
              <c:y val="0.36254865098676281"/>
            </c:manualLayout>
          </c:layout>
          <c:overlay val="0"/>
        </c:title>
        <c:numFmt formatCode="General" sourceLinked="1"/>
        <c:majorTickMark val="out"/>
        <c:minorTickMark val="none"/>
        <c:tickLblPos val="nextTo"/>
        <c:crossAx val="39026688"/>
        <c:crosses val="autoZero"/>
        <c:crossBetween val="between"/>
      </c:valAx>
    </c:plotArea>
    <c:legend>
      <c:legendPos val="t"/>
      <c:layout>
        <c:manualLayout>
          <c:xMode val="edge"/>
          <c:yMode val="edge"/>
          <c:x val="0.69252784873462658"/>
          <c:y val="1.9313456604441302E-2"/>
          <c:w val="0.29186462862307738"/>
          <c:h val="0.22242481762366267"/>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641916801018"/>
          <c:y val="4.5749327454523973E-2"/>
          <c:w val="0.87475751151062164"/>
          <c:h val="0.81054026662508993"/>
        </c:manualLayout>
      </c:layout>
      <c:barChart>
        <c:barDir val="col"/>
        <c:grouping val="clustered"/>
        <c:varyColors val="0"/>
        <c:ser>
          <c:idx val="0"/>
          <c:order val="0"/>
          <c:tx>
            <c:strRef>
              <c:f>Sheet1!$B$1</c:f>
              <c:strCache>
                <c:ptCount val="1"/>
                <c:pt idx="0">
                  <c:v>Lower deprivation</c:v>
                </c:pt>
              </c:strCache>
            </c:strRef>
          </c:tx>
          <c:spPr>
            <a:solidFill>
              <a:schemeClr val="accent1">
                <a:lumMod val="7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c:f>
              <c:strCache>
                <c:ptCount val="1"/>
                <c:pt idx="0">
                  <c:v>Student has tried to cut down or give up gambling</c:v>
                </c:pt>
              </c:strCache>
            </c:strRef>
          </c:cat>
          <c:val>
            <c:numRef>
              <c:f>Sheet1!$B$2</c:f>
              <c:numCache>
                <c:formatCode>General</c:formatCode>
                <c:ptCount val="1"/>
                <c:pt idx="0">
                  <c:v>6.2</c:v>
                </c:pt>
              </c:numCache>
            </c:numRef>
          </c:val>
        </c:ser>
        <c:ser>
          <c:idx val="1"/>
          <c:order val="1"/>
          <c:tx>
            <c:strRef>
              <c:f>Sheet1!$C$1</c:f>
              <c:strCache>
                <c:ptCount val="1"/>
                <c:pt idx="0">
                  <c:v>Medium Deprivation</c:v>
                </c:pt>
              </c:strCache>
            </c:strRef>
          </c:tx>
          <c:spPr>
            <a:solidFill>
              <a:schemeClr val="tx2">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c:f>
              <c:strCache>
                <c:ptCount val="1"/>
                <c:pt idx="0">
                  <c:v>Student has tried to cut down or give up gambling</c:v>
                </c:pt>
              </c:strCache>
            </c:strRef>
          </c:cat>
          <c:val>
            <c:numRef>
              <c:f>Sheet1!$C$2</c:f>
              <c:numCache>
                <c:formatCode>General</c:formatCode>
                <c:ptCount val="1"/>
                <c:pt idx="0">
                  <c:v>10.5</c:v>
                </c:pt>
              </c:numCache>
            </c:numRef>
          </c:val>
        </c:ser>
        <c:ser>
          <c:idx val="2"/>
          <c:order val="2"/>
          <c:tx>
            <c:strRef>
              <c:f>Sheet1!$D$1</c:f>
              <c:strCache>
                <c:ptCount val="1"/>
                <c:pt idx="0">
                  <c:v>Higher Deprivation</c:v>
                </c:pt>
              </c:strCache>
            </c:strRef>
          </c:tx>
          <c:spPr>
            <a:solidFill>
              <a:schemeClr val="accent1">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c:f>
              <c:strCache>
                <c:ptCount val="1"/>
                <c:pt idx="0">
                  <c:v>Student has tried to cut down or give up gambling</c:v>
                </c:pt>
              </c:strCache>
            </c:strRef>
          </c:cat>
          <c:val>
            <c:numRef>
              <c:f>Sheet1!$D$2</c:f>
              <c:numCache>
                <c:formatCode>General</c:formatCode>
                <c:ptCount val="1"/>
                <c:pt idx="0">
                  <c:v>26.2</c:v>
                </c:pt>
              </c:numCache>
            </c:numRef>
          </c:val>
        </c:ser>
        <c:dLbls>
          <c:showLegendKey val="0"/>
          <c:showVal val="0"/>
          <c:showCatName val="0"/>
          <c:showSerName val="0"/>
          <c:showPercent val="0"/>
          <c:showBubbleSize val="0"/>
        </c:dLbls>
        <c:gapWidth val="75"/>
        <c:overlap val="-15"/>
        <c:axId val="39895424"/>
        <c:axId val="39896960"/>
      </c:barChart>
      <c:catAx>
        <c:axId val="39895424"/>
        <c:scaling>
          <c:orientation val="minMax"/>
        </c:scaling>
        <c:delete val="0"/>
        <c:axPos val="b"/>
        <c:numFmt formatCode="General" sourceLinked="1"/>
        <c:majorTickMark val="none"/>
        <c:minorTickMark val="none"/>
        <c:tickLblPos val="nextTo"/>
        <c:txPr>
          <a:bodyPr anchor="ctr" anchorCtr="0"/>
          <a:lstStyle/>
          <a:p>
            <a:pPr>
              <a:defRPr sz="900"/>
            </a:pPr>
            <a:endParaRPr lang="en-US"/>
          </a:p>
        </c:txPr>
        <c:crossAx val="39896960"/>
        <c:crosses val="autoZero"/>
        <c:auto val="1"/>
        <c:lblAlgn val="ctr"/>
        <c:lblOffset val="100"/>
        <c:noMultiLvlLbl val="0"/>
      </c:catAx>
      <c:valAx>
        <c:axId val="39896960"/>
        <c:scaling>
          <c:orientation val="minMax"/>
          <c:max val="50"/>
        </c:scaling>
        <c:delete val="0"/>
        <c:axPos val="l"/>
        <c:title>
          <c:tx>
            <c:rich>
              <a:bodyPr rot="-5400000" vert="horz"/>
              <a:lstStyle/>
              <a:p>
                <a:pPr>
                  <a:defRPr/>
                </a:pPr>
                <a:r>
                  <a:rPr lang="en-NZ"/>
                  <a:t>Percent (%)</a:t>
                </a:r>
              </a:p>
            </c:rich>
          </c:tx>
          <c:layout>
            <c:manualLayout>
              <c:xMode val="edge"/>
              <c:yMode val="edge"/>
              <c:x val="1.4465727805847067E-2"/>
              <c:y val="0.36254865098676281"/>
            </c:manualLayout>
          </c:layout>
          <c:overlay val="0"/>
        </c:title>
        <c:numFmt formatCode="General" sourceLinked="1"/>
        <c:majorTickMark val="out"/>
        <c:minorTickMark val="none"/>
        <c:tickLblPos val="nextTo"/>
        <c:crossAx val="39895424"/>
        <c:crosses val="autoZero"/>
        <c:crossBetween val="between"/>
      </c:valAx>
    </c:plotArea>
    <c:legend>
      <c:legendPos val="t"/>
      <c:layout>
        <c:manualLayout>
          <c:xMode val="edge"/>
          <c:yMode val="edge"/>
          <c:x val="0.69252784873462658"/>
          <c:y val="1.9313456604441302E-2"/>
          <c:w val="0.29186462862307738"/>
          <c:h val="0.22242481762366267"/>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49392989755878"/>
          <c:y val="5.3442787736639324E-2"/>
          <c:w val="0.87475751151062164"/>
          <c:h val="0.71024075782229734"/>
        </c:manualLayout>
      </c:layout>
      <c:barChart>
        <c:barDir val="col"/>
        <c:grouping val="clustered"/>
        <c:varyColors val="0"/>
        <c:ser>
          <c:idx val="0"/>
          <c:order val="0"/>
          <c:tx>
            <c:strRef>
              <c:f>Sheet1!$B$1</c:f>
              <c:strCache>
                <c:ptCount val="1"/>
                <c:pt idx="0">
                  <c:v>Gambling</c:v>
                </c:pt>
              </c:strCache>
            </c:strRef>
          </c:tx>
          <c:spPr>
            <a:solidFill>
              <a:schemeClr val="accent1">
                <a:lumMod val="7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Sheet1!$A$2:$A$3</c:f>
              <c:strCache>
                <c:ptCount val="2"/>
                <c:pt idx="0">
                  <c:v>Worried about their 
involvement in this activity</c:v>
                </c:pt>
                <c:pt idx="1">
                  <c:v>Have tried to cut down</c:v>
                </c:pt>
              </c:strCache>
            </c:strRef>
          </c:cat>
          <c:val>
            <c:numRef>
              <c:f>Sheet1!$B$2:$B$3</c:f>
              <c:numCache>
                <c:formatCode>0.0</c:formatCode>
                <c:ptCount val="2"/>
                <c:pt idx="0">
                  <c:v>6.6</c:v>
                </c:pt>
                <c:pt idx="1">
                  <c:v>6.2</c:v>
                </c:pt>
              </c:numCache>
            </c:numRef>
          </c:val>
        </c:ser>
        <c:ser>
          <c:idx val="1"/>
          <c:order val="1"/>
          <c:tx>
            <c:strRef>
              <c:f>Sheet1!$C$1</c:f>
              <c:strCache>
                <c:ptCount val="1"/>
                <c:pt idx="0">
                  <c:v>Alcohol</c:v>
                </c:pt>
              </c:strCache>
            </c:strRef>
          </c:tx>
          <c:spPr>
            <a:solidFill>
              <a:schemeClr val="tx2">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Sheet1!$A$2:$A$3</c:f>
              <c:strCache>
                <c:ptCount val="2"/>
                <c:pt idx="0">
                  <c:v>Worried about their 
involvement in this activity</c:v>
                </c:pt>
                <c:pt idx="1">
                  <c:v>Have tried to cut down</c:v>
                </c:pt>
              </c:strCache>
            </c:strRef>
          </c:cat>
          <c:val>
            <c:numRef>
              <c:f>Sheet1!$C$2:$C$3</c:f>
              <c:numCache>
                <c:formatCode>0.0</c:formatCode>
                <c:ptCount val="2"/>
                <c:pt idx="0">
                  <c:v>8.3000000000000007</c:v>
                </c:pt>
                <c:pt idx="1">
                  <c:v>13.2</c:v>
                </c:pt>
              </c:numCache>
            </c:numRef>
          </c:val>
        </c:ser>
        <c:ser>
          <c:idx val="2"/>
          <c:order val="2"/>
          <c:tx>
            <c:strRef>
              <c:f>Sheet1!$D$1</c:f>
              <c:strCache>
                <c:ptCount val="1"/>
                <c:pt idx="0">
                  <c:v>Marijuana</c:v>
                </c:pt>
              </c:strCache>
            </c:strRef>
          </c:tx>
          <c:spPr>
            <a:solidFill>
              <a:schemeClr val="accent1">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Sheet1!$A$2:$A$3</c:f>
              <c:strCache>
                <c:ptCount val="2"/>
                <c:pt idx="0">
                  <c:v>Worried about their 
involvement in this activity</c:v>
                </c:pt>
                <c:pt idx="1">
                  <c:v>Have tried to cut down</c:v>
                </c:pt>
              </c:strCache>
            </c:strRef>
          </c:cat>
          <c:val>
            <c:numRef>
              <c:f>Sheet1!$D$2:$D$3</c:f>
              <c:numCache>
                <c:formatCode>0.0</c:formatCode>
                <c:ptCount val="2"/>
                <c:pt idx="0">
                  <c:v>13.8</c:v>
                </c:pt>
                <c:pt idx="1">
                  <c:v>33.5</c:v>
                </c:pt>
              </c:numCache>
            </c:numRef>
          </c:val>
        </c:ser>
        <c:dLbls>
          <c:showLegendKey val="0"/>
          <c:showVal val="0"/>
          <c:showCatName val="0"/>
          <c:showSerName val="0"/>
          <c:showPercent val="0"/>
          <c:showBubbleSize val="0"/>
        </c:dLbls>
        <c:gapWidth val="75"/>
        <c:axId val="71049984"/>
        <c:axId val="71051520"/>
      </c:barChart>
      <c:catAx>
        <c:axId val="71049984"/>
        <c:scaling>
          <c:orientation val="minMax"/>
        </c:scaling>
        <c:delete val="0"/>
        <c:axPos val="b"/>
        <c:numFmt formatCode="General" sourceLinked="1"/>
        <c:majorTickMark val="none"/>
        <c:minorTickMark val="none"/>
        <c:tickLblPos val="nextTo"/>
        <c:txPr>
          <a:bodyPr anchor="ctr" anchorCtr="0"/>
          <a:lstStyle/>
          <a:p>
            <a:pPr>
              <a:defRPr sz="900"/>
            </a:pPr>
            <a:endParaRPr lang="en-US"/>
          </a:p>
        </c:txPr>
        <c:crossAx val="71051520"/>
        <c:crosses val="autoZero"/>
        <c:auto val="1"/>
        <c:lblAlgn val="ctr"/>
        <c:lblOffset val="100"/>
        <c:noMultiLvlLbl val="0"/>
      </c:catAx>
      <c:valAx>
        <c:axId val="71051520"/>
        <c:scaling>
          <c:orientation val="minMax"/>
          <c:max val="50"/>
          <c:min val="0"/>
        </c:scaling>
        <c:delete val="0"/>
        <c:axPos val="l"/>
        <c:title>
          <c:tx>
            <c:rich>
              <a:bodyPr rot="-5400000" vert="horz"/>
              <a:lstStyle/>
              <a:p>
                <a:pPr>
                  <a:defRPr/>
                </a:pPr>
                <a:r>
                  <a:rPr lang="en-NZ"/>
                  <a:t>Percent (%)</a:t>
                </a:r>
              </a:p>
            </c:rich>
          </c:tx>
          <c:layout>
            <c:manualLayout>
              <c:xMode val="edge"/>
              <c:yMode val="edge"/>
              <c:x val="9.9386394268284068E-3"/>
              <c:y val="0.2816128562714873"/>
            </c:manualLayout>
          </c:layout>
          <c:overlay val="0"/>
        </c:title>
        <c:numFmt formatCode="General" sourceLinked="0"/>
        <c:majorTickMark val="out"/>
        <c:minorTickMark val="none"/>
        <c:tickLblPos val="nextTo"/>
        <c:crossAx val="71049984"/>
        <c:crosses val="autoZero"/>
        <c:crossBetween val="between"/>
      </c:valAx>
    </c:plotArea>
    <c:legend>
      <c:legendPos val="t"/>
      <c:layout>
        <c:manualLayout>
          <c:xMode val="edge"/>
          <c:yMode val="edge"/>
          <c:x val="0.16409796503814986"/>
          <c:y val="0.90679639952451463"/>
          <c:w val="0.75633564199123937"/>
          <c:h val="6.9283193049144834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47390472068782"/>
          <c:y val="2.0245427143283552E-2"/>
          <c:w val="0.68000912599756758"/>
          <c:h val="0.8384189824081838"/>
        </c:manualLayout>
      </c:layout>
      <c:barChart>
        <c:barDir val="bar"/>
        <c:grouping val="clustered"/>
        <c:varyColors val="0"/>
        <c:ser>
          <c:idx val="0"/>
          <c:order val="0"/>
          <c:tx>
            <c:strRef>
              <c:f>Sheet1!$B$1</c:f>
              <c:strCache>
                <c:ptCount val="1"/>
                <c:pt idx="0">
                  <c:v>Females</c:v>
                </c:pt>
              </c:strCache>
            </c:strRef>
          </c:tx>
          <c:spPr>
            <a:solidFill>
              <a:schemeClr val="accent1">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Sheet1!$A$2:$A$12</c:f>
              <c:strCache>
                <c:ptCount val="11"/>
                <c:pt idx="0">
                  <c:v>I wouldn't look for help</c:v>
                </c:pt>
                <c:pt idx="1">
                  <c:v>Pharmacy/chemist</c:v>
                </c:pt>
                <c:pt idx="2">
                  <c:v>School nurse</c:v>
                </c:pt>
                <c:pt idx="3">
                  <c:v>Family doctor</c:v>
                </c:pt>
                <c:pt idx="4">
                  <c:v>Other</c:v>
                </c:pt>
                <c:pt idx="5">
                  <c:v>Teachers</c:v>
                </c:pt>
                <c:pt idx="6">
                  <c:v>Gambling helpline</c:v>
                </c:pt>
                <c:pt idx="7">
                  <c:v>Other family members</c:v>
                </c:pt>
                <c:pt idx="8">
                  <c:v>School guidance counsellor</c:v>
                </c:pt>
                <c:pt idx="9">
                  <c:v>Friends</c:v>
                </c:pt>
                <c:pt idx="10">
                  <c:v>Parents</c:v>
                </c:pt>
              </c:strCache>
            </c:strRef>
          </c:cat>
          <c:val>
            <c:numRef>
              <c:f>Sheet1!$B$2:$B$12</c:f>
              <c:numCache>
                <c:formatCode>0.0</c:formatCode>
                <c:ptCount val="11"/>
                <c:pt idx="0">
                  <c:v>16</c:v>
                </c:pt>
                <c:pt idx="1">
                  <c:v>1.7</c:v>
                </c:pt>
                <c:pt idx="2">
                  <c:v>5.7</c:v>
                </c:pt>
                <c:pt idx="3">
                  <c:v>6.6</c:v>
                </c:pt>
                <c:pt idx="4">
                  <c:v>6.9</c:v>
                </c:pt>
                <c:pt idx="5">
                  <c:v>9.1</c:v>
                </c:pt>
                <c:pt idx="6">
                  <c:v>22</c:v>
                </c:pt>
                <c:pt idx="7">
                  <c:v>20.399999999999999</c:v>
                </c:pt>
                <c:pt idx="8">
                  <c:v>29.8</c:v>
                </c:pt>
                <c:pt idx="9">
                  <c:v>54.4</c:v>
                </c:pt>
                <c:pt idx="10">
                  <c:v>56.8</c:v>
                </c:pt>
              </c:numCache>
            </c:numRef>
          </c:val>
        </c:ser>
        <c:ser>
          <c:idx val="1"/>
          <c:order val="1"/>
          <c:tx>
            <c:strRef>
              <c:f>Sheet1!$C$1</c:f>
              <c:strCache>
                <c:ptCount val="1"/>
                <c:pt idx="0">
                  <c:v>Males</c:v>
                </c:pt>
              </c:strCache>
            </c:strRef>
          </c:tx>
          <c:spPr>
            <a:solidFill>
              <a:schemeClr val="accent1">
                <a:lumMod val="7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Sheet1!$A$2:$A$12</c:f>
              <c:strCache>
                <c:ptCount val="11"/>
                <c:pt idx="0">
                  <c:v>I wouldn't look for help</c:v>
                </c:pt>
                <c:pt idx="1">
                  <c:v>Pharmacy/chemist</c:v>
                </c:pt>
                <c:pt idx="2">
                  <c:v>School nurse</c:v>
                </c:pt>
                <c:pt idx="3">
                  <c:v>Family doctor</c:v>
                </c:pt>
                <c:pt idx="4">
                  <c:v>Other</c:v>
                </c:pt>
                <c:pt idx="5">
                  <c:v>Teachers</c:v>
                </c:pt>
                <c:pt idx="6">
                  <c:v>Gambling helpline</c:v>
                </c:pt>
                <c:pt idx="7">
                  <c:v>Other family members</c:v>
                </c:pt>
                <c:pt idx="8">
                  <c:v>School guidance counsellor</c:v>
                </c:pt>
                <c:pt idx="9">
                  <c:v>Friends</c:v>
                </c:pt>
                <c:pt idx="10">
                  <c:v>Parents</c:v>
                </c:pt>
              </c:strCache>
            </c:strRef>
          </c:cat>
          <c:val>
            <c:numRef>
              <c:f>Sheet1!$C$2:$C$12</c:f>
              <c:numCache>
                <c:formatCode>0.0</c:formatCode>
                <c:ptCount val="11"/>
                <c:pt idx="0">
                  <c:v>18.2</c:v>
                </c:pt>
                <c:pt idx="1">
                  <c:v>2</c:v>
                </c:pt>
                <c:pt idx="2">
                  <c:v>4.5</c:v>
                </c:pt>
                <c:pt idx="3">
                  <c:v>6.9</c:v>
                </c:pt>
                <c:pt idx="4">
                  <c:v>9.1</c:v>
                </c:pt>
                <c:pt idx="5">
                  <c:v>14.1</c:v>
                </c:pt>
                <c:pt idx="6">
                  <c:v>17.600000000000001</c:v>
                </c:pt>
                <c:pt idx="7">
                  <c:v>20.9</c:v>
                </c:pt>
                <c:pt idx="8">
                  <c:v>27.2</c:v>
                </c:pt>
                <c:pt idx="9">
                  <c:v>45.3</c:v>
                </c:pt>
                <c:pt idx="10">
                  <c:v>57.9</c:v>
                </c:pt>
              </c:numCache>
            </c:numRef>
          </c:val>
        </c:ser>
        <c:dLbls>
          <c:showLegendKey val="0"/>
          <c:showVal val="0"/>
          <c:showCatName val="0"/>
          <c:showSerName val="0"/>
          <c:showPercent val="0"/>
          <c:showBubbleSize val="0"/>
        </c:dLbls>
        <c:gapWidth val="74"/>
        <c:overlap val="1"/>
        <c:axId val="97398784"/>
        <c:axId val="97400320"/>
      </c:barChart>
      <c:catAx>
        <c:axId val="97398784"/>
        <c:scaling>
          <c:orientation val="minMax"/>
        </c:scaling>
        <c:delete val="0"/>
        <c:axPos val="l"/>
        <c:numFmt formatCode="General" sourceLinked="1"/>
        <c:majorTickMark val="out"/>
        <c:minorTickMark val="none"/>
        <c:tickLblPos val="nextTo"/>
        <c:txPr>
          <a:bodyPr anchor="ctr" anchorCtr="0"/>
          <a:lstStyle/>
          <a:p>
            <a:pPr>
              <a:defRPr sz="1000"/>
            </a:pPr>
            <a:endParaRPr lang="en-US"/>
          </a:p>
        </c:txPr>
        <c:crossAx val="97400320"/>
        <c:crosses val="autoZero"/>
        <c:auto val="1"/>
        <c:lblAlgn val="ctr"/>
        <c:lblOffset val="100"/>
        <c:noMultiLvlLbl val="0"/>
      </c:catAx>
      <c:valAx>
        <c:axId val="97400320"/>
        <c:scaling>
          <c:orientation val="minMax"/>
          <c:max val="100"/>
        </c:scaling>
        <c:delete val="0"/>
        <c:axPos val="b"/>
        <c:title>
          <c:tx>
            <c:rich>
              <a:bodyPr rot="0" vert="horz"/>
              <a:lstStyle/>
              <a:p>
                <a:pPr>
                  <a:defRPr/>
                </a:pPr>
                <a:r>
                  <a:rPr lang="en-NZ"/>
                  <a:t>Percent (%)</a:t>
                </a:r>
              </a:p>
            </c:rich>
          </c:tx>
          <c:layout>
            <c:manualLayout>
              <c:xMode val="edge"/>
              <c:yMode val="edge"/>
              <c:x val="0.53093588065828479"/>
              <c:y val="0.93671611924110143"/>
            </c:manualLayout>
          </c:layout>
          <c:overlay val="0"/>
        </c:title>
        <c:numFmt formatCode="0" sourceLinked="0"/>
        <c:majorTickMark val="out"/>
        <c:minorTickMark val="none"/>
        <c:tickLblPos val="nextTo"/>
        <c:crossAx val="97398784"/>
        <c:crosses val="autoZero"/>
        <c:crossBetween val="between"/>
      </c:valAx>
    </c:plotArea>
    <c:legend>
      <c:legendPos val="r"/>
      <c:layout>
        <c:manualLayout>
          <c:xMode val="edge"/>
          <c:yMode val="edge"/>
          <c:x val="0.79834053543307304"/>
          <c:y val="0.67677130321336965"/>
          <c:w val="0.10776457742782197"/>
          <c:h val="0.12858960629921257"/>
        </c:manualLayout>
      </c:layout>
      <c:overlay val="1"/>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36323489922621E-2"/>
          <c:y val="5.2778974213754624E-2"/>
          <c:w val="0.88697312348745649"/>
          <c:h val="0.71630352612608661"/>
        </c:manualLayout>
      </c:layout>
      <c:barChart>
        <c:barDir val="col"/>
        <c:grouping val="clustered"/>
        <c:varyColors val="0"/>
        <c:ser>
          <c:idx val="0"/>
          <c:order val="0"/>
          <c:tx>
            <c:strRef>
              <c:f>Sheet1!$B$1</c:f>
              <c:strCache>
                <c:ptCount val="1"/>
                <c:pt idx="0">
                  <c:v>Column1</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Sheet1!$A$2:$A$13</c:f>
              <c:strCache>
                <c:ptCount val="12"/>
                <c:pt idx="0">
                  <c:v>Bets with friends or family</c:v>
                </c:pt>
                <c:pt idx="1">
                  <c:v>Instant
 Kiwi</c:v>
                </c:pt>
                <c:pt idx="2">
                  <c:v>Cards or coin games</c:v>
                </c:pt>
                <c:pt idx="3">
                  <c:v>Lotto etc</c:v>
                </c:pt>
                <c:pt idx="4">
                  <c:v>Bingo or housie</c:v>
                </c:pt>
                <c:pt idx="5">
                  <c:v>Games or gambling on
a mobile phone</c:v>
                </c:pt>
                <c:pt idx="6">
                  <c:v>TAB betting</c:v>
                </c:pt>
                <c:pt idx="7">
                  <c:v>Pub or club pokies</c:v>
                </c:pt>
                <c:pt idx="8">
                  <c:v>0900 phone games</c:v>
                </c:pt>
                <c:pt idx="9">
                  <c:v>Gambling on the internet</c:v>
                </c:pt>
                <c:pt idx="10">
                  <c:v>Casino 
pokies or tables</c:v>
                </c:pt>
                <c:pt idx="11">
                  <c:v>None of
these</c:v>
                </c:pt>
              </c:strCache>
            </c:strRef>
          </c:cat>
          <c:val>
            <c:numRef>
              <c:f>Sheet1!$B$2:$B$13</c:f>
              <c:numCache>
                <c:formatCode>0.0</c:formatCode>
                <c:ptCount val="12"/>
                <c:pt idx="0">
                  <c:v>49</c:v>
                </c:pt>
                <c:pt idx="1">
                  <c:v>37.700000000000003</c:v>
                </c:pt>
                <c:pt idx="2">
                  <c:v>26.2</c:v>
                </c:pt>
                <c:pt idx="3">
                  <c:v>21.5</c:v>
                </c:pt>
                <c:pt idx="4">
                  <c:v>16.7</c:v>
                </c:pt>
                <c:pt idx="5">
                  <c:v>9</c:v>
                </c:pt>
                <c:pt idx="6">
                  <c:v>5.4</c:v>
                </c:pt>
                <c:pt idx="7">
                  <c:v>3.5</c:v>
                </c:pt>
                <c:pt idx="8">
                  <c:v>3.5</c:v>
                </c:pt>
                <c:pt idx="9">
                  <c:v>3</c:v>
                </c:pt>
                <c:pt idx="10">
                  <c:v>2.2000000000000002</c:v>
                </c:pt>
                <c:pt idx="11">
                  <c:v>30.5</c:v>
                </c:pt>
              </c:numCache>
            </c:numRef>
          </c:val>
        </c:ser>
        <c:dLbls>
          <c:showLegendKey val="0"/>
          <c:showVal val="0"/>
          <c:showCatName val="0"/>
          <c:showSerName val="0"/>
          <c:showPercent val="0"/>
          <c:showBubbleSize val="0"/>
        </c:dLbls>
        <c:gapWidth val="75"/>
        <c:axId val="105339136"/>
        <c:axId val="105345024"/>
      </c:barChart>
      <c:catAx>
        <c:axId val="105339136"/>
        <c:scaling>
          <c:orientation val="minMax"/>
        </c:scaling>
        <c:delete val="0"/>
        <c:axPos val="b"/>
        <c:numFmt formatCode="General" sourceLinked="1"/>
        <c:majorTickMark val="none"/>
        <c:minorTickMark val="none"/>
        <c:tickLblPos val="nextTo"/>
        <c:txPr>
          <a:bodyPr anchor="ctr" anchorCtr="0"/>
          <a:lstStyle/>
          <a:p>
            <a:pPr>
              <a:defRPr sz="900"/>
            </a:pPr>
            <a:endParaRPr lang="en-US"/>
          </a:p>
        </c:txPr>
        <c:crossAx val="105345024"/>
        <c:crosses val="autoZero"/>
        <c:auto val="1"/>
        <c:lblAlgn val="ctr"/>
        <c:lblOffset val="100"/>
        <c:tickLblSkip val="1"/>
        <c:noMultiLvlLbl val="0"/>
      </c:catAx>
      <c:valAx>
        <c:axId val="105345024"/>
        <c:scaling>
          <c:orientation val="minMax"/>
          <c:max val="100"/>
        </c:scaling>
        <c:delete val="0"/>
        <c:axPos val="l"/>
        <c:title>
          <c:tx>
            <c:rich>
              <a:bodyPr rot="-5400000" vert="horz"/>
              <a:lstStyle/>
              <a:p>
                <a:pPr>
                  <a:defRPr/>
                </a:pPr>
                <a:r>
                  <a:rPr lang="en-NZ" sz="900"/>
                  <a:t>Percent (%)</a:t>
                </a:r>
              </a:p>
            </c:rich>
          </c:tx>
          <c:layout>
            <c:manualLayout>
              <c:xMode val="edge"/>
              <c:yMode val="edge"/>
              <c:x val="1.4604048944915685E-2"/>
              <c:y val="0.25643586241624983"/>
            </c:manualLayout>
          </c:layout>
          <c:overlay val="0"/>
        </c:title>
        <c:numFmt formatCode="General" sourceLinked="0"/>
        <c:majorTickMark val="out"/>
        <c:minorTickMark val="none"/>
        <c:tickLblPos val="nextTo"/>
        <c:crossAx val="10533913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18682196203595"/>
          <c:y val="2.1378409081042622E-2"/>
          <c:w val="0.73117847769029198"/>
          <c:h val="0.87420778030442403"/>
        </c:manualLayout>
      </c:layout>
      <c:barChart>
        <c:barDir val="bar"/>
        <c:grouping val="clustered"/>
        <c:varyColors val="0"/>
        <c:ser>
          <c:idx val="0"/>
          <c:order val="0"/>
          <c:tx>
            <c:strRef>
              <c:f>Sheet1!$B$1</c:f>
              <c:strCache>
                <c:ptCount val="1"/>
                <c:pt idx="0">
                  <c:v>Females</c:v>
                </c:pt>
              </c:strCache>
            </c:strRef>
          </c:tx>
          <c:spPr>
            <a:solidFill>
              <a:schemeClr val="accent1">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Sheet1!$A$2:$A$15</c:f>
              <c:strCache>
                <c:ptCount val="14"/>
                <c:pt idx="0">
                  <c:v>None of these</c:v>
                </c:pt>
                <c:pt idx="1">
                  <c:v>Because I can't stop</c:v>
                </c:pt>
                <c:pt idx="2">
                  <c:v>Because I am lonely</c:v>
                </c:pt>
                <c:pt idx="3">
                  <c:v>To feel better about myself</c:v>
                </c:pt>
                <c:pt idx="4">
                  <c:v>Because my family does</c:v>
                </c:pt>
                <c:pt idx="5">
                  <c:v>Because I am short of money</c:v>
                </c:pt>
                <c:pt idx="6">
                  <c:v>To forget about things</c:v>
                </c:pt>
                <c:pt idx="7">
                  <c:v>To get a buzz</c:v>
                </c:pt>
                <c:pt idx="8">
                  <c:v>Because my friends do</c:v>
                </c:pt>
                <c:pt idx="9">
                  <c:v>To relax</c:v>
                </c:pt>
                <c:pt idx="10">
                  <c:v>Because I am bored</c:v>
                </c:pt>
                <c:pt idx="11">
                  <c:v>For a challenge</c:v>
                </c:pt>
                <c:pt idx="12">
                  <c:v>To win money</c:v>
                </c:pt>
                <c:pt idx="13">
                  <c:v>To have fun</c:v>
                </c:pt>
              </c:strCache>
            </c:strRef>
          </c:cat>
          <c:val>
            <c:numRef>
              <c:f>Sheet1!$B$2:$B$15</c:f>
              <c:numCache>
                <c:formatCode>General</c:formatCode>
                <c:ptCount val="14"/>
                <c:pt idx="0">
                  <c:v>30.2</c:v>
                </c:pt>
                <c:pt idx="1">
                  <c:v>0.4</c:v>
                </c:pt>
                <c:pt idx="2">
                  <c:v>0.60000000000000064</c:v>
                </c:pt>
                <c:pt idx="3">
                  <c:v>0.60000000000000064</c:v>
                </c:pt>
                <c:pt idx="4">
                  <c:v>5.9</c:v>
                </c:pt>
                <c:pt idx="5">
                  <c:v>2.1</c:v>
                </c:pt>
                <c:pt idx="6">
                  <c:v>1.5</c:v>
                </c:pt>
                <c:pt idx="7">
                  <c:v>4.5</c:v>
                </c:pt>
                <c:pt idx="8">
                  <c:v>3.7</c:v>
                </c:pt>
                <c:pt idx="9">
                  <c:v>2.9</c:v>
                </c:pt>
                <c:pt idx="10">
                  <c:v>17.7</c:v>
                </c:pt>
                <c:pt idx="11">
                  <c:v>17.100000000000001</c:v>
                </c:pt>
                <c:pt idx="12">
                  <c:v>28.6</c:v>
                </c:pt>
                <c:pt idx="13">
                  <c:v>57.9</c:v>
                </c:pt>
              </c:numCache>
            </c:numRef>
          </c:val>
        </c:ser>
        <c:ser>
          <c:idx val="1"/>
          <c:order val="1"/>
          <c:tx>
            <c:strRef>
              <c:f>Sheet1!$C$1</c:f>
              <c:strCache>
                <c:ptCount val="1"/>
                <c:pt idx="0">
                  <c:v>Males</c:v>
                </c:pt>
              </c:strCache>
            </c:strRef>
          </c:tx>
          <c:spPr>
            <a:solidFill>
              <a:schemeClr val="accent1">
                <a:lumMod val="7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Sheet1!$A$2:$A$15</c:f>
              <c:strCache>
                <c:ptCount val="14"/>
                <c:pt idx="0">
                  <c:v>None of these</c:v>
                </c:pt>
                <c:pt idx="1">
                  <c:v>Because I can't stop</c:v>
                </c:pt>
                <c:pt idx="2">
                  <c:v>Because I am lonely</c:v>
                </c:pt>
                <c:pt idx="3">
                  <c:v>To feel better about myself</c:v>
                </c:pt>
                <c:pt idx="4">
                  <c:v>Because my family does</c:v>
                </c:pt>
                <c:pt idx="5">
                  <c:v>Because I am short of money</c:v>
                </c:pt>
                <c:pt idx="6">
                  <c:v>To forget about things</c:v>
                </c:pt>
                <c:pt idx="7">
                  <c:v>To get a buzz</c:v>
                </c:pt>
                <c:pt idx="8">
                  <c:v>Because my friends do</c:v>
                </c:pt>
                <c:pt idx="9">
                  <c:v>To relax</c:v>
                </c:pt>
                <c:pt idx="10">
                  <c:v>Because I am bored</c:v>
                </c:pt>
                <c:pt idx="11">
                  <c:v>For a challenge</c:v>
                </c:pt>
                <c:pt idx="12">
                  <c:v>To win money</c:v>
                </c:pt>
                <c:pt idx="13">
                  <c:v>To have fun</c:v>
                </c:pt>
              </c:strCache>
            </c:strRef>
          </c:cat>
          <c:val>
            <c:numRef>
              <c:f>Sheet1!$C$2:$C$15</c:f>
              <c:numCache>
                <c:formatCode>General</c:formatCode>
                <c:ptCount val="14"/>
                <c:pt idx="0">
                  <c:v>24.5</c:v>
                </c:pt>
                <c:pt idx="1">
                  <c:v>0.8</c:v>
                </c:pt>
                <c:pt idx="2" formatCode="0.0">
                  <c:v>1</c:v>
                </c:pt>
                <c:pt idx="3">
                  <c:v>2.2999999999999998</c:v>
                </c:pt>
                <c:pt idx="4">
                  <c:v>2.4</c:v>
                </c:pt>
                <c:pt idx="5">
                  <c:v>3.2</c:v>
                </c:pt>
                <c:pt idx="6">
                  <c:v>3.4</c:v>
                </c:pt>
                <c:pt idx="7">
                  <c:v>3.5</c:v>
                </c:pt>
                <c:pt idx="8">
                  <c:v>4.3</c:v>
                </c:pt>
                <c:pt idx="9">
                  <c:v>7.8</c:v>
                </c:pt>
                <c:pt idx="10">
                  <c:v>17.399999999999999</c:v>
                </c:pt>
                <c:pt idx="11">
                  <c:v>22.4</c:v>
                </c:pt>
                <c:pt idx="12">
                  <c:v>34.800000000000004</c:v>
                </c:pt>
                <c:pt idx="13">
                  <c:v>62.1</c:v>
                </c:pt>
              </c:numCache>
            </c:numRef>
          </c:val>
        </c:ser>
        <c:dLbls>
          <c:showLegendKey val="0"/>
          <c:showVal val="0"/>
          <c:showCatName val="0"/>
          <c:showSerName val="0"/>
          <c:showPercent val="0"/>
          <c:showBubbleSize val="0"/>
        </c:dLbls>
        <c:gapWidth val="75"/>
        <c:axId val="105743488"/>
        <c:axId val="105745024"/>
      </c:barChart>
      <c:catAx>
        <c:axId val="105743488"/>
        <c:scaling>
          <c:orientation val="minMax"/>
        </c:scaling>
        <c:delete val="0"/>
        <c:axPos val="l"/>
        <c:numFmt formatCode="General" sourceLinked="1"/>
        <c:majorTickMark val="none"/>
        <c:minorTickMark val="none"/>
        <c:tickLblPos val="nextTo"/>
        <c:txPr>
          <a:bodyPr anchor="ctr" anchorCtr="0"/>
          <a:lstStyle/>
          <a:p>
            <a:pPr>
              <a:defRPr sz="900"/>
            </a:pPr>
            <a:endParaRPr lang="en-US"/>
          </a:p>
        </c:txPr>
        <c:crossAx val="105745024"/>
        <c:crosses val="autoZero"/>
        <c:auto val="1"/>
        <c:lblAlgn val="ctr"/>
        <c:lblOffset val="100"/>
        <c:noMultiLvlLbl val="0"/>
      </c:catAx>
      <c:valAx>
        <c:axId val="105745024"/>
        <c:scaling>
          <c:orientation val="minMax"/>
          <c:max val="100"/>
        </c:scaling>
        <c:delete val="0"/>
        <c:axPos val="b"/>
        <c:title>
          <c:tx>
            <c:rich>
              <a:bodyPr rot="0" vert="horz"/>
              <a:lstStyle/>
              <a:p>
                <a:pPr>
                  <a:defRPr/>
                </a:pPr>
                <a:r>
                  <a:rPr lang="en-NZ"/>
                  <a:t>Percent (%)</a:t>
                </a:r>
              </a:p>
            </c:rich>
          </c:tx>
          <c:layout>
            <c:manualLayout>
              <c:xMode val="edge"/>
              <c:yMode val="edge"/>
              <c:x val="0.57398167349438289"/>
              <c:y val="0.95533071845903161"/>
            </c:manualLayout>
          </c:layout>
          <c:overlay val="0"/>
        </c:title>
        <c:numFmt formatCode="General" sourceLinked="1"/>
        <c:majorTickMark val="out"/>
        <c:minorTickMark val="none"/>
        <c:tickLblPos val="nextTo"/>
        <c:txPr>
          <a:bodyPr/>
          <a:lstStyle/>
          <a:p>
            <a:pPr>
              <a:defRPr sz="900"/>
            </a:pPr>
            <a:endParaRPr lang="en-US"/>
          </a:p>
        </c:txPr>
        <c:crossAx val="105743488"/>
        <c:crosses val="autoZero"/>
        <c:crossBetween val="between"/>
      </c:valAx>
    </c:plotArea>
    <c:legend>
      <c:legendPos val="r"/>
      <c:layout>
        <c:manualLayout>
          <c:xMode val="edge"/>
          <c:yMode val="edge"/>
          <c:x val="0.79796171819985962"/>
          <c:y val="0.74072208531185502"/>
          <c:w val="0.17240825384631864"/>
          <c:h val="0.10295125323075073"/>
        </c:manualLayout>
      </c:layout>
      <c:overlay val="1"/>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36323489922621E-2"/>
          <c:y val="5.2778974213754624E-2"/>
          <c:w val="0.88506104996913626"/>
          <c:h val="0.76509981706832553"/>
        </c:manualLayout>
      </c:layout>
      <c:barChart>
        <c:barDir val="col"/>
        <c:grouping val="clustered"/>
        <c:varyColors val="0"/>
        <c:ser>
          <c:idx val="0"/>
          <c:order val="0"/>
          <c:tx>
            <c:strRef>
              <c:f>Sheet1!$B$1</c:f>
              <c:strCache>
                <c:ptCount val="1"/>
                <c:pt idx="0">
                  <c:v>Friends</c:v>
                </c:pt>
              </c:strCache>
            </c:strRef>
          </c:tx>
          <c:spPr>
            <a:solidFill>
              <a:schemeClr val="accent1">
                <a:lumMod val="7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Sheet1!$A$2:$A$13</c:f>
              <c:strCache>
                <c:ptCount val="12"/>
                <c:pt idx="0">
                  <c:v>Lotto etc</c:v>
                </c:pt>
                <c:pt idx="1">
                  <c:v>Instant
 Kiwi</c:v>
                </c:pt>
                <c:pt idx="2">
                  <c:v>Bets with friends or family</c:v>
                </c:pt>
                <c:pt idx="3">
                  <c:v>Cards or coin
 games</c:v>
                </c:pt>
                <c:pt idx="4">
                  <c:v>TAB betting</c:v>
                </c:pt>
                <c:pt idx="5">
                  <c:v>Bingo / 
housie</c:v>
                </c:pt>
                <c:pt idx="6">
                  <c:v>Pub/club pokies</c:v>
                </c:pt>
                <c:pt idx="7">
                  <c:v>Casino 
pokies or tables</c:v>
                </c:pt>
                <c:pt idx="8">
                  <c:v>Mobile 
phone</c:v>
                </c:pt>
                <c:pt idx="9">
                  <c:v>Internet</c:v>
                </c:pt>
                <c:pt idx="10">
                  <c:v>0900 phone games</c:v>
                </c:pt>
                <c:pt idx="11">
                  <c:v>None of
these</c:v>
                </c:pt>
              </c:strCache>
            </c:strRef>
          </c:cat>
          <c:val>
            <c:numRef>
              <c:f>Sheet1!$B$2:$B$13</c:f>
              <c:numCache>
                <c:formatCode>0.0</c:formatCode>
                <c:ptCount val="12"/>
                <c:pt idx="0">
                  <c:v>8.5</c:v>
                </c:pt>
                <c:pt idx="1">
                  <c:v>19.399999999999999</c:v>
                </c:pt>
                <c:pt idx="2">
                  <c:v>33.200000000000003</c:v>
                </c:pt>
                <c:pt idx="3">
                  <c:v>17.399999999999999</c:v>
                </c:pt>
                <c:pt idx="4">
                  <c:v>2.8</c:v>
                </c:pt>
                <c:pt idx="5">
                  <c:v>5.7</c:v>
                </c:pt>
                <c:pt idx="6">
                  <c:v>2.5</c:v>
                </c:pt>
                <c:pt idx="7">
                  <c:v>1.7</c:v>
                </c:pt>
                <c:pt idx="8">
                  <c:v>4.5999999999999996</c:v>
                </c:pt>
                <c:pt idx="9">
                  <c:v>2.2000000000000002</c:v>
                </c:pt>
                <c:pt idx="10">
                  <c:v>1.9000000000000001</c:v>
                </c:pt>
                <c:pt idx="11">
                  <c:v>50</c:v>
                </c:pt>
              </c:numCache>
            </c:numRef>
          </c:val>
        </c:ser>
        <c:ser>
          <c:idx val="1"/>
          <c:order val="1"/>
          <c:tx>
            <c:strRef>
              <c:f>Sheet1!$C$1</c:f>
              <c:strCache>
                <c:ptCount val="1"/>
                <c:pt idx="0">
                  <c:v>Parents/caregivers</c:v>
                </c:pt>
              </c:strCache>
            </c:strRef>
          </c:tx>
          <c:spPr>
            <a:solidFill>
              <a:schemeClr val="accent1">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Sheet1!$A$2:$A$13</c:f>
              <c:strCache>
                <c:ptCount val="12"/>
                <c:pt idx="0">
                  <c:v>Lotto etc</c:v>
                </c:pt>
                <c:pt idx="1">
                  <c:v>Instant
 Kiwi</c:v>
                </c:pt>
                <c:pt idx="2">
                  <c:v>Bets with friends or family</c:v>
                </c:pt>
                <c:pt idx="3">
                  <c:v>Cards or coin
 games</c:v>
                </c:pt>
                <c:pt idx="4">
                  <c:v>TAB betting</c:v>
                </c:pt>
                <c:pt idx="5">
                  <c:v>Bingo / 
housie</c:v>
                </c:pt>
                <c:pt idx="6">
                  <c:v>Pub/club pokies</c:v>
                </c:pt>
                <c:pt idx="7">
                  <c:v>Casino 
pokies or tables</c:v>
                </c:pt>
                <c:pt idx="8">
                  <c:v>Mobile 
phone</c:v>
                </c:pt>
                <c:pt idx="9">
                  <c:v>Internet</c:v>
                </c:pt>
                <c:pt idx="10">
                  <c:v>0900 phone games</c:v>
                </c:pt>
                <c:pt idx="11">
                  <c:v>None of
these</c:v>
                </c:pt>
              </c:strCache>
            </c:strRef>
          </c:cat>
          <c:val>
            <c:numRef>
              <c:f>Sheet1!$C$2:$C$13</c:f>
              <c:numCache>
                <c:formatCode>0.0</c:formatCode>
                <c:ptCount val="12"/>
                <c:pt idx="0">
                  <c:v>56.3</c:v>
                </c:pt>
                <c:pt idx="1">
                  <c:v>33.6</c:v>
                </c:pt>
                <c:pt idx="2">
                  <c:v>20</c:v>
                </c:pt>
                <c:pt idx="3">
                  <c:v>10.6</c:v>
                </c:pt>
                <c:pt idx="4">
                  <c:v>9.7000000000000011</c:v>
                </c:pt>
                <c:pt idx="5">
                  <c:v>7.6</c:v>
                </c:pt>
                <c:pt idx="6">
                  <c:v>6</c:v>
                </c:pt>
                <c:pt idx="7">
                  <c:v>6</c:v>
                </c:pt>
                <c:pt idx="8">
                  <c:v>2.2999999999999998</c:v>
                </c:pt>
                <c:pt idx="9">
                  <c:v>2.1</c:v>
                </c:pt>
                <c:pt idx="10">
                  <c:v>0.70000000000000062</c:v>
                </c:pt>
                <c:pt idx="11">
                  <c:v>30.6</c:v>
                </c:pt>
              </c:numCache>
            </c:numRef>
          </c:val>
        </c:ser>
        <c:dLbls>
          <c:showLegendKey val="0"/>
          <c:showVal val="0"/>
          <c:showCatName val="0"/>
          <c:showSerName val="0"/>
          <c:showPercent val="0"/>
          <c:showBubbleSize val="0"/>
        </c:dLbls>
        <c:gapWidth val="75"/>
        <c:axId val="106611840"/>
        <c:axId val="106613376"/>
      </c:barChart>
      <c:catAx>
        <c:axId val="106611840"/>
        <c:scaling>
          <c:orientation val="minMax"/>
        </c:scaling>
        <c:delete val="0"/>
        <c:axPos val="b"/>
        <c:numFmt formatCode="General" sourceLinked="1"/>
        <c:majorTickMark val="none"/>
        <c:minorTickMark val="none"/>
        <c:tickLblPos val="nextTo"/>
        <c:txPr>
          <a:bodyPr anchor="t" anchorCtr="0"/>
          <a:lstStyle/>
          <a:p>
            <a:pPr>
              <a:defRPr sz="900"/>
            </a:pPr>
            <a:endParaRPr lang="en-US"/>
          </a:p>
        </c:txPr>
        <c:crossAx val="106613376"/>
        <c:crosses val="autoZero"/>
        <c:auto val="1"/>
        <c:lblAlgn val="ctr"/>
        <c:lblOffset val="100"/>
        <c:noMultiLvlLbl val="0"/>
      </c:catAx>
      <c:valAx>
        <c:axId val="106613376"/>
        <c:scaling>
          <c:orientation val="minMax"/>
          <c:max val="100"/>
        </c:scaling>
        <c:delete val="0"/>
        <c:axPos val="l"/>
        <c:title>
          <c:tx>
            <c:rich>
              <a:bodyPr rot="-5400000" vert="horz"/>
              <a:lstStyle/>
              <a:p>
                <a:pPr>
                  <a:defRPr/>
                </a:pPr>
                <a:r>
                  <a:rPr lang="en-NZ" sz="900"/>
                  <a:t>Percent (%)</a:t>
                </a:r>
              </a:p>
            </c:rich>
          </c:tx>
          <c:layout>
            <c:manualLayout>
              <c:xMode val="edge"/>
              <c:yMode val="edge"/>
              <c:x val="1.2668686731998774E-2"/>
              <c:y val="0.32628166061285829"/>
            </c:manualLayout>
          </c:layout>
          <c:overlay val="0"/>
        </c:title>
        <c:numFmt formatCode="General" sourceLinked="0"/>
        <c:majorTickMark val="out"/>
        <c:minorTickMark val="none"/>
        <c:tickLblPos val="nextTo"/>
        <c:crossAx val="106611840"/>
        <c:crosses val="autoZero"/>
        <c:crossBetween val="between"/>
      </c:valAx>
    </c:plotArea>
    <c:legend>
      <c:legendPos val="r"/>
      <c:layout>
        <c:manualLayout>
          <c:xMode val="edge"/>
          <c:yMode val="edge"/>
          <c:x val="0.63113088221034075"/>
          <c:y val="3.4758574432854281E-2"/>
          <c:w val="0.35355946986100062"/>
          <c:h val="0.14929133858267796"/>
        </c:manualLayout>
      </c:layout>
      <c:overlay val="1"/>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B45DA8-AFF4-4104-86AB-8E274B02CE49}"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NZ"/>
        </a:p>
      </dgm:t>
    </dgm:pt>
    <dgm:pt modelId="{65724E3C-3839-47E4-BF8B-4F3EE118D6B8}">
      <dgm:prSet phldrT="[Text]"/>
      <dgm:spPr/>
      <dgm:t>
        <a:bodyPr/>
        <a:lstStyle/>
        <a:p>
          <a:pPr algn="ctr"/>
          <a:r>
            <a:rPr lang="en-NZ" b="1" u="sng"/>
            <a:t>RISK FACTORS:</a:t>
          </a:r>
          <a:r>
            <a:rPr lang="en-NZ" b="1" u="none"/>
            <a:t> </a:t>
          </a:r>
          <a:r>
            <a:rPr lang="en-NZ" b="1"/>
            <a:t>'UNHEALTHY GAMBLING' BEHAVIOUR</a:t>
          </a:r>
        </a:p>
      </dgm:t>
    </dgm:pt>
    <dgm:pt modelId="{A7BE6455-A4F8-45EE-A258-3F13757719F3}" type="parTrans" cxnId="{2B62B262-B3C0-4231-ABC4-0575E2CD1738}">
      <dgm:prSet/>
      <dgm:spPr/>
      <dgm:t>
        <a:bodyPr/>
        <a:lstStyle/>
        <a:p>
          <a:pPr algn="ctr"/>
          <a:endParaRPr lang="en-NZ"/>
        </a:p>
      </dgm:t>
    </dgm:pt>
    <dgm:pt modelId="{D2EB4AF3-C7FA-4589-A5D9-AD3AE8325B5E}" type="sibTrans" cxnId="{2B62B262-B3C0-4231-ABC4-0575E2CD1738}">
      <dgm:prSet/>
      <dgm:spPr/>
      <dgm:t>
        <a:bodyPr/>
        <a:lstStyle/>
        <a:p>
          <a:pPr algn="ctr"/>
          <a:endParaRPr lang="en-NZ"/>
        </a:p>
      </dgm:t>
    </dgm:pt>
    <dgm:pt modelId="{BC637EA3-6F98-4AB8-9876-D2F799ED9668}">
      <dgm:prSet phldrT="[Text]" custT="1"/>
      <dgm:spPr/>
      <dgm:t>
        <a:bodyPr/>
        <a:lstStyle/>
        <a:p>
          <a:pPr algn="ctr"/>
          <a:r>
            <a:rPr lang="en-NZ" sz="900"/>
            <a:t> Having a family member who has done something risky (e.g. stealing) because of gambling</a:t>
          </a:r>
        </a:p>
      </dgm:t>
    </dgm:pt>
    <dgm:pt modelId="{DD5BDB2D-65EB-4DCC-A06E-B91F3503B215}" type="parTrans" cxnId="{B184A7E9-9A0E-41C4-8E5D-318767916944}">
      <dgm:prSet/>
      <dgm:spPr/>
      <dgm:t>
        <a:bodyPr/>
        <a:lstStyle/>
        <a:p>
          <a:pPr algn="ctr"/>
          <a:endParaRPr lang="en-NZ"/>
        </a:p>
      </dgm:t>
    </dgm:pt>
    <dgm:pt modelId="{FC508DD5-C9E5-49E9-A9DF-23234C555743}" type="sibTrans" cxnId="{B184A7E9-9A0E-41C4-8E5D-318767916944}">
      <dgm:prSet/>
      <dgm:spPr/>
      <dgm:t>
        <a:bodyPr/>
        <a:lstStyle/>
        <a:p>
          <a:pPr algn="ctr"/>
          <a:endParaRPr lang="en-NZ"/>
        </a:p>
      </dgm:t>
    </dgm:pt>
    <dgm:pt modelId="{5DBCE10E-05C4-4436-9710-0279A9018462}">
      <dgm:prSet phldrT="[Text]" custT="1"/>
      <dgm:spPr/>
      <dgm:t>
        <a:bodyPr/>
        <a:lstStyle/>
        <a:p>
          <a:pPr algn="ctr"/>
          <a:r>
            <a:rPr lang="en-NZ" sz="900"/>
            <a:t>Gambling with people other than friends or family</a:t>
          </a:r>
        </a:p>
      </dgm:t>
    </dgm:pt>
    <dgm:pt modelId="{EDB1C5A4-7F0E-491F-8CC9-E3DD252CC780}" type="parTrans" cxnId="{46B27F58-48A0-4B91-A579-DDAE4A7AB4CE}">
      <dgm:prSet/>
      <dgm:spPr/>
      <dgm:t>
        <a:bodyPr/>
        <a:lstStyle/>
        <a:p>
          <a:pPr algn="ctr"/>
          <a:endParaRPr lang="en-NZ"/>
        </a:p>
      </dgm:t>
    </dgm:pt>
    <dgm:pt modelId="{A667F4C7-429B-44AE-8086-2299C9B2B056}" type="sibTrans" cxnId="{46B27F58-48A0-4B91-A579-DDAE4A7AB4CE}">
      <dgm:prSet/>
      <dgm:spPr/>
      <dgm:t>
        <a:bodyPr/>
        <a:lstStyle/>
        <a:p>
          <a:pPr algn="ctr"/>
          <a:endParaRPr lang="en-NZ"/>
        </a:p>
      </dgm:t>
    </dgm:pt>
    <dgm:pt modelId="{B3CDC908-F444-4E63-BB9A-A619502118D3}">
      <dgm:prSet phldrT="[Text]" custT="1"/>
      <dgm:spPr/>
      <dgm:t>
        <a:bodyPr/>
        <a:lstStyle/>
        <a:p>
          <a:pPr algn="ctr"/>
          <a:r>
            <a:rPr lang="en-NZ" sz="900"/>
            <a:t>More accepting attitudes towards young people &amp; gambling activites</a:t>
          </a:r>
        </a:p>
      </dgm:t>
    </dgm:pt>
    <dgm:pt modelId="{3BC8B1EF-69F2-48F9-A146-EC73A304CB3A}" type="parTrans" cxnId="{E4E414D4-FEEE-4645-9BC2-23C9A536317A}">
      <dgm:prSet/>
      <dgm:spPr/>
      <dgm:t>
        <a:bodyPr/>
        <a:lstStyle/>
        <a:p>
          <a:pPr algn="ctr"/>
          <a:endParaRPr lang="en-NZ"/>
        </a:p>
      </dgm:t>
    </dgm:pt>
    <dgm:pt modelId="{8727E605-0E06-4815-BD68-F970DACBDDB4}" type="sibTrans" cxnId="{E4E414D4-FEEE-4645-9BC2-23C9A536317A}">
      <dgm:prSet/>
      <dgm:spPr/>
      <dgm:t>
        <a:bodyPr/>
        <a:lstStyle/>
        <a:p>
          <a:pPr algn="ctr"/>
          <a:endParaRPr lang="en-NZ"/>
        </a:p>
      </dgm:t>
    </dgm:pt>
    <dgm:pt modelId="{F5DB53D2-07A3-4DBF-A3D5-8276D24ED79A}">
      <dgm:prSet phldrT="[Text]" custT="1"/>
      <dgm:spPr/>
      <dgm:t>
        <a:bodyPr/>
        <a:lstStyle/>
        <a:p>
          <a:pPr algn="ctr"/>
          <a:r>
            <a:rPr lang="en-NZ" sz="900"/>
            <a:t>Gambling on pub/club EGMs, casino EGMs/tables, or TAB betting</a:t>
          </a:r>
        </a:p>
      </dgm:t>
    </dgm:pt>
    <dgm:pt modelId="{AF3EAB55-F0AF-40C7-8EEF-1DCDEAB51CB8}" type="parTrans" cxnId="{E012F3AC-2682-4734-BD07-E52875E095C2}">
      <dgm:prSet/>
      <dgm:spPr/>
      <dgm:t>
        <a:bodyPr/>
        <a:lstStyle/>
        <a:p>
          <a:pPr algn="ctr"/>
          <a:endParaRPr lang="en-NZ"/>
        </a:p>
      </dgm:t>
    </dgm:pt>
    <dgm:pt modelId="{F574E13A-203F-4528-BFB6-5DF20BECBA50}" type="sibTrans" cxnId="{E012F3AC-2682-4734-BD07-E52875E095C2}">
      <dgm:prSet/>
      <dgm:spPr/>
      <dgm:t>
        <a:bodyPr/>
        <a:lstStyle/>
        <a:p>
          <a:pPr algn="ctr"/>
          <a:endParaRPr lang="en-NZ"/>
        </a:p>
      </dgm:t>
    </dgm:pt>
    <dgm:pt modelId="{A7DA8684-E37F-4C5B-8D3F-4AAA43E8A798}">
      <dgm:prSet phldrT="[Text]" custT="1"/>
      <dgm:spPr/>
      <dgm:t>
        <a:bodyPr/>
        <a:lstStyle/>
        <a:p>
          <a:pPr algn="ctr"/>
          <a:r>
            <a:rPr lang="en-NZ" sz="900"/>
            <a:t>Attempted suicide in last 12 months</a:t>
          </a:r>
        </a:p>
      </dgm:t>
    </dgm:pt>
    <dgm:pt modelId="{0A995649-2735-4150-ACB4-CE153FEEDBF9}" type="parTrans" cxnId="{F64611DC-E119-4C23-97F3-A2A2B8F63E81}">
      <dgm:prSet/>
      <dgm:spPr/>
      <dgm:t>
        <a:bodyPr/>
        <a:lstStyle/>
        <a:p>
          <a:pPr algn="ctr"/>
          <a:endParaRPr lang="en-NZ"/>
        </a:p>
      </dgm:t>
    </dgm:pt>
    <dgm:pt modelId="{C34D506D-77DC-4D40-91F3-14FB14ADDF5B}" type="sibTrans" cxnId="{F64611DC-E119-4C23-97F3-A2A2B8F63E81}">
      <dgm:prSet/>
      <dgm:spPr/>
      <dgm:t>
        <a:bodyPr/>
        <a:lstStyle/>
        <a:p>
          <a:pPr algn="ctr"/>
          <a:endParaRPr lang="en-NZ"/>
        </a:p>
      </dgm:t>
    </dgm:pt>
    <dgm:pt modelId="{261C9CFE-E8A5-48B3-A481-05FE6B98CD45}" type="pres">
      <dgm:prSet presAssocID="{63B45DA8-AFF4-4104-86AB-8E274B02CE49}" presName="cycle" presStyleCnt="0">
        <dgm:presLayoutVars>
          <dgm:chMax val="1"/>
          <dgm:dir/>
          <dgm:animLvl val="ctr"/>
          <dgm:resizeHandles val="exact"/>
        </dgm:presLayoutVars>
      </dgm:prSet>
      <dgm:spPr/>
      <dgm:t>
        <a:bodyPr/>
        <a:lstStyle/>
        <a:p>
          <a:endParaRPr lang="en-NZ"/>
        </a:p>
      </dgm:t>
    </dgm:pt>
    <dgm:pt modelId="{42889A44-7F97-47B0-9242-41B9268C06DD}" type="pres">
      <dgm:prSet presAssocID="{65724E3C-3839-47E4-BF8B-4F3EE118D6B8}" presName="centerShape" presStyleLbl="node0" presStyleIdx="0" presStyleCnt="1"/>
      <dgm:spPr/>
      <dgm:t>
        <a:bodyPr/>
        <a:lstStyle/>
        <a:p>
          <a:endParaRPr lang="en-NZ"/>
        </a:p>
      </dgm:t>
    </dgm:pt>
    <dgm:pt modelId="{0DAF1690-534B-4D08-A6F3-0842A1295606}" type="pres">
      <dgm:prSet presAssocID="{DD5BDB2D-65EB-4DCC-A06E-B91F3503B215}" presName="Name9" presStyleLbl="parChTrans1D2" presStyleIdx="0" presStyleCnt="5"/>
      <dgm:spPr/>
      <dgm:t>
        <a:bodyPr/>
        <a:lstStyle/>
        <a:p>
          <a:endParaRPr lang="en-NZ"/>
        </a:p>
      </dgm:t>
    </dgm:pt>
    <dgm:pt modelId="{5364C240-77A6-4B4D-8D48-14AC11D1589B}" type="pres">
      <dgm:prSet presAssocID="{DD5BDB2D-65EB-4DCC-A06E-B91F3503B215}" presName="connTx" presStyleLbl="parChTrans1D2" presStyleIdx="0" presStyleCnt="5"/>
      <dgm:spPr/>
      <dgm:t>
        <a:bodyPr/>
        <a:lstStyle/>
        <a:p>
          <a:endParaRPr lang="en-NZ"/>
        </a:p>
      </dgm:t>
    </dgm:pt>
    <dgm:pt modelId="{C8D54994-E31F-4F98-8FE6-5777A41AA156}" type="pres">
      <dgm:prSet presAssocID="{BC637EA3-6F98-4AB8-9876-D2F799ED9668}" presName="node" presStyleLbl="node1" presStyleIdx="0" presStyleCnt="5">
        <dgm:presLayoutVars>
          <dgm:bulletEnabled val="1"/>
        </dgm:presLayoutVars>
      </dgm:prSet>
      <dgm:spPr/>
      <dgm:t>
        <a:bodyPr/>
        <a:lstStyle/>
        <a:p>
          <a:endParaRPr lang="en-NZ"/>
        </a:p>
      </dgm:t>
    </dgm:pt>
    <dgm:pt modelId="{DD018893-9625-4624-A32A-CE9F5EB76A10}" type="pres">
      <dgm:prSet presAssocID="{EDB1C5A4-7F0E-491F-8CC9-E3DD252CC780}" presName="Name9" presStyleLbl="parChTrans1D2" presStyleIdx="1" presStyleCnt="5"/>
      <dgm:spPr/>
      <dgm:t>
        <a:bodyPr/>
        <a:lstStyle/>
        <a:p>
          <a:endParaRPr lang="en-NZ"/>
        </a:p>
      </dgm:t>
    </dgm:pt>
    <dgm:pt modelId="{C8CB9B0B-0F06-424C-96E4-E0023F695882}" type="pres">
      <dgm:prSet presAssocID="{EDB1C5A4-7F0E-491F-8CC9-E3DD252CC780}" presName="connTx" presStyleLbl="parChTrans1D2" presStyleIdx="1" presStyleCnt="5"/>
      <dgm:spPr/>
      <dgm:t>
        <a:bodyPr/>
        <a:lstStyle/>
        <a:p>
          <a:endParaRPr lang="en-NZ"/>
        </a:p>
      </dgm:t>
    </dgm:pt>
    <dgm:pt modelId="{E0F04331-8BB6-42BF-83C6-2A345F67644A}" type="pres">
      <dgm:prSet presAssocID="{5DBCE10E-05C4-4436-9710-0279A9018462}" presName="node" presStyleLbl="node1" presStyleIdx="1" presStyleCnt="5">
        <dgm:presLayoutVars>
          <dgm:bulletEnabled val="1"/>
        </dgm:presLayoutVars>
      </dgm:prSet>
      <dgm:spPr/>
      <dgm:t>
        <a:bodyPr/>
        <a:lstStyle/>
        <a:p>
          <a:endParaRPr lang="en-NZ"/>
        </a:p>
      </dgm:t>
    </dgm:pt>
    <dgm:pt modelId="{2C44C072-7165-410E-85BC-B5D51D0FAAD2}" type="pres">
      <dgm:prSet presAssocID="{3BC8B1EF-69F2-48F9-A146-EC73A304CB3A}" presName="Name9" presStyleLbl="parChTrans1D2" presStyleIdx="2" presStyleCnt="5"/>
      <dgm:spPr/>
      <dgm:t>
        <a:bodyPr/>
        <a:lstStyle/>
        <a:p>
          <a:endParaRPr lang="en-NZ"/>
        </a:p>
      </dgm:t>
    </dgm:pt>
    <dgm:pt modelId="{7A6E9D47-8EED-4AC0-B762-8A46C4FDA3C7}" type="pres">
      <dgm:prSet presAssocID="{3BC8B1EF-69F2-48F9-A146-EC73A304CB3A}" presName="connTx" presStyleLbl="parChTrans1D2" presStyleIdx="2" presStyleCnt="5"/>
      <dgm:spPr/>
      <dgm:t>
        <a:bodyPr/>
        <a:lstStyle/>
        <a:p>
          <a:endParaRPr lang="en-NZ"/>
        </a:p>
      </dgm:t>
    </dgm:pt>
    <dgm:pt modelId="{C6B703D8-F39D-430D-AF5F-D383D2C4733F}" type="pres">
      <dgm:prSet presAssocID="{B3CDC908-F444-4E63-BB9A-A619502118D3}" presName="node" presStyleLbl="node1" presStyleIdx="2" presStyleCnt="5">
        <dgm:presLayoutVars>
          <dgm:bulletEnabled val="1"/>
        </dgm:presLayoutVars>
      </dgm:prSet>
      <dgm:spPr/>
      <dgm:t>
        <a:bodyPr/>
        <a:lstStyle/>
        <a:p>
          <a:endParaRPr lang="en-NZ"/>
        </a:p>
      </dgm:t>
    </dgm:pt>
    <dgm:pt modelId="{00032EED-7E22-4AC4-A78C-C8AAF1D3A988}" type="pres">
      <dgm:prSet presAssocID="{AF3EAB55-F0AF-40C7-8EEF-1DCDEAB51CB8}" presName="Name9" presStyleLbl="parChTrans1D2" presStyleIdx="3" presStyleCnt="5"/>
      <dgm:spPr/>
      <dgm:t>
        <a:bodyPr/>
        <a:lstStyle/>
        <a:p>
          <a:endParaRPr lang="en-NZ"/>
        </a:p>
      </dgm:t>
    </dgm:pt>
    <dgm:pt modelId="{EA5DDA04-ABEE-4B91-84EA-FC92C1C85632}" type="pres">
      <dgm:prSet presAssocID="{AF3EAB55-F0AF-40C7-8EEF-1DCDEAB51CB8}" presName="connTx" presStyleLbl="parChTrans1D2" presStyleIdx="3" presStyleCnt="5"/>
      <dgm:spPr/>
      <dgm:t>
        <a:bodyPr/>
        <a:lstStyle/>
        <a:p>
          <a:endParaRPr lang="en-NZ"/>
        </a:p>
      </dgm:t>
    </dgm:pt>
    <dgm:pt modelId="{83E4B2D8-1928-4731-BE6B-A2EC401C33E1}" type="pres">
      <dgm:prSet presAssocID="{F5DB53D2-07A3-4DBF-A3D5-8276D24ED79A}" presName="node" presStyleLbl="node1" presStyleIdx="3" presStyleCnt="5">
        <dgm:presLayoutVars>
          <dgm:bulletEnabled val="1"/>
        </dgm:presLayoutVars>
      </dgm:prSet>
      <dgm:spPr/>
      <dgm:t>
        <a:bodyPr/>
        <a:lstStyle/>
        <a:p>
          <a:endParaRPr lang="en-NZ"/>
        </a:p>
      </dgm:t>
    </dgm:pt>
    <dgm:pt modelId="{529BBF80-CBA8-46BD-B21E-9823BF0222A1}" type="pres">
      <dgm:prSet presAssocID="{0A995649-2735-4150-ACB4-CE153FEEDBF9}" presName="Name9" presStyleLbl="parChTrans1D2" presStyleIdx="4" presStyleCnt="5"/>
      <dgm:spPr/>
      <dgm:t>
        <a:bodyPr/>
        <a:lstStyle/>
        <a:p>
          <a:endParaRPr lang="en-NZ"/>
        </a:p>
      </dgm:t>
    </dgm:pt>
    <dgm:pt modelId="{407E3E48-79A6-4E55-8202-DB077C7D7EED}" type="pres">
      <dgm:prSet presAssocID="{0A995649-2735-4150-ACB4-CE153FEEDBF9}" presName="connTx" presStyleLbl="parChTrans1D2" presStyleIdx="4" presStyleCnt="5"/>
      <dgm:spPr/>
      <dgm:t>
        <a:bodyPr/>
        <a:lstStyle/>
        <a:p>
          <a:endParaRPr lang="en-NZ"/>
        </a:p>
      </dgm:t>
    </dgm:pt>
    <dgm:pt modelId="{DF38A40F-7F78-4329-9E30-F4E2B5A08411}" type="pres">
      <dgm:prSet presAssocID="{A7DA8684-E37F-4C5B-8D3F-4AAA43E8A798}" presName="node" presStyleLbl="node1" presStyleIdx="4" presStyleCnt="5">
        <dgm:presLayoutVars>
          <dgm:bulletEnabled val="1"/>
        </dgm:presLayoutVars>
      </dgm:prSet>
      <dgm:spPr/>
      <dgm:t>
        <a:bodyPr/>
        <a:lstStyle/>
        <a:p>
          <a:endParaRPr lang="en-NZ"/>
        </a:p>
      </dgm:t>
    </dgm:pt>
  </dgm:ptLst>
  <dgm:cxnLst>
    <dgm:cxn modelId="{B184A7E9-9A0E-41C4-8E5D-318767916944}" srcId="{65724E3C-3839-47E4-BF8B-4F3EE118D6B8}" destId="{BC637EA3-6F98-4AB8-9876-D2F799ED9668}" srcOrd="0" destOrd="0" parTransId="{DD5BDB2D-65EB-4DCC-A06E-B91F3503B215}" sibTransId="{FC508DD5-C9E5-49E9-A9DF-23234C555743}"/>
    <dgm:cxn modelId="{34866C36-C448-4431-9D35-B28D362BF1B0}" type="presOf" srcId="{3BC8B1EF-69F2-48F9-A146-EC73A304CB3A}" destId="{7A6E9D47-8EED-4AC0-B762-8A46C4FDA3C7}" srcOrd="1" destOrd="0" presId="urn:microsoft.com/office/officeart/2005/8/layout/radial1"/>
    <dgm:cxn modelId="{F64611DC-E119-4C23-97F3-A2A2B8F63E81}" srcId="{65724E3C-3839-47E4-BF8B-4F3EE118D6B8}" destId="{A7DA8684-E37F-4C5B-8D3F-4AAA43E8A798}" srcOrd="4" destOrd="0" parTransId="{0A995649-2735-4150-ACB4-CE153FEEDBF9}" sibTransId="{C34D506D-77DC-4D40-91F3-14FB14ADDF5B}"/>
    <dgm:cxn modelId="{AB603971-0BBA-4FFA-982B-0B9C8B3E1263}" type="presOf" srcId="{0A995649-2735-4150-ACB4-CE153FEEDBF9}" destId="{407E3E48-79A6-4E55-8202-DB077C7D7EED}" srcOrd="1" destOrd="0" presId="urn:microsoft.com/office/officeart/2005/8/layout/radial1"/>
    <dgm:cxn modelId="{926A9E76-3578-4137-9CE7-99B9871F3E0D}" type="presOf" srcId="{EDB1C5A4-7F0E-491F-8CC9-E3DD252CC780}" destId="{C8CB9B0B-0F06-424C-96E4-E0023F695882}" srcOrd="1" destOrd="0" presId="urn:microsoft.com/office/officeart/2005/8/layout/radial1"/>
    <dgm:cxn modelId="{2B62B262-B3C0-4231-ABC4-0575E2CD1738}" srcId="{63B45DA8-AFF4-4104-86AB-8E274B02CE49}" destId="{65724E3C-3839-47E4-BF8B-4F3EE118D6B8}" srcOrd="0" destOrd="0" parTransId="{A7BE6455-A4F8-45EE-A258-3F13757719F3}" sibTransId="{D2EB4AF3-C7FA-4589-A5D9-AD3AE8325B5E}"/>
    <dgm:cxn modelId="{C380BD12-0EF8-454D-9AD0-E2BF44D6CF26}" type="presOf" srcId="{B3CDC908-F444-4E63-BB9A-A619502118D3}" destId="{C6B703D8-F39D-430D-AF5F-D383D2C4733F}" srcOrd="0" destOrd="0" presId="urn:microsoft.com/office/officeart/2005/8/layout/radial1"/>
    <dgm:cxn modelId="{A3EDF224-AE2B-4E01-8147-7DB2F00FFAD7}" type="presOf" srcId="{63B45DA8-AFF4-4104-86AB-8E274B02CE49}" destId="{261C9CFE-E8A5-48B3-A481-05FE6B98CD45}" srcOrd="0" destOrd="0" presId="urn:microsoft.com/office/officeart/2005/8/layout/radial1"/>
    <dgm:cxn modelId="{F3309259-BACF-4FE6-B865-B21F9F498E8B}" type="presOf" srcId="{AF3EAB55-F0AF-40C7-8EEF-1DCDEAB51CB8}" destId="{EA5DDA04-ABEE-4B91-84EA-FC92C1C85632}" srcOrd="1" destOrd="0" presId="urn:microsoft.com/office/officeart/2005/8/layout/radial1"/>
    <dgm:cxn modelId="{EC4C4648-3579-4D79-B6C3-DBDCFA188DDF}" type="presOf" srcId="{AF3EAB55-F0AF-40C7-8EEF-1DCDEAB51CB8}" destId="{00032EED-7E22-4AC4-A78C-C8AAF1D3A988}" srcOrd="0" destOrd="0" presId="urn:microsoft.com/office/officeart/2005/8/layout/radial1"/>
    <dgm:cxn modelId="{63FD5C7A-CD13-4416-B963-1DCE64C1F763}" type="presOf" srcId="{A7DA8684-E37F-4C5B-8D3F-4AAA43E8A798}" destId="{DF38A40F-7F78-4329-9E30-F4E2B5A08411}" srcOrd="0" destOrd="0" presId="urn:microsoft.com/office/officeart/2005/8/layout/radial1"/>
    <dgm:cxn modelId="{46B27F58-48A0-4B91-A579-DDAE4A7AB4CE}" srcId="{65724E3C-3839-47E4-BF8B-4F3EE118D6B8}" destId="{5DBCE10E-05C4-4436-9710-0279A9018462}" srcOrd="1" destOrd="0" parTransId="{EDB1C5A4-7F0E-491F-8CC9-E3DD252CC780}" sibTransId="{A667F4C7-429B-44AE-8086-2299C9B2B056}"/>
    <dgm:cxn modelId="{E012F3AC-2682-4734-BD07-E52875E095C2}" srcId="{65724E3C-3839-47E4-BF8B-4F3EE118D6B8}" destId="{F5DB53D2-07A3-4DBF-A3D5-8276D24ED79A}" srcOrd="3" destOrd="0" parTransId="{AF3EAB55-F0AF-40C7-8EEF-1DCDEAB51CB8}" sibTransId="{F574E13A-203F-4528-BFB6-5DF20BECBA50}"/>
    <dgm:cxn modelId="{3AAF7777-D342-4C02-8223-17D478D758B7}" type="presOf" srcId="{BC637EA3-6F98-4AB8-9876-D2F799ED9668}" destId="{C8D54994-E31F-4F98-8FE6-5777A41AA156}" srcOrd="0" destOrd="0" presId="urn:microsoft.com/office/officeart/2005/8/layout/radial1"/>
    <dgm:cxn modelId="{95528501-2113-45DC-8C88-D7F24AECC1D8}" type="presOf" srcId="{3BC8B1EF-69F2-48F9-A146-EC73A304CB3A}" destId="{2C44C072-7165-410E-85BC-B5D51D0FAAD2}" srcOrd="0" destOrd="0" presId="urn:microsoft.com/office/officeart/2005/8/layout/radial1"/>
    <dgm:cxn modelId="{99F8BAFA-53DE-4B97-BBD9-ED193136DF02}" type="presOf" srcId="{0A995649-2735-4150-ACB4-CE153FEEDBF9}" destId="{529BBF80-CBA8-46BD-B21E-9823BF0222A1}" srcOrd="0" destOrd="0" presId="urn:microsoft.com/office/officeart/2005/8/layout/radial1"/>
    <dgm:cxn modelId="{E4E414D4-FEEE-4645-9BC2-23C9A536317A}" srcId="{65724E3C-3839-47E4-BF8B-4F3EE118D6B8}" destId="{B3CDC908-F444-4E63-BB9A-A619502118D3}" srcOrd="2" destOrd="0" parTransId="{3BC8B1EF-69F2-48F9-A146-EC73A304CB3A}" sibTransId="{8727E605-0E06-4815-BD68-F970DACBDDB4}"/>
    <dgm:cxn modelId="{D4E7ED21-A19E-4AFA-A851-A3B3B0CFC9D1}" type="presOf" srcId="{DD5BDB2D-65EB-4DCC-A06E-B91F3503B215}" destId="{5364C240-77A6-4B4D-8D48-14AC11D1589B}" srcOrd="1" destOrd="0" presId="urn:microsoft.com/office/officeart/2005/8/layout/radial1"/>
    <dgm:cxn modelId="{395D52F0-6136-495A-8F6D-6856F75534C3}" type="presOf" srcId="{DD5BDB2D-65EB-4DCC-A06E-B91F3503B215}" destId="{0DAF1690-534B-4D08-A6F3-0842A1295606}" srcOrd="0" destOrd="0" presId="urn:microsoft.com/office/officeart/2005/8/layout/radial1"/>
    <dgm:cxn modelId="{34BC9BB7-CDD8-487C-85AA-F7D99269FAF3}" type="presOf" srcId="{F5DB53D2-07A3-4DBF-A3D5-8276D24ED79A}" destId="{83E4B2D8-1928-4731-BE6B-A2EC401C33E1}" srcOrd="0" destOrd="0" presId="urn:microsoft.com/office/officeart/2005/8/layout/radial1"/>
    <dgm:cxn modelId="{1F4D8724-8E06-4BEC-B33D-B82DA98248C6}" type="presOf" srcId="{EDB1C5A4-7F0E-491F-8CC9-E3DD252CC780}" destId="{DD018893-9625-4624-A32A-CE9F5EB76A10}" srcOrd="0" destOrd="0" presId="urn:microsoft.com/office/officeart/2005/8/layout/radial1"/>
    <dgm:cxn modelId="{C192E987-6A96-4DF9-B357-948210ED92AD}" type="presOf" srcId="{5DBCE10E-05C4-4436-9710-0279A9018462}" destId="{E0F04331-8BB6-42BF-83C6-2A345F67644A}" srcOrd="0" destOrd="0" presId="urn:microsoft.com/office/officeart/2005/8/layout/radial1"/>
    <dgm:cxn modelId="{8177B3B6-5922-429D-ADB3-B0561D9E2429}" type="presOf" srcId="{65724E3C-3839-47E4-BF8B-4F3EE118D6B8}" destId="{42889A44-7F97-47B0-9242-41B9268C06DD}" srcOrd="0" destOrd="0" presId="urn:microsoft.com/office/officeart/2005/8/layout/radial1"/>
    <dgm:cxn modelId="{7B0AC52E-2CEA-4E48-B0FC-342BDF2609F0}" type="presParOf" srcId="{261C9CFE-E8A5-48B3-A481-05FE6B98CD45}" destId="{42889A44-7F97-47B0-9242-41B9268C06DD}" srcOrd="0" destOrd="0" presId="urn:microsoft.com/office/officeart/2005/8/layout/radial1"/>
    <dgm:cxn modelId="{298ED0D8-8788-42E6-8E42-A12C12AB7DE7}" type="presParOf" srcId="{261C9CFE-E8A5-48B3-A481-05FE6B98CD45}" destId="{0DAF1690-534B-4D08-A6F3-0842A1295606}" srcOrd="1" destOrd="0" presId="urn:microsoft.com/office/officeart/2005/8/layout/radial1"/>
    <dgm:cxn modelId="{7CE97F0E-1D5C-4633-A355-6C91925AE327}" type="presParOf" srcId="{0DAF1690-534B-4D08-A6F3-0842A1295606}" destId="{5364C240-77A6-4B4D-8D48-14AC11D1589B}" srcOrd="0" destOrd="0" presId="urn:microsoft.com/office/officeart/2005/8/layout/radial1"/>
    <dgm:cxn modelId="{2C50BFEC-D080-4468-8A02-FDDA1611219B}" type="presParOf" srcId="{261C9CFE-E8A5-48B3-A481-05FE6B98CD45}" destId="{C8D54994-E31F-4F98-8FE6-5777A41AA156}" srcOrd="2" destOrd="0" presId="urn:microsoft.com/office/officeart/2005/8/layout/radial1"/>
    <dgm:cxn modelId="{49481DE5-58EA-4DD7-9421-FF57D281F589}" type="presParOf" srcId="{261C9CFE-E8A5-48B3-A481-05FE6B98CD45}" destId="{DD018893-9625-4624-A32A-CE9F5EB76A10}" srcOrd="3" destOrd="0" presId="urn:microsoft.com/office/officeart/2005/8/layout/radial1"/>
    <dgm:cxn modelId="{312C0BF1-CDD5-49AB-8C95-DF7C243E6F77}" type="presParOf" srcId="{DD018893-9625-4624-A32A-CE9F5EB76A10}" destId="{C8CB9B0B-0F06-424C-96E4-E0023F695882}" srcOrd="0" destOrd="0" presId="urn:microsoft.com/office/officeart/2005/8/layout/radial1"/>
    <dgm:cxn modelId="{C973F560-2ABE-493C-91E6-7108B3C31633}" type="presParOf" srcId="{261C9CFE-E8A5-48B3-A481-05FE6B98CD45}" destId="{E0F04331-8BB6-42BF-83C6-2A345F67644A}" srcOrd="4" destOrd="0" presId="urn:microsoft.com/office/officeart/2005/8/layout/radial1"/>
    <dgm:cxn modelId="{5CA799B6-D6F4-4D54-91E0-C096DB2237D0}" type="presParOf" srcId="{261C9CFE-E8A5-48B3-A481-05FE6B98CD45}" destId="{2C44C072-7165-410E-85BC-B5D51D0FAAD2}" srcOrd="5" destOrd="0" presId="urn:microsoft.com/office/officeart/2005/8/layout/radial1"/>
    <dgm:cxn modelId="{04D2BF4D-EBBD-446F-952C-53C93C6DC60E}" type="presParOf" srcId="{2C44C072-7165-410E-85BC-B5D51D0FAAD2}" destId="{7A6E9D47-8EED-4AC0-B762-8A46C4FDA3C7}" srcOrd="0" destOrd="0" presId="urn:microsoft.com/office/officeart/2005/8/layout/radial1"/>
    <dgm:cxn modelId="{DD575D35-EAD8-4FF4-BFD8-A413256541B0}" type="presParOf" srcId="{261C9CFE-E8A5-48B3-A481-05FE6B98CD45}" destId="{C6B703D8-F39D-430D-AF5F-D383D2C4733F}" srcOrd="6" destOrd="0" presId="urn:microsoft.com/office/officeart/2005/8/layout/radial1"/>
    <dgm:cxn modelId="{61F5C5F6-620B-452E-9B13-D63E12F12FE8}" type="presParOf" srcId="{261C9CFE-E8A5-48B3-A481-05FE6B98CD45}" destId="{00032EED-7E22-4AC4-A78C-C8AAF1D3A988}" srcOrd="7" destOrd="0" presId="urn:microsoft.com/office/officeart/2005/8/layout/radial1"/>
    <dgm:cxn modelId="{8C497C97-EC27-4803-B4DC-EBEF7AA2B9E4}" type="presParOf" srcId="{00032EED-7E22-4AC4-A78C-C8AAF1D3A988}" destId="{EA5DDA04-ABEE-4B91-84EA-FC92C1C85632}" srcOrd="0" destOrd="0" presId="urn:microsoft.com/office/officeart/2005/8/layout/radial1"/>
    <dgm:cxn modelId="{94A89B20-C76C-4F56-A08D-A7C002C8B56A}" type="presParOf" srcId="{261C9CFE-E8A5-48B3-A481-05FE6B98CD45}" destId="{83E4B2D8-1928-4731-BE6B-A2EC401C33E1}" srcOrd="8" destOrd="0" presId="urn:microsoft.com/office/officeart/2005/8/layout/radial1"/>
    <dgm:cxn modelId="{FFCB2268-D1EF-4B71-858A-E0A814C940FC}" type="presParOf" srcId="{261C9CFE-E8A5-48B3-A481-05FE6B98CD45}" destId="{529BBF80-CBA8-46BD-B21E-9823BF0222A1}" srcOrd="9" destOrd="0" presId="urn:microsoft.com/office/officeart/2005/8/layout/radial1"/>
    <dgm:cxn modelId="{CA8CD494-3C32-436F-B6C5-F81600960D61}" type="presParOf" srcId="{529BBF80-CBA8-46BD-B21E-9823BF0222A1}" destId="{407E3E48-79A6-4E55-8202-DB077C7D7EED}" srcOrd="0" destOrd="0" presId="urn:microsoft.com/office/officeart/2005/8/layout/radial1"/>
    <dgm:cxn modelId="{FCB17876-8982-4BE6-AA63-6539570AAFC0}" type="presParOf" srcId="{261C9CFE-E8A5-48B3-A481-05FE6B98CD45}" destId="{DF38A40F-7F78-4329-9E30-F4E2B5A08411}" srcOrd="10" destOrd="0" presId="urn:microsoft.com/office/officeart/2005/8/layout/radial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889A44-7F97-47B0-9242-41B9268C06DD}">
      <dsp:nvSpPr>
        <dsp:cNvPr id="0" name=""/>
        <dsp:cNvSpPr/>
      </dsp:nvSpPr>
      <dsp:spPr>
        <a:xfrm>
          <a:off x="1689583" y="1513351"/>
          <a:ext cx="1149700" cy="11497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NZ" sz="1100" b="1" u="sng" kern="1200"/>
            <a:t>RISK FACTORS:</a:t>
          </a:r>
          <a:r>
            <a:rPr lang="en-NZ" sz="1100" b="1" u="none" kern="1200"/>
            <a:t> </a:t>
          </a:r>
          <a:r>
            <a:rPr lang="en-NZ" sz="1100" b="1" kern="1200"/>
            <a:t>'UNHEALTHY GAMBLING' BEHAVIOUR</a:t>
          </a:r>
        </a:p>
      </dsp:txBody>
      <dsp:txXfrm>
        <a:off x="1857953" y="1681721"/>
        <a:ext cx="812960" cy="812960"/>
      </dsp:txXfrm>
    </dsp:sp>
    <dsp:sp modelId="{0DAF1690-534B-4D08-A6F3-0842A1295606}">
      <dsp:nvSpPr>
        <dsp:cNvPr id="0" name=""/>
        <dsp:cNvSpPr/>
      </dsp:nvSpPr>
      <dsp:spPr>
        <a:xfrm rot="16200000">
          <a:off x="2090813" y="1316883"/>
          <a:ext cx="347241" cy="45694"/>
        </a:xfrm>
        <a:custGeom>
          <a:avLst/>
          <a:gdLst/>
          <a:ahLst/>
          <a:cxnLst/>
          <a:rect l="0" t="0" r="0" b="0"/>
          <a:pathLst>
            <a:path>
              <a:moveTo>
                <a:pt x="0" y="22847"/>
              </a:moveTo>
              <a:lnTo>
                <a:pt x="347241" y="228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255752" y="1331050"/>
        <a:ext cx="17362" cy="17362"/>
      </dsp:txXfrm>
    </dsp:sp>
    <dsp:sp modelId="{C8D54994-E31F-4F98-8FE6-5777A41AA156}">
      <dsp:nvSpPr>
        <dsp:cNvPr id="0" name=""/>
        <dsp:cNvSpPr/>
      </dsp:nvSpPr>
      <dsp:spPr>
        <a:xfrm>
          <a:off x="1689583" y="16410"/>
          <a:ext cx="1149700" cy="11497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NZ" sz="900" kern="1200"/>
            <a:t> Having a family member who has done something risky (e.g. stealing) because of gambling</a:t>
          </a:r>
        </a:p>
      </dsp:txBody>
      <dsp:txXfrm>
        <a:off x="1857953" y="184780"/>
        <a:ext cx="812960" cy="812960"/>
      </dsp:txXfrm>
    </dsp:sp>
    <dsp:sp modelId="{DD018893-9625-4624-A32A-CE9F5EB76A10}">
      <dsp:nvSpPr>
        <dsp:cNvPr id="0" name=""/>
        <dsp:cNvSpPr/>
      </dsp:nvSpPr>
      <dsp:spPr>
        <a:xfrm rot="20520000">
          <a:off x="2802651" y="1834064"/>
          <a:ext cx="347241" cy="45694"/>
        </a:xfrm>
        <a:custGeom>
          <a:avLst/>
          <a:gdLst/>
          <a:ahLst/>
          <a:cxnLst/>
          <a:rect l="0" t="0" r="0" b="0"/>
          <a:pathLst>
            <a:path>
              <a:moveTo>
                <a:pt x="0" y="22847"/>
              </a:moveTo>
              <a:lnTo>
                <a:pt x="347241" y="228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967590" y="1848230"/>
        <a:ext cx="17362" cy="17362"/>
      </dsp:txXfrm>
    </dsp:sp>
    <dsp:sp modelId="{E0F04331-8BB6-42BF-83C6-2A345F67644A}">
      <dsp:nvSpPr>
        <dsp:cNvPr id="0" name=""/>
        <dsp:cNvSpPr/>
      </dsp:nvSpPr>
      <dsp:spPr>
        <a:xfrm>
          <a:off x="3113259" y="1050771"/>
          <a:ext cx="1149700" cy="11497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NZ" sz="900" kern="1200"/>
            <a:t>Gambling with people other than friends or family</a:t>
          </a:r>
        </a:p>
      </dsp:txBody>
      <dsp:txXfrm>
        <a:off x="3281629" y="1219141"/>
        <a:ext cx="812960" cy="812960"/>
      </dsp:txXfrm>
    </dsp:sp>
    <dsp:sp modelId="{2C44C072-7165-410E-85BC-B5D51D0FAAD2}">
      <dsp:nvSpPr>
        <dsp:cNvPr id="0" name=""/>
        <dsp:cNvSpPr/>
      </dsp:nvSpPr>
      <dsp:spPr>
        <a:xfrm rot="3240000">
          <a:off x="2530753" y="2670880"/>
          <a:ext cx="347241" cy="45694"/>
        </a:xfrm>
        <a:custGeom>
          <a:avLst/>
          <a:gdLst/>
          <a:ahLst/>
          <a:cxnLst/>
          <a:rect l="0" t="0" r="0" b="0"/>
          <a:pathLst>
            <a:path>
              <a:moveTo>
                <a:pt x="0" y="22847"/>
              </a:moveTo>
              <a:lnTo>
                <a:pt x="347241" y="228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695693" y="2685046"/>
        <a:ext cx="17362" cy="17362"/>
      </dsp:txXfrm>
    </dsp:sp>
    <dsp:sp modelId="{C6B703D8-F39D-430D-AF5F-D383D2C4733F}">
      <dsp:nvSpPr>
        <dsp:cNvPr id="0" name=""/>
        <dsp:cNvSpPr/>
      </dsp:nvSpPr>
      <dsp:spPr>
        <a:xfrm>
          <a:off x="2569463" y="2724403"/>
          <a:ext cx="1149700" cy="11497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NZ" sz="900" kern="1200"/>
            <a:t>More accepting attitudes towards young people &amp; gambling activites</a:t>
          </a:r>
        </a:p>
      </dsp:txBody>
      <dsp:txXfrm>
        <a:off x="2737833" y="2892773"/>
        <a:ext cx="812960" cy="812960"/>
      </dsp:txXfrm>
    </dsp:sp>
    <dsp:sp modelId="{00032EED-7E22-4AC4-A78C-C8AAF1D3A988}">
      <dsp:nvSpPr>
        <dsp:cNvPr id="0" name=""/>
        <dsp:cNvSpPr/>
      </dsp:nvSpPr>
      <dsp:spPr>
        <a:xfrm rot="7560000">
          <a:off x="1650873" y="2670880"/>
          <a:ext cx="347241" cy="45694"/>
        </a:xfrm>
        <a:custGeom>
          <a:avLst/>
          <a:gdLst/>
          <a:ahLst/>
          <a:cxnLst/>
          <a:rect l="0" t="0" r="0" b="0"/>
          <a:pathLst>
            <a:path>
              <a:moveTo>
                <a:pt x="0" y="22847"/>
              </a:moveTo>
              <a:lnTo>
                <a:pt x="347241" y="228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rot="10800000">
        <a:off x="1815812" y="2685046"/>
        <a:ext cx="17362" cy="17362"/>
      </dsp:txXfrm>
    </dsp:sp>
    <dsp:sp modelId="{83E4B2D8-1928-4731-BE6B-A2EC401C33E1}">
      <dsp:nvSpPr>
        <dsp:cNvPr id="0" name=""/>
        <dsp:cNvSpPr/>
      </dsp:nvSpPr>
      <dsp:spPr>
        <a:xfrm>
          <a:off x="809703" y="2724403"/>
          <a:ext cx="1149700" cy="11497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NZ" sz="900" kern="1200"/>
            <a:t>Gambling on pub/club EGMs, casino EGMs/tables, or TAB betting</a:t>
          </a:r>
        </a:p>
      </dsp:txBody>
      <dsp:txXfrm>
        <a:off x="978073" y="2892773"/>
        <a:ext cx="812960" cy="812960"/>
      </dsp:txXfrm>
    </dsp:sp>
    <dsp:sp modelId="{529BBF80-CBA8-46BD-B21E-9823BF0222A1}">
      <dsp:nvSpPr>
        <dsp:cNvPr id="0" name=""/>
        <dsp:cNvSpPr/>
      </dsp:nvSpPr>
      <dsp:spPr>
        <a:xfrm rot="11880000">
          <a:off x="1378975" y="1834064"/>
          <a:ext cx="347241" cy="45694"/>
        </a:xfrm>
        <a:custGeom>
          <a:avLst/>
          <a:gdLst/>
          <a:ahLst/>
          <a:cxnLst/>
          <a:rect l="0" t="0" r="0" b="0"/>
          <a:pathLst>
            <a:path>
              <a:moveTo>
                <a:pt x="0" y="22847"/>
              </a:moveTo>
              <a:lnTo>
                <a:pt x="347241" y="228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rot="10800000">
        <a:off x="1543914" y="1848230"/>
        <a:ext cx="17362" cy="17362"/>
      </dsp:txXfrm>
    </dsp:sp>
    <dsp:sp modelId="{DF38A40F-7F78-4329-9E30-F4E2B5A08411}">
      <dsp:nvSpPr>
        <dsp:cNvPr id="0" name=""/>
        <dsp:cNvSpPr/>
      </dsp:nvSpPr>
      <dsp:spPr>
        <a:xfrm>
          <a:off x="265907" y="1050771"/>
          <a:ext cx="1149700" cy="11497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NZ" sz="900" kern="1200"/>
            <a:t>Attempted suicide in last 12 months</a:t>
          </a:r>
        </a:p>
      </dsp:txBody>
      <dsp:txXfrm>
        <a:off x="434277" y="1219141"/>
        <a:ext cx="812960" cy="8129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TotalTime>
  <Pages>139</Pages>
  <Words>37671</Words>
  <Characters>214728</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251896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Kent Lee</cp:lastModifiedBy>
  <cp:revision>7</cp:revision>
  <cp:lastPrinted>2013-11-27T00:09:00Z</cp:lastPrinted>
  <dcterms:created xsi:type="dcterms:W3CDTF">2014-01-27T21:06:00Z</dcterms:created>
  <dcterms:modified xsi:type="dcterms:W3CDTF">2014-06-10T22:34:00Z</dcterms:modified>
</cp:coreProperties>
</file>