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BB" w:rsidRDefault="00F66BBB" w:rsidP="00F66BBB">
      <w:pPr>
        <w:pStyle w:val="Heading1"/>
        <w:numPr>
          <w:ilvl w:val="0"/>
          <w:numId w:val="0"/>
        </w:numPr>
        <w:jc w:val="center"/>
      </w:pPr>
      <w:bookmarkStart w:id="0" w:name="_Toc432081842"/>
      <w:bookmarkStart w:id="1" w:name="_Toc432086046"/>
      <w:bookmarkStart w:id="2" w:name="_Toc432086220"/>
      <w:bookmarkStart w:id="3" w:name="_Toc432128921"/>
      <w:bookmarkStart w:id="4" w:name="_Toc436667459"/>
      <w:bookmarkStart w:id="5" w:name="_Toc440292247"/>
      <w:bookmarkStart w:id="6" w:name="_GoBack"/>
      <w:r>
        <w:t>Sorted Whānau Study: Financial Capability Education and Problem Gambling</w:t>
      </w:r>
    </w:p>
    <w:p w:rsidR="00F66BBB" w:rsidRDefault="00F66BBB" w:rsidP="00F66BBB">
      <w:pPr>
        <w:pStyle w:val="Heading1"/>
        <w:numPr>
          <w:ilvl w:val="0"/>
          <w:numId w:val="0"/>
        </w:numPr>
        <w:jc w:val="center"/>
      </w:pPr>
      <w:r>
        <w:t>Summary of findings</w:t>
      </w:r>
      <w:r w:rsidR="00870020">
        <w:t xml:space="preserve"> and FAQ</w:t>
      </w:r>
    </w:p>
    <w:tbl>
      <w:tblPr>
        <w:tblStyle w:val="Malateststyle"/>
        <w:tblW w:w="0" w:type="auto"/>
        <w:tblLook w:val="04A0" w:firstRow="1" w:lastRow="0" w:firstColumn="1" w:lastColumn="0" w:noHBand="0" w:noVBand="1"/>
      </w:tblPr>
      <w:tblGrid>
        <w:gridCol w:w="2471"/>
        <w:gridCol w:w="6535"/>
      </w:tblGrid>
      <w:tr w:rsidR="0024294D" w:rsidTr="002429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shd w:val="clear" w:color="auto" w:fill="auto"/>
          </w:tcPr>
          <w:bookmarkEnd w:id="6"/>
          <w:p w:rsidR="0024294D" w:rsidRPr="0024294D" w:rsidRDefault="0024294D" w:rsidP="0024294D">
            <w:pPr>
              <w:spacing w:before="0" w:after="0"/>
            </w:pPr>
            <w:r>
              <w:t>Project conducted by:</w:t>
            </w:r>
          </w:p>
        </w:tc>
        <w:tc>
          <w:tcPr>
            <w:tcW w:w="6724" w:type="dxa"/>
            <w:shd w:val="clear" w:color="auto" w:fill="auto"/>
          </w:tcPr>
          <w:p w:rsidR="0024294D" w:rsidRPr="0024294D" w:rsidRDefault="0024294D" w:rsidP="0024294D">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MT_5"/>
                <w:b w:val="0"/>
                <w:szCs w:val="18"/>
                <w:lang w:eastAsia="en-US"/>
              </w:rPr>
            </w:pPr>
            <w:proofErr w:type="spellStart"/>
            <w:r w:rsidRPr="0024294D">
              <w:rPr>
                <w:rFonts w:asciiTheme="minorHAnsi" w:hAnsiTheme="minorHAnsi" w:cs="ArialMT_5"/>
                <w:b w:val="0"/>
                <w:szCs w:val="18"/>
                <w:lang w:eastAsia="en-US"/>
              </w:rPr>
              <w:t>Raukura</w:t>
            </w:r>
            <w:proofErr w:type="spellEnd"/>
            <w:r w:rsidRPr="0024294D">
              <w:rPr>
                <w:rFonts w:asciiTheme="minorHAnsi" w:hAnsiTheme="minorHAnsi" w:cs="ArialMT_5"/>
                <w:b w:val="0"/>
                <w:szCs w:val="18"/>
                <w:lang w:eastAsia="en-US"/>
              </w:rPr>
              <w:t xml:space="preserve"> </w:t>
            </w:r>
            <w:proofErr w:type="spellStart"/>
            <w:r w:rsidRPr="0024294D">
              <w:rPr>
                <w:rFonts w:asciiTheme="minorHAnsi" w:hAnsiTheme="minorHAnsi" w:cs="ArialMT_5"/>
                <w:b w:val="0"/>
                <w:szCs w:val="18"/>
                <w:lang w:eastAsia="en-US"/>
              </w:rPr>
              <w:t>Hauora</w:t>
            </w:r>
            <w:proofErr w:type="spellEnd"/>
            <w:r w:rsidRPr="0024294D">
              <w:rPr>
                <w:rFonts w:asciiTheme="minorHAnsi" w:hAnsiTheme="minorHAnsi" w:cs="ArialMT_5"/>
                <w:b w:val="0"/>
                <w:szCs w:val="18"/>
                <w:lang w:eastAsia="en-US"/>
              </w:rPr>
              <w:t xml:space="preserve"> o </w:t>
            </w:r>
            <w:proofErr w:type="spellStart"/>
            <w:r w:rsidRPr="0024294D">
              <w:rPr>
                <w:rFonts w:asciiTheme="minorHAnsi" w:hAnsiTheme="minorHAnsi" w:cs="ArialMT_5"/>
                <w:b w:val="0"/>
                <w:szCs w:val="18"/>
                <w:lang w:eastAsia="en-US"/>
              </w:rPr>
              <w:t>Tainui</w:t>
            </w:r>
            <w:proofErr w:type="spellEnd"/>
            <w:r w:rsidRPr="0024294D">
              <w:rPr>
                <w:rFonts w:asciiTheme="minorHAnsi" w:hAnsiTheme="minorHAnsi" w:cs="ArialMT_5"/>
                <w:b w:val="0"/>
                <w:szCs w:val="18"/>
                <w:lang w:eastAsia="en-US"/>
              </w:rPr>
              <w:t xml:space="preserve"> (</w:t>
            </w:r>
            <w:proofErr w:type="spellStart"/>
            <w:r w:rsidRPr="0024294D">
              <w:rPr>
                <w:rFonts w:asciiTheme="minorHAnsi" w:hAnsiTheme="minorHAnsi" w:cs="ArialMT_5"/>
                <w:b w:val="0"/>
                <w:szCs w:val="18"/>
                <w:lang w:eastAsia="en-US"/>
              </w:rPr>
              <w:t>Raukura</w:t>
            </w:r>
            <w:proofErr w:type="spellEnd"/>
            <w:r w:rsidRPr="0024294D">
              <w:rPr>
                <w:rFonts w:asciiTheme="minorHAnsi" w:hAnsiTheme="minorHAnsi" w:cs="ArialMT_5"/>
                <w:b w:val="0"/>
                <w:szCs w:val="18"/>
                <w:lang w:eastAsia="en-US"/>
              </w:rPr>
              <w:t xml:space="preserve">), the Commission for Financial Capability (CFFC) and </w:t>
            </w:r>
            <w:proofErr w:type="spellStart"/>
            <w:r w:rsidRPr="0024294D">
              <w:rPr>
                <w:rFonts w:asciiTheme="minorHAnsi" w:hAnsiTheme="minorHAnsi" w:cs="ArialMT_5"/>
                <w:b w:val="0"/>
                <w:szCs w:val="18"/>
                <w:lang w:eastAsia="en-US"/>
              </w:rPr>
              <w:t>Malatest</w:t>
            </w:r>
            <w:proofErr w:type="spellEnd"/>
            <w:r w:rsidRPr="0024294D">
              <w:rPr>
                <w:rFonts w:asciiTheme="minorHAnsi" w:hAnsiTheme="minorHAnsi" w:cs="ArialMT_5"/>
                <w:b w:val="0"/>
                <w:szCs w:val="18"/>
                <w:lang w:eastAsia="en-US"/>
              </w:rPr>
              <w:t xml:space="preserve"> International (</w:t>
            </w:r>
            <w:proofErr w:type="spellStart"/>
            <w:r w:rsidRPr="0024294D">
              <w:rPr>
                <w:rFonts w:asciiTheme="minorHAnsi" w:hAnsiTheme="minorHAnsi" w:cs="ArialMT_5"/>
                <w:b w:val="0"/>
                <w:szCs w:val="18"/>
                <w:lang w:eastAsia="en-US"/>
              </w:rPr>
              <w:t>Malatest</w:t>
            </w:r>
            <w:proofErr w:type="spellEnd"/>
            <w:r w:rsidRPr="0024294D">
              <w:rPr>
                <w:rFonts w:asciiTheme="minorHAnsi" w:hAnsiTheme="minorHAnsi" w:cs="ArialMT_5"/>
                <w:b w:val="0"/>
                <w:szCs w:val="18"/>
                <w:lang w:eastAsia="en-US"/>
              </w:rPr>
              <w:t>)</w:t>
            </w:r>
          </w:p>
        </w:tc>
      </w:tr>
      <w:tr w:rsidR="0024294D" w:rsidTr="00242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24294D" w:rsidRPr="0024294D" w:rsidRDefault="0024294D" w:rsidP="0024294D">
            <w:pPr>
              <w:spacing w:before="0" w:after="0"/>
            </w:pPr>
            <w:r>
              <w:t xml:space="preserve">Project funded by: </w:t>
            </w:r>
          </w:p>
        </w:tc>
        <w:tc>
          <w:tcPr>
            <w:tcW w:w="6724" w:type="dxa"/>
            <w:shd w:val="clear" w:color="auto" w:fill="auto"/>
          </w:tcPr>
          <w:p w:rsidR="0024294D" w:rsidRPr="0024294D" w:rsidRDefault="0024294D" w:rsidP="0024294D">
            <w:pPr>
              <w:spacing w:before="0" w:after="0"/>
              <w:cnfStyle w:val="000000100000" w:firstRow="0" w:lastRow="0" w:firstColumn="0" w:lastColumn="0" w:oddVBand="0" w:evenVBand="0" w:oddHBand="1" w:evenHBand="0" w:firstRowFirstColumn="0" w:firstRowLastColumn="0" w:lastRowFirstColumn="0" w:lastRowLastColumn="0"/>
            </w:pPr>
            <w:r w:rsidRPr="0024294D">
              <w:t>Ministry of Health</w:t>
            </w:r>
          </w:p>
        </w:tc>
      </w:tr>
    </w:tbl>
    <w:p w:rsidR="00F66BBB" w:rsidRDefault="00870020" w:rsidP="00F66BBB">
      <w:pPr>
        <w:pStyle w:val="MIHeading2"/>
        <w:numPr>
          <w:ilvl w:val="0"/>
          <w:numId w:val="0"/>
        </w:numPr>
      </w:pPr>
      <w:r>
        <w:t>What is financial capability?</w:t>
      </w:r>
    </w:p>
    <w:p w:rsidR="00870020" w:rsidRDefault="00870020" w:rsidP="00870020">
      <w:pPr>
        <w:rPr>
          <w:lang w:eastAsia="en-NZ"/>
        </w:rPr>
      </w:pPr>
      <w:r w:rsidRPr="00A525EC">
        <w:rPr>
          <w:shd w:val="clear" w:color="auto" w:fill="FFFFFF"/>
        </w:rPr>
        <w:t>Financial capability is the ability to make informed judgements and effective decisions regarding the use and management of money. It is about having financial knowledge, and the understanding, confidence and motivation to make and implement financial judgements and decisions</w:t>
      </w:r>
      <w:r>
        <w:rPr>
          <w:rStyle w:val="FootnoteReference"/>
          <w:shd w:val="clear" w:color="auto" w:fill="FFFFFF"/>
        </w:rPr>
        <w:footnoteReference w:id="1"/>
      </w:r>
      <w:r w:rsidRPr="00A525EC">
        <w:rPr>
          <w:shd w:val="clear" w:color="auto" w:fill="FFFFFF"/>
        </w:rPr>
        <w:t>.</w:t>
      </w:r>
    </w:p>
    <w:p w:rsidR="00870020" w:rsidRPr="00870020" w:rsidRDefault="00870020" w:rsidP="00870020">
      <w:pPr>
        <w:pStyle w:val="MIHeading2"/>
        <w:numPr>
          <w:ilvl w:val="0"/>
          <w:numId w:val="0"/>
        </w:numPr>
      </w:pPr>
      <w:r>
        <w:t>What is the Sorted Whānau study?</w:t>
      </w:r>
    </w:p>
    <w:p w:rsidR="001612B2" w:rsidRDefault="001612B2" w:rsidP="001612B2">
      <w:pPr>
        <w:rPr>
          <w:rFonts w:asciiTheme="minorHAnsi" w:hAnsiTheme="minorHAnsi" w:cs="ArialMT_5"/>
          <w:szCs w:val="18"/>
          <w:lang w:eastAsia="en-US"/>
        </w:rPr>
      </w:pPr>
      <w:proofErr w:type="spellStart"/>
      <w:r w:rsidRPr="00FA1F8C">
        <w:rPr>
          <w:rFonts w:asciiTheme="minorHAnsi" w:hAnsiTheme="minorHAnsi" w:cs="ArialMT_5"/>
          <w:szCs w:val="18"/>
          <w:lang w:eastAsia="en-US"/>
        </w:rPr>
        <w:t>Raukura</w:t>
      </w:r>
      <w:proofErr w:type="spellEnd"/>
      <w:r w:rsidRPr="00FA1F8C">
        <w:rPr>
          <w:rFonts w:asciiTheme="minorHAnsi" w:hAnsiTheme="minorHAnsi" w:cs="ArialMT_5"/>
          <w:szCs w:val="18"/>
          <w:lang w:eastAsia="en-US"/>
        </w:rPr>
        <w:t xml:space="preserve"> </w:t>
      </w:r>
      <w:proofErr w:type="spellStart"/>
      <w:r w:rsidRPr="00FA1F8C">
        <w:rPr>
          <w:rFonts w:asciiTheme="minorHAnsi" w:hAnsiTheme="minorHAnsi" w:cs="ArialMT_5"/>
          <w:szCs w:val="18"/>
          <w:lang w:eastAsia="en-US"/>
        </w:rPr>
        <w:t>Hauora</w:t>
      </w:r>
      <w:proofErr w:type="spellEnd"/>
      <w:r w:rsidRPr="00FA1F8C">
        <w:rPr>
          <w:rFonts w:asciiTheme="minorHAnsi" w:hAnsiTheme="minorHAnsi" w:cs="ArialMT_5"/>
          <w:szCs w:val="18"/>
          <w:lang w:eastAsia="en-US"/>
        </w:rPr>
        <w:t xml:space="preserve"> o </w:t>
      </w:r>
      <w:proofErr w:type="spellStart"/>
      <w:r w:rsidRPr="00FA1F8C">
        <w:rPr>
          <w:rFonts w:asciiTheme="minorHAnsi" w:hAnsiTheme="minorHAnsi" w:cs="ArialMT_5"/>
          <w:szCs w:val="18"/>
          <w:lang w:eastAsia="en-US"/>
        </w:rPr>
        <w:t>Tainui</w:t>
      </w:r>
      <w:proofErr w:type="spellEnd"/>
      <w:r w:rsidRPr="00FA1F8C">
        <w:rPr>
          <w:rFonts w:asciiTheme="minorHAnsi" w:hAnsiTheme="minorHAnsi" w:cs="ArialMT_5"/>
          <w:szCs w:val="18"/>
          <w:lang w:eastAsia="en-US"/>
        </w:rPr>
        <w:t xml:space="preserve"> (</w:t>
      </w:r>
      <w:proofErr w:type="spellStart"/>
      <w:r w:rsidRPr="00FA1F8C">
        <w:rPr>
          <w:rFonts w:asciiTheme="minorHAnsi" w:hAnsiTheme="minorHAnsi" w:cs="ArialMT_5"/>
          <w:szCs w:val="18"/>
          <w:lang w:eastAsia="en-US"/>
        </w:rPr>
        <w:t>Raukura</w:t>
      </w:r>
      <w:proofErr w:type="spellEnd"/>
      <w:r w:rsidRPr="00FA1F8C">
        <w:rPr>
          <w:rFonts w:asciiTheme="minorHAnsi" w:hAnsiTheme="minorHAnsi" w:cs="ArialMT_5"/>
          <w:szCs w:val="18"/>
          <w:lang w:eastAsia="en-US"/>
        </w:rPr>
        <w:t xml:space="preserve">), the Commission for Financial Capability (CFFC) and </w:t>
      </w:r>
      <w:proofErr w:type="spellStart"/>
      <w:r w:rsidRPr="00FA1F8C">
        <w:rPr>
          <w:rFonts w:asciiTheme="minorHAnsi" w:hAnsiTheme="minorHAnsi" w:cs="ArialMT_5"/>
          <w:szCs w:val="18"/>
          <w:lang w:eastAsia="en-US"/>
        </w:rPr>
        <w:t>Malatest</w:t>
      </w:r>
      <w:proofErr w:type="spellEnd"/>
      <w:r w:rsidRPr="00FA1F8C">
        <w:rPr>
          <w:rFonts w:asciiTheme="minorHAnsi" w:hAnsiTheme="minorHAnsi" w:cs="ArialMT_5"/>
          <w:szCs w:val="18"/>
          <w:lang w:eastAsia="en-US"/>
        </w:rPr>
        <w:t xml:space="preserve"> International (</w:t>
      </w:r>
      <w:proofErr w:type="spellStart"/>
      <w:r w:rsidRPr="00FA1F8C">
        <w:rPr>
          <w:rFonts w:asciiTheme="minorHAnsi" w:hAnsiTheme="minorHAnsi" w:cs="ArialMT_5"/>
          <w:szCs w:val="18"/>
          <w:lang w:eastAsia="en-US"/>
        </w:rPr>
        <w:t>Malatest</w:t>
      </w:r>
      <w:proofErr w:type="spellEnd"/>
      <w:r w:rsidRPr="00FA1F8C">
        <w:rPr>
          <w:rFonts w:asciiTheme="minorHAnsi" w:hAnsiTheme="minorHAnsi" w:cs="ArialMT_5"/>
          <w:szCs w:val="18"/>
          <w:lang w:eastAsia="en-US"/>
        </w:rPr>
        <w:t xml:space="preserve">) developed the Sorted </w:t>
      </w:r>
      <w:proofErr w:type="spellStart"/>
      <w:r w:rsidRPr="00FA1F8C">
        <w:rPr>
          <w:rFonts w:asciiTheme="minorHAnsi" w:hAnsiTheme="minorHAnsi" w:cs="ArialMT_5"/>
          <w:szCs w:val="18"/>
          <w:lang w:eastAsia="en-US"/>
        </w:rPr>
        <w:t>Whānau</w:t>
      </w:r>
      <w:proofErr w:type="spellEnd"/>
      <w:r w:rsidRPr="00FA1F8C">
        <w:rPr>
          <w:rFonts w:asciiTheme="minorHAnsi" w:hAnsiTheme="minorHAnsi" w:cs="ArialMT_5"/>
          <w:szCs w:val="18"/>
          <w:lang w:eastAsia="en-US"/>
        </w:rPr>
        <w:t>: Financial Capability Education and Problem Gambling Study</w:t>
      </w:r>
      <w:r w:rsidR="00FA1F8C">
        <w:rPr>
          <w:rFonts w:asciiTheme="minorHAnsi" w:hAnsiTheme="minorHAnsi" w:cs="ArialMT_5"/>
          <w:szCs w:val="18"/>
          <w:lang w:eastAsia="en-US"/>
        </w:rPr>
        <w:t xml:space="preserve">. </w:t>
      </w:r>
      <w:r w:rsidR="00EF32B1">
        <w:rPr>
          <w:rFonts w:asciiTheme="minorHAnsi" w:hAnsiTheme="minorHAnsi" w:cs="ArialMT_5"/>
          <w:szCs w:val="18"/>
          <w:lang w:eastAsia="en-US"/>
        </w:rPr>
        <w:t xml:space="preserve">A financial capability education programme (the Sorted </w:t>
      </w:r>
      <w:proofErr w:type="spellStart"/>
      <w:r w:rsidR="00EF32B1">
        <w:rPr>
          <w:rFonts w:asciiTheme="minorHAnsi" w:hAnsiTheme="minorHAnsi" w:cs="ArialMT_5"/>
          <w:szCs w:val="18"/>
          <w:lang w:eastAsia="en-US"/>
        </w:rPr>
        <w:t>Wh</w:t>
      </w:r>
      <w:r w:rsidR="00EF32B1" w:rsidRPr="00FA1F8C">
        <w:rPr>
          <w:rFonts w:asciiTheme="minorHAnsi" w:hAnsiTheme="minorHAnsi" w:cs="ArialMT_5"/>
          <w:szCs w:val="18"/>
          <w:lang w:eastAsia="en-US"/>
        </w:rPr>
        <w:t>ānau</w:t>
      </w:r>
      <w:proofErr w:type="spellEnd"/>
      <w:r w:rsidR="00EF32B1">
        <w:rPr>
          <w:rFonts w:asciiTheme="minorHAnsi" w:hAnsiTheme="minorHAnsi" w:cs="ArialMT_5"/>
          <w:szCs w:val="18"/>
          <w:lang w:eastAsia="en-US"/>
        </w:rPr>
        <w:t xml:space="preserve"> programme) was developed and delivered to </w:t>
      </w:r>
      <w:r w:rsidR="00FA1F8C" w:rsidRPr="00FA1F8C">
        <w:rPr>
          <w:rFonts w:asciiTheme="minorHAnsi" w:hAnsiTheme="minorHAnsi" w:cs="ArialMT_5"/>
          <w:szCs w:val="18"/>
          <w:lang w:eastAsia="en-US"/>
        </w:rPr>
        <w:t xml:space="preserve">seven problem gambling service provider staff and </w:t>
      </w:r>
      <w:r w:rsidR="00714385" w:rsidRPr="00FA1F8C">
        <w:rPr>
          <w:rFonts w:asciiTheme="minorHAnsi" w:hAnsiTheme="minorHAnsi" w:cs="ArialMT_5"/>
          <w:szCs w:val="18"/>
          <w:lang w:eastAsia="en-US"/>
        </w:rPr>
        <w:t>10</w:t>
      </w:r>
      <w:r w:rsidR="00374B1E" w:rsidRPr="00FA1F8C">
        <w:rPr>
          <w:rFonts w:asciiTheme="minorHAnsi" w:hAnsiTheme="minorHAnsi" w:cs="ArialMT_5"/>
          <w:szCs w:val="18"/>
          <w:lang w:eastAsia="en-US"/>
        </w:rPr>
        <w:t xml:space="preserve"> </w:t>
      </w:r>
      <w:r w:rsidR="0024294D" w:rsidRPr="00FA1F8C">
        <w:rPr>
          <w:rFonts w:asciiTheme="minorHAnsi" w:hAnsiTheme="minorHAnsi" w:cs="ArialMT_5"/>
          <w:szCs w:val="18"/>
          <w:lang w:eastAsia="en-US"/>
        </w:rPr>
        <w:t xml:space="preserve">Māori and Pacific problem gamblers and </w:t>
      </w:r>
      <w:r w:rsidR="0024294D" w:rsidRPr="00FA1F8C">
        <w:rPr>
          <w:lang w:eastAsia="en-US"/>
        </w:rPr>
        <w:t>their family/</w:t>
      </w:r>
      <w:proofErr w:type="spellStart"/>
      <w:r w:rsidR="0024294D" w:rsidRPr="00FA1F8C">
        <w:rPr>
          <w:lang w:eastAsia="en-US"/>
        </w:rPr>
        <w:t>whānau</w:t>
      </w:r>
      <w:proofErr w:type="spellEnd"/>
      <w:r w:rsidR="0024294D" w:rsidRPr="00FA1F8C">
        <w:rPr>
          <w:lang w:eastAsia="en-US"/>
        </w:rPr>
        <w:t>/</w:t>
      </w:r>
      <w:proofErr w:type="spellStart"/>
      <w:r w:rsidR="0024294D" w:rsidRPr="00FA1F8C">
        <w:rPr>
          <w:lang w:eastAsia="en-US"/>
        </w:rPr>
        <w:t>aiga</w:t>
      </w:r>
      <w:proofErr w:type="spellEnd"/>
      <w:r w:rsidR="0024294D" w:rsidRPr="00FA1F8C">
        <w:rPr>
          <w:rFonts w:asciiTheme="minorHAnsi" w:hAnsiTheme="minorHAnsi" w:cs="ArialMT_5"/>
          <w:szCs w:val="18"/>
          <w:lang w:eastAsia="en-US"/>
        </w:rPr>
        <w:t xml:space="preserve"> (clients)</w:t>
      </w:r>
      <w:r w:rsidR="00FA1F8C" w:rsidRPr="00FA1F8C">
        <w:rPr>
          <w:rFonts w:asciiTheme="minorHAnsi" w:hAnsiTheme="minorHAnsi" w:cs="ArialMT_5"/>
          <w:szCs w:val="18"/>
          <w:lang w:eastAsia="en-US"/>
        </w:rPr>
        <w:t>. The overarching objective of the study was</w:t>
      </w:r>
      <w:r w:rsidR="0024294D" w:rsidRPr="00FA1F8C">
        <w:rPr>
          <w:rFonts w:asciiTheme="minorHAnsi" w:hAnsiTheme="minorHAnsi" w:cs="ArialMT_5"/>
          <w:szCs w:val="18"/>
          <w:lang w:eastAsia="en-US"/>
        </w:rPr>
        <w:t xml:space="preserve"> to see w</w:t>
      </w:r>
      <w:r w:rsidRPr="00FA1F8C">
        <w:rPr>
          <w:rFonts w:asciiTheme="minorHAnsi" w:hAnsiTheme="minorHAnsi" w:cs="ArialMT_5"/>
          <w:szCs w:val="18"/>
          <w:lang w:eastAsia="en-US"/>
        </w:rPr>
        <w:t>hether financial capability education improv</w:t>
      </w:r>
      <w:r w:rsidR="0024294D" w:rsidRPr="00FA1F8C">
        <w:rPr>
          <w:rFonts w:asciiTheme="minorHAnsi" w:hAnsiTheme="minorHAnsi" w:cs="ArialMT_5"/>
          <w:szCs w:val="18"/>
          <w:lang w:eastAsia="en-US"/>
        </w:rPr>
        <w:t>ed</w:t>
      </w:r>
      <w:r w:rsidRPr="00FA1F8C">
        <w:rPr>
          <w:rFonts w:asciiTheme="minorHAnsi" w:hAnsiTheme="minorHAnsi" w:cs="ArialMT_5"/>
          <w:szCs w:val="18"/>
          <w:lang w:eastAsia="en-US"/>
        </w:rPr>
        <w:t xml:space="preserve"> financial understanding and decision-making and ha</w:t>
      </w:r>
      <w:r w:rsidR="00642965" w:rsidRPr="00FA1F8C">
        <w:rPr>
          <w:rFonts w:asciiTheme="minorHAnsi" w:hAnsiTheme="minorHAnsi" w:cs="ArialMT_5"/>
          <w:szCs w:val="18"/>
          <w:lang w:eastAsia="en-US"/>
        </w:rPr>
        <w:t>d</w:t>
      </w:r>
      <w:r w:rsidRPr="00FA1F8C">
        <w:rPr>
          <w:rFonts w:asciiTheme="minorHAnsi" w:hAnsiTheme="minorHAnsi" w:cs="ArialMT_5"/>
          <w:szCs w:val="18"/>
          <w:lang w:eastAsia="en-US"/>
        </w:rPr>
        <w:t xml:space="preserve"> the potential to influence long-term behaviour change for clients</w:t>
      </w:r>
      <w:r w:rsidR="00FA1F8C">
        <w:rPr>
          <w:rFonts w:asciiTheme="minorHAnsi" w:hAnsiTheme="minorHAnsi" w:cs="ArialMT_5"/>
          <w:szCs w:val="18"/>
          <w:lang w:eastAsia="en-US"/>
        </w:rPr>
        <w:t>.</w:t>
      </w:r>
    </w:p>
    <w:p w:rsidR="00F66BBB" w:rsidRDefault="00F66BBB" w:rsidP="00F66BBB">
      <w:pPr>
        <w:pStyle w:val="MIHeading2"/>
        <w:numPr>
          <w:ilvl w:val="0"/>
          <w:numId w:val="0"/>
        </w:numPr>
      </w:pPr>
      <w:r>
        <w:t>Aims</w:t>
      </w:r>
    </w:p>
    <w:p w:rsidR="00F66BBB" w:rsidRDefault="001612B2" w:rsidP="00F66BBB">
      <w:pPr>
        <w:rPr>
          <w:lang w:eastAsia="en-NZ"/>
        </w:rPr>
      </w:pPr>
      <w:r>
        <w:rPr>
          <w:lang w:eastAsia="en-NZ"/>
        </w:rPr>
        <w:t>The aims of the study were to:</w:t>
      </w:r>
    </w:p>
    <w:p w:rsidR="001612B2" w:rsidRPr="00105EE5" w:rsidRDefault="001612B2" w:rsidP="001612B2">
      <w:pPr>
        <w:pStyle w:val="MIBullets"/>
        <w:numPr>
          <w:ilvl w:val="0"/>
          <w:numId w:val="1"/>
        </w:numPr>
        <w:spacing w:before="0"/>
      </w:pPr>
      <w:r w:rsidRPr="00105EE5">
        <w:t xml:space="preserve">Explore the financial capability needs of Māori and Pacific problem gambling clients </w:t>
      </w:r>
    </w:p>
    <w:p w:rsidR="001612B2" w:rsidRPr="00105EE5" w:rsidRDefault="001612B2" w:rsidP="001612B2">
      <w:pPr>
        <w:pStyle w:val="MIBullets"/>
        <w:numPr>
          <w:ilvl w:val="0"/>
          <w:numId w:val="1"/>
        </w:numPr>
        <w:spacing w:before="0"/>
      </w:pPr>
      <w:r w:rsidRPr="00105EE5">
        <w:t>Use information from the needs assessment to develop</w:t>
      </w:r>
      <w:r>
        <w:t xml:space="preserve">, in partnership with </w:t>
      </w:r>
      <w:r w:rsidRPr="00105EE5">
        <w:t xml:space="preserve">CFFC and </w:t>
      </w:r>
      <w:proofErr w:type="spellStart"/>
      <w:r w:rsidRPr="00105EE5">
        <w:t>Raukura</w:t>
      </w:r>
      <w:proofErr w:type="spellEnd"/>
      <w:r>
        <w:t xml:space="preserve">, </w:t>
      </w:r>
      <w:r w:rsidRPr="00105EE5">
        <w:t>a</w:t>
      </w:r>
      <w:r>
        <w:t xml:space="preserve"> </w:t>
      </w:r>
      <w:r w:rsidRPr="00105EE5">
        <w:t>financial capability education programme for Māori and Pacific gambling clients in the recovery phase of their treatment</w:t>
      </w:r>
    </w:p>
    <w:p w:rsidR="001612B2" w:rsidRPr="00105EE5" w:rsidRDefault="001612B2" w:rsidP="001612B2">
      <w:pPr>
        <w:pStyle w:val="MIBullets"/>
        <w:numPr>
          <w:ilvl w:val="0"/>
          <w:numId w:val="1"/>
        </w:numPr>
        <w:spacing w:before="0"/>
      </w:pPr>
      <w:r>
        <w:t>I</w:t>
      </w:r>
      <w:r w:rsidRPr="00105EE5">
        <w:t>mplement the</w:t>
      </w:r>
      <w:r>
        <w:t xml:space="preserve"> </w:t>
      </w:r>
      <w:r w:rsidRPr="00105EE5">
        <w:t xml:space="preserve">financial capability education programme in partnership with CFFC and </w:t>
      </w:r>
      <w:proofErr w:type="spellStart"/>
      <w:r w:rsidRPr="00105EE5">
        <w:t>Raukura</w:t>
      </w:r>
      <w:proofErr w:type="spellEnd"/>
      <w:r w:rsidRPr="00105EE5">
        <w:t xml:space="preserve"> </w:t>
      </w:r>
    </w:p>
    <w:p w:rsidR="001612B2" w:rsidRPr="00105EE5" w:rsidRDefault="001612B2" w:rsidP="001612B2">
      <w:pPr>
        <w:pStyle w:val="MIBullets"/>
        <w:numPr>
          <w:ilvl w:val="0"/>
          <w:numId w:val="1"/>
        </w:numPr>
        <w:spacing w:before="0"/>
      </w:pPr>
      <w:r w:rsidRPr="00105EE5">
        <w:t>Evaluate the</w:t>
      </w:r>
      <w:r>
        <w:t xml:space="preserve"> </w:t>
      </w:r>
      <w:r w:rsidRPr="00105EE5">
        <w:t xml:space="preserve">programme to identify its impact on financial capability understandings and behaviours for Māori and Pacific gamblers and their </w:t>
      </w:r>
      <w:r>
        <w:t>family/</w:t>
      </w:r>
      <w:proofErr w:type="spellStart"/>
      <w:r>
        <w:t>whānau</w:t>
      </w:r>
      <w:proofErr w:type="spellEnd"/>
      <w:r>
        <w:t>/</w:t>
      </w:r>
      <w:proofErr w:type="spellStart"/>
      <w:r>
        <w:t>aiga</w:t>
      </w:r>
      <w:proofErr w:type="spellEnd"/>
      <w:r>
        <w:t xml:space="preserve"> </w:t>
      </w:r>
    </w:p>
    <w:p w:rsidR="001612B2" w:rsidRPr="00105EE5" w:rsidRDefault="001612B2" w:rsidP="001612B2">
      <w:pPr>
        <w:pStyle w:val="MIBullets"/>
        <w:numPr>
          <w:ilvl w:val="0"/>
          <w:numId w:val="1"/>
        </w:numPr>
        <w:spacing w:before="0"/>
      </w:pPr>
      <w:r w:rsidRPr="00105EE5">
        <w:t>Review and revise the financial capability education programme in response to evaluation findings and consider its transferability to other gambling service providers.</w:t>
      </w:r>
    </w:p>
    <w:p w:rsidR="001612B2" w:rsidRPr="001612B2" w:rsidRDefault="00F66BBB" w:rsidP="001612B2">
      <w:pPr>
        <w:pStyle w:val="MIHeading2"/>
        <w:numPr>
          <w:ilvl w:val="0"/>
          <w:numId w:val="0"/>
        </w:numPr>
      </w:pPr>
      <w:r>
        <w:lastRenderedPageBreak/>
        <w:t>Method</w:t>
      </w:r>
      <w:r w:rsidR="00F708D1">
        <w:t>s</w:t>
      </w:r>
    </w:p>
    <w:p w:rsidR="001612B2" w:rsidRDefault="001612B2" w:rsidP="00C93EE0">
      <w:pPr>
        <w:rPr>
          <w:lang w:eastAsia="en-NZ"/>
        </w:rPr>
      </w:pPr>
      <w:r w:rsidRPr="00C93EE0">
        <w:rPr>
          <w:b/>
          <w:lang w:eastAsia="en-NZ"/>
        </w:rPr>
        <w:t xml:space="preserve">Needs assessment: </w:t>
      </w:r>
      <w:r w:rsidR="00C93EE0">
        <w:rPr>
          <w:lang w:eastAsia="en-NZ"/>
        </w:rPr>
        <w:t>A literature search and i</w:t>
      </w:r>
      <w:r>
        <w:rPr>
          <w:lang w:eastAsia="en-NZ"/>
        </w:rPr>
        <w:t xml:space="preserve">n-depth individual interviews with </w:t>
      </w:r>
      <w:proofErr w:type="spellStart"/>
      <w:r>
        <w:rPr>
          <w:lang w:eastAsia="en-NZ"/>
        </w:rPr>
        <w:t>Raukura</w:t>
      </w:r>
      <w:proofErr w:type="spellEnd"/>
      <w:r>
        <w:rPr>
          <w:lang w:eastAsia="en-NZ"/>
        </w:rPr>
        <w:t xml:space="preserve"> clients (ten Māori and ten Pacific problem gamblers/significant others) and five staff</w:t>
      </w:r>
      <w:r w:rsidR="0024294D">
        <w:rPr>
          <w:lang w:eastAsia="en-NZ"/>
        </w:rPr>
        <w:t xml:space="preserve"> members</w:t>
      </w:r>
      <w:r>
        <w:rPr>
          <w:lang w:eastAsia="en-NZ"/>
        </w:rPr>
        <w:t xml:space="preserve">. </w:t>
      </w:r>
    </w:p>
    <w:p w:rsidR="001612B2" w:rsidRDefault="0024294D" w:rsidP="00C93EE0">
      <w:pPr>
        <w:rPr>
          <w:lang w:eastAsia="en-NZ"/>
        </w:rPr>
      </w:pPr>
      <w:r>
        <w:rPr>
          <w:b/>
          <w:lang w:eastAsia="en-NZ"/>
        </w:rPr>
        <w:t xml:space="preserve">Evaluation: </w:t>
      </w:r>
      <w:r>
        <w:rPr>
          <w:lang w:eastAsia="en-NZ"/>
        </w:rPr>
        <w:t xml:space="preserve">A logic model and evaluation framework were developed with </w:t>
      </w:r>
      <w:proofErr w:type="spellStart"/>
      <w:r>
        <w:rPr>
          <w:lang w:eastAsia="en-NZ"/>
        </w:rPr>
        <w:t>Raukura</w:t>
      </w:r>
      <w:proofErr w:type="spellEnd"/>
      <w:r>
        <w:rPr>
          <w:lang w:eastAsia="en-NZ"/>
        </w:rPr>
        <w:t xml:space="preserve"> and CFFC to theoretically ground the evaluation design. The evaluation included</w:t>
      </w:r>
      <w:r w:rsidR="00C93EE0">
        <w:rPr>
          <w:lang w:eastAsia="en-NZ"/>
        </w:rPr>
        <w:t xml:space="preserve"> a document review </w:t>
      </w:r>
      <w:r w:rsidR="00C93EE0" w:rsidRPr="00C93EE0">
        <w:rPr>
          <w:lang w:eastAsia="en-NZ"/>
        </w:rPr>
        <w:t>(literature about problem gambling and financial capability education, and CFFC programmes and reports</w:t>
      </w:r>
      <w:r w:rsidR="00C93EE0">
        <w:rPr>
          <w:lang w:eastAsia="en-NZ"/>
        </w:rPr>
        <w:t xml:space="preserve">), observation (at all workshops), pre- and post-programme participant surveys, module feedback forms (completed after each workshop), and in-depth interviews with </w:t>
      </w:r>
      <w:proofErr w:type="spellStart"/>
      <w:r w:rsidR="00C93EE0">
        <w:rPr>
          <w:lang w:eastAsia="en-NZ"/>
        </w:rPr>
        <w:t>Raukura</w:t>
      </w:r>
      <w:proofErr w:type="spellEnd"/>
      <w:r w:rsidR="00C93EE0">
        <w:rPr>
          <w:lang w:eastAsia="en-NZ"/>
        </w:rPr>
        <w:t xml:space="preserve"> staff and management, CFFC, external programme facilitators, and clients after the programme.</w:t>
      </w:r>
    </w:p>
    <w:p w:rsidR="00F66BBB" w:rsidRDefault="00870020" w:rsidP="00F66BBB">
      <w:pPr>
        <w:pStyle w:val="MIHeading2"/>
        <w:numPr>
          <w:ilvl w:val="0"/>
          <w:numId w:val="0"/>
        </w:numPr>
      </w:pPr>
      <w:r>
        <w:t>What did the Sorted Whānau study achieve?</w:t>
      </w:r>
    </w:p>
    <w:p w:rsidR="00642965" w:rsidRPr="00F708D1" w:rsidRDefault="00642965" w:rsidP="00642965">
      <w:r w:rsidRPr="00F708D1">
        <w:rPr>
          <w:b/>
          <w:lang w:eastAsia="en-NZ"/>
        </w:rPr>
        <w:t xml:space="preserve">Increased financial capability knowledge: </w:t>
      </w:r>
      <w:r w:rsidRPr="00F708D1">
        <w:rPr>
          <w:lang w:eastAsia="en-NZ"/>
        </w:rPr>
        <w:t xml:space="preserve">All </w:t>
      </w:r>
      <w:r w:rsidR="00374B1E" w:rsidRPr="00F708D1">
        <w:rPr>
          <w:lang w:eastAsia="en-NZ"/>
        </w:rPr>
        <w:t xml:space="preserve">participants </w:t>
      </w:r>
      <w:r w:rsidRPr="00F708D1">
        <w:rPr>
          <w:lang w:eastAsia="en-NZ"/>
        </w:rPr>
        <w:t>had learned more about savings</w:t>
      </w:r>
      <w:r w:rsidR="00374B1E" w:rsidRPr="00F708D1">
        <w:rPr>
          <w:lang w:eastAsia="en-NZ"/>
        </w:rPr>
        <w:t xml:space="preserve"> and how to set these up</w:t>
      </w:r>
      <w:r w:rsidRPr="00F708D1">
        <w:rPr>
          <w:lang w:eastAsia="en-NZ"/>
        </w:rPr>
        <w:t xml:space="preserve">, debt, budgeting, setting financial goals </w:t>
      </w:r>
      <w:r w:rsidRPr="00F708D1">
        <w:t xml:space="preserve">and plans to achieve them. Clients </w:t>
      </w:r>
      <w:r w:rsidR="00374B1E" w:rsidRPr="00F708D1">
        <w:t xml:space="preserve">also </w:t>
      </w:r>
      <w:r w:rsidRPr="00F708D1">
        <w:t xml:space="preserve">had a better understanding about the value of money, credit ratings, making informed decisions about spending, differentiating between needs and wants and managing their money. </w:t>
      </w:r>
      <w:r w:rsidR="00374B1E" w:rsidRPr="00F708D1">
        <w:t>Staff also learned about creating a safe environment for clients to talk about finances, understanding clients’ cultural values and beliefs about money.</w:t>
      </w:r>
    </w:p>
    <w:p w:rsidR="00F66BBB" w:rsidRPr="00F708D1" w:rsidRDefault="009D0512" w:rsidP="00F66BBB">
      <w:r w:rsidRPr="00F708D1">
        <w:rPr>
          <w:b/>
          <w:lang w:eastAsia="en-NZ"/>
        </w:rPr>
        <w:t>Improved financial planning</w:t>
      </w:r>
      <w:r w:rsidR="00035D4D" w:rsidRPr="00F708D1">
        <w:rPr>
          <w:b/>
          <w:lang w:eastAsia="en-NZ"/>
        </w:rPr>
        <w:t xml:space="preserve">: </w:t>
      </w:r>
      <w:r w:rsidR="00374B1E" w:rsidRPr="00F708D1">
        <w:rPr>
          <w:lang w:eastAsia="en-NZ"/>
        </w:rPr>
        <w:t xml:space="preserve">More participants thought that having a plan was important for </w:t>
      </w:r>
      <w:bookmarkEnd w:id="0"/>
      <w:bookmarkEnd w:id="1"/>
      <w:bookmarkEnd w:id="2"/>
      <w:bookmarkEnd w:id="3"/>
      <w:bookmarkEnd w:id="4"/>
      <w:bookmarkEnd w:id="5"/>
      <w:r w:rsidR="00374B1E" w:rsidRPr="00F708D1">
        <w:rPr>
          <w:lang w:eastAsia="en-NZ"/>
        </w:rPr>
        <w:t>h</w:t>
      </w:r>
      <w:r w:rsidR="00F66BBB" w:rsidRPr="00F708D1">
        <w:t xml:space="preserve">aving savings, being less worried about money, having more money to support their families and controlling their spending. Clients described how they improved their planning and budgeting. </w:t>
      </w:r>
    </w:p>
    <w:p w:rsidR="00F66BBB" w:rsidRPr="00F708D1" w:rsidRDefault="00F66BBB" w:rsidP="00F66BBB">
      <w:r w:rsidRPr="00F708D1">
        <w:rPr>
          <w:b/>
        </w:rPr>
        <w:t>Changes in financial attitudes:</w:t>
      </w:r>
      <w:r w:rsidRPr="00F708D1">
        <w:t xml:space="preserve"> All </w:t>
      </w:r>
      <w:r w:rsidR="00035D4D" w:rsidRPr="00F708D1">
        <w:t>participants</w:t>
      </w:r>
      <w:r w:rsidRPr="00F708D1">
        <w:t xml:space="preserve"> were more confident about how to deal with day-to-day money matters, felt more in control of their financial situation and ready to improve their current financial situation. Clients </w:t>
      </w:r>
      <w:r w:rsidR="00035D4D" w:rsidRPr="00F708D1">
        <w:t>had</w:t>
      </w:r>
      <w:r w:rsidRPr="00F708D1">
        <w:t xml:space="preserve"> increased confidence and motivation to manage their debt and improve their credit ratings, and a sense of responsibility and readiness to improve their financial sit</w:t>
      </w:r>
      <w:r w:rsidR="00035D4D" w:rsidRPr="00F708D1">
        <w:t xml:space="preserve">uation. </w:t>
      </w:r>
    </w:p>
    <w:p w:rsidR="00035D4D" w:rsidRPr="00F708D1" w:rsidRDefault="00F66BBB" w:rsidP="00035D4D">
      <w:pPr>
        <w:rPr>
          <w:lang w:eastAsia="en-NZ"/>
        </w:rPr>
      </w:pPr>
      <w:r w:rsidRPr="00F708D1">
        <w:rPr>
          <w:b/>
        </w:rPr>
        <w:t>Changes in financial behaviours:</w:t>
      </w:r>
      <w:r w:rsidRPr="00F708D1">
        <w:t xml:space="preserve"> </w:t>
      </w:r>
      <w:r w:rsidR="00035D4D" w:rsidRPr="00F708D1">
        <w:t>All participants</w:t>
      </w:r>
      <w:r w:rsidRPr="00F708D1">
        <w:t xml:space="preserve"> had </w:t>
      </w:r>
      <w:r w:rsidR="00035D4D" w:rsidRPr="00F708D1">
        <w:t>financial goals and a written plan to achieve these. Cl</w:t>
      </w:r>
      <w:r w:rsidRPr="00F708D1">
        <w:t xml:space="preserve">ients had started and were committed to savings, reduced their spending, had achieved their short-term financial goals and set more as well as plans to achieve these. Some </w:t>
      </w:r>
      <w:r w:rsidR="00035D4D" w:rsidRPr="00F708D1">
        <w:t xml:space="preserve">clients </w:t>
      </w:r>
      <w:r w:rsidRPr="00F708D1">
        <w:t>were better at managing their money and debt.</w:t>
      </w:r>
      <w:r w:rsidR="00035D4D" w:rsidRPr="00F708D1">
        <w:t xml:space="preserve"> </w:t>
      </w:r>
      <w:r w:rsidR="00035D4D" w:rsidRPr="00F708D1">
        <w:rPr>
          <w:lang w:eastAsia="en-NZ"/>
        </w:rPr>
        <w:t xml:space="preserve">Staff made several changes to improve how they track their money, prioritise spending, and balance cultural and financial priorities. </w:t>
      </w:r>
    </w:p>
    <w:p w:rsidR="00F66BBB" w:rsidRPr="00F708D1" w:rsidRDefault="00F66BBB" w:rsidP="00F66BBB">
      <w:r w:rsidRPr="00F708D1">
        <w:rPr>
          <w:b/>
        </w:rPr>
        <w:t>Sharing learnings with others:</w:t>
      </w:r>
      <w:r w:rsidRPr="00F708D1">
        <w:t xml:space="preserve"> </w:t>
      </w:r>
      <w:r w:rsidR="00035D4D" w:rsidRPr="00F708D1">
        <w:t xml:space="preserve">All staff and most </w:t>
      </w:r>
      <w:r w:rsidRPr="00F708D1">
        <w:t>clients said they had shared what they learnt from the programme with family/</w:t>
      </w:r>
      <w:proofErr w:type="spellStart"/>
      <w:r w:rsidRPr="00F708D1">
        <w:t>whānau</w:t>
      </w:r>
      <w:proofErr w:type="spellEnd"/>
      <w:r w:rsidRPr="00F708D1">
        <w:t>/</w:t>
      </w:r>
      <w:proofErr w:type="spellStart"/>
      <w:r w:rsidRPr="00F708D1">
        <w:t>aiga</w:t>
      </w:r>
      <w:proofErr w:type="spellEnd"/>
      <w:r w:rsidRPr="00F708D1">
        <w:t xml:space="preserve"> and friends. Clients who were receiving support from </w:t>
      </w:r>
      <w:proofErr w:type="spellStart"/>
      <w:r w:rsidRPr="00F708D1">
        <w:t>Raukura</w:t>
      </w:r>
      <w:proofErr w:type="spellEnd"/>
      <w:r w:rsidRPr="00F708D1">
        <w:t xml:space="preserve"> as significant others affected by a family member’s problem gambling, described how sharing their learnings had helped to re-build relationships with these family members.</w:t>
      </w:r>
    </w:p>
    <w:p w:rsidR="00035D4D" w:rsidRPr="00F708D1" w:rsidRDefault="00035D4D" w:rsidP="00035D4D">
      <w:r w:rsidRPr="00F708D1">
        <w:rPr>
          <w:b/>
        </w:rPr>
        <w:t>Clients - managing gambling behaviour:</w:t>
      </w:r>
      <w:r w:rsidRPr="00F708D1">
        <w:t xml:space="preserve"> All clients receiving treatment for their problem gambling said the programme was useful in helping them to manage their gambling and described how the programme had positively influenced their thoughts and preoccupation with gambling, and helped them realise that their money could be better spent. </w:t>
      </w:r>
    </w:p>
    <w:p w:rsidR="00035D4D" w:rsidRPr="00F708D1" w:rsidRDefault="00035D4D" w:rsidP="00035D4D">
      <w:pPr>
        <w:rPr>
          <w:lang w:eastAsia="en-NZ"/>
        </w:rPr>
      </w:pPr>
      <w:r w:rsidRPr="00F708D1">
        <w:rPr>
          <w:b/>
          <w:lang w:eastAsia="en-NZ"/>
        </w:rPr>
        <w:t>Staff</w:t>
      </w:r>
      <w:r w:rsidRPr="00F708D1">
        <w:rPr>
          <w:lang w:eastAsia="en-NZ"/>
        </w:rPr>
        <w:t xml:space="preserve"> - </w:t>
      </w:r>
      <w:r w:rsidRPr="00F708D1">
        <w:rPr>
          <w:b/>
          <w:lang w:eastAsia="en-NZ"/>
        </w:rPr>
        <w:t>increased professional development:</w:t>
      </w:r>
      <w:r w:rsidRPr="00F708D1">
        <w:rPr>
          <w:lang w:eastAsia="en-NZ"/>
        </w:rPr>
        <w:t xml:space="preserve"> </w:t>
      </w:r>
      <w:r w:rsidR="00F347A1" w:rsidRPr="00F708D1">
        <w:rPr>
          <w:lang w:eastAsia="en-NZ"/>
        </w:rPr>
        <w:t>All</w:t>
      </w:r>
      <w:r w:rsidRPr="00F708D1">
        <w:rPr>
          <w:lang w:eastAsia="en-NZ"/>
        </w:rPr>
        <w:t xml:space="preserve"> staff felt </w:t>
      </w:r>
      <w:r w:rsidR="00F347A1" w:rsidRPr="00F708D1">
        <w:rPr>
          <w:lang w:eastAsia="en-NZ"/>
        </w:rPr>
        <w:t xml:space="preserve">either </w:t>
      </w:r>
      <w:r w:rsidRPr="00F708D1">
        <w:rPr>
          <w:lang w:eastAsia="en-NZ"/>
        </w:rPr>
        <w:t xml:space="preserve">confident </w:t>
      </w:r>
      <w:r w:rsidR="00F347A1" w:rsidRPr="00F708D1">
        <w:rPr>
          <w:lang w:eastAsia="en-NZ"/>
        </w:rPr>
        <w:t xml:space="preserve">or very confident </w:t>
      </w:r>
      <w:r w:rsidRPr="00F708D1">
        <w:rPr>
          <w:lang w:eastAsia="en-NZ"/>
        </w:rPr>
        <w:t>to facilitate some aspects of the programme with clients</w:t>
      </w:r>
      <w:r w:rsidR="00F347A1" w:rsidRPr="00F708D1">
        <w:rPr>
          <w:lang w:eastAsia="en-NZ"/>
        </w:rPr>
        <w:t>. S</w:t>
      </w:r>
      <w:r w:rsidRPr="00F708D1">
        <w:rPr>
          <w:lang w:eastAsia="en-NZ"/>
        </w:rPr>
        <w:t xml:space="preserve">taff said what they learnt from the programme enhanced their practice with clients and the holistic services they provide. </w:t>
      </w:r>
    </w:p>
    <w:sectPr w:rsidR="00035D4D" w:rsidRPr="00F708D1" w:rsidSect="00696D61">
      <w:headerReference w:type="default" r:id="rId8"/>
      <w:footerReference w:type="default" r:id="rId9"/>
      <w:pgSz w:w="11906" w:h="16838"/>
      <w:pgMar w:top="1701" w:right="1440" w:bottom="1440" w:left="1440" w:header="28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73" w:rsidRDefault="002D5073" w:rsidP="00B435F4">
      <w:r>
        <w:separator/>
      </w:r>
    </w:p>
  </w:endnote>
  <w:endnote w:type="continuationSeparator" w:id="0">
    <w:p w:rsidR="002D5073" w:rsidRDefault="002D5073" w:rsidP="00B4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_5">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5F4" w:rsidRDefault="005C584A" w:rsidP="005C584A">
    <w:pPr>
      <w:pStyle w:val="Footer"/>
      <w:jc w:val="center"/>
    </w:pPr>
    <w:r>
      <w:rPr>
        <w:noProof/>
        <w:lang w:eastAsia="en-NZ"/>
      </w:rPr>
      <mc:AlternateContent>
        <mc:Choice Requires="wps">
          <w:drawing>
            <wp:anchor distT="0" distB="0" distL="114300" distR="114300" simplePos="0" relativeHeight="251658752" behindDoc="0" locked="0" layoutInCell="1" allowOverlap="1" wp14:anchorId="6281BCA6" wp14:editId="262F1E59">
              <wp:simplePos x="0" y="0"/>
              <wp:positionH relativeFrom="column">
                <wp:posOffset>-571500</wp:posOffset>
              </wp:positionH>
              <wp:positionV relativeFrom="paragraph">
                <wp:posOffset>-86828</wp:posOffset>
              </wp:positionV>
              <wp:extent cx="676275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C01" w:rsidRPr="00C03768" w:rsidRDefault="00C96C01" w:rsidP="00C96C01">
                          <w:pPr>
                            <w:rPr>
                              <w:rFonts w:asciiTheme="minorHAnsi" w:hAnsiTheme="minorHAnsi"/>
                              <w:color w:val="FFFFFF"/>
                              <w:sz w:val="20"/>
                              <w:szCs w:val="20"/>
                            </w:rPr>
                          </w:pPr>
                          <w:proofErr w:type="spellStart"/>
                          <w:r w:rsidRPr="00C03768">
                            <w:rPr>
                              <w:rFonts w:asciiTheme="minorHAnsi" w:hAnsiTheme="minorHAnsi"/>
                              <w:color w:val="FFFFFF"/>
                              <w:sz w:val="20"/>
                              <w:szCs w:val="20"/>
                            </w:rPr>
                            <w:t>Malatest</w:t>
                          </w:r>
                          <w:proofErr w:type="spellEnd"/>
                          <w:r w:rsidRPr="00C03768">
                            <w:rPr>
                              <w:rFonts w:asciiTheme="minorHAnsi" w:hAnsiTheme="minorHAnsi"/>
                              <w:color w:val="FFFFFF"/>
                              <w:sz w:val="20"/>
                              <w:szCs w:val="20"/>
                            </w:rPr>
                            <w:t xml:space="preserve"> International</w:t>
                          </w:r>
                          <w:r w:rsidR="00C03768" w:rsidRPr="00C03768">
                            <w:t xml:space="preserve"> </w:t>
                          </w:r>
                          <w:sdt>
                            <w:sdtPr>
                              <w:rPr>
                                <w:rFonts w:asciiTheme="minorHAnsi" w:hAnsiTheme="minorHAnsi"/>
                                <w:color w:val="FFFFFF" w:themeColor="background1"/>
                                <w:sz w:val="20"/>
                                <w:szCs w:val="20"/>
                              </w:rPr>
                              <w:id w:val="-170953362"/>
                              <w:docPartObj>
                                <w:docPartGallery w:val="Page Numbers (Bottom of Page)"/>
                                <w:docPartUnique/>
                              </w:docPartObj>
                            </w:sdtPr>
                            <w:sdtEndPr>
                              <w:rPr>
                                <w:color w:val="FFFFFF"/>
                              </w:rPr>
                            </w:sdtEndPr>
                            <w:sdtContent>
                              <w:r w:rsidR="00F708D1" w:rsidRPr="00F708D1">
                                <w:rPr>
                                  <w:rFonts w:asciiTheme="minorHAnsi" w:hAnsiTheme="minorHAnsi"/>
                                  <w:color w:val="FFFFFF" w:themeColor="background1"/>
                                  <w:sz w:val="20"/>
                                  <w:szCs w:val="20"/>
                                </w:rPr>
                                <w:t>– www.malatest-intl.com</w:t>
                              </w:r>
                              <w:r w:rsidR="00C03768" w:rsidRPr="00F708D1">
                                <w:rPr>
                                  <w:rFonts w:asciiTheme="minorHAnsi" w:hAnsiTheme="minorHAnsi"/>
                                  <w:color w:val="FFFFFF" w:themeColor="background1"/>
                                  <w:sz w:val="20"/>
                                  <w:szCs w:val="20"/>
                                </w:rPr>
                                <w:tab/>
                              </w:r>
                              <w:r w:rsidR="00C03768" w:rsidRPr="00F708D1">
                                <w:rPr>
                                  <w:rFonts w:asciiTheme="minorHAnsi" w:hAnsiTheme="minorHAnsi"/>
                                  <w:color w:val="FFFFFF" w:themeColor="background1"/>
                                  <w:sz w:val="20"/>
                                  <w:szCs w:val="20"/>
                                </w:rPr>
                                <w:tab/>
                              </w:r>
                              <w:r w:rsidR="00C03768" w:rsidRPr="00F708D1">
                                <w:rPr>
                                  <w:rFonts w:asciiTheme="minorHAnsi" w:hAnsiTheme="minorHAnsi"/>
                                  <w:color w:val="FFFFFF" w:themeColor="background1"/>
                                  <w:sz w:val="20"/>
                                  <w:szCs w:val="20"/>
                                </w:rPr>
                                <w:tab/>
                              </w:r>
                              <w:r w:rsidR="00C03768" w:rsidRPr="00F708D1">
                                <w:rPr>
                                  <w:rFonts w:asciiTheme="minorHAnsi" w:hAnsiTheme="minorHAnsi"/>
                                  <w:color w:val="FFFFFF" w:themeColor="background1"/>
                                  <w:sz w:val="20"/>
                                  <w:szCs w:val="20"/>
                                </w:rPr>
                                <w:tab/>
                              </w:r>
                              <w:r w:rsidR="00C03768" w:rsidRPr="00F708D1">
                                <w:rPr>
                                  <w:rFonts w:asciiTheme="minorHAnsi" w:hAnsiTheme="minorHAnsi"/>
                                  <w:color w:val="FFFFFF" w:themeColor="background1"/>
                                  <w:sz w:val="20"/>
                                  <w:szCs w:val="20"/>
                                </w:rPr>
                                <w:tab/>
                              </w:r>
                              <w:r w:rsidR="00C03768" w:rsidRPr="00F708D1">
                                <w:rPr>
                                  <w:rFonts w:asciiTheme="minorHAnsi" w:hAnsiTheme="minorHAnsi"/>
                                  <w:color w:val="FFFFFF" w:themeColor="background1"/>
                                  <w:sz w:val="20"/>
                                  <w:szCs w:val="20"/>
                                </w:rPr>
                                <w:tab/>
                              </w:r>
                              <w:r w:rsidR="00C03768">
                                <w:rPr>
                                  <w:rFonts w:asciiTheme="minorHAnsi" w:hAnsiTheme="minorHAnsi"/>
                                  <w:color w:val="FFFFFF"/>
                                  <w:sz w:val="20"/>
                                  <w:szCs w:val="20"/>
                                </w:rPr>
                                <w:tab/>
                              </w:r>
                              <w:r w:rsidR="00C03768">
                                <w:rPr>
                                  <w:rFonts w:asciiTheme="minorHAnsi" w:hAnsiTheme="minorHAnsi"/>
                                  <w:color w:val="FFFFFF"/>
                                  <w:sz w:val="20"/>
                                  <w:szCs w:val="20"/>
                                </w:rPr>
                                <w:tab/>
                              </w:r>
                              <w:r w:rsidR="00C03768">
                                <w:rPr>
                                  <w:rFonts w:asciiTheme="minorHAnsi" w:hAnsiTheme="minorHAnsi"/>
                                  <w:color w:val="FFFFFF"/>
                                  <w:sz w:val="20"/>
                                  <w:szCs w:val="20"/>
                                </w:rPr>
                                <w:tab/>
                              </w:r>
                              <w:r w:rsidR="00C03768">
                                <w:rPr>
                                  <w:rFonts w:asciiTheme="minorHAnsi" w:hAnsiTheme="minorHAnsi"/>
                                  <w:color w:val="FFFFFF"/>
                                  <w:sz w:val="20"/>
                                  <w:szCs w:val="20"/>
                                </w:rPr>
                                <w:tab/>
                              </w:r>
                              <w:r w:rsidR="005C584A">
                                <w:rPr>
                                  <w:rFonts w:asciiTheme="minorHAnsi" w:hAnsiTheme="minorHAnsi"/>
                                  <w:color w:val="FFFFFF"/>
                                  <w:sz w:val="20"/>
                                  <w:szCs w:val="20"/>
                                </w:rPr>
                                <w:tab/>
                              </w:r>
                              <w:r w:rsidR="00C03768">
                                <w:rPr>
                                  <w:rFonts w:asciiTheme="minorHAnsi" w:hAnsiTheme="minorHAnsi"/>
                                  <w:color w:val="FFFFFF"/>
                                  <w:sz w:val="20"/>
                                  <w:szCs w:val="20"/>
                                </w:rPr>
                                <w:tab/>
                              </w:r>
                              <w:r w:rsidR="00C03768" w:rsidRPr="00C03768">
                                <w:rPr>
                                  <w:rFonts w:asciiTheme="minorHAnsi" w:hAnsiTheme="minorHAnsi"/>
                                  <w:color w:val="FFFFFF"/>
                                  <w:sz w:val="20"/>
                                  <w:szCs w:val="20"/>
                                </w:rPr>
                                <w:fldChar w:fldCharType="begin"/>
                              </w:r>
                              <w:r w:rsidR="00C03768" w:rsidRPr="00C03768">
                                <w:rPr>
                                  <w:rFonts w:asciiTheme="minorHAnsi" w:hAnsiTheme="minorHAnsi"/>
                                  <w:color w:val="FFFFFF"/>
                                  <w:sz w:val="20"/>
                                  <w:szCs w:val="20"/>
                                </w:rPr>
                                <w:instrText xml:space="preserve"> PAGE   \* MERGEFORMAT </w:instrText>
                              </w:r>
                              <w:r w:rsidR="00C03768" w:rsidRPr="00C03768">
                                <w:rPr>
                                  <w:rFonts w:asciiTheme="minorHAnsi" w:hAnsiTheme="minorHAnsi"/>
                                  <w:color w:val="FFFFFF"/>
                                  <w:sz w:val="20"/>
                                  <w:szCs w:val="20"/>
                                </w:rPr>
                                <w:fldChar w:fldCharType="separate"/>
                              </w:r>
                              <w:r w:rsidR="009A4B47">
                                <w:rPr>
                                  <w:rFonts w:asciiTheme="minorHAnsi" w:hAnsiTheme="minorHAnsi"/>
                                  <w:noProof/>
                                  <w:color w:val="FFFFFF"/>
                                  <w:sz w:val="20"/>
                                  <w:szCs w:val="20"/>
                                </w:rPr>
                                <w:t>1</w:t>
                              </w:r>
                              <w:r w:rsidR="00C03768" w:rsidRPr="00C03768">
                                <w:rPr>
                                  <w:rFonts w:asciiTheme="minorHAnsi" w:hAnsiTheme="minorHAnsi"/>
                                  <w:color w:val="FFFFFF"/>
                                  <w:sz w:val="20"/>
                                  <w:szCs w:val="20"/>
                                </w:rPr>
                                <w:fldChar w:fldCharType="end"/>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1BCA6" id="_x0000_t202" coordsize="21600,21600" o:spt="202" path="m,l,21600r21600,l21600,xe">
              <v:stroke joinstyle="miter"/>
              <v:path gradientshapeok="t" o:connecttype="rect"/>
            </v:shapetype>
            <v:shape id="Text Box 2" o:spid="_x0000_s1026" type="#_x0000_t202" style="position:absolute;left:0;text-align:left;margin-left:-45pt;margin-top:-6.85pt;width:532.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Bvtg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" filled="f" stroked="f">
              <v:textbox>
                <w:txbxContent>
                  <w:p w:rsidR="00C96C01" w:rsidRPr="00C03768" w:rsidRDefault="00C96C01" w:rsidP="00C96C01">
                    <w:pPr>
                      <w:rPr>
                        <w:rFonts w:asciiTheme="minorHAnsi" w:hAnsiTheme="minorHAnsi"/>
                        <w:color w:val="FFFFFF"/>
                        <w:sz w:val="20"/>
                        <w:szCs w:val="20"/>
                      </w:rPr>
                    </w:pPr>
                    <w:proofErr w:type="spellStart"/>
                    <w:r w:rsidRPr="00C03768">
                      <w:rPr>
                        <w:rFonts w:asciiTheme="minorHAnsi" w:hAnsiTheme="minorHAnsi"/>
                        <w:color w:val="FFFFFF"/>
                        <w:sz w:val="20"/>
                        <w:szCs w:val="20"/>
                      </w:rPr>
                      <w:t>Malatest</w:t>
                    </w:r>
                    <w:proofErr w:type="spellEnd"/>
                    <w:r w:rsidRPr="00C03768">
                      <w:rPr>
                        <w:rFonts w:asciiTheme="minorHAnsi" w:hAnsiTheme="minorHAnsi"/>
                        <w:color w:val="FFFFFF"/>
                        <w:sz w:val="20"/>
                        <w:szCs w:val="20"/>
                      </w:rPr>
                      <w:t xml:space="preserve"> International</w:t>
                    </w:r>
                    <w:r w:rsidR="00C03768" w:rsidRPr="00C03768">
                      <w:t xml:space="preserve"> </w:t>
                    </w:r>
                    <w:sdt>
                      <w:sdtPr>
                        <w:rPr>
                          <w:rFonts w:asciiTheme="minorHAnsi" w:hAnsiTheme="minorHAnsi"/>
                          <w:color w:val="FFFFFF" w:themeColor="background1"/>
                          <w:sz w:val="20"/>
                          <w:szCs w:val="20"/>
                        </w:rPr>
                        <w:id w:val="-170953362"/>
                        <w:docPartObj>
                          <w:docPartGallery w:val="Page Numbers (Bottom of Page)"/>
                          <w:docPartUnique/>
                        </w:docPartObj>
                      </w:sdtPr>
                      <w:sdtEndPr>
                        <w:rPr>
                          <w:color w:val="FFFFFF"/>
                        </w:rPr>
                      </w:sdtEndPr>
                      <w:sdtContent>
                        <w:r w:rsidR="00F708D1" w:rsidRPr="00F708D1">
                          <w:rPr>
                            <w:rFonts w:asciiTheme="minorHAnsi" w:hAnsiTheme="minorHAnsi"/>
                            <w:color w:val="FFFFFF" w:themeColor="background1"/>
                            <w:sz w:val="20"/>
                            <w:szCs w:val="20"/>
                          </w:rPr>
                          <w:t>– www.malatest-intl.com</w:t>
                        </w:r>
                        <w:r w:rsidR="00C03768" w:rsidRPr="00F708D1">
                          <w:rPr>
                            <w:rFonts w:asciiTheme="minorHAnsi" w:hAnsiTheme="minorHAnsi"/>
                            <w:color w:val="FFFFFF" w:themeColor="background1"/>
                            <w:sz w:val="20"/>
                            <w:szCs w:val="20"/>
                          </w:rPr>
                          <w:tab/>
                        </w:r>
                        <w:r w:rsidR="00C03768" w:rsidRPr="00F708D1">
                          <w:rPr>
                            <w:rFonts w:asciiTheme="minorHAnsi" w:hAnsiTheme="minorHAnsi"/>
                            <w:color w:val="FFFFFF" w:themeColor="background1"/>
                            <w:sz w:val="20"/>
                            <w:szCs w:val="20"/>
                          </w:rPr>
                          <w:tab/>
                        </w:r>
                        <w:r w:rsidR="00C03768" w:rsidRPr="00F708D1">
                          <w:rPr>
                            <w:rFonts w:asciiTheme="minorHAnsi" w:hAnsiTheme="minorHAnsi"/>
                            <w:color w:val="FFFFFF" w:themeColor="background1"/>
                            <w:sz w:val="20"/>
                            <w:szCs w:val="20"/>
                          </w:rPr>
                          <w:tab/>
                        </w:r>
                        <w:r w:rsidR="00C03768" w:rsidRPr="00F708D1">
                          <w:rPr>
                            <w:rFonts w:asciiTheme="minorHAnsi" w:hAnsiTheme="minorHAnsi"/>
                            <w:color w:val="FFFFFF" w:themeColor="background1"/>
                            <w:sz w:val="20"/>
                            <w:szCs w:val="20"/>
                          </w:rPr>
                          <w:tab/>
                        </w:r>
                        <w:r w:rsidR="00C03768" w:rsidRPr="00F708D1">
                          <w:rPr>
                            <w:rFonts w:asciiTheme="minorHAnsi" w:hAnsiTheme="minorHAnsi"/>
                            <w:color w:val="FFFFFF" w:themeColor="background1"/>
                            <w:sz w:val="20"/>
                            <w:szCs w:val="20"/>
                          </w:rPr>
                          <w:tab/>
                        </w:r>
                        <w:r w:rsidR="00C03768" w:rsidRPr="00F708D1">
                          <w:rPr>
                            <w:rFonts w:asciiTheme="minorHAnsi" w:hAnsiTheme="minorHAnsi"/>
                            <w:color w:val="FFFFFF" w:themeColor="background1"/>
                            <w:sz w:val="20"/>
                            <w:szCs w:val="20"/>
                          </w:rPr>
                          <w:tab/>
                        </w:r>
                        <w:r w:rsidR="00C03768">
                          <w:rPr>
                            <w:rFonts w:asciiTheme="minorHAnsi" w:hAnsiTheme="minorHAnsi"/>
                            <w:color w:val="FFFFFF"/>
                            <w:sz w:val="20"/>
                            <w:szCs w:val="20"/>
                          </w:rPr>
                          <w:tab/>
                        </w:r>
                        <w:r w:rsidR="00C03768">
                          <w:rPr>
                            <w:rFonts w:asciiTheme="minorHAnsi" w:hAnsiTheme="minorHAnsi"/>
                            <w:color w:val="FFFFFF"/>
                            <w:sz w:val="20"/>
                            <w:szCs w:val="20"/>
                          </w:rPr>
                          <w:tab/>
                        </w:r>
                        <w:r w:rsidR="00C03768">
                          <w:rPr>
                            <w:rFonts w:asciiTheme="minorHAnsi" w:hAnsiTheme="minorHAnsi"/>
                            <w:color w:val="FFFFFF"/>
                            <w:sz w:val="20"/>
                            <w:szCs w:val="20"/>
                          </w:rPr>
                          <w:tab/>
                        </w:r>
                        <w:r w:rsidR="00C03768">
                          <w:rPr>
                            <w:rFonts w:asciiTheme="minorHAnsi" w:hAnsiTheme="minorHAnsi"/>
                            <w:color w:val="FFFFFF"/>
                            <w:sz w:val="20"/>
                            <w:szCs w:val="20"/>
                          </w:rPr>
                          <w:tab/>
                        </w:r>
                        <w:r w:rsidR="005C584A">
                          <w:rPr>
                            <w:rFonts w:asciiTheme="minorHAnsi" w:hAnsiTheme="minorHAnsi"/>
                            <w:color w:val="FFFFFF"/>
                            <w:sz w:val="20"/>
                            <w:szCs w:val="20"/>
                          </w:rPr>
                          <w:tab/>
                        </w:r>
                        <w:r w:rsidR="00C03768">
                          <w:rPr>
                            <w:rFonts w:asciiTheme="minorHAnsi" w:hAnsiTheme="minorHAnsi"/>
                            <w:color w:val="FFFFFF"/>
                            <w:sz w:val="20"/>
                            <w:szCs w:val="20"/>
                          </w:rPr>
                          <w:tab/>
                        </w:r>
                        <w:r w:rsidR="00C03768" w:rsidRPr="00C03768">
                          <w:rPr>
                            <w:rFonts w:asciiTheme="minorHAnsi" w:hAnsiTheme="minorHAnsi"/>
                            <w:color w:val="FFFFFF"/>
                            <w:sz w:val="20"/>
                            <w:szCs w:val="20"/>
                          </w:rPr>
                          <w:fldChar w:fldCharType="begin"/>
                        </w:r>
                        <w:r w:rsidR="00C03768" w:rsidRPr="00C03768">
                          <w:rPr>
                            <w:rFonts w:asciiTheme="minorHAnsi" w:hAnsiTheme="minorHAnsi"/>
                            <w:color w:val="FFFFFF"/>
                            <w:sz w:val="20"/>
                            <w:szCs w:val="20"/>
                          </w:rPr>
                          <w:instrText xml:space="preserve"> PAGE   \* MERGEFORMAT </w:instrText>
                        </w:r>
                        <w:r w:rsidR="00C03768" w:rsidRPr="00C03768">
                          <w:rPr>
                            <w:rFonts w:asciiTheme="minorHAnsi" w:hAnsiTheme="minorHAnsi"/>
                            <w:color w:val="FFFFFF"/>
                            <w:sz w:val="20"/>
                            <w:szCs w:val="20"/>
                          </w:rPr>
                          <w:fldChar w:fldCharType="separate"/>
                        </w:r>
                        <w:r w:rsidR="009A4B47">
                          <w:rPr>
                            <w:rFonts w:asciiTheme="minorHAnsi" w:hAnsiTheme="minorHAnsi"/>
                            <w:noProof/>
                            <w:color w:val="FFFFFF"/>
                            <w:sz w:val="20"/>
                            <w:szCs w:val="20"/>
                          </w:rPr>
                          <w:t>1</w:t>
                        </w:r>
                        <w:r w:rsidR="00C03768" w:rsidRPr="00C03768">
                          <w:rPr>
                            <w:rFonts w:asciiTheme="minorHAnsi" w:hAnsiTheme="minorHAnsi"/>
                            <w:color w:val="FFFFFF"/>
                            <w:sz w:val="20"/>
                            <w:szCs w:val="20"/>
                          </w:rPr>
                          <w:fldChar w:fldCharType="end"/>
                        </w:r>
                      </w:sdtContent>
                    </w:sdt>
                  </w:p>
                </w:txbxContent>
              </v:textbox>
            </v:shape>
          </w:pict>
        </mc:Fallback>
      </mc:AlternateContent>
    </w:r>
    <w:r>
      <w:rPr>
        <w:noProof/>
        <w:lang w:eastAsia="en-NZ"/>
      </w:rPr>
      <w:drawing>
        <wp:anchor distT="0" distB="0" distL="114300" distR="114300" simplePos="0" relativeHeight="251656704" behindDoc="0" locked="0" layoutInCell="1" allowOverlap="1" wp14:anchorId="0315C767" wp14:editId="758F7070">
          <wp:simplePos x="0" y="0"/>
          <wp:positionH relativeFrom="column">
            <wp:posOffset>-590550</wp:posOffset>
          </wp:positionH>
          <wp:positionV relativeFrom="paragraph">
            <wp:posOffset>-17145</wp:posOffset>
          </wp:positionV>
          <wp:extent cx="6838950" cy="180975"/>
          <wp:effectExtent l="0" t="0" r="0" b="9525"/>
          <wp:wrapNone/>
          <wp:docPr id="12" name="Picture 12" descr="Malatest_Report_Footer_Red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atest_Report_Footer_Red ba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180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73" w:rsidRDefault="002D5073" w:rsidP="00B435F4">
      <w:r>
        <w:separator/>
      </w:r>
    </w:p>
  </w:footnote>
  <w:footnote w:type="continuationSeparator" w:id="0">
    <w:p w:rsidR="002D5073" w:rsidRDefault="002D5073" w:rsidP="00B435F4">
      <w:r>
        <w:continuationSeparator/>
      </w:r>
    </w:p>
  </w:footnote>
  <w:footnote w:id="1">
    <w:p w:rsidR="00870020" w:rsidRDefault="00870020" w:rsidP="00870020">
      <w:pPr>
        <w:pStyle w:val="FootnoteText"/>
      </w:pPr>
      <w:r>
        <w:rPr>
          <w:rStyle w:val="FootnoteReference"/>
        </w:rPr>
        <w:footnoteRef/>
      </w:r>
      <w:r>
        <w:t xml:space="preserve"> </w:t>
      </w:r>
      <w:r w:rsidRPr="00F708D1">
        <w:rPr>
          <w:rFonts w:asciiTheme="minorHAnsi" w:hAnsiTheme="minorHAnsi" w:cs="Arial"/>
        </w:rPr>
        <w:t xml:space="preserve">Commission for Financial Capability 2014: </w:t>
      </w:r>
      <w:hyperlink r:id="rId1" w:history="1">
        <w:r w:rsidRPr="00F708D1">
          <w:rPr>
            <w:rStyle w:val="Hyperlink"/>
            <w:rFonts w:asciiTheme="minorHAnsi" w:hAnsiTheme="minorHAnsi" w:cs="Arial"/>
          </w:rPr>
          <w:t>http://www.cffc.org.nz/financial-capability/vision-and-values-3/</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5F4" w:rsidRDefault="00696D61" w:rsidP="00EF78ED">
    <w:pPr>
      <w:pStyle w:val="Header"/>
      <w:jc w:val="right"/>
    </w:pPr>
    <w:r>
      <w:rPr>
        <w:noProof/>
        <w:lang w:eastAsia="en-NZ"/>
      </w:rPr>
      <w:drawing>
        <wp:anchor distT="0" distB="0" distL="114300" distR="114300" simplePos="0" relativeHeight="251657728" behindDoc="0" locked="0" layoutInCell="1" allowOverlap="1">
          <wp:simplePos x="0" y="0"/>
          <wp:positionH relativeFrom="column">
            <wp:posOffset>3829050</wp:posOffset>
          </wp:positionH>
          <wp:positionV relativeFrom="paragraph">
            <wp:posOffset>85725</wp:posOffset>
          </wp:positionV>
          <wp:extent cx="2454910" cy="821055"/>
          <wp:effectExtent l="0" t="0" r="2540" b="0"/>
          <wp:wrapNone/>
          <wp:docPr id="13" name="Picture 13" descr="C:\Users\Malatest Tim\AppData\Local\Microsoft\Windows\INetCache\Content.Word\Malatest_Primary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atest Tim\AppData\Local\Microsoft\Windows\INetCache\Content.Word\Malatest_Primary Logo_RGB.JPG"/>
                  <pic:cNvPicPr>
                    <a:picLocks noChangeAspect="1" noChangeArrowheads="1"/>
                  </pic:cNvPicPr>
                </pic:nvPicPr>
                <pic:blipFill>
                  <a:blip r:embed="rId1">
                    <a:extLst>
                      <a:ext uri="{28A0092B-C50C-407E-A947-70E740481C1C}">
                        <a14:useLocalDpi xmlns:a14="http://schemas.microsoft.com/office/drawing/2010/main" val="0"/>
                      </a:ext>
                    </a:extLst>
                  </a:blip>
                  <a:srcRect l="7043" t="20921" r="7043" b="18802"/>
                  <a:stretch>
                    <a:fillRect/>
                  </a:stretch>
                </pic:blipFill>
                <pic:spPr bwMode="auto">
                  <a:xfrm>
                    <a:off x="0" y="0"/>
                    <a:ext cx="2454910" cy="821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4ECC"/>
    <w:multiLevelType w:val="hybridMultilevel"/>
    <w:tmpl w:val="3E76C88C"/>
    <w:lvl w:ilvl="0" w:tplc="1409000F">
      <w:start w:val="1"/>
      <w:numFmt w:val="decimal"/>
      <w:lvlText w:val="%1."/>
      <w:lvlJc w:val="lef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
    <w:nsid w:val="32801D97"/>
    <w:multiLevelType w:val="hybridMultilevel"/>
    <w:tmpl w:val="C90419F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nsid w:val="362E484B"/>
    <w:multiLevelType w:val="hybridMultilevel"/>
    <w:tmpl w:val="2DF45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1CA32E3"/>
    <w:multiLevelType w:val="multilevel"/>
    <w:tmpl w:val="8802520E"/>
    <w:lvl w:ilvl="0">
      <w:start w:val="1"/>
      <w:numFmt w:val="decimal"/>
      <w:lvlText w:val="%1."/>
      <w:lvlJc w:val="left"/>
      <w:pPr>
        <w:tabs>
          <w:tab w:val="num" w:pos="2520"/>
        </w:tabs>
        <w:ind w:left="2520" w:hanging="360"/>
      </w:pPr>
      <w:rPr>
        <w:rFonts w:ascii="Calibri" w:hAnsi="Calibri" w:hint="default"/>
        <w:color w:val="123D52"/>
        <w:sz w:val="28"/>
        <w:szCs w:val="28"/>
      </w:rPr>
    </w:lvl>
    <w:lvl w:ilvl="1">
      <w:start w:val="1"/>
      <w:numFmt w:val="decimal"/>
      <w:lvlText w:val="%1.%2"/>
      <w:lvlJc w:val="left"/>
      <w:pPr>
        <w:tabs>
          <w:tab w:val="num" w:pos="3436"/>
        </w:tabs>
        <w:ind w:left="2869" w:firstLine="0"/>
      </w:pPr>
      <w:rPr>
        <w:rFonts w:ascii="Calibri" w:hAnsi="Calibri" w:hint="default"/>
        <w:color w:val="123D52"/>
        <w:sz w:val="22"/>
        <w:szCs w:val="22"/>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4">
    <w:nsid w:val="43694852"/>
    <w:multiLevelType w:val="hybridMultilevel"/>
    <w:tmpl w:val="7B645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709589E"/>
    <w:multiLevelType w:val="hybridMultilevel"/>
    <w:tmpl w:val="C0889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C0503C5"/>
    <w:multiLevelType w:val="multilevel"/>
    <w:tmpl w:val="714034AC"/>
    <w:lvl w:ilvl="0">
      <w:start w:val="1"/>
      <w:numFmt w:val="decimal"/>
      <w:pStyle w:val="Heading1"/>
      <w:lvlText w:val="%1."/>
      <w:lvlJc w:val="left"/>
      <w:pPr>
        <w:ind w:left="360" w:hanging="360"/>
      </w:pPr>
    </w:lvl>
    <w:lvl w:ilvl="1">
      <w:start w:val="1"/>
      <w:numFmt w:val="decimal"/>
      <w:pStyle w:val="MIHeading2"/>
      <w:lvlText w:val="%1.%2."/>
      <w:lvlJc w:val="left"/>
      <w:pPr>
        <w:ind w:left="792" w:hanging="432"/>
      </w:pPr>
    </w:lvl>
    <w:lvl w:ilvl="2">
      <w:start w:val="1"/>
      <w:numFmt w:val="decimal"/>
      <w:pStyle w:val="MI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9EE110D"/>
    <w:multiLevelType w:val="hybridMultilevel"/>
    <w:tmpl w:val="B11C005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6AB14477"/>
    <w:multiLevelType w:val="hybridMultilevel"/>
    <w:tmpl w:val="CEC4E258"/>
    <w:lvl w:ilvl="0" w:tplc="C0A871DC">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6FF8488E"/>
    <w:multiLevelType w:val="hybridMultilevel"/>
    <w:tmpl w:val="B7F60032"/>
    <w:lvl w:ilvl="0" w:tplc="E0AA9C54">
      <w:start w:val="1"/>
      <w:numFmt w:val="bullet"/>
      <w:pStyle w:val="MIBullets"/>
      <w:lvlText w:val=""/>
      <w:lvlJc w:val="left"/>
      <w:pPr>
        <w:ind w:left="720" w:hanging="360"/>
      </w:pPr>
      <w:rPr>
        <w:rFonts w:ascii="Symbol" w:hAnsi="Symbol" w:hint="default"/>
      </w:rPr>
    </w:lvl>
    <w:lvl w:ilvl="1" w:tplc="9F26F106">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2671FC3"/>
    <w:multiLevelType w:val="hybridMultilevel"/>
    <w:tmpl w:val="685864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77F8449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E764EFD"/>
    <w:multiLevelType w:val="hybridMultilevel"/>
    <w:tmpl w:val="ADE4B73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0"/>
  </w:num>
  <w:num w:numId="8">
    <w:abstractNumId w:val="10"/>
  </w:num>
  <w:num w:numId="9">
    <w:abstractNumId w:val="8"/>
  </w:num>
  <w:num w:numId="10">
    <w:abstractNumId w:val="11"/>
  </w:num>
  <w:num w:numId="11">
    <w:abstractNumId w:val="6"/>
  </w:num>
  <w:num w:numId="12">
    <w:abstractNumId w:val="6"/>
  </w:num>
  <w:num w:numId="13">
    <w:abstractNumId w:val="6"/>
  </w:num>
  <w:num w:numId="14">
    <w:abstractNumId w:val="6"/>
  </w:num>
  <w:num w:numId="15">
    <w:abstractNumId w:val="9"/>
  </w:num>
  <w:num w:numId="16">
    <w:abstractNumId w:val="4"/>
  </w:num>
  <w:num w:numId="17">
    <w:abstractNumId w:val="7"/>
  </w:num>
  <w:num w:numId="18">
    <w:abstractNumId w:val="12"/>
  </w:num>
  <w:num w:numId="19">
    <w:abstractNumId w:val="3"/>
  </w:num>
  <w:num w:numId="20">
    <w:abstractNumId w:val="5"/>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1E"/>
    <w:rsid w:val="000359D9"/>
    <w:rsid w:val="00035D4D"/>
    <w:rsid w:val="000F6FF1"/>
    <w:rsid w:val="00135EDA"/>
    <w:rsid w:val="001612B2"/>
    <w:rsid w:val="001B38EA"/>
    <w:rsid w:val="001F0DF5"/>
    <w:rsid w:val="0023255D"/>
    <w:rsid w:val="0024294D"/>
    <w:rsid w:val="002D5073"/>
    <w:rsid w:val="002F024F"/>
    <w:rsid w:val="00374B1E"/>
    <w:rsid w:val="003E07DD"/>
    <w:rsid w:val="003E3331"/>
    <w:rsid w:val="00404DC7"/>
    <w:rsid w:val="0042676A"/>
    <w:rsid w:val="00457E7F"/>
    <w:rsid w:val="004F6E49"/>
    <w:rsid w:val="00520636"/>
    <w:rsid w:val="00532F78"/>
    <w:rsid w:val="005701D6"/>
    <w:rsid w:val="005C584A"/>
    <w:rsid w:val="00642965"/>
    <w:rsid w:val="00677350"/>
    <w:rsid w:val="00696D61"/>
    <w:rsid w:val="00714385"/>
    <w:rsid w:val="00767FDE"/>
    <w:rsid w:val="00773126"/>
    <w:rsid w:val="007F75CF"/>
    <w:rsid w:val="00870020"/>
    <w:rsid w:val="00897330"/>
    <w:rsid w:val="008A5B57"/>
    <w:rsid w:val="008B70B5"/>
    <w:rsid w:val="008D23A7"/>
    <w:rsid w:val="008D2EB4"/>
    <w:rsid w:val="0090157E"/>
    <w:rsid w:val="00934791"/>
    <w:rsid w:val="0095275D"/>
    <w:rsid w:val="009745E6"/>
    <w:rsid w:val="009A4B47"/>
    <w:rsid w:val="009D0512"/>
    <w:rsid w:val="00A160CF"/>
    <w:rsid w:val="00AA62F7"/>
    <w:rsid w:val="00AB4E08"/>
    <w:rsid w:val="00B435F4"/>
    <w:rsid w:val="00C03768"/>
    <w:rsid w:val="00C513A1"/>
    <w:rsid w:val="00C804C9"/>
    <w:rsid w:val="00C93EE0"/>
    <w:rsid w:val="00C96C01"/>
    <w:rsid w:val="00D00B2B"/>
    <w:rsid w:val="00D15198"/>
    <w:rsid w:val="00D82CC1"/>
    <w:rsid w:val="00E05A54"/>
    <w:rsid w:val="00E11717"/>
    <w:rsid w:val="00E9041E"/>
    <w:rsid w:val="00EE74E4"/>
    <w:rsid w:val="00EF32B1"/>
    <w:rsid w:val="00EF78ED"/>
    <w:rsid w:val="00F347A1"/>
    <w:rsid w:val="00F66BBB"/>
    <w:rsid w:val="00F708D1"/>
    <w:rsid w:val="00FA1F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F8C863B-DEDF-4D3F-A3C8-94C8CD22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 normal"/>
    <w:qFormat/>
    <w:rsid w:val="00F66BBB"/>
    <w:pPr>
      <w:spacing w:before="60" w:after="120" w:line="276" w:lineRule="auto"/>
    </w:pPr>
    <w:rPr>
      <w:rFonts w:ascii="Calibri" w:hAnsi="Calibri"/>
      <w:sz w:val="22"/>
      <w:szCs w:val="22"/>
      <w:lang w:eastAsia="en-GB"/>
    </w:rPr>
  </w:style>
  <w:style w:type="paragraph" w:styleId="Heading1">
    <w:name w:val="heading 1"/>
    <w:aliases w:val="Malatest Heading 1,Part Title,Mil Para 1,Num-Para,Para,Part,SECTION 1:,Heading,Headline1,h1,new page/chapter,Heading1-bio,Heading1slides,Heading1,Section 1:,Section Heading SB,SECTION 1: underline,SECTION I:  Heading 1,1.,No numbers"/>
    <w:basedOn w:val="Normal"/>
    <w:next w:val="Normal"/>
    <w:link w:val="Heading1Char"/>
    <w:qFormat/>
    <w:rsid w:val="008B70B5"/>
    <w:pPr>
      <w:keepNext/>
      <w:numPr>
        <w:numId w:val="14"/>
      </w:numPr>
      <w:spacing w:before="240"/>
      <w:outlineLvl w:val="0"/>
    </w:pPr>
    <w:rPr>
      <w:rFonts w:cs="Arial"/>
      <w:b/>
      <w:bCs/>
      <w:noProof/>
      <w:color w:val="1F6C91"/>
      <w:kern w:val="32"/>
      <w:sz w:val="28"/>
      <w:szCs w:val="28"/>
      <w:lang w:eastAsia="en-NZ"/>
    </w:rPr>
  </w:style>
  <w:style w:type="paragraph" w:styleId="Heading2">
    <w:name w:val="heading 2"/>
    <w:basedOn w:val="Normal"/>
    <w:next w:val="Normal"/>
    <w:link w:val="Heading2Char"/>
    <w:uiPriority w:val="9"/>
    <w:semiHidden/>
    <w:unhideWhenUsed/>
    <w:rsid w:val="0089733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rsid w:val="0089733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F4"/>
    <w:pPr>
      <w:tabs>
        <w:tab w:val="center" w:pos="4513"/>
        <w:tab w:val="right" w:pos="9026"/>
      </w:tabs>
    </w:pPr>
  </w:style>
  <w:style w:type="character" w:customStyle="1" w:styleId="HeaderChar">
    <w:name w:val="Header Char"/>
    <w:link w:val="Header"/>
    <w:uiPriority w:val="99"/>
    <w:rsid w:val="00B435F4"/>
    <w:rPr>
      <w:sz w:val="22"/>
      <w:szCs w:val="22"/>
      <w:lang w:eastAsia="en-US"/>
    </w:rPr>
  </w:style>
  <w:style w:type="paragraph" w:styleId="Footer">
    <w:name w:val="footer"/>
    <w:basedOn w:val="Normal"/>
    <w:link w:val="FooterChar"/>
    <w:uiPriority w:val="99"/>
    <w:unhideWhenUsed/>
    <w:rsid w:val="00B435F4"/>
    <w:pPr>
      <w:tabs>
        <w:tab w:val="center" w:pos="4513"/>
        <w:tab w:val="right" w:pos="9026"/>
      </w:tabs>
    </w:pPr>
  </w:style>
  <w:style w:type="character" w:customStyle="1" w:styleId="FooterChar">
    <w:name w:val="Footer Char"/>
    <w:link w:val="Footer"/>
    <w:uiPriority w:val="99"/>
    <w:rsid w:val="00B435F4"/>
    <w:rPr>
      <w:sz w:val="22"/>
      <w:szCs w:val="22"/>
      <w:lang w:eastAsia="en-US"/>
    </w:rPr>
  </w:style>
  <w:style w:type="paragraph" w:styleId="BalloonText">
    <w:name w:val="Balloon Text"/>
    <w:basedOn w:val="Normal"/>
    <w:link w:val="BalloonTextChar"/>
    <w:uiPriority w:val="99"/>
    <w:semiHidden/>
    <w:unhideWhenUsed/>
    <w:rsid w:val="00B435F4"/>
    <w:rPr>
      <w:rFonts w:ascii="Tahoma" w:hAnsi="Tahoma" w:cs="Tahoma"/>
      <w:sz w:val="16"/>
      <w:szCs w:val="16"/>
    </w:rPr>
  </w:style>
  <w:style w:type="character" w:customStyle="1" w:styleId="BalloonTextChar">
    <w:name w:val="Balloon Text Char"/>
    <w:link w:val="BalloonText"/>
    <w:uiPriority w:val="99"/>
    <w:semiHidden/>
    <w:rsid w:val="00B435F4"/>
    <w:rPr>
      <w:rFonts w:ascii="Tahoma" w:hAnsi="Tahoma" w:cs="Tahoma"/>
      <w:sz w:val="16"/>
      <w:szCs w:val="16"/>
      <w:lang w:eastAsia="en-US"/>
    </w:rPr>
  </w:style>
  <w:style w:type="character" w:styleId="Hyperlink">
    <w:name w:val="Hyperlink"/>
    <w:uiPriority w:val="99"/>
    <w:unhideWhenUsed/>
    <w:rsid w:val="00B435F4"/>
    <w:rPr>
      <w:color w:val="0000FF"/>
      <w:u w:val="single"/>
    </w:rPr>
  </w:style>
  <w:style w:type="paragraph" w:customStyle="1" w:styleId="MIHeading2">
    <w:name w:val="MI Heading 2"/>
    <w:basedOn w:val="Heading1"/>
    <w:next w:val="Normal"/>
    <w:link w:val="MIHeading2Char"/>
    <w:qFormat/>
    <w:rsid w:val="008B70B5"/>
    <w:pPr>
      <w:numPr>
        <w:ilvl w:val="1"/>
      </w:numPr>
      <w:ind w:hanging="792"/>
    </w:pPr>
    <w:rPr>
      <w:sz w:val="24"/>
      <w:szCs w:val="24"/>
    </w:rPr>
  </w:style>
  <w:style w:type="character" w:customStyle="1" w:styleId="MIHeading2Char">
    <w:name w:val="MI Heading 2 Char"/>
    <w:link w:val="MIHeading2"/>
    <w:rsid w:val="008B70B5"/>
    <w:rPr>
      <w:rFonts w:ascii="Calibri" w:hAnsi="Calibri" w:cs="Arial"/>
      <w:b/>
      <w:bCs/>
      <w:noProof/>
      <w:color w:val="1F6C91"/>
      <w:kern w:val="32"/>
    </w:rPr>
  </w:style>
  <w:style w:type="character" w:customStyle="1" w:styleId="Heading2Char">
    <w:name w:val="Heading 2 Char"/>
    <w:basedOn w:val="DefaultParagraphFont"/>
    <w:link w:val="Heading2"/>
    <w:uiPriority w:val="9"/>
    <w:semiHidden/>
    <w:rsid w:val="00897330"/>
    <w:rPr>
      <w:rFonts w:asciiTheme="majorHAnsi" w:eastAsiaTheme="majorEastAsia" w:hAnsiTheme="majorHAnsi" w:cstheme="majorBidi"/>
      <w:b/>
      <w:bCs/>
      <w:i/>
      <w:iCs/>
      <w:sz w:val="28"/>
      <w:szCs w:val="28"/>
      <w:lang w:eastAsia="en-US"/>
    </w:rPr>
  </w:style>
  <w:style w:type="paragraph" w:customStyle="1" w:styleId="MIheading3">
    <w:name w:val="MI heading 3"/>
    <w:basedOn w:val="MIHeading2"/>
    <w:next w:val="Normal"/>
    <w:link w:val="MIheading3Char"/>
    <w:qFormat/>
    <w:rsid w:val="008B70B5"/>
    <w:pPr>
      <w:numPr>
        <w:ilvl w:val="2"/>
        <w:numId w:val="11"/>
      </w:numPr>
      <w:ind w:left="993" w:hanging="993"/>
    </w:pPr>
    <w:rPr>
      <w:b w:val="0"/>
      <w:sz w:val="22"/>
      <w:szCs w:val="22"/>
    </w:rPr>
  </w:style>
  <w:style w:type="character" w:customStyle="1" w:styleId="MIheading3Char">
    <w:name w:val="MI heading 3 Char"/>
    <w:link w:val="MIheading3"/>
    <w:rsid w:val="008B70B5"/>
    <w:rPr>
      <w:rFonts w:ascii="Calibri" w:hAnsi="Calibri" w:cs="Arial"/>
      <w:bCs/>
      <w:noProof/>
      <w:color w:val="1F6C91"/>
      <w:kern w:val="32"/>
      <w:sz w:val="22"/>
      <w:szCs w:val="22"/>
    </w:rPr>
  </w:style>
  <w:style w:type="character" w:customStyle="1" w:styleId="Heading3Char">
    <w:name w:val="Heading 3 Char"/>
    <w:basedOn w:val="DefaultParagraphFont"/>
    <w:link w:val="Heading3"/>
    <w:uiPriority w:val="9"/>
    <w:semiHidden/>
    <w:rsid w:val="00897330"/>
    <w:rPr>
      <w:rFonts w:asciiTheme="majorHAnsi" w:eastAsiaTheme="majorEastAsia" w:hAnsiTheme="majorHAnsi" w:cstheme="majorBidi"/>
      <w:b/>
      <w:bCs/>
      <w:sz w:val="26"/>
      <w:szCs w:val="26"/>
      <w:lang w:eastAsia="en-US"/>
    </w:rPr>
  </w:style>
  <w:style w:type="paragraph" w:customStyle="1" w:styleId="MIBullets">
    <w:name w:val="MI Bullets"/>
    <w:basedOn w:val="Normal"/>
    <w:link w:val="MIBulletsChar"/>
    <w:qFormat/>
    <w:rsid w:val="008B70B5"/>
    <w:pPr>
      <w:numPr>
        <w:numId w:val="6"/>
      </w:numPr>
      <w:spacing w:after="60"/>
    </w:pPr>
    <w:rPr>
      <w:color w:val="000000"/>
    </w:rPr>
  </w:style>
  <w:style w:type="character" w:customStyle="1" w:styleId="MIBulletsChar">
    <w:name w:val="MI Bullets Char"/>
    <w:link w:val="MIBullets"/>
    <w:rsid w:val="008B70B5"/>
    <w:rPr>
      <w:rFonts w:ascii="Calibri" w:hAnsi="Calibri"/>
      <w:color w:val="000000"/>
      <w:sz w:val="22"/>
      <w:szCs w:val="22"/>
      <w:lang w:eastAsia="en-GB"/>
    </w:rPr>
  </w:style>
  <w:style w:type="paragraph" w:customStyle="1" w:styleId="MInumbered">
    <w:name w:val="MI numbered"/>
    <w:basedOn w:val="MIBullets"/>
    <w:link w:val="MInumberedChar"/>
    <w:qFormat/>
    <w:rsid w:val="008B70B5"/>
    <w:pPr>
      <w:numPr>
        <w:numId w:val="0"/>
      </w:numPr>
      <w:ind w:left="1077" w:hanging="360"/>
    </w:pPr>
  </w:style>
  <w:style w:type="character" w:customStyle="1" w:styleId="MInumberedChar">
    <w:name w:val="MI numbered Char"/>
    <w:link w:val="MInumbered"/>
    <w:rsid w:val="008B70B5"/>
    <w:rPr>
      <w:rFonts w:ascii="Calibri" w:hAnsi="Calibri"/>
      <w:color w:val="000000"/>
      <w:sz w:val="22"/>
      <w:szCs w:val="22"/>
      <w:lang w:eastAsia="en-GB"/>
    </w:rPr>
  </w:style>
  <w:style w:type="paragraph" w:customStyle="1" w:styleId="AppendixHeadingOne">
    <w:name w:val="Appendix Heading One"/>
    <w:basedOn w:val="Normal"/>
    <w:link w:val="AppendixHeadingOneChar"/>
    <w:qFormat/>
    <w:rsid w:val="008B70B5"/>
    <w:pPr>
      <w:jc w:val="right"/>
    </w:pPr>
    <w:rPr>
      <w:b/>
      <w:color w:val="1F6C91"/>
      <w:sz w:val="32"/>
      <w:szCs w:val="32"/>
    </w:rPr>
  </w:style>
  <w:style w:type="character" w:customStyle="1" w:styleId="AppendixHeadingOneChar">
    <w:name w:val="Appendix Heading One Char"/>
    <w:link w:val="AppendixHeadingOne"/>
    <w:rsid w:val="008B70B5"/>
    <w:rPr>
      <w:rFonts w:ascii="Calibri" w:hAnsi="Calibri"/>
      <w:b/>
      <w:color w:val="1F6C91"/>
      <w:sz w:val="32"/>
      <w:szCs w:val="32"/>
      <w:lang w:eastAsia="en-GB"/>
    </w:rPr>
  </w:style>
  <w:style w:type="paragraph" w:customStyle="1" w:styleId="Quotes">
    <w:name w:val="Quotes"/>
    <w:basedOn w:val="Normal"/>
    <w:link w:val="QuotesChar"/>
    <w:qFormat/>
    <w:rsid w:val="005C584A"/>
    <w:pPr>
      <w:ind w:left="720"/>
    </w:pPr>
    <w:rPr>
      <w:i/>
      <w:color w:val="632423" w:themeColor="accent2" w:themeShade="80"/>
    </w:rPr>
  </w:style>
  <w:style w:type="character" w:customStyle="1" w:styleId="QuotesChar">
    <w:name w:val="Quotes Char"/>
    <w:link w:val="Quotes"/>
    <w:rsid w:val="005C584A"/>
    <w:rPr>
      <w:rFonts w:ascii="Calibri" w:hAnsi="Calibri"/>
      <w:i/>
      <w:color w:val="632423" w:themeColor="accent2" w:themeShade="80"/>
      <w:sz w:val="22"/>
      <w:szCs w:val="22"/>
      <w:lang w:eastAsia="en-GB"/>
    </w:rPr>
  </w:style>
  <w:style w:type="paragraph" w:customStyle="1" w:styleId="Secondlevelbullets">
    <w:name w:val="Second level bullets"/>
    <w:basedOn w:val="MIBullets"/>
    <w:link w:val="SecondlevelbulletsChar"/>
    <w:qFormat/>
    <w:rsid w:val="008B70B5"/>
    <w:pPr>
      <w:numPr>
        <w:numId w:val="0"/>
      </w:numPr>
      <w:ind w:left="1134" w:hanging="425"/>
    </w:pPr>
    <w:rPr>
      <w:rFonts w:ascii="Times New Roman" w:hAnsi="Times New Roman"/>
      <w:color w:val="auto"/>
      <w:sz w:val="24"/>
      <w:szCs w:val="24"/>
      <w:lang w:eastAsia="en-NZ"/>
    </w:rPr>
  </w:style>
  <w:style w:type="character" w:customStyle="1" w:styleId="SecondlevelbulletsChar">
    <w:name w:val="Second level bullets Char"/>
    <w:link w:val="Secondlevelbullets"/>
    <w:rsid w:val="008B70B5"/>
  </w:style>
  <w:style w:type="character" w:customStyle="1" w:styleId="Heading1Char">
    <w:name w:val="Heading 1 Char"/>
    <w:aliases w:val="Malatest Heading 1 Char,Part Title Char,Mil Para 1 Char,Num-Para Char,Para Char,Part Char,SECTION 1: Char,Heading Char,Headline1 Char,h1 Char,new page/chapter Char,Heading1-bio Char,Heading1slides Char,Heading1 Char,Section 1: Char"/>
    <w:link w:val="Heading1"/>
    <w:rsid w:val="008B70B5"/>
    <w:rPr>
      <w:rFonts w:ascii="Calibri" w:hAnsi="Calibri" w:cs="Arial"/>
      <w:b/>
      <w:bCs/>
      <w:noProof/>
      <w:color w:val="1F6C91"/>
      <w:kern w:val="32"/>
      <w:sz w:val="28"/>
      <w:szCs w:val="28"/>
    </w:rPr>
  </w:style>
  <w:style w:type="table" w:customStyle="1" w:styleId="Malateststyle">
    <w:name w:val="Malatest style"/>
    <w:basedOn w:val="TableContemporary"/>
    <w:rsid w:val="000359D9"/>
    <w:rPr>
      <w:rFonts w:ascii="Calibri" w:hAnsi="Calibri"/>
      <w:sz w:val="22"/>
      <w:szCs w:val="20"/>
    </w:rPr>
    <w:tblPr>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Mar>
        <w:top w:w="57" w:type="dxa"/>
        <w:bottom w:w="57" w:type="dxa"/>
      </w:tcMar>
    </w:tcPr>
    <w:tblStylePr w:type="firstRow">
      <w:pPr>
        <w:wordWrap/>
        <w:spacing w:beforeLines="0" w:before="0" w:beforeAutospacing="0" w:afterLines="0" w:after="0" w:afterAutospacing="0"/>
      </w:pPr>
      <w:rPr>
        <w:rFonts w:ascii="Calibri" w:hAnsi="Calibri" w:cs="Times New Roman"/>
        <w:b/>
        <w:bCs/>
        <w:i w:val="0"/>
        <w:iCs/>
        <w:color w:val="000000" w:themeColor="text1"/>
        <w:sz w:val="22"/>
      </w:rPr>
      <w:tblPr/>
      <w:tcPr>
        <w:tcBorders>
          <w:tl2br w:val="none" w:sz="0" w:space="0" w:color="auto"/>
          <w:tr2bl w:val="none" w:sz="0" w:space="0" w:color="auto"/>
        </w:tcBorders>
        <w:shd w:val="clear" w:color="auto" w:fill="D3E2F1"/>
      </w:tcPr>
    </w:tblStylePr>
    <w:tblStylePr w:type="lastRow">
      <w:rPr>
        <w:rFonts w:ascii="Calibri" w:hAnsi="Calibri" w:cs="Times New Roman"/>
        <w:color w:val="F2F2F2" w:themeColor="background1" w:themeShade="F2"/>
        <w:sz w:val="22"/>
      </w:rPr>
      <w:tblPr/>
      <w:tcPr>
        <w:shd w:val="clear" w:color="auto" w:fill="F2F2F2" w:themeFill="background1" w:themeFillShade="F2"/>
      </w:tcPr>
    </w:tblStylePr>
    <w:tblStylePr w:type="firstCol">
      <w:pPr>
        <w:wordWrap/>
        <w:spacing w:beforeLines="0" w:before="0" w:beforeAutospacing="0" w:afterLines="0" w:after="0" w:afterAutospacing="0"/>
        <w:jc w:val="left"/>
      </w:pPr>
      <w:rPr>
        <w:rFonts w:asciiTheme="minorHAnsi" w:hAnsiTheme="minorHAnsi" w:cs="Times New Roman"/>
        <w:b/>
        <w:bCs/>
        <w:color w:val="auto"/>
        <w:sz w:val="22"/>
      </w:rPr>
      <w:tblPr/>
      <w:tcPr>
        <w:shd w:val="clear" w:color="auto" w:fill="E8F0F8"/>
      </w:tcPr>
    </w:tblStylePr>
    <w:tblStylePr w:type="lastCol">
      <w:pPr>
        <w:wordWrap/>
        <w:spacing w:beforeLines="0" w:before="0" w:beforeAutospacing="0" w:afterLines="0" w:after="0" w:afterAutospacing="0"/>
      </w:pPr>
      <w:tblPr/>
      <w:tcPr>
        <w:shd w:val="clear" w:color="auto" w:fill="F2F2F2" w:themeFill="background1" w:themeFillShade="F2"/>
      </w:tcPr>
    </w:tblStylePr>
    <w:tblStylePr w:type="band1Vert">
      <w:rPr>
        <w:rFonts w:asciiTheme="minorHAnsi" w:hAnsiTheme="minorHAnsi"/>
        <w:sz w:val="20"/>
      </w:rPr>
    </w:tblStylePr>
    <w:tblStylePr w:type="band1Horz">
      <w:pPr>
        <w:wordWrap/>
        <w:spacing w:beforeLines="0" w:before="0" w:beforeAutospacing="0" w:afterLines="0" w:after="0" w:afterAutospacing="0"/>
      </w:pPr>
      <w:rPr>
        <w:rFonts w:asciiTheme="minorHAnsi" w:hAnsiTheme="minorHAnsi" w:cs="Times New Roman"/>
        <w:color w:val="auto"/>
        <w:sz w:val="22"/>
      </w:rPr>
      <w:tblPr/>
      <w:tcPr>
        <w:tcBorders>
          <w:tl2br w:val="none" w:sz="0" w:space="0" w:color="auto"/>
          <w:tr2bl w:val="none" w:sz="0" w:space="0" w:color="auto"/>
        </w:tcBorders>
        <w:shd w:val="clear" w:color="auto" w:fill="F2F2F2" w:themeFill="background1" w:themeFillShade="F2"/>
      </w:tcPr>
    </w:tblStylePr>
    <w:tblStylePr w:type="band2Horz">
      <w:rPr>
        <w:rFonts w:ascii="Calibri" w:hAnsi="Calibri" w:cs="Times New Roman"/>
        <w:color w:val="auto"/>
        <w:sz w:val="22"/>
      </w:rPr>
      <w:tblPr/>
      <w:tcPr>
        <w:tcBorders>
          <w:tl2br w:val="none" w:sz="0" w:space="0" w:color="auto"/>
          <w:tr2bl w:val="none" w:sz="0" w:space="0" w:color="auto"/>
        </w:tcBorders>
        <w:shd w:val="clear" w:color="auto" w:fill="F2F2F2" w:themeFill="background1" w:themeFillShade="F2"/>
      </w:tcPr>
    </w:tblStylePr>
    <w:tblStylePr w:type="neCell">
      <w:rPr>
        <w:b/>
      </w:rPr>
    </w:tblStylePr>
    <w:tblStylePr w:type="nwCell">
      <w:rPr>
        <w:rFonts w:cs="Times New Roman"/>
        <w:b/>
        <w:bCs/>
      </w:rPr>
    </w:tblStylePr>
    <w:tblStylePr w:type="swCell">
      <w:rPr>
        <w:rFonts w:ascii="Calibri" w:hAnsi="Calibri" w:cs="Times New Roman"/>
        <w:color w:val="000000" w:themeColor="text1"/>
        <w:sz w:val="22"/>
      </w:rPr>
      <w:tblPr/>
      <w:tcPr>
        <w:shd w:val="clear" w:color="auto" w:fill="E8F0F8"/>
      </w:tcPr>
    </w:tblStylePr>
  </w:style>
  <w:style w:type="table" w:styleId="TableContemporary">
    <w:name w:val="Table Contemporary"/>
    <w:basedOn w:val="TableNormal"/>
    <w:uiPriority w:val="99"/>
    <w:semiHidden/>
    <w:unhideWhenUsed/>
    <w:rsid w:val="00767FDE"/>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aption">
    <w:name w:val="caption"/>
    <w:basedOn w:val="Normal"/>
    <w:next w:val="Normal"/>
    <w:uiPriority w:val="35"/>
    <w:unhideWhenUsed/>
    <w:rsid w:val="00404DC7"/>
    <w:pPr>
      <w:spacing w:after="200"/>
      <w:ind w:left="720" w:hanging="720"/>
    </w:pPr>
    <w:rPr>
      <w:b/>
      <w:iCs/>
      <w:color w:val="000000" w:themeColor="text1"/>
      <w:sz w:val="20"/>
      <w:szCs w:val="18"/>
    </w:rPr>
  </w:style>
  <w:style w:type="paragraph" w:styleId="ListParagraph">
    <w:name w:val="List Paragraph"/>
    <w:basedOn w:val="Normal"/>
    <w:uiPriority w:val="34"/>
    <w:qFormat/>
    <w:rsid w:val="00696D61"/>
    <w:pPr>
      <w:ind w:left="720"/>
      <w:contextualSpacing/>
    </w:pPr>
  </w:style>
  <w:style w:type="paragraph" w:styleId="FootnoteText">
    <w:name w:val="footnote text"/>
    <w:basedOn w:val="Normal"/>
    <w:link w:val="FootnoteTextChar"/>
    <w:uiPriority w:val="99"/>
    <w:rsid w:val="00934791"/>
    <w:pPr>
      <w:spacing w:before="0" w:after="0" w:line="240" w:lineRule="auto"/>
    </w:pPr>
    <w:rPr>
      <w:rFonts w:ascii="Times New Roman" w:hAnsi="Times New Roman"/>
      <w:sz w:val="20"/>
      <w:szCs w:val="20"/>
      <w:lang w:eastAsia="en-AU"/>
    </w:rPr>
  </w:style>
  <w:style w:type="character" w:customStyle="1" w:styleId="FootnoteTextChar">
    <w:name w:val="Footnote Text Char"/>
    <w:basedOn w:val="DefaultParagraphFont"/>
    <w:link w:val="FootnoteText"/>
    <w:uiPriority w:val="99"/>
    <w:rsid w:val="00934791"/>
    <w:rPr>
      <w:sz w:val="20"/>
      <w:szCs w:val="20"/>
      <w:lang w:eastAsia="en-AU"/>
    </w:rPr>
  </w:style>
  <w:style w:type="character" w:styleId="FootnoteReference">
    <w:name w:val="footnote reference"/>
    <w:uiPriority w:val="99"/>
    <w:rsid w:val="00934791"/>
    <w:rPr>
      <w:vertAlign w:val="superscript"/>
    </w:rPr>
  </w:style>
  <w:style w:type="paragraph" w:customStyle="1" w:styleId="RepNormal">
    <w:name w:val="Rep_Normal"/>
    <w:basedOn w:val="NoSpacing"/>
    <w:qFormat/>
    <w:rsid w:val="00934791"/>
    <w:pPr>
      <w:jc w:val="both"/>
    </w:pPr>
    <w:rPr>
      <w:rFonts w:ascii="Times New Roman" w:eastAsiaTheme="minorHAnsi" w:hAnsi="Times New Roman" w:cstheme="minorBidi"/>
      <w:lang w:eastAsia="en-US"/>
    </w:rPr>
  </w:style>
  <w:style w:type="paragraph" w:styleId="NoSpacing">
    <w:name w:val="No Spacing"/>
    <w:uiPriority w:val="1"/>
    <w:rsid w:val="00934791"/>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cffc.org.nz/financial-capability/vision-and-values-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E8F4-9575-432F-98FB-D355D3F0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Sorted Whānau Study: Financial Capability Education and Problem Gambling</dc:title>
  <dc:subject/>
  <dc:creator>Malatest International</dc:creator>
  <cp:keywords/>
  <dc:description/>
  <cp:lastModifiedBy>Allan Potter</cp:lastModifiedBy>
  <cp:revision>2</cp:revision>
  <cp:lastPrinted>2014-06-16T03:51:00Z</cp:lastPrinted>
  <dcterms:created xsi:type="dcterms:W3CDTF">2016-05-04T22:09:00Z</dcterms:created>
  <dcterms:modified xsi:type="dcterms:W3CDTF">2016-05-05T23:44:00Z</dcterms:modified>
</cp:coreProperties>
</file>