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209" w:rsidRDefault="00B66042" w:rsidP="004F1209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AN OUTCOME STUDY OF A PROBLEM GAMBLING BRIEF TELEPHONE INTERVENTION: THREE YEARS LATER</w:t>
      </w:r>
    </w:p>
    <w:p w:rsidR="00106CC9" w:rsidRDefault="00106CC9" w:rsidP="004F1209">
      <w:pPr>
        <w:jc w:val="center"/>
        <w:rPr>
          <w:b/>
          <w:sz w:val="22"/>
          <w:szCs w:val="22"/>
        </w:rPr>
      </w:pPr>
    </w:p>
    <w:p w:rsidR="00106CC9" w:rsidRPr="00E90DF4" w:rsidRDefault="00106CC9" w:rsidP="004F120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Summary </w:t>
      </w:r>
    </w:p>
    <w:p w:rsidR="004F1209" w:rsidRPr="00E90DF4" w:rsidRDefault="004F1209" w:rsidP="004F1209">
      <w:pPr>
        <w:jc w:val="center"/>
        <w:rPr>
          <w:sz w:val="22"/>
          <w:szCs w:val="22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106CC9" w:rsidRPr="00965C90" w:rsidTr="00C577AB">
        <w:tc>
          <w:tcPr>
            <w:tcW w:w="2268" w:type="dxa"/>
          </w:tcPr>
          <w:p w:rsidR="00106CC9" w:rsidRPr="00965C90" w:rsidRDefault="00106CC9" w:rsidP="002A78C7">
            <w:pPr>
              <w:tabs>
                <w:tab w:val="left" w:pos="2520"/>
              </w:tabs>
              <w:spacing w:after="120"/>
              <w:rPr>
                <w:sz w:val="22"/>
                <w:szCs w:val="22"/>
              </w:rPr>
            </w:pPr>
            <w:r w:rsidRPr="00965C90">
              <w:rPr>
                <w:sz w:val="22"/>
                <w:szCs w:val="22"/>
              </w:rPr>
              <w:t>Project conducted by:</w:t>
            </w:r>
          </w:p>
        </w:tc>
        <w:tc>
          <w:tcPr>
            <w:tcW w:w="6804" w:type="dxa"/>
          </w:tcPr>
          <w:p w:rsidR="00106CC9" w:rsidRPr="00965C90" w:rsidRDefault="00065687" w:rsidP="00065687">
            <w:pPr>
              <w:tabs>
                <w:tab w:val="left" w:pos="252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Auckland University of Technology, </w:t>
            </w:r>
            <w:r w:rsidR="00106CC9" w:rsidRPr="00965C90">
              <w:rPr>
                <w:sz w:val="22"/>
                <w:szCs w:val="22"/>
              </w:rPr>
              <w:t>Gambling and Addictions Research Centre</w:t>
            </w:r>
          </w:p>
        </w:tc>
      </w:tr>
      <w:tr w:rsidR="00106CC9" w:rsidRPr="00965C90" w:rsidTr="00C577AB">
        <w:tc>
          <w:tcPr>
            <w:tcW w:w="2268" w:type="dxa"/>
          </w:tcPr>
          <w:p w:rsidR="00106CC9" w:rsidRPr="00965C90" w:rsidRDefault="00FD478A" w:rsidP="002A78C7">
            <w:pPr>
              <w:tabs>
                <w:tab w:val="left" w:pos="2520"/>
              </w:tabs>
              <w:spacing w:after="120"/>
              <w:rPr>
                <w:sz w:val="22"/>
                <w:szCs w:val="22"/>
              </w:rPr>
            </w:pPr>
            <w:r w:rsidRPr="00965C90">
              <w:rPr>
                <w:sz w:val="22"/>
                <w:szCs w:val="22"/>
              </w:rPr>
              <w:t>Principal r</w:t>
            </w:r>
            <w:r w:rsidR="00106CC9" w:rsidRPr="00965C90">
              <w:rPr>
                <w:sz w:val="22"/>
                <w:szCs w:val="22"/>
              </w:rPr>
              <w:t>esearchers:</w:t>
            </w:r>
          </w:p>
        </w:tc>
        <w:tc>
          <w:tcPr>
            <w:tcW w:w="6804" w:type="dxa"/>
          </w:tcPr>
          <w:p w:rsidR="00106CC9" w:rsidRPr="00965C90" w:rsidRDefault="000C178B" w:rsidP="00B66042">
            <w:pPr>
              <w:tabs>
                <w:tab w:val="left" w:pos="252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Max Abbott, </w:t>
            </w:r>
            <w:r w:rsidR="00211016">
              <w:rPr>
                <w:sz w:val="22"/>
                <w:szCs w:val="22"/>
              </w:rPr>
              <w:t xml:space="preserve">Maria Bellringer, </w:t>
            </w:r>
            <w:r w:rsidR="00B66042">
              <w:rPr>
                <w:sz w:val="22"/>
                <w:szCs w:val="22"/>
              </w:rPr>
              <w:t xml:space="preserve">Katie Palmer du </w:t>
            </w:r>
            <w:proofErr w:type="spellStart"/>
            <w:r w:rsidR="00B66042">
              <w:rPr>
                <w:sz w:val="22"/>
                <w:szCs w:val="22"/>
              </w:rPr>
              <w:t>Preez</w:t>
            </w:r>
            <w:proofErr w:type="spellEnd"/>
            <w:r w:rsidR="00B66042">
              <w:rPr>
                <w:sz w:val="22"/>
                <w:szCs w:val="22"/>
              </w:rPr>
              <w:t xml:space="preserve">, Maheswaran Rohan, </w:t>
            </w:r>
            <w:r w:rsidR="00211016">
              <w:rPr>
                <w:sz w:val="22"/>
                <w:szCs w:val="22"/>
              </w:rPr>
              <w:t>Nick Garrett</w:t>
            </w:r>
            <w:r w:rsidR="00302111">
              <w:rPr>
                <w:sz w:val="22"/>
                <w:szCs w:val="22"/>
              </w:rPr>
              <w:t xml:space="preserve">, </w:t>
            </w:r>
            <w:r w:rsidR="00B66042">
              <w:rPr>
                <w:sz w:val="22"/>
                <w:szCs w:val="22"/>
              </w:rPr>
              <w:t>Jason Landon, David Hodgins</w:t>
            </w:r>
            <w:r w:rsidR="00211016">
              <w:rPr>
                <w:sz w:val="22"/>
                <w:szCs w:val="22"/>
              </w:rPr>
              <w:t xml:space="preserve"> </w:t>
            </w:r>
          </w:p>
        </w:tc>
      </w:tr>
      <w:tr w:rsidR="00106CC9" w:rsidRPr="00965C90" w:rsidTr="00C577AB">
        <w:tc>
          <w:tcPr>
            <w:tcW w:w="2268" w:type="dxa"/>
          </w:tcPr>
          <w:p w:rsidR="00106CC9" w:rsidRPr="00965C90" w:rsidRDefault="00106CC9" w:rsidP="002A78C7">
            <w:pPr>
              <w:tabs>
                <w:tab w:val="left" w:pos="2520"/>
              </w:tabs>
              <w:spacing w:after="120"/>
              <w:rPr>
                <w:sz w:val="22"/>
                <w:szCs w:val="22"/>
              </w:rPr>
            </w:pPr>
            <w:r w:rsidRPr="00965C90">
              <w:rPr>
                <w:sz w:val="22"/>
                <w:szCs w:val="22"/>
              </w:rPr>
              <w:t>Project funded by:</w:t>
            </w:r>
          </w:p>
        </w:tc>
        <w:tc>
          <w:tcPr>
            <w:tcW w:w="6804" w:type="dxa"/>
          </w:tcPr>
          <w:p w:rsidR="00106CC9" w:rsidRPr="00965C90" w:rsidRDefault="00106CC9" w:rsidP="002A78C7">
            <w:pPr>
              <w:tabs>
                <w:tab w:val="left" w:pos="2520"/>
              </w:tabs>
              <w:spacing w:after="120"/>
              <w:rPr>
                <w:sz w:val="22"/>
                <w:szCs w:val="22"/>
              </w:rPr>
            </w:pPr>
            <w:r w:rsidRPr="00965C90">
              <w:rPr>
                <w:sz w:val="22"/>
                <w:szCs w:val="22"/>
              </w:rPr>
              <w:t>Ministry of Health</w:t>
            </w:r>
          </w:p>
        </w:tc>
      </w:tr>
    </w:tbl>
    <w:p w:rsidR="00225994" w:rsidRPr="00E057B6" w:rsidRDefault="00225994" w:rsidP="004F1209">
      <w:pPr>
        <w:jc w:val="both"/>
        <w:rPr>
          <w:b/>
          <w:sz w:val="22"/>
          <w:szCs w:val="22"/>
        </w:rPr>
      </w:pPr>
    </w:p>
    <w:p w:rsidR="00FD478A" w:rsidRPr="00E057B6" w:rsidRDefault="00FD478A" w:rsidP="004F1209">
      <w:pPr>
        <w:jc w:val="both"/>
        <w:rPr>
          <w:sz w:val="22"/>
          <w:szCs w:val="22"/>
        </w:rPr>
      </w:pPr>
      <w:r w:rsidRPr="00E057B6">
        <w:rPr>
          <w:b/>
          <w:sz w:val="22"/>
          <w:szCs w:val="22"/>
        </w:rPr>
        <w:t>Background</w:t>
      </w:r>
    </w:p>
    <w:p w:rsidR="00745CEE" w:rsidRDefault="00745CEE" w:rsidP="00B66042">
      <w:pPr>
        <w:pStyle w:val="RepNormal"/>
      </w:pPr>
    </w:p>
    <w:p w:rsidR="00B66042" w:rsidRDefault="00D55A9C" w:rsidP="00B66042">
      <w:pPr>
        <w:pStyle w:val="RepNormal"/>
      </w:pPr>
      <w:r>
        <w:t xml:space="preserve">The current study assessed the durability of treatment outcomes after 36 months, for clients who only accessed the gambling helpline for treatment and for those who subsequently obtained additional professional </w:t>
      </w:r>
      <w:r w:rsidR="006A6148">
        <w:t xml:space="preserve">(generally face-to-face counselling) </w:t>
      </w:r>
      <w:r>
        <w:t xml:space="preserve">assistance.  Client characteristics associated with treatment outcome after 36 months were also investigated.  </w:t>
      </w:r>
      <w:r w:rsidR="00B66042">
        <w:t>The initial study</w:t>
      </w:r>
      <w:r>
        <w:rPr>
          <w:rStyle w:val="FootnoteReference"/>
        </w:rPr>
        <w:footnoteReference w:id="1"/>
      </w:r>
      <w:r>
        <w:t xml:space="preserve"> </w:t>
      </w:r>
      <w:r w:rsidR="00B66042">
        <w:t xml:space="preserve">investigated </w:t>
      </w:r>
      <w:r w:rsidR="00DF2746">
        <w:t xml:space="preserve">treatment outcomes </w:t>
      </w:r>
      <w:r>
        <w:t xml:space="preserve">for clients </w:t>
      </w:r>
      <w:r w:rsidR="00DF2746">
        <w:t>after 12 months</w:t>
      </w:r>
      <w:r>
        <w:t>.</w:t>
      </w:r>
    </w:p>
    <w:p w:rsidR="002653F7" w:rsidRDefault="002653F7" w:rsidP="004F1209">
      <w:pPr>
        <w:jc w:val="both"/>
        <w:rPr>
          <w:sz w:val="22"/>
          <w:szCs w:val="22"/>
        </w:rPr>
      </w:pPr>
    </w:p>
    <w:p w:rsidR="00745CEE" w:rsidRPr="00E057B6" w:rsidRDefault="00745CEE" w:rsidP="004F1209">
      <w:pPr>
        <w:jc w:val="both"/>
        <w:rPr>
          <w:sz w:val="22"/>
          <w:szCs w:val="22"/>
        </w:rPr>
      </w:pPr>
    </w:p>
    <w:p w:rsidR="004F1209" w:rsidRPr="00E057B6" w:rsidRDefault="00F86AB4" w:rsidP="004F1209">
      <w:pPr>
        <w:jc w:val="both"/>
        <w:rPr>
          <w:b/>
          <w:sz w:val="22"/>
          <w:szCs w:val="22"/>
        </w:rPr>
      </w:pPr>
      <w:r w:rsidRPr="00E057B6">
        <w:rPr>
          <w:b/>
          <w:sz w:val="22"/>
          <w:szCs w:val="22"/>
        </w:rPr>
        <w:t>Aim</w:t>
      </w:r>
      <w:r w:rsidR="00DF2746">
        <w:rPr>
          <w:b/>
          <w:sz w:val="22"/>
          <w:szCs w:val="22"/>
        </w:rPr>
        <w:t>s</w:t>
      </w:r>
    </w:p>
    <w:p w:rsidR="00745CEE" w:rsidRDefault="00745CEE" w:rsidP="002653F7">
      <w:pPr>
        <w:jc w:val="both"/>
        <w:rPr>
          <w:sz w:val="22"/>
          <w:szCs w:val="22"/>
        </w:rPr>
      </w:pPr>
    </w:p>
    <w:p w:rsidR="00374AC4" w:rsidRDefault="00DF2746" w:rsidP="002653F7">
      <w:pPr>
        <w:jc w:val="both"/>
        <w:rPr>
          <w:sz w:val="22"/>
          <w:szCs w:val="22"/>
        </w:rPr>
      </w:pPr>
      <w:r>
        <w:rPr>
          <w:sz w:val="22"/>
          <w:szCs w:val="22"/>
        </w:rPr>
        <w:t>The main aims of the study were to:</w:t>
      </w:r>
    </w:p>
    <w:p w:rsidR="00DF2746" w:rsidRDefault="00DF2746" w:rsidP="00DF2746">
      <w:pPr>
        <w:pStyle w:val="RepNormal"/>
        <w:numPr>
          <w:ilvl w:val="0"/>
          <w:numId w:val="38"/>
        </w:numPr>
      </w:pPr>
      <w:r>
        <w:t>Assess participant outcomes 36 months after they received standard helpline intervention</w:t>
      </w:r>
    </w:p>
    <w:p w:rsidR="00DF2746" w:rsidRPr="00E934BC" w:rsidRDefault="00DF2746" w:rsidP="00DF2746">
      <w:pPr>
        <w:pStyle w:val="ListParagraph"/>
        <w:numPr>
          <w:ilvl w:val="0"/>
          <w:numId w:val="38"/>
        </w:numPr>
        <w:contextualSpacing w:val="0"/>
        <w:jc w:val="both"/>
        <w:rPr>
          <w:rFonts w:eastAsiaTheme="minorHAnsi" w:cstheme="minorBidi"/>
          <w:sz w:val="22"/>
          <w:szCs w:val="22"/>
          <w:lang w:eastAsia="en-US"/>
        </w:rPr>
      </w:pPr>
      <w:r w:rsidRPr="00E934BC">
        <w:rPr>
          <w:rFonts w:eastAsiaTheme="minorHAnsi" w:cstheme="minorBidi"/>
          <w:sz w:val="22"/>
          <w:szCs w:val="22"/>
          <w:lang w:eastAsia="en-US"/>
        </w:rPr>
        <w:t xml:space="preserve">Update </w:t>
      </w:r>
      <w:r>
        <w:rPr>
          <w:rFonts w:eastAsiaTheme="minorHAnsi" w:cstheme="minorBidi"/>
          <w:sz w:val="22"/>
          <w:szCs w:val="22"/>
          <w:lang w:eastAsia="en-US"/>
        </w:rPr>
        <w:t>the risk and protective factors for sustained</w:t>
      </w:r>
      <w:r w:rsidRPr="00E934BC">
        <w:rPr>
          <w:rFonts w:eastAsiaTheme="minorHAnsi" w:cstheme="minorBidi"/>
          <w:sz w:val="22"/>
          <w:szCs w:val="22"/>
          <w:lang w:eastAsia="en-US"/>
        </w:rPr>
        <w:t xml:space="preserve"> problem gambling outcomes </w:t>
      </w:r>
      <w:r>
        <w:rPr>
          <w:rFonts w:eastAsiaTheme="minorHAnsi" w:cstheme="minorBidi"/>
          <w:sz w:val="22"/>
          <w:szCs w:val="22"/>
          <w:lang w:eastAsia="en-US"/>
        </w:rPr>
        <w:t>36 months after receiving</w:t>
      </w:r>
      <w:r w:rsidRPr="00E934BC">
        <w:rPr>
          <w:rFonts w:eastAsiaTheme="minorHAnsi" w:cstheme="minorBidi"/>
          <w:sz w:val="22"/>
          <w:szCs w:val="22"/>
          <w:lang w:eastAsia="en-US"/>
        </w:rPr>
        <w:t xml:space="preserve"> </w:t>
      </w:r>
      <w:r>
        <w:rPr>
          <w:rFonts w:eastAsiaTheme="minorHAnsi" w:cstheme="minorBidi"/>
          <w:sz w:val="22"/>
          <w:szCs w:val="22"/>
          <w:lang w:eastAsia="en-US"/>
        </w:rPr>
        <w:t xml:space="preserve">the </w:t>
      </w:r>
      <w:r w:rsidRPr="00E934BC">
        <w:rPr>
          <w:rFonts w:eastAsiaTheme="minorHAnsi" w:cstheme="minorBidi"/>
          <w:sz w:val="22"/>
          <w:szCs w:val="22"/>
          <w:lang w:eastAsia="en-US"/>
        </w:rPr>
        <w:t>helpline standard intervention</w:t>
      </w:r>
      <w:r>
        <w:t>.</w:t>
      </w:r>
    </w:p>
    <w:p w:rsidR="00DF2746" w:rsidRDefault="00DF2746" w:rsidP="002653F7">
      <w:pPr>
        <w:jc w:val="both"/>
        <w:rPr>
          <w:sz w:val="22"/>
          <w:szCs w:val="22"/>
        </w:rPr>
      </w:pPr>
    </w:p>
    <w:p w:rsidR="00745CEE" w:rsidRPr="00E057B6" w:rsidRDefault="00745CEE" w:rsidP="002653F7">
      <w:pPr>
        <w:jc w:val="both"/>
        <w:rPr>
          <w:sz w:val="22"/>
          <w:szCs w:val="22"/>
        </w:rPr>
      </w:pPr>
    </w:p>
    <w:p w:rsidR="003468DA" w:rsidRPr="00E057B6" w:rsidRDefault="003468DA" w:rsidP="004F1209">
      <w:pPr>
        <w:jc w:val="both"/>
        <w:rPr>
          <w:b/>
          <w:sz w:val="22"/>
          <w:szCs w:val="22"/>
        </w:rPr>
      </w:pPr>
      <w:r w:rsidRPr="00CF314D">
        <w:rPr>
          <w:b/>
          <w:sz w:val="22"/>
          <w:szCs w:val="22"/>
        </w:rPr>
        <w:t>Method</w:t>
      </w:r>
    </w:p>
    <w:p w:rsidR="00745CEE" w:rsidRDefault="00745CEE" w:rsidP="00DF2746">
      <w:pPr>
        <w:jc w:val="both"/>
        <w:rPr>
          <w:sz w:val="22"/>
          <w:szCs w:val="22"/>
        </w:rPr>
      </w:pPr>
    </w:p>
    <w:p w:rsidR="00DF2746" w:rsidRPr="00E101D2" w:rsidRDefault="00DF2746" w:rsidP="00DF2746">
      <w:pPr>
        <w:jc w:val="both"/>
        <w:rPr>
          <w:sz w:val="22"/>
          <w:szCs w:val="22"/>
        </w:rPr>
      </w:pPr>
      <w:r w:rsidRPr="00E101D2">
        <w:rPr>
          <w:sz w:val="22"/>
          <w:szCs w:val="22"/>
        </w:rPr>
        <w:t xml:space="preserve">The study was designed as an </w:t>
      </w:r>
      <w:r>
        <w:rPr>
          <w:sz w:val="22"/>
          <w:szCs w:val="22"/>
        </w:rPr>
        <w:t>outcome</w:t>
      </w:r>
      <w:r w:rsidRPr="00E101D2">
        <w:rPr>
          <w:sz w:val="22"/>
          <w:szCs w:val="22"/>
        </w:rPr>
        <w:t xml:space="preserve"> study</w:t>
      </w:r>
      <w:r>
        <w:rPr>
          <w:sz w:val="22"/>
          <w:szCs w:val="22"/>
        </w:rPr>
        <w:t xml:space="preserve"> with </w:t>
      </w:r>
      <w:r w:rsidRPr="004A4F97">
        <w:rPr>
          <w:sz w:val="22"/>
          <w:szCs w:val="22"/>
        </w:rPr>
        <w:t xml:space="preserve">participants </w:t>
      </w:r>
      <w:r>
        <w:rPr>
          <w:sz w:val="22"/>
          <w:szCs w:val="22"/>
        </w:rPr>
        <w:t xml:space="preserve">aged 18 years or older </w:t>
      </w:r>
      <w:r w:rsidRPr="004A4F97">
        <w:rPr>
          <w:sz w:val="22"/>
          <w:szCs w:val="22"/>
        </w:rPr>
        <w:t xml:space="preserve">recruited from gamblers calling the </w:t>
      </w:r>
      <w:r>
        <w:rPr>
          <w:sz w:val="22"/>
          <w:szCs w:val="22"/>
        </w:rPr>
        <w:t xml:space="preserve">national </w:t>
      </w:r>
      <w:r w:rsidRPr="004A4F97">
        <w:rPr>
          <w:sz w:val="22"/>
          <w:szCs w:val="22"/>
        </w:rPr>
        <w:t>g</w:t>
      </w:r>
      <w:r>
        <w:rPr>
          <w:sz w:val="22"/>
          <w:szCs w:val="22"/>
        </w:rPr>
        <w:t>ambling helpline for assistance</w:t>
      </w:r>
      <w:r w:rsidRPr="00E101D2">
        <w:rPr>
          <w:sz w:val="22"/>
          <w:szCs w:val="22"/>
        </w:rPr>
        <w:t xml:space="preserve">.  </w:t>
      </w:r>
      <w:r>
        <w:rPr>
          <w:sz w:val="22"/>
          <w:szCs w:val="22"/>
        </w:rPr>
        <w:t>In</w:t>
      </w:r>
      <w:r w:rsidRPr="00E101D2">
        <w:rPr>
          <w:sz w:val="22"/>
          <w:szCs w:val="22"/>
        </w:rPr>
        <w:t xml:space="preserve"> total</w:t>
      </w:r>
      <w:r>
        <w:rPr>
          <w:sz w:val="22"/>
          <w:szCs w:val="22"/>
        </w:rPr>
        <w:t>,</w:t>
      </w:r>
      <w:r w:rsidRPr="00E101D2">
        <w:rPr>
          <w:sz w:val="22"/>
          <w:szCs w:val="22"/>
        </w:rPr>
        <w:t xml:space="preserve"> 150 callers </w:t>
      </w:r>
      <w:r>
        <w:rPr>
          <w:sz w:val="22"/>
          <w:szCs w:val="22"/>
        </w:rPr>
        <w:t xml:space="preserve">were </w:t>
      </w:r>
      <w:r w:rsidRPr="00E101D2">
        <w:rPr>
          <w:sz w:val="22"/>
          <w:szCs w:val="22"/>
        </w:rPr>
        <w:t>recruited</w:t>
      </w:r>
      <w:r>
        <w:rPr>
          <w:sz w:val="22"/>
          <w:szCs w:val="22"/>
        </w:rPr>
        <w:t xml:space="preserve"> and followed for 36 months</w:t>
      </w:r>
      <w:r w:rsidRPr="00E101D2">
        <w:rPr>
          <w:sz w:val="22"/>
          <w:szCs w:val="22"/>
        </w:rPr>
        <w:t xml:space="preserve">.  After </w:t>
      </w:r>
      <w:r>
        <w:rPr>
          <w:sz w:val="22"/>
          <w:szCs w:val="22"/>
        </w:rPr>
        <w:t xml:space="preserve">giving </w:t>
      </w:r>
      <w:r w:rsidRPr="00E101D2">
        <w:rPr>
          <w:sz w:val="22"/>
          <w:szCs w:val="22"/>
        </w:rPr>
        <w:t>consent</w:t>
      </w:r>
      <w:r>
        <w:rPr>
          <w:sz w:val="22"/>
          <w:szCs w:val="22"/>
        </w:rPr>
        <w:t>,</w:t>
      </w:r>
      <w:r w:rsidRPr="00E101D2">
        <w:rPr>
          <w:sz w:val="22"/>
          <w:szCs w:val="22"/>
        </w:rPr>
        <w:t xml:space="preserve"> participants received a baseline assessment </w:t>
      </w:r>
      <w:r>
        <w:rPr>
          <w:sz w:val="22"/>
          <w:szCs w:val="22"/>
        </w:rPr>
        <w:t>followed by a manualised version of the h</w:t>
      </w:r>
      <w:r w:rsidRPr="00E101D2">
        <w:rPr>
          <w:sz w:val="22"/>
          <w:szCs w:val="22"/>
        </w:rPr>
        <w:t xml:space="preserve">elpline’s standard care.  </w:t>
      </w:r>
      <w:r>
        <w:rPr>
          <w:sz w:val="22"/>
          <w:szCs w:val="22"/>
        </w:rPr>
        <w:t>This</w:t>
      </w:r>
      <w:r w:rsidRPr="00E101D2">
        <w:rPr>
          <w:sz w:val="22"/>
          <w:szCs w:val="22"/>
        </w:rPr>
        <w:t xml:space="preserve"> included brief screening, reflective listening to clients’ concerns and, in the case of first</w:t>
      </w:r>
      <w:r>
        <w:rPr>
          <w:sz w:val="22"/>
          <w:szCs w:val="22"/>
        </w:rPr>
        <w:t>-</w:t>
      </w:r>
      <w:r w:rsidRPr="00E101D2">
        <w:rPr>
          <w:sz w:val="22"/>
          <w:szCs w:val="22"/>
        </w:rPr>
        <w:t>time callers or regular callers who were experiencing persistent difficulties, referral to face-to</w:t>
      </w:r>
      <w:r>
        <w:rPr>
          <w:sz w:val="22"/>
          <w:szCs w:val="22"/>
        </w:rPr>
        <w:t>-face</w:t>
      </w:r>
      <w:r w:rsidRPr="00E101D2">
        <w:rPr>
          <w:sz w:val="22"/>
          <w:szCs w:val="22"/>
        </w:rPr>
        <w:t xml:space="preserve"> problem gambling counselling services and</w:t>
      </w:r>
      <w:r>
        <w:rPr>
          <w:sz w:val="22"/>
          <w:szCs w:val="22"/>
        </w:rPr>
        <w:t>/or suggestions for self-care.</w:t>
      </w:r>
      <w:r w:rsidRPr="00E101D2">
        <w:rPr>
          <w:sz w:val="22"/>
          <w:szCs w:val="22"/>
        </w:rPr>
        <w:t xml:space="preserve">  </w:t>
      </w:r>
    </w:p>
    <w:p w:rsidR="00DF2746" w:rsidRDefault="00DF2746" w:rsidP="00DF2C4E">
      <w:pPr>
        <w:jc w:val="both"/>
        <w:rPr>
          <w:sz w:val="22"/>
          <w:szCs w:val="22"/>
        </w:rPr>
      </w:pPr>
    </w:p>
    <w:p w:rsidR="00745CEE" w:rsidRPr="00E057B6" w:rsidRDefault="00745CEE" w:rsidP="00DF2C4E">
      <w:pPr>
        <w:jc w:val="both"/>
        <w:rPr>
          <w:sz w:val="22"/>
          <w:szCs w:val="22"/>
        </w:rPr>
      </w:pPr>
    </w:p>
    <w:p w:rsidR="0045621E" w:rsidRDefault="00A37112" w:rsidP="0045621E">
      <w:pPr>
        <w:jc w:val="both"/>
        <w:rPr>
          <w:sz w:val="22"/>
          <w:szCs w:val="22"/>
        </w:rPr>
      </w:pPr>
      <w:r w:rsidRPr="00E057B6">
        <w:rPr>
          <w:b/>
          <w:sz w:val="22"/>
          <w:szCs w:val="22"/>
        </w:rPr>
        <w:t xml:space="preserve">Summary of </w:t>
      </w:r>
      <w:r w:rsidR="00586486" w:rsidRPr="00E057B6">
        <w:rPr>
          <w:b/>
          <w:sz w:val="22"/>
          <w:szCs w:val="22"/>
        </w:rPr>
        <w:t>key findings</w:t>
      </w:r>
    </w:p>
    <w:p w:rsidR="00745CEE" w:rsidRDefault="00745CEE" w:rsidP="00DB622E">
      <w:pPr>
        <w:pStyle w:val="RepNormal"/>
        <w:rPr>
          <w:rFonts w:cs="Times New Roman"/>
          <w:i/>
        </w:rPr>
      </w:pPr>
    </w:p>
    <w:p w:rsidR="00745CEE" w:rsidRPr="00745CEE" w:rsidRDefault="00745CEE" w:rsidP="00DB622E">
      <w:pPr>
        <w:pStyle w:val="RepNormal"/>
        <w:rPr>
          <w:rFonts w:cs="Times New Roman"/>
          <w:i/>
        </w:rPr>
      </w:pPr>
      <w:r w:rsidRPr="00745CEE">
        <w:rPr>
          <w:rFonts w:cs="Times New Roman"/>
          <w:i/>
        </w:rPr>
        <w:t>Gambling and problem gambling outcomes</w:t>
      </w:r>
    </w:p>
    <w:p w:rsidR="00745CEE" w:rsidRPr="007B1B64" w:rsidRDefault="00745CEE" w:rsidP="00745CEE">
      <w:pPr>
        <w:pStyle w:val="RepNormal"/>
        <w:numPr>
          <w:ilvl w:val="0"/>
          <w:numId w:val="39"/>
        </w:numPr>
        <w:ind w:left="720"/>
        <w:rPr>
          <w:rFonts w:cs="Times New Roman"/>
        </w:rPr>
      </w:pPr>
      <w:r w:rsidRPr="007B1B64">
        <w:rPr>
          <w:rFonts w:cs="Times New Roman"/>
        </w:rPr>
        <w:t>Median days gambled per month and dollars lost per day gambli</w:t>
      </w:r>
      <w:r>
        <w:rPr>
          <w:rFonts w:cs="Times New Roman"/>
        </w:rPr>
        <w:t>ng decreased substantially at 3 </w:t>
      </w:r>
      <w:r w:rsidRPr="007B1B64">
        <w:rPr>
          <w:rFonts w:cs="Times New Roman"/>
        </w:rPr>
        <w:t>months and stayed at the lower level at 36 months.</w:t>
      </w:r>
    </w:p>
    <w:p w:rsidR="00745CEE" w:rsidRPr="007B1B64" w:rsidRDefault="00745CEE" w:rsidP="00745CEE">
      <w:pPr>
        <w:pStyle w:val="RepNormal"/>
        <w:numPr>
          <w:ilvl w:val="0"/>
          <w:numId w:val="39"/>
        </w:numPr>
        <w:ind w:left="720"/>
        <w:rPr>
          <w:rFonts w:cs="Times New Roman"/>
        </w:rPr>
      </w:pPr>
      <w:r w:rsidRPr="007B1B64">
        <w:rPr>
          <w:rFonts w:cs="Times New Roman"/>
        </w:rPr>
        <w:t>Median control over gambling increased at 3 months and stayed at the higher level at 36 months.</w:t>
      </w:r>
    </w:p>
    <w:p w:rsidR="00745CEE" w:rsidRPr="007B1B64" w:rsidRDefault="00745CEE" w:rsidP="00745CEE">
      <w:pPr>
        <w:pStyle w:val="RepNormal"/>
        <w:numPr>
          <w:ilvl w:val="0"/>
          <w:numId w:val="39"/>
        </w:numPr>
        <w:ind w:left="720"/>
        <w:rPr>
          <w:rFonts w:cs="Times New Roman"/>
        </w:rPr>
      </w:pPr>
      <w:r w:rsidRPr="007B1B64">
        <w:rPr>
          <w:rFonts w:cs="Times New Roman"/>
        </w:rPr>
        <w:lastRenderedPageBreak/>
        <w:t xml:space="preserve">Problem gambling severity (past 12 month </w:t>
      </w:r>
      <w:proofErr w:type="gramStart"/>
      <w:r w:rsidRPr="007B1B64">
        <w:rPr>
          <w:rFonts w:cs="Times New Roman"/>
        </w:rPr>
        <w:t>time frame</w:t>
      </w:r>
      <w:proofErr w:type="gramEnd"/>
      <w:r w:rsidRPr="007B1B64">
        <w:rPr>
          <w:rFonts w:cs="Times New Roman"/>
        </w:rPr>
        <w:t>) median score reduced to 5 at 36 months compared with a baseline score of 17.  At baseline 97% were problem gamblers, at 36 months 38% were problem gamblers, 27% were moderate-risk gamblers, 8% were low-risk gamblers and 27% were non-problem gamblers.</w:t>
      </w:r>
    </w:p>
    <w:p w:rsidR="00745CEE" w:rsidRPr="007B1B64" w:rsidRDefault="00745CEE" w:rsidP="00DB622E">
      <w:pPr>
        <w:pStyle w:val="RepNormal"/>
        <w:rPr>
          <w:rFonts w:cs="Times New Roman"/>
        </w:rPr>
      </w:pPr>
    </w:p>
    <w:p w:rsidR="00745CEE" w:rsidRPr="00745CEE" w:rsidRDefault="00745CEE" w:rsidP="00745CEE">
      <w:pPr>
        <w:pStyle w:val="RepNormal"/>
        <w:keepNext/>
        <w:rPr>
          <w:rFonts w:cs="Times New Roman"/>
          <w:i/>
        </w:rPr>
      </w:pPr>
      <w:r w:rsidRPr="00745CEE">
        <w:rPr>
          <w:rFonts w:cs="Times New Roman"/>
          <w:i/>
        </w:rPr>
        <w:t>Other outcomes</w:t>
      </w:r>
    </w:p>
    <w:p w:rsidR="00745CEE" w:rsidRPr="007B1B64" w:rsidRDefault="00745CEE" w:rsidP="00745CEE">
      <w:pPr>
        <w:pStyle w:val="RepNormal"/>
        <w:keepNext/>
        <w:numPr>
          <w:ilvl w:val="0"/>
          <w:numId w:val="40"/>
        </w:numPr>
        <w:rPr>
          <w:rFonts w:cs="Times New Roman"/>
        </w:rPr>
      </w:pPr>
      <w:r w:rsidRPr="007B1B64">
        <w:rPr>
          <w:rFonts w:cs="Times New Roman"/>
        </w:rPr>
        <w:t>At baseline, 56% of participants had a high level of psychological distress; this decreased to 3% at 36 months.</w:t>
      </w:r>
    </w:p>
    <w:p w:rsidR="00745CEE" w:rsidRPr="007B1B64" w:rsidRDefault="00745CEE" w:rsidP="00745CEE">
      <w:pPr>
        <w:pStyle w:val="RepNormal"/>
        <w:numPr>
          <w:ilvl w:val="0"/>
          <w:numId w:val="39"/>
        </w:numPr>
        <w:ind w:left="720"/>
      </w:pPr>
      <w:r w:rsidRPr="007B1B64">
        <w:t>At baseline, 58% of participants had major depressive disorder; this decreased</w:t>
      </w:r>
      <w:r>
        <w:t xml:space="preserve"> to 22% at 36 </w:t>
      </w:r>
      <w:r w:rsidRPr="007B1B64">
        <w:t>months.  The corresponding results for minor depressive disorder were 12% to 0%, and for dysthymia were 42% to 32%.</w:t>
      </w:r>
    </w:p>
    <w:p w:rsidR="00745CEE" w:rsidRPr="007B1B64" w:rsidRDefault="00745CEE" w:rsidP="00745CEE">
      <w:pPr>
        <w:pStyle w:val="RepNormal"/>
        <w:numPr>
          <w:ilvl w:val="0"/>
          <w:numId w:val="39"/>
        </w:numPr>
        <w:ind w:left="720"/>
      </w:pPr>
      <w:r w:rsidRPr="007B1B64">
        <w:t>At baseline, 60% of participants smoked tobacco; this decreased to 43% at 36 months.  Participants with drug use problems decreased from 23% to 13%.  The percentage of people with alcohol abuse/dependence was similar at baseline and 36 months (62%, 64%).</w:t>
      </w:r>
    </w:p>
    <w:p w:rsidR="00745CEE" w:rsidRPr="007B1B64" w:rsidRDefault="00745CEE" w:rsidP="00745CEE">
      <w:pPr>
        <w:pStyle w:val="RepNormal"/>
        <w:numPr>
          <w:ilvl w:val="0"/>
          <w:numId w:val="39"/>
        </w:numPr>
        <w:ind w:left="720"/>
      </w:pPr>
      <w:r w:rsidRPr="007B1B64">
        <w:t xml:space="preserve">Life aspects affected by problem gambling (i.e. work, social and family </w:t>
      </w:r>
      <w:proofErr w:type="gramStart"/>
      <w:r w:rsidRPr="007B1B64">
        <w:t>life,</w:t>
      </w:r>
      <w:proofErr w:type="gramEnd"/>
      <w:r w:rsidRPr="007B1B64">
        <w:t xml:space="preserve"> and health) substantially improved at 3 months and showed slight continued improvement at 36 months.</w:t>
      </w:r>
    </w:p>
    <w:p w:rsidR="00745CEE" w:rsidRPr="007B1B64" w:rsidRDefault="00745CEE" w:rsidP="00DB622E">
      <w:pPr>
        <w:pStyle w:val="RepNormal"/>
      </w:pPr>
    </w:p>
    <w:p w:rsidR="00745CEE" w:rsidRPr="00745CEE" w:rsidRDefault="00745CEE" w:rsidP="00DB622E">
      <w:pPr>
        <w:pStyle w:val="RepNormal"/>
        <w:rPr>
          <w:i/>
        </w:rPr>
      </w:pPr>
      <w:r w:rsidRPr="00745CEE">
        <w:rPr>
          <w:i/>
        </w:rPr>
        <w:t>Additional assistance</w:t>
      </w:r>
    </w:p>
    <w:p w:rsidR="00745CEE" w:rsidRPr="007B1B64" w:rsidRDefault="00745CEE" w:rsidP="00745CEE">
      <w:pPr>
        <w:pStyle w:val="RepNormal"/>
        <w:numPr>
          <w:ilvl w:val="0"/>
          <w:numId w:val="39"/>
        </w:numPr>
        <w:ind w:left="720"/>
        <w:rPr>
          <w:rFonts w:cs="Times New Roman"/>
        </w:rPr>
      </w:pPr>
      <w:r w:rsidRPr="007B1B64">
        <w:rPr>
          <w:rFonts w:cs="Times New Roman"/>
        </w:rPr>
        <w:t xml:space="preserve">At 36 months, 13% of participants reported seeking additional assistance in the past 6 months, both from </w:t>
      </w:r>
      <w:r w:rsidR="006A6148">
        <w:rPr>
          <w:rFonts w:cs="Times New Roman"/>
        </w:rPr>
        <w:t>professional</w:t>
      </w:r>
      <w:r w:rsidRPr="007B1B64">
        <w:rPr>
          <w:rFonts w:cs="Times New Roman"/>
        </w:rPr>
        <w:t xml:space="preserve"> </w:t>
      </w:r>
      <w:r w:rsidR="006A6148">
        <w:rPr>
          <w:rFonts w:cs="Times New Roman"/>
        </w:rPr>
        <w:t xml:space="preserve">(generally face-to-face counselling) </w:t>
      </w:r>
      <w:r w:rsidRPr="007B1B64">
        <w:rPr>
          <w:rFonts w:cs="Times New Roman"/>
        </w:rPr>
        <w:t xml:space="preserve">and </w:t>
      </w:r>
      <w:r w:rsidR="006A6148">
        <w:rPr>
          <w:rFonts w:cs="Times New Roman"/>
        </w:rPr>
        <w:t xml:space="preserve">non-professional </w:t>
      </w:r>
      <w:r w:rsidR="006A6148" w:rsidRPr="007B1B64">
        <w:rPr>
          <w:rFonts w:cs="Times New Roman"/>
        </w:rPr>
        <w:t>(e.g. from a family member, friend or another person)</w:t>
      </w:r>
      <w:r w:rsidR="006A6148">
        <w:rPr>
          <w:rFonts w:cs="Times New Roman"/>
        </w:rPr>
        <w:t xml:space="preserve"> </w:t>
      </w:r>
      <w:r w:rsidRPr="007B1B64">
        <w:rPr>
          <w:rFonts w:cs="Times New Roman"/>
        </w:rPr>
        <w:t xml:space="preserve">sources.  Over the whole study, 36% received additional </w:t>
      </w:r>
      <w:r w:rsidR="006A6148">
        <w:rPr>
          <w:rFonts w:cs="Times New Roman"/>
        </w:rPr>
        <w:t>professional</w:t>
      </w:r>
      <w:r w:rsidRPr="007B1B64">
        <w:rPr>
          <w:rFonts w:cs="Times New Roman"/>
        </w:rPr>
        <w:t xml:space="preserve"> assistance at some time, and 52% received </w:t>
      </w:r>
      <w:r w:rsidR="006A6148">
        <w:rPr>
          <w:rFonts w:cs="Times New Roman"/>
        </w:rPr>
        <w:t>non-professional</w:t>
      </w:r>
      <w:r w:rsidRPr="007B1B64">
        <w:rPr>
          <w:rFonts w:cs="Times New Roman"/>
        </w:rPr>
        <w:t xml:space="preserve"> assistance.</w:t>
      </w:r>
    </w:p>
    <w:p w:rsidR="00745CEE" w:rsidRPr="007B1B64" w:rsidRDefault="00745CEE" w:rsidP="00DB622E">
      <w:pPr>
        <w:pStyle w:val="RepNormal"/>
        <w:rPr>
          <w:rFonts w:cs="Times New Roman"/>
        </w:rPr>
      </w:pPr>
    </w:p>
    <w:p w:rsidR="00745CEE" w:rsidRPr="00745CEE" w:rsidRDefault="00745CEE" w:rsidP="00DB622E">
      <w:pPr>
        <w:pStyle w:val="RepNormal"/>
        <w:rPr>
          <w:rFonts w:cs="Times New Roman"/>
          <w:i/>
        </w:rPr>
      </w:pPr>
      <w:r w:rsidRPr="00745CEE">
        <w:rPr>
          <w:rFonts w:cs="Times New Roman"/>
          <w:i/>
        </w:rPr>
        <w:t>Predictors of successful problem gambling outcomes at 36 months</w:t>
      </w:r>
    </w:p>
    <w:p w:rsidR="00745CEE" w:rsidRPr="007B1B64" w:rsidRDefault="00745CEE" w:rsidP="00745CEE">
      <w:pPr>
        <w:pStyle w:val="RepNormal"/>
        <w:numPr>
          <w:ilvl w:val="0"/>
          <w:numId w:val="39"/>
        </w:numPr>
        <w:ind w:left="720"/>
        <w:rPr>
          <w:rFonts w:cs="Times New Roman"/>
        </w:rPr>
      </w:pPr>
      <w:r w:rsidRPr="007B1B64">
        <w:rPr>
          <w:rFonts w:cs="Times New Roman"/>
        </w:rPr>
        <w:t xml:space="preserve">Improved outcomes on problem gambling severity were noted for people who were </w:t>
      </w:r>
      <w:r w:rsidRPr="007B1B64">
        <w:t>partnered, or who had not previously received treatment for a gambling or mental health problem.</w:t>
      </w:r>
    </w:p>
    <w:p w:rsidR="00745CEE" w:rsidRPr="007B1B64" w:rsidRDefault="00745CEE" w:rsidP="00745CEE">
      <w:pPr>
        <w:pStyle w:val="RepNormal"/>
        <w:numPr>
          <w:ilvl w:val="0"/>
          <w:numId w:val="39"/>
        </w:numPr>
        <w:ind w:left="720"/>
        <w:rPr>
          <w:rFonts w:cs="Times New Roman"/>
        </w:rPr>
      </w:pPr>
      <w:r w:rsidRPr="007B1B64">
        <w:rPr>
          <w:rFonts w:cs="Times New Roman"/>
        </w:rPr>
        <w:t xml:space="preserve">Low quality of life and high deprivation were associated with </w:t>
      </w:r>
      <w:r w:rsidRPr="007B1B64">
        <w:rPr>
          <w:rFonts w:cs="Times New Roman"/>
          <w:i/>
        </w:rPr>
        <w:t>less</w:t>
      </w:r>
      <w:r w:rsidRPr="007B1B64">
        <w:rPr>
          <w:rFonts w:cs="Times New Roman"/>
        </w:rPr>
        <w:t xml:space="preserve"> change in control over gambling.</w:t>
      </w:r>
    </w:p>
    <w:p w:rsidR="00745CEE" w:rsidRDefault="00745CEE" w:rsidP="0045621E">
      <w:pPr>
        <w:jc w:val="both"/>
        <w:rPr>
          <w:sz w:val="22"/>
          <w:szCs w:val="22"/>
        </w:rPr>
      </w:pPr>
    </w:p>
    <w:p w:rsidR="00E254D6" w:rsidRDefault="00E254D6" w:rsidP="0045621E">
      <w:pPr>
        <w:jc w:val="both"/>
        <w:rPr>
          <w:sz w:val="22"/>
          <w:szCs w:val="22"/>
        </w:rPr>
      </w:pPr>
    </w:p>
    <w:p w:rsidR="00E254D6" w:rsidRPr="004C75E5" w:rsidRDefault="00E254D6" w:rsidP="0045621E">
      <w:pPr>
        <w:jc w:val="both"/>
        <w:rPr>
          <w:b/>
          <w:sz w:val="22"/>
          <w:szCs w:val="22"/>
        </w:rPr>
      </w:pPr>
      <w:r w:rsidRPr="004C75E5">
        <w:rPr>
          <w:b/>
          <w:sz w:val="22"/>
          <w:szCs w:val="22"/>
        </w:rPr>
        <w:t>Conclusion</w:t>
      </w:r>
    </w:p>
    <w:p w:rsidR="00E254D6" w:rsidRPr="00E254D6" w:rsidRDefault="00E254D6" w:rsidP="0045621E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91489D">
        <w:rPr>
          <w:sz w:val="22"/>
          <w:szCs w:val="22"/>
        </w:rPr>
        <w:t xml:space="preserve">he clinically and statistically significant treatment gains found at 12 months were either sustained, or showed further improvement, at 36 months.  These changes occurred even though </w:t>
      </w:r>
      <w:r>
        <w:rPr>
          <w:sz w:val="22"/>
          <w:szCs w:val="22"/>
        </w:rPr>
        <w:t>about</w:t>
      </w:r>
      <w:r w:rsidRPr="0091489D">
        <w:rPr>
          <w:sz w:val="22"/>
          <w:szCs w:val="22"/>
        </w:rPr>
        <w:t xml:space="preserve"> two-thirds </w:t>
      </w:r>
      <w:r>
        <w:rPr>
          <w:sz w:val="22"/>
          <w:szCs w:val="22"/>
        </w:rPr>
        <w:t xml:space="preserve">of participants </w:t>
      </w:r>
      <w:r w:rsidRPr="0091489D">
        <w:rPr>
          <w:sz w:val="22"/>
          <w:szCs w:val="22"/>
        </w:rPr>
        <w:t xml:space="preserve">only received one helpline counselling session and did not report accessing other, more intensive, therapy </w:t>
      </w:r>
      <w:r>
        <w:rPr>
          <w:sz w:val="22"/>
          <w:szCs w:val="22"/>
        </w:rPr>
        <w:t>(</w:t>
      </w:r>
      <w:r w:rsidR="006A6148">
        <w:rPr>
          <w:sz w:val="22"/>
          <w:szCs w:val="22"/>
        </w:rPr>
        <w:t>professional</w:t>
      </w:r>
      <w:r>
        <w:rPr>
          <w:sz w:val="22"/>
          <w:szCs w:val="22"/>
        </w:rPr>
        <w:t xml:space="preserve"> assistance) </w:t>
      </w:r>
      <w:r w:rsidRPr="0091489D">
        <w:rPr>
          <w:sz w:val="22"/>
          <w:szCs w:val="22"/>
        </w:rPr>
        <w:t>for their gambling proble</w:t>
      </w:r>
      <w:r>
        <w:rPr>
          <w:sz w:val="22"/>
          <w:szCs w:val="22"/>
        </w:rPr>
        <w:t>ms throughout the subsequent 36 </w:t>
      </w:r>
      <w:r w:rsidRPr="0091489D">
        <w:rPr>
          <w:sz w:val="22"/>
          <w:szCs w:val="22"/>
        </w:rPr>
        <w:t xml:space="preserve">months.  </w:t>
      </w:r>
      <w:r>
        <w:rPr>
          <w:sz w:val="22"/>
          <w:szCs w:val="22"/>
        </w:rPr>
        <w:t>Of note is</w:t>
      </w:r>
      <w:r w:rsidRPr="0091489D">
        <w:rPr>
          <w:sz w:val="22"/>
          <w:szCs w:val="22"/>
        </w:rPr>
        <w:t xml:space="preserve"> that the third of </w:t>
      </w:r>
      <w:r>
        <w:rPr>
          <w:sz w:val="22"/>
          <w:szCs w:val="22"/>
        </w:rPr>
        <w:t>participants</w:t>
      </w:r>
      <w:r w:rsidRPr="0091489D">
        <w:rPr>
          <w:sz w:val="22"/>
          <w:szCs w:val="22"/>
        </w:rPr>
        <w:t xml:space="preserve"> who received additional </w:t>
      </w:r>
      <w:r w:rsidR="006A6148">
        <w:rPr>
          <w:sz w:val="22"/>
          <w:szCs w:val="22"/>
        </w:rPr>
        <w:t xml:space="preserve">professional </w:t>
      </w:r>
      <w:r>
        <w:rPr>
          <w:sz w:val="22"/>
          <w:szCs w:val="22"/>
        </w:rPr>
        <w:t>assistance</w:t>
      </w:r>
      <w:r w:rsidRPr="0091489D">
        <w:rPr>
          <w:sz w:val="22"/>
          <w:szCs w:val="22"/>
        </w:rPr>
        <w:t xml:space="preserve"> or support for their gambling problems did not have better outcomes at 36 months than those who did not</w:t>
      </w:r>
      <w:r>
        <w:rPr>
          <w:sz w:val="22"/>
          <w:szCs w:val="22"/>
        </w:rPr>
        <w:t xml:space="preserve"> receive additional treatment</w:t>
      </w:r>
      <w:r w:rsidRPr="0091489D">
        <w:rPr>
          <w:sz w:val="22"/>
          <w:szCs w:val="22"/>
        </w:rPr>
        <w:t xml:space="preserve">.  </w:t>
      </w:r>
      <w:r w:rsidR="00EA1A96">
        <w:rPr>
          <w:sz w:val="22"/>
          <w:szCs w:val="22"/>
        </w:rPr>
        <w:t>T</w:t>
      </w:r>
      <w:r w:rsidR="00EA1A96" w:rsidRPr="00EA1A96">
        <w:rPr>
          <w:sz w:val="22"/>
          <w:szCs w:val="22"/>
        </w:rPr>
        <w:t>his does not mean that th</w:t>
      </w:r>
      <w:r w:rsidR="00EA1A96">
        <w:rPr>
          <w:sz w:val="22"/>
          <w:szCs w:val="22"/>
        </w:rPr>
        <w:t>e</w:t>
      </w:r>
      <w:r w:rsidR="00EA1A96" w:rsidRPr="00EA1A96">
        <w:rPr>
          <w:sz w:val="22"/>
          <w:szCs w:val="22"/>
        </w:rPr>
        <w:t xml:space="preserve"> additional assistance was not of value.  People who received it may have been people who, for a variety of reasons, required it.</w:t>
      </w:r>
      <w:r w:rsidR="00EA1A96">
        <w:rPr>
          <w:sz w:val="22"/>
          <w:szCs w:val="22"/>
        </w:rPr>
        <w:t xml:space="preserve">  </w:t>
      </w:r>
      <w:r w:rsidRPr="0091489D">
        <w:rPr>
          <w:sz w:val="22"/>
          <w:szCs w:val="22"/>
        </w:rPr>
        <w:t xml:space="preserve">While most </w:t>
      </w:r>
      <w:r>
        <w:rPr>
          <w:sz w:val="22"/>
          <w:szCs w:val="22"/>
        </w:rPr>
        <w:t>participants</w:t>
      </w:r>
      <w:r w:rsidRPr="0091489D">
        <w:rPr>
          <w:sz w:val="22"/>
          <w:szCs w:val="22"/>
        </w:rPr>
        <w:t xml:space="preserve"> d</w:t>
      </w:r>
      <w:r>
        <w:rPr>
          <w:sz w:val="22"/>
          <w:szCs w:val="22"/>
        </w:rPr>
        <w:t>id</w:t>
      </w:r>
      <w:r w:rsidRPr="0091489D">
        <w:rPr>
          <w:sz w:val="22"/>
          <w:szCs w:val="22"/>
        </w:rPr>
        <w:t xml:space="preserve"> well following a single telephone intervention, a minority did not improve and over a third remained in the </w:t>
      </w:r>
      <w:proofErr w:type="gramStart"/>
      <w:r w:rsidRPr="0091489D">
        <w:rPr>
          <w:sz w:val="22"/>
          <w:szCs w:val="22"/>
        </w:rPr>
        <w:t>problem gambling</w:t>
      </w:r>
      <w:proofErr w:type="gramEnd"/>
      <w:r w:rsidRPr="0091489D">
        <w:rPr>
          <w:sz w:val="22"/>
          <w:szCs w:val="22"/>
        </w:rPr>
        <w:t xml:space="preserve"> category at 36 months.  </w:t>
      </w:r>
    </w:p>
    <w:sectPr w:rsidR="00E254D6" w:rsidRPr="00E254D6" w:rsidSect="0022599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8B4" w:rsidRDefault="007148B4">
      <w:r>
        <w:separator/>
      </w:r>
    </w:p>
  </w:endnote>
  <w:endnote w:type="continuationSeparator" w:id="0">
    <w:p w:rsidR="007148B4" w:rsidRDefault="0071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4515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A14B8" w:rsidRDefault="00CA14B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D1EE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D1EE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A14B8" w:rsidRDefault="00CA14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8B4" w:rsidRDefault="007148B4">
      <w:r>
        <w:separator/>
      </w:r>
    </w:p>
  </w:footnote>
  <w:footnote w:type="continuationSeparator" w:id="0">
    <w:p w:rsidR="007148B4" w:rsidRDefault="007148B4">
      <w:r>
        <w:continuationSeparator/>
      </w:r>
    </w:p>
  </w:footnote>
  <w:footnote w:id="1">
    <w:p w:rsidR="00D55A9C" w:rsidRDefault="00D55A9C" w:rsidP="00D55A9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55A9C">
        <w:t xml:space="preserve">Abbott, M., Bellringer, M., Garrett, N., Vandal, A., Hodgins, D., Palmer Du </w:t>
      </w:r>
      <w:proofErr w:type="spellStart"/>
      <w:r w:rsidRPr="00D55A9C">
        <w:t>Preez</w:t>
      </w:r>
      <w:proofErr w:type="spellEnd"/>
      <w:r w:rsidRPr="00D55A9C">
        <w:t>, K., Landon, J., &amp; Sullivan, S. (2013)</w:t>
      </w:r>
      <w:proofErr w:type="gramStart"/>
      <w:r w:rsidRPr="00D55A9C">
        <w:t xml:space="preserve">. </w:t>
      </w:r>
      <w:proofErr w:type="gramEnd"/>
      <w:r w:rsidRPr="00D55A9C">
        <w:rPr>
          <w:i/>
        </w:rPr>
        <w:t>Effectiveness of problem gambling brief telephone interventions: An uncontrolled outcome study</w:t>
      </w:r>
      <w:proofErr w:type="gramStart"/>
      <w:r w:rsidRPr="00D55A9C">
        <w:t xml:space="preserve">. </w:t>
      </w:r>
      <w:proofErr w:type="gramEnd"/>
      <w:r w:rsidRPr="00D55A9C">
        <w:t>Auckland: Auckland University of Technology</w:t>
      </w:r>
      <w:r>
        <w:t>,</w:t>
      </w:r>
      <w:r w:rsidRPr="00D55A9C">
        <w:t xml:space="preserve"> Gambling and Addictions Research Centre</w:t>
      </w:r>
      <w:r>
        <w:t xml:space="preserve">.  Available at: </w:t>
      </w:r>
      <w:r w:rsidRPr="00D55A9C">
        <w:t>http://www.aut.ac.nz/__data/assets/pdf_file/0007/413476/Report-Outcomes-Study-Final-Re-issued-18-July-2013.pdf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19D" w:rsidRDefault="00E50DA5" w:rsidP="00586486">
    <w:pPr>
      <w:pStyle w:val="Header"/>
    </w:pPr>
    <w:r>
      <w:rPr>
        <w:noProof/>
        <w:lang w:eastAsia="en-NZ"/>
      </w:rPr>
      <w:drawing>
        <wp:inline distT="0" distB="0" distL="0" distR="0" wp14:anchorId="3F731D0A" wp14:editId="3E2DD06A">
          <wp:extent cx="5731510" cy="38417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R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84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119D" w:rsidRDefault="00AF119D" w:rsidP="00586486">
    <w:pPr>
      <w:pStyle w:val="Header"/>
    </w:pPr>
  </w:p>
  <w:p w:rsidR="00B66042" w:rsidRPr="00586486" w:rsidRDefault="00B66042" w:rsidP="00586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10D4C"/>
    <w:multiLevelType w:val="hybridMultilevel"/>
    <w:tmpl w:val="AD38D6F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D7EEE"/>
    <w:multiLevelType w:val="hybridMultilevel"/>
    <w:tmpl w:val="45787E3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96C23"/>
    <w:multiLevelType w:val="hybridMultilevel"/>
    <w:tmpl w:val="99166B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66BB6"/>
    <w:multiLevelType w:val="hybridMultilevel"/>
    <w:tmpl w:val="24B476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43051"/>
    <w:multiLevelType w:val="hybridMultilevel"/>
    <w:tmpl w:val="9A424AB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F6156B"/>
    <w:multiLevelType w:val="hybridMultilevel"/>
    <w:tmpl w:val="CF86C7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F30CB"/>
    <w:multiLevelType w:val="hybridMultilevel"/>
    <w:tmpl w:val="339C5A46"/>
    <w:lvl w:ilvl="0" w:tplc="1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DD23089"/>
    <w:multiLevelType w:val="hybridMultilevel"/>
    <w:tmpl w:val="5C9641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F15A4"/>
    <w:multiLevelType w:val="hybridMultilevel"/>
    <w:tmpl w:val="AB706FCE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1B25595"/>
    <w:multiLevelType w:val="hybridMultilevel"/>
    <w:tmpl w:val="E83E2A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91D2F"/>
    <w:multiLevelType w:val="hybridMultilevel"/>
    <w:tmpl w:val="A00EB71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1B6A2F"/>
    <w:multiLevelType w:val="hybridMultilevel"/>
    <w:tmpl w:val="1410EC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20555"/>
    <w:multiLevelType w:val="hybridMultilevel"/>
    <w:tmpl w:val="9766A8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E053E"/>
    <w:multiLevelType w:val="hybridMultilevel"/>
    <w:tmpl w:val="B456BB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1613B"/>
    <w:multiLevelType w:val="hybridMultilevel"/>
    <w:tmpl w:val="D51402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01D97"/>
    <w:multiLevelType w:val="hybridMultilevel"/>
    <w:tmpl w:val="C90419F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9C63F5"/>
    <w:multiLevelType w:val="hybridMultilevel"/>
    <w:tmpl w:val="D544111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2E484B"/>
    <w:multiLevelType w:val="hybridMultilevel"/>
    <w:tmpl w:val="2DF455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01552"/>
    <w:multiLevelType w:val="hybridMultilevel"/>
    <w:tmpl w:val="4BE4DD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36158"/>
    <w:multiLevelType w:val="hybridMultilevel"/>
    <w:tmpl w:val="B434CE22"/>
    <w:lvl w:ilvl="0" w:tplc="1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462E291F"/>
    <w:multiLevelType w:val="hybridMultilevel"/>
    <w:tmpl w:val="4D786EE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709589E"/>
    <w:multiLevelType w:val="hybridMultilevel"/>
    <w:tmpl w:val="C08891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42E95"/>
    <w:multiLevelType w:val="hybridMultilevel"/>
    <w:tmpl w:val="62A24D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903A7"/>
    <w:multiLevelType w:val="hybridMultilevel"/>
    <w:tmpl w:val="AC7E08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74D55"/>
    <w:multiLevelType w:val="hybridMultilevel"/>
    <w:tmpl w:val="0520DD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55FEC"/>
    <w:multiLevelType w:val="hybridMultilevel"/>
    <w:tmpl w:val="F2AC4C3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65614"/>
    <w:multiLevelType w:val="hybridMultilevel"/>
    <w:tmpl w:val="F42E1E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A75794"/>
    <w:multiLevelType w:val="hybridMultilevel"/>
    <w:tmpl w:val="FE3839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304FC"/>
    <w:multiLevelType w:val="hybridMultilevel"/>
    <w:tmpl w:val="AA9EEB3E"/>
    <w:lvl w:ilvl="0" w:tplc="4A7A89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6B7C75"/>
    <w:multiLevelType w:val="hybridMultilevel"/>
    <w:tmpl w:val="99A014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B1769"/>
    <w:multiLevelType w:val="hybridMultilevel"/>
    <w:tmpl w:val="5D04DC0E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6109736D"/>
    <w:multiLevelType w:val="hybridMultilevel"/>
    <w:tmpl w:val="65F4DB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7A7C4C"/>
    <w:multiLevelType w:val="hybridMultilevel"/>
    <w:tmpl w:val="873C9C2C"/>
    <w:lvl w:ilvl="0" w:tplc="E54AD798">
      <w:start w:val="1"/>
      <w:numFmt w:val="decimal"/>
      <w:pStyle w:val="MEB51"/>
      <w:lvlText w:val="5.%1."/>
      <w:lvlJc w:val="left"/>
      <w:pPr>
        <w:tabs>
          <w:tab w:val="num" w:pos="324"/>
        </w:tabs>
        <w:ind w:left="324" w:hanging="360"/>
      </w:pPr>
      <w:rPr>
        <w:rFonts w:ascii="Times New Roman" w:hAnsi="Times New Roman" w:hint="default"/>
        <w:color w:val="auto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044" w:hanging="360"/>
      </w:pPr>
    </w:lvl>
    <w:lvl w:ilvl="2" w:tplc="1409001B" w:tentative="1">
      <w:start w:val="1"/>
      <w:numFmt w:val="lowerRoman"/>
      <w:lvlText w:val="%3."/>
      <w:lvlJc w:val="right"/>
      <w:pPr>
        <w:ind w:left="1764" w:hanging="180"/>
      </w:pPr>
    </w:lvl>
    <w:lvl w:ilvl="3" w:tplc="1409000F" w:tentative="1">
      <w:start w:val="1"/>
      <w:numFmt w:val="decimal"/>
      <w:lvlText w:val="%4."/>
      <w:lvlJc w:val="left"/>
      <w:pPr>
        <w:ind w:left="2484" w:hanging="360"/>
      </w:pPr>
    </w:lvl>
    <w:lvl w:ilvl="4" w:tplc="14090019" w:tentative="1">
      <w:start w:val="1"/>
      <w:numFmt w:val="lowerLetter"/>
      <w:lvlText w:val="%5."/>
      <w:lvlJc w:val="left"/>
      <w:pPr>
        <w:ind w:left="3204" w:hanging="360"/>
      </w:pPr>
    </w:lvl>
    <w:lvl w:ilvl="5" w:tplc="1409001B" w:tentative="1">
      <w:start w:val="1"/>
      <w:numFmt w:val="lowerRoman"/>
      <w:lvlText w:val="%6."/>
      <w:lvlJc w:val="right"/>
      <w:pPr>
        <w:ind w:left="3924" w:hanging="180"/>
      </w:pPr>
    </w:lvl>
    <w:lvl w:ilvl="6" w:tplc="1409000F" w:tentative="1">
      <w:start w:val="1"/>
      <w:numFmt w:val="decimal"/>
      <w:lvlText w:val="%7."/>
      <w:lvlJc w:val="left"/>
      <w:pPr>
        <w:ind w:left="4644" w:hanging="360"/>
      </w:pPr>
    </w:lvl>
    <w:lvl w:ilvl="7" w:tplc="14090019" w:tentative="1">
      <w:start w:val="1"/>
      <w:numFmt w:val="lowerLetter"/>
      <w:lvlText w:val="%8."/>
      <w:lvlJc w:val="left"/>
      <w:pPr>
        <w:ind w:left="5364" w:hanging="360"/>
      </w:pPr>
    </w:lvl>
    <w:lvl w:ilvl="8" w:tplc="1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33" w15:restartNumberingAfterBreak="0">
    <w:nsid w:val="65512427"/>
    <w:multiLevelType w:val="hybridMultilevel"/>
    <w:tmpl w:val="6018FEB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9D208A"/>
    <w:multiLevelType w:val="hybridMultilevel"/>
    <w:tmpl w:val="148EFA9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1614AE"/>
    <w:multiLevelType w:val="hybridMultilevel"/>
    <w:tmpl w:val="296457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F86E14"/>
    <w:multiLevelType w:val="hybridMultilevel"/>
    <w:tmpl w:val="826CD1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705921"/>
    <w:multiLevelType w:val="hybridMultilevel"/>
    <w:tmpl w:val="358CC41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872AED"/>
    <w:multiLevelType w:val="hybridMultilevel"/>
    <w:tmpl w:val="008AFAE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74936"/>
    <w:multiLevelType w:val="hybridMultilevel"/>
    <w:tmpl w:val="66CE69A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16"/>
  </w:num>
  <w:num w:numId="4">
    <w:abstractNumId w:val="33"/>
  </w:num>
  <w:num w:numId="5">
    <w:abstractNumId w:val="25"/>
  </w:num>
  <w:num w:numId="6">
    <w:abstractNumId w:val="31"/>
  </w:num>
  <w:num w:numId="7">
    <w:abstractNumId w:val="20"/>
  </w:num>
  <w:num w:numId="8">
    <w:abstractNumId w:val="1"/>
  </w:num>
  <w:num w:numId="9">
    <w:abstractNumId w:val="22"/>
  </w:num>
  <w:num w:numId="10">
    <w:abstractNumId w:val="37"/>
  </w:num>
  <w:num w:numId="11">
    <w:abstractNumId w:val="7"/>
  </w:num>
  <w:num w:numId="12">
    <w:abstractNumId w:val="9"/>
  </w:num>
  <w:num w:numId="13">
    <w:abstractNumId w:val="34"/>
  </w:num>
  <w:num w:numId="14">
    <w:abstractNumId w:val="26"/>
  </w:num>
  <w:num w:numId="15">
    <w:abstractNumId w:val="2"/>
  </w:num>
  <w:num w:numId="16">
    <w:abstractNumId w:val="5"/>
  </w:num>
  <w:num w:numId="17">
    <w:abstractNumId w:val="24"/>
  </w:num>
  <w:num w:numId="18">
    <w:abstractNumId w:val="18"/>
  </w:num>
  <w:num w:numId="19">
    <w:abstractNumId w:val="29"/>
  </w:num>
  <w:num w:numId="20">
    <w:abstractNumId w:val="19"/>
  </w:num>
  <w:num w:numId="21">
    <w:abstractNumId w:val="8"/>
  </w:num>
  <w:num w:numId="22">
    <w:abstractNumId w:val="36"/>
  </w:num>
  <w:num w:numId="23">
    <w:abstractNumId w:val="30"/>
  </w:num>
  <w:num w:numId="24">
    <w:abstractNumId w:val="32"/>
  </w:num>
  <w:num w:numId="25">
    <w:abstractNumId w:val="13"/>
  </w:num>
  <w:num w:numId="26">
    <w:abstractNumId w:val="27"/>
  </w:num>
  <w:num w:numId="27">
    <w:abstractNumId w:val="38"/>
  </w:num>
  <w:num w:numId="28">
    <w:abstractNumId w:val="23"/>
  </w:num>
  <w:num w:numId="29">
    <w:abstractNumId w:val="3"/>
  </w:num>
  <w:num w:numId="30">
    <w:abstractNumId w:val="6"/>
  </w:num>
  <w:num w:numId="31">
    <w:abstractNumId w:val="11"/>
  </w:num>
  <w:num w:numId="32">
    <w:abstractNumId w:val="14"/>
  </w:num>
  <w:num w:numId="33">
    <w:abstractNumId w:val="12"/>
  </w:num>
  <w:num w:numId="34">
    <w:abstractNumId w:val="35"/>
  </w:num>
  <w:num w:numId="35">
    <w:abstractNumId w:val="39"/>
  </w:num>
  <w:num w:numId="36">
    <w:abstractNumId w:val="4"/>
  </w:num>
  <w:num w:numId="37">
    <w:abstractNumId w:val="10"/>
  </w:num>
  <w:num w:numId="38">
    <w:abstractNumId w:val="21"/>
  </w:num>
  <w:num w:numId="39">
    <w:abstractNumId w:val="15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09"/>
    <w:rsid w:val="00002E0F"/>
    <w:rsid w:val="00003F4B"/>
    <w:rsid w:val="000047E0"/>
    <w:rsid w:val="00006249"/>
    <w:rsid w:val="000210D6"/>
    <w:rsid w:val="00041712"/>
    <w:rsid w:val="0004285A"/>
    <w:rsid w:val="0005665D"/>
    <w:rsid w:val="00065687"/>
    <w:rsid w:val="000A08BE"/>
    <w:rsid w:val="000A3F2A"/>
    <w:rsid w:val="000A4FE8"/>
    <w:rsid w:val="000B0EAE"/>
    <w:rsid w:val="000C178B"/>
    <w:rsid w:val="000C6FFE"/>
    <w:rsid w:val="000E3672"/>
    <w:rsid w:val="00106CC9"/>
    <w:rsid w:val="001106E0"/>
    <w:rsid w:val="001165CF"/>
    <w:rsid w:val="00117CEE"/>
    <w:rsid w:val="001308A3"/>
    <w:rsid w:val="001663F0"/>
    <w:rsid w:val="001B58E3"/>
    <w:rsid w:val="001D4539"/>
    <w:rsid w:val="001D5A3E"/>
    <w:rsid w:val="001D60B7"/>
    <w:rsid w:val="0020469D"/>
    <w:rsid w:val="00211016"/>
    <w:rsid w:val="00211B6D"/>
    <w:rsid w:val="00224E18"/>
    <w:rsid w:val="00225994"/>
    <w:rsid w:val="0024346F"/>
    <w:rsid w:val="00256153"/>
    <w:rsid w:val="002653F7"/>
    <w:rsid w:val="00276609"/>
    <w:rsid w:val="00287EDE"/>
    <w:rsid w:val="00295C4E"/>
    <w:rsid w:val="002A78C7"/>
    <w:rsid w:val="002C51F6"/>
    <w:rsid w:val="002D1B99"/>
    <w:rsid w:val="002D2B8F"/>
    <w:rsid w:val="002D4429"/>
    <w:rsid w:val="002D4EEA"/>
    <w:rsid w:val="002E332E"/>
    <w:rsid w:val="00301A47"/>
    <w:rsid w:val="00302111"/>
    <w:rsid w:val="0033077C"/>
    <w:rsid w:val="003468DA"/>
    <w:rsid w:val="00374AC4"/>
    <w:rsid w:val="003772F8"/>
    <w:rsid w:val="00377419"/>
    <w:rsid w:val="00385EF5"/>
    <w:rsid w:val="00391D4C"/>
    <w:rsid w:val="003F3D64"/>
    <w:rsid w:val="003F415D"/>
    <w:rsid w:val="00423D55"/>
    <w:rsid w:val="00423EC0"/>
    <w:rsid w:val="00426391"/>
    <w:rsid w:val="004426EA"/>
    <w:rsid w:val="00445F00"/>
    <w:rsid w:val="0045621E"/>
    <w:rsid w:val="00461B91"/>
    <w:rsid w:val="00472013"/>
    <w:rsid w:val="0048243A"/>
    <w:rsid w:val="00486AE0"/>
    <w:rsid w:val="00491591"/>
    <w:rsid w:val="00494CC7"/>
    <w:rsid w:val="004B1D90"/>
    <w:rsid w:val="004C75E5"/>
    <w:rsid w:val="004E086F"/>
    <w:rsid w:val="004E0D85"/>
    <w:rsid w:val="004F0833"/>
    <w:rsid w:val="004F1209"/>
    <w:rsid w:val="00503EC8"/>
    <w:rsid w:val="005042C8"/>
    <w:rsid w:val="005105A9"/>
    <w:rsid w:val="005123A0"/>
    <w:rsid w:val="00522D34"/>
    <w:rsid w:val="00522FB9"/>
    <w:rsid w:val="00525351"/>
    <w:rsid w:val="00531274"/>
    <w:rsid w:val="00532EAD"/>
    <w:rsid w:val="00544D43"/>
    <w:rsid w:val="00544F96"/>
    <w:rsid w:val="0054740A"/>
    <w:rsid w:val="00552775"/>
    <w:rsid w:val="00555AA8"/>
    <w:rsid w:val="0056114A"/>
    <w:rsid w:val="005625AA"/>
    <w:rsid w:val="005762D0"/>
    <w:rsid w:val="00585364"/>
    <w:rsid w:val="0058635B"/>
    <w:rsid w:val="00586486"/>
    <w:rsid w:val="005D2479"/>
    <w:rsid w:val="005E21E7"/>
    <w:rsid w:val="005E35F6"/>
    <w:rsid w:val="005F14CD"/>
    <w:rsid w:val="006071A3"/>
    <w:rsid w:val="00607B93"/>
    <w:rsid w:val="006312F3"/>
    <w:rsid w:val="00650C3D"/>
    <w:rsid w:val="006544D9"/>
    <w:rsid w:val="006A1AA0"/>
    <w:rsid w:val="006A6148"/>
    <w:rsid w:val="006A768E"/>
    <w:rsid w:val="006B0FCF"/>
    <w:rsid w:val="006B4933"/>
    <w:rsid w:val="006B5F55"/>
    <w:rsid w:val="006B7366"/>
    <w:rsid w:val="006E5078"/>
    <w:rsid w:val="006E721E"/>
    <w:rsid w:val="006E7EB2"/>
    <w:rsid w:val="006F08FA"/>
    <w:rsid w:val="00700FEE"/>
    <w:rsid w:val="0070613C"/>
    <w:rsid w:val="007148B4"/>
    <w:rsid w:val="00717742"/>
    <w:rsid w:val="00717790"/>
    <w:rsid w:val="00721841"/>
    <w:rsid w:val="00732DD0"/>
    <w:rsid w:val="00745CEE"/>
    <w:rsid w:val="00757D94"/>
    <w:rsid w:val="007712E1"/>
    <w:rsid w:val="007B2AD1"/>
    <w:rsid w:val="007D0E7C"/>
    <w:rsid w:val="007F4D07"/>
    <w:rsid w:val="007F4DCE"/>
    <w:rsid w:val="008075D2"/>
    <w:rsid w:val="00833944"/>
    <w:rsid w:val="00854867"/>
    <w:rsid w:val="00893B6B"/>
    <w:rsid w:val="008A3581"/>
    <w:rsid w:val="008B1B15"/>
    <w:rsid w:val="008C33EC"/>
    <w:rsid w:val="008F12D5"/>
    <w:rsid w:val="00902ECD"/>
    <w:rsid w:val="00906C48"/>
    <w:rsid w:val="009103F3"/>
    <w:rsid w:val="0092078F"/>
    <w:rsid w:val="00924DD5"/>
    <w:rsid w:val="00954F06"/>
    <w:rsid w:val="00957EF1"/>
    <w:rsid w:val="00960017"/>
    <w:rsid w:val="00965C90"/>
    <w:rsid w:val="009667B4"/>
    <w:rsid w:val="009A028F"/>
    <w:rsid w:val="009B1912"/>
    <w:rsid w:val="009B4EA3"/>
    <w:rsid w:val="009B7F2B"/>
    <w:rsid w:val="009F029F"/>
    <w:rsid w:val="00A37112"/>
    <w:rsid w:val="00A5154F"/>
    <w:rsid w:val="00A55EAC"/>
    <w:rsid w:val="00A560F9"/>
    <w:rsid w:val="00A60C6B"/>
    <w:rsid w:val="00A60F4D"/>
    <w:rsid w:val="00A725B2"/>
    <w:rsid w:val="00A754EB"/>
    <w:rsid w:val="00A871C3"/>
    <w:rsid w:val="00AA5A99"/>
    <w:rsid w:val="00AD0D91"/>
    <w:rsid w:val="00AF119D"/>
    <w:rsid w:val="00AF1350"/>
    <w:rsid w:val="00AF1FC2"/>
    <w:rsid w:val="00B01695"/>
    <w:rsid w:val="00B031AF"/>
    <w:rsid w:val="00B23F9A"/>
    <w:rsid w:val="00B240F3"/>
    <w:rsid w:val="00B3251D"/>
    <w:rsid w:val="00B4044A"/>
    <w:rsid w:val="00B4478A"/>
    <w:rsid w:val="00B44BF6"/>
    <w:rsid w:val="00B5349A"/>
    <w:rsid w:val="00B65F38"/>
    <w:rsid w:val="00B66042"/>
    <w:rsid w:val="00B76377"/>
    <w:rsid w:val="00BA17AD"/>
    <w:rsid w:val="00BB0948"/>
    <w:rsid w:val="00BB1E89"/>
    <w:rsid w:val="00BB7261"/>
    <w:rsid w:val="00BD3B45"/>
    <w:rsid w:val="00BD7E8C"/>
    <w:rsid w:val="00BE0AE9"/>
    <w:rsid w:val="00BE5A68"/>
    <w:rsid w:val="00C05426"/>
    <w:rsid w:val="00C466F7"/>
    <w:rsid w:val="00C536B0"/>
    <w:rsid w:val="00C577AB"/>
    <w:rsid w:val="00C742E3"/>
    <w:rsid w:val="00C75E23"/>
    <w:rsid w:val="00C83FE6"/>
    <w:rsid w:val="00CA14B8"/>
    <w:rsid w:val="00CB097E"/>
    <w:rsid w:val="00CB2B62"/>
    <w:rsid w:val="00CB35C1"/>
    <w:rsid w:val="00CB7E81"/>
    <w:rsid w:val="00CC301A"/>
    <w:rsid w:val="00CD1EEC"/>
    <w:rsid w:val="00CD33E0"/>
    <w:rsid w:val="00CF314D"/>
    <w:rsid w:val="00CF3B02"/>
    <w:rsid w:val="00CF65B6"/>
    <w:rsid w:val="00D07FCC"/>
    <w:rsid w:val="00D17A26"/>
    <w:rsid w:val="00D3401D"/>
    <w:rsid w:val="00D3573F"/>
    <w:rsid w:val="00D357F9"/>
    <w:rsid w:val="00D45386"/>
    <w:rsid w:val="00D536BE"/>
    <w:rsid w:val="00D54FB3"/>
    <w:rsid w:val="00D55A9C"/>
    <w:rsid w:val="00D647D6"/>
    <w:rsid w:val="00D830A7"/>
    <w:rsid w:val="00D9663E"/>
    <w:rsid w:val="00D971F6"/>
    <w:rsid w:val="00DA6A7D"/>
    <w:rsid w:val="00DB1E88"/>
    <w:rsid w:val="00DC30A0"/>
    <w:rsid w:val="00DD0998"/>
    <w:rsid w:val="00DD25E3"/>
    <w:rsid w:val="00DF1E0F"/>
    <w:rsid w:val="00DF2746"/>
    <w:rsid w:val="00DF2C4E"/>
    <w:rsid w:val="00E057B6"/>
    <w:rsid w:val="00E07514"/>
    <w:rsid w:val="00E1589A"/>
    <w:rsid w:val="00E21AAB"/>
    <w:rsid w:val="00E254D6"/>
    <w:rsid w:val="00E464D0"/>
    <w:rsid w:val="00E50A9E"/>
    <w:rsid w:val="00E50D23"/>
    <w:rsid w:val="00E50DA5"/>
    <w:rsid w:val="00E825B5"/>
    <w:rsid w:val="00EA1A96"/>
    <w:rsid w:val="00EB6C58"/>
    <w:rsid w:val="00ED249A"/>
    <w:rsid w:val="00F06485"/>
    <w:rsid w:val="00F129A4"/>
    <w:rsid w:val="00F33BC0"/>
    <w:rsid w:val="00F836D9"/>
    <w:rsid w:val="00F86AB4"/>
    <w:rsid w:val="00F919F7"/>
    <w:rsid w:val="00F93228"/>
    <w:rsid w:val="00FA23FA"/>
    <w:rsid w:val="00FA677A"/>
    <w:rsid w:val="00FC0E52"/>
    <w:rsid w:val="00FD478A"/>
    <w:rsid w:val="00FD7028"/>
    <w:rsid w:val="00FE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  <w15:docId w15:val="{5B764E58-1094-4C3A-9AC2-EC9479E1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209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120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uiPriority w:val="99"/>
    <w:rsid w:val="004F1209"/>
    <w:rPr>
      <w:sz w:val="20"/>
      <w:szCs w:val="20"/>
    </w:rPr>
  </w:style>
  <w:style w:type="character" w:styleId="FootnoteReference">
    <w:name w:val="footnote reference"/>
    <w:uiPriority w:val="99"/>
    <w:rsid w:val="004F1209"/>
    <w:rPr>
      <w:vertAlign w:val="superscript"/>
    </w:rPr>
  </w:style>
  <w:style w:type="paragraph" w:styleId="Footer">
    <w:name w:val="footer"/>
    <w:basedOn w:val="Normal"/>
    <w:link w:val="FooterChar"/>
    <w:uiPriority w:val="99"/>
    <w:rsid w:val="00DF1E0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106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57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7D94"/>
    <w:rPr>
      <w:rFonts w:ascii="Tahoma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rsid w:val="000566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66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65D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056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665D"/>
    <w:rPr>
      <w:b/>
      <w:bCs/>
      <w:lang w:eastAsia="en-AU"/>
    </w:rPr>
  </w:style>
  <w:style w:type="paragraph" w:styleId="ListParagraph">
    <w:name w:val="List Paragraph"/>
    <w:basedOn w:val="Normal"/>
    <w:uiPriority w:val="34"/>
    <w:qFormat/>
    <w:rsid w:val="00FA677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F119D"/>
    <w:rPr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74AC4"/>
    <w:rPr>
      <w:lang w:eastAsia="en-AU"/>
    </w:rPr>
  </w:style>
  <w:style w:type="paragraph" w:customStyle="1" w:styleId="MEB51">
    <w:name w:val="MEB5.1"/>
    <w:basedOn w:val="Normal"/>
    <w:rsid w:val="00E50D23"/>
    <w:pPr>
      <w:numPr>
        <w:numId w:val="24"/>
      </w:numPr>
      <w:ind w:left="426" w:hanging="426"/>
      <w:jc w:val="both"/>
    </w:pPr>
    <w:rPr>
      <w:b/>
      <w:bCs/>
      <w:i/>
      <w:sz w:val="22"/>
    </w:rPr>
  </w:style>
  <w:style w:type="paragraph" w:styleId="Caption">
    <w:name w:val="caption"/>
    <w:basedOn w:val="Normal"/>
    <w:next w:val="Normal"/>
    <w:qFormat/>
    <w:rsid w:val="00385EF5"/>
    <w:rPr>
      <w:b/>
      <w:bCs/>
      <w:sz w:val="20"/>
      <w:szCs w:val="20"/>
    </w:rPr>
  </w:style>
  <w:style w:type="paragraph" w:customStyle="1" w:styleId="RepNormal">
    <w:name w:val="Rep_Normal"/>
    <w:basedOn w:val="NoSpacing"/>
    <w:qFormat/>
    <w:rsid w:val="00B66042"/>
    <w:pPr>
      <w:jc w:val="both"/>
    </w:pPr>
    <w:rPr>
      <w:rFonts w:eastAsia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B66042"/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47310-1304-4554-9EBE-6A06F1A8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EAG communication summary</vt:lpstr>
    </vt:vector>
  </TitlesOfParts>
  <Company>Auckland University of Technology</Company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EAG communication summary</dc:title>
  <dc:creator>AUT User</dc:creator>
  <cp:lastModifiedBy>Maria Bellringer</cp:lastModifiedBy>
  <cp:revision>4</cp:revision>
  <cp:lastPrinted>2015-10-22T21:11:00Z</cp:lastPrinted>
  <dcterms:created xsi:type="dcterms:W3CDTF">2015-10-22T21:10:00Z</dcterms:created>
  <dcterms:modified xsi:type="dcterms:W3CDTF">2015-10-22T21:12:00Z</dcterms:modified>
</cp:coreProperties>
</file>