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D54D50" w:rsidRDefault="00E42F1B" w:rsidP="00D54D50">
      <w:pPr>
        <w:pStyle w:val="Title"/>
      </w:pPr>
      <w:r>
        <w:t>Night Safety Procedures</w:t>
      </w:r>
    </w:p>
    <w:p w:rsidR="00C86248" w:rsidRDefault="00E42F1B" w:rsidP="00343365">
      <w:pPr>
        <w:pStyle w:val="Subhead"/>
      </w:pPr>
      <w:r>
        <w:t>Transitional Guideline</w:t>
      </w:r>
    </w:p>
    <w:p w:rsidR="00142954" w:rsidRPr="00142954" w:rsidRDefault="00142954" w:rsidP="00142954">
      <w:pPr>
        <w:sectPr w:rsidR="00142954" w:rsidRPr="00142954" w:rsidSect="000F2AE2">
          <w:headerReference w:type="default" r:id="rId8"/>
          <w:footerReference w:type="default" r:id="rId9"/>
          <w:pgSz w:w="11907" w:h="16834" w:code="9"/>
          <w:pgMar w:top="3969" w:right="851" w:bottom="851" w:left="2552" w:header="851" w:footer="851" w:gutter="0"/>
          <w:cols w:space="720"/>
        </w:sectPr>
      </w:pPr>
    </w:p>
    <w:p w:rsidR="001A5DC9" w:rsidRDefault="001A5DC9" w:rsidP="001A5DC9">
      <w:pPr>
        <w:pStyle w:val="Heading3"/>
      </w:pPr>
      <w:r>
        <w:lastRenderedPageBreak/>
        <w:t>Disclaimer</w:t>
      </w:r>
    </w:p>
    <w:p w:rsidR="001A5DC9" w:rsidRDefault="001A5DC9" w:rsidP="0070301C">
      <w:pPr>
        <w:pStyle w:val="Imprint"/>
        <w:spacing w:after="3000"/>
        <w:jc w:val="left"/>
      </w:pPr>
      <w:r>
        <w:t>While every care has been taken in the preparation of the information in this document, users are reminded that the Ministry of Health cannot accept legal liability for any errors or omissions or damages resulting from reliance on the information contained in this document.</w:t>
      </w:r>
    </w:p>
    <w:p w:rsidR="00A80363" w:rsidRPr="00442C1C" w:rsidRDefault="00A80363">
      <w:pPr>
        <w:pStyle w:val="Imprint"/>
      </w:pPr>
      <w:r>
        <w:t xml:space="preserve">Citation: </w:t>
      </w:r>
      <w:r w:rsidR="00442C1C">
        <w:t xml:space="preserve">Ministry of Health. </w:t>
      </w:r>
      <w:r w:rsidR="00E42F1B">
        <w:t>201</w:t>
      </w:r>
      <w:r w:rsidR="00FA46F0">
        <w:t>8</w:t>
      </w:r>
      <w:r w:rsidR="00442C1C">
        <w:t xml:space="preserve">. </w:t>
      </w:r>
      <w:r w:rsidR="00E42F1B">
        <w:rPr>
          <w:i/>
        </w:rPr>
        <w:t>Night Safety Procedures</w:t>
      </w:r>
      <w:r w:rsidR="008E3A07">
        <w:rPr>
          <w:i/>
        </w:rPr>
        <w:t xml:space="preserve">: </w:t>
      </w:r>
      <w:r w:rsidR="00E42F1B">
        <w:rPr>
          <w:i/>
        </w:rPr>
        <w:t>Transitional Guideline</w:t>
      </w:r>
      <w:r w:rsidR="00442C1C">
        <w:t>. Wellington: Ministry of Health.</w:t>
      </w:r>
    </w:p>
    <w:p w:rsidR="00C86248" w:rsidRDefault="00C86248">
      <w:pPr>
        <w:pStyle w:val="Imprint"/>
      </w:pPr>
      <w:r>
        <w:t xml:space="preserve">Published in </w:t>
      </w:r>
      <w:r w:rsidR="00FA46F0">
        <w:t>February 2018</w:t>
      </w:r>
      <w:r w:rsidR="005019AE">
        <w:br/>
      </w:r>
      <w:r>
        <w:t>by the</w:t>
      </w:r>
      <w:r w:rsidR="00442C1C">
        <w:t xml:space="preserve"> </w:t>
      </w:r>
      <w:r>
        <w:t>Ministry of Health</w:t>
      </w:r>
      <w:r>
        <w:br/>
        <w:t>PO Box 5013, Wellington</w:t>
      </w:r>
      <w:r w:rsidR="00A80363">
        <w:t xml:space="preserve"> 614</w:t>
      </w:r>
      <w:r w:rsidR="006041F0">
        <w:t>0</w:t>
      </w:r>
      <w:r>
        <w:t>, New Zealand</w:t>
      </w:r>
    </w:p>
    <w:p w:rsidR="00082CD6" w:rsidRPr="009C0F2D" w:rsidRDefault="00D863D0" w:rsidP="00082CD6">
      <w:pPr>
        <w:pStyle w:val="Imprint"/>
      </w:pPr>
      <w:r>
        <w:t>ISBN</w:t>
      </w:r>
      <w:r w:rsidR="00442C1C">
        <w:t xml:space="preserve"> </w:t>
      </w:r>
      <w:r w:rsidR="00FA46F0" w:rsidRPr="00FA46F0">
        <w:t>978-1-98-853950-8</w:t>
      </w:r>
      <w:r w:rsidR="00442C1C">
        <w:t xml:space="preserve"> </w:t>
      </w:r>
      <w:r>
        <w:t>(</w:t>
      </w:r>
      <w:r w:rsidR="00442C1C">
        <w:t>online</w:t>
      </w:r>
      <w:r>
        <w:t>)</w:t>
      </w:r>
      <w:r w:rsidR="00082CD6">
        <w:br/>
      </w:r>
      <w:r w:rsidR="00082CD6" w:rsidRPr="009C0F2D">
        <w:t xml:space="preserve">HP </w:t>
      </w:r>
      <w:r w:rsidR="00564EEB">
        <w:t>6784</w:t>
      </w:r>
    </w:p>
    <w:p w:rsidR="00C86248" w:rsidRPr="00A61ED8" w:rsidRDefault="008E3A07">
      <w:pPr>
        <w:pStyle w:val="Imprint"/>
        <w:rPr>
          <w:rStyle w:val="Hyperlink"/>
          <w:rFonts w:eastAsia="MS Gothic"/>
        </w:rPr>
      </w:pPr>
      <w:r>
        <w:t>This document is available at health.govt.nz</w:t>
      </w:r>
    </w:p>
    <w:p w:rsidR="00C86248" w:rsidRDefault="008C64C4">
      <w:pPr>
        <w:jc w:val="center"/>
      </w:pPr>
      <w:r>
        <w:rPr>
          <w:noProof/>
          <w:lang w:eastAsia="en-NZ"/>
        </w:rPr>
        <w:drawing>
          <wp:inline distT="0" distB="0" distL="0" distR="0" wp14:anchorId="0972188D" wp14:editId="792491A4">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7E74F1" w:rsidRPr="001F45A7" w:rsidRDefault="007E74F1" w:rsidP="001F45A7">
      <w:pPr>
        <w:spacing w:before="240"/>
        <w:ind w:right="-851"/>
        <w:rPr>
          <w:sz w:val="18"/>
          <w:szCs w:val="18"/>
        </w:rPr>
      </w:pPr>
      <w:r w:rsidRPr="001F45A7">
        <w:rPr>
          <w:b/>
          <w:noProof/>
          <w:sz w:val="18"/>
          <w:szCs w:val="18"/>
          <w:lang w:eastAsia="en-NZ"/>
        </w:rPr>
        <w:drawing>
          <wp:inline distT="0" distB="0" distL="0" distR="0" wp14:anchorId="0AF4382B" wp14:editId="561B7933">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1F45A7">
        <w:rPr>
          <w:sz w:val="18"/>
          <w:szCs w:val="18"/>
        </w:rPr>
        <w:t xml:space="preserve"> This work is licensed under the Creative Commons Attribution 4.0 International licence. In essence, </w:t>
      </w:r>
      <w:r w:rsidRPr="001F45A7">
        <w:rPr>
          <w:bCs/>
          <w:sz w:val="18"/>
          <w:szCs w:val="18"/>
        </w:rPr>
        <w:t xml:space="preserve">you are free to: </w:t>
      </w:r>
      <w:r w:rsidRPr="001F45A7">
        <w:rPr>
          <w:sz w:val="18"/>
          <w:szCs w:val="18"/>
        </w:rPr>
        <w:t xml:space="preserve">share ie, copy and redistribute the material in any medium or format; adapt ie, remix, transform and build upon the material. </w:t>
      </w:r>
      <w:r w:rsidRPr="001F45A7">
        <w:rPr>
          <w:bCs/>
          <w:sz w:val="18"/>
          <w:szCs w:val="18"/>
        </w:rPr>
        <w:t>You must give appropriate credit, provide a link to the licence and indicate if changes were made.</w:t>
      </w:r>
    </w:p>
    <w:p w:rsidR="00C86248" w:rsidRDefault="00C86248">
      <w:pPr>
        <w:jc w:val="center"/>
        <w:sectPr w:rsidR="00C86248" w:rsidSect="0016468A">
          <w:footerReference w:type="even" r:id="rId12"/>
          <w:footerReference w:type="default" r:id="rId13"/>
          <w:pgSz w:w="11907" w:h="16834" w:code="9"/>
          <w:pgMar w:top="1701" w:right="1134" w:bottom="1134" w:left="1985" w:header="0" w:footer="0" w:gutter="0"/>
          <w:cols w:space="720"/>
          <w:vAlign w:val="bottom"/>
        </w:sectPr>
      </w:pPr>
    </w:p>
    <w:p w:rsidR="00032C0A" w:rsidRDefault="00E42F1B" w:rsidP="008B19DC">
      <w:pPr>
        <w:pStyle w:val="Heading1"/>
      </w:pPr>
      <w:bookmarkStart w:id="0" w:name="_Toc501094640"/>
      <w:bookmarkStart w:id="1" w:name="_Toc405792991"/>
      <w:bookmarkStart w:id="2" w:name="_Toc405793224"/>
      <w:r>
        <w:lastRenderedPageBreak/>
        <w:t>Preface</w:t>
      </w:r>
      <w:bookmarkEnd w:id="0"/>
    </w:p>
    <w:p w:rsidR="00E42F1B" w:rsidRPr="00A61ED8" w:rsidRDefault="00E42F1B" w:rsidP="00E42F1B">
      <w:pPr>
        <w:rPr>
          <w:szCs w:val="22"/>
        </w:rPr>
      </w:pPr>
      <w:r w:rsidRPr="00A61ED8">
        <w:rPr>
          <w:szCs w:val="22"/>
        </w:rPr>
        <w:t xml:space="preserve">Night safety procedures is the practice of locking a patient in their bedroom overnight for the purposes of safety. This practice is based on a 1995 Ministry of Health document </w:t>
      </w:r>
      <w:r w:rsidRPr="00A61ED8">
        <w:rPr>
          <w:i/>
          <w:szCs w:val="22"/>
        </w:rPr>
        <w:t>Night Safety Procedures</w:t>
      </w:r>
      <w:r w:rsidRPr="00A61ED8">
        <w:rPr>
          <w:szCs w:val="22"/>
        </w:rPr>
        <w:t>.</w:t>
      </w:r>
    </w:p>
    <w:p w:rsidR="00E42F1B" w:rsidRPr="00A61ED8" w:rsidRDefault="00E42F1B" w:rsidP="00E42F1B">
      <w:pPr>
        <w:rPr>
          <w:szCs w:val="22"/>
        </w:rPr>
      </w:pPr>
    </w:p>
    <w:p w:rsidR="00E42F1B" w:rsidRPr="00A61ED8" w:rsidRDefault="00E42F1B" w:rsidP="00E42F1B">
      <w:pPr>
        <w:rPr>
          <w:szCs w:val="22"/>
        </w:rPr>
      </w:pPr>
      <w:r w:rsidRPr="00A61ED8">
        <w:rPr>
          <w:szCs w:val="22"/>
        </w:rPr>
        <w:t>The procedure, as it is currently constructed, is no longer fit for purpose and the Ministry of Health is working towards a phasing out of its use. As I have been advised that it is not immediately possible to stop using night safety procedures, we need to ensure patients receive adequate standards of care and monitoring and that practice is consistent with current expectations. This transitional guideline is being issued with that in mind.</w:t>
      </w:r>
    </w:p>
    <w:p w:rsidR="00E42F1B" w:rsidRPr="00A61ED8" w:rsidRDefault="00E42F1B" w:rsidP="00E42F1B">
      <w:pPr>
        <w:rPr>
          <w:szCs w:val="22"/>
        </w:rPr>
      </w:pPr>
    </w:p>
    <w:p w:rsidR="00E42F1B" w:rsidRPr="00A61ED8" w:rsidRDefault="00E42F1B" w:rsidP="00E42F1B">
      <w:pPr>
        <w:rPr>
          <w:szCs w:val="22"/>
        </w:rPr>
      </w:pPr>
    </w:p>
    <w:p w:rsidR="00E42F1B" w:rsidRPr="00A61ED8" w:rsidRDefault="00E42F1B" w:rsidP="00E42F1B">
      <w:pPr>
        <w:rPr>
          <w:szCs w:val="22"/>
        </w:rPr>
      </w:pPr>
      <w:r w:rsidRPr="00A61ED8">
        <w:rPr>
          <w:szCs w:val="22"/>
        </w:rPr>
        <w:t>Dr John Crawshaw</w:t>
      </w:r>
    </w:p>
    <w:p w:rsidR="00D71DF7" w:rsidRPr="00A61ED8" w:rsidRDefault="00E42F1B" w:rsidP="00E42F1B">
      <w:pPr>
        <w:rPr>
          <w:szCs w:val="22"/>
        </w:rPr>
      </w:pPr>
      <w:r w:rsidRPr="00A61ED8">
        <w:rPr>
          <w:szCs w:val="22"/>
        </w:rPr>
        <w:t>Director of Mental Health</w:t>
      </w:r>
    </w:p>
    <w:p w:rsidR="00032C0A" w:rsidRDefault="00032C0A" w:rsidP="00D71DF7"/>
    <w:p w:rsidR="003C624B" w:rsidRDefault="003C624B" w:rsidP="00D71DF7">
      <w:pPr>
        <w:sectPr w:rsidR="003C624B" w:rsidSect="009D5125">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rsidR="003C624B" w:rsidRDefault="003C624B" w:rsidP="00D71DF7"/>
    <w:p w:rsidR="003C624B" w:rsidRDefault="003C624B" w:rsidP="00D71DF7">
      <w:pPr>
        <w:sectPr w:rsidR="003C624B" w:rsidSect="009D5125">
          <w:footerReference w:type="even" r:id="rId18"/>
          <w:pgSz w:w="11907" w:h="16840" w:code="9"/>
          <w:pgMar w:top="851" w:right="1134" w:bottom="1134" w:left="1134" w:header="284" w:footer="567" w:gutter="284"/>
          <w:pgNumType w:fmt="lowerRoman"/>
          <w:cols w:space="720"/>
        </w:sectPr>
      </w:pPr>
    </w:p>
    <w:p w:rsidR="00C86248" w:rsidRDefault="00C86248" w:rsidP="00025A6F">
      <w:pPr>
        <w:pStyle w:val="IntroHead"/>
      </w:pPr>
      <w:r>
        <w:t>Contents</w:t>
      </w:r>
      <w:bookmarkEnd w:id="1"/>
      <w:bookmarkEnd w:id="2"/>
    </w:p>
    <w:p w:rsidR="00A248DA"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A248DA">
        <w:rPr>
          <w:noProof/>
        </w:rPr>
        <w:t>Preface</w:t>
      </w:r>
      <w:r w:rsidR="00A248DA">
        <w:rPr>
          <w:noProof/>
        </w:rPr>
        <w:tab/>
      </w:r>
      <w:r w:rsidR="00A248DA">
        <w:rPr>
          <w:noProof/>
        </w:rPr>
        <w:fldChar w:fldCharType="begin"/>
      </w:r>
      <w:r w:rsidR="00A248DA">
        <w:rPr>
          <w:noProof/>
        </w:rPr>
        <w:instrText xml:space="preserve"> PAGEREF _Toc501094640 \h </w:instrText>
      </w:r>
      <w:r w:rsidR="00A248DA">
        <w:rPr>
          <w:noProof/>
        </w:rPr>
      </w:r>
      <w:r w:rsidR="00A248DA">
        <w:rPr>
          <w:noProof/>
        </w:rPr>
        <w:fldChar w:fldCharType="separate"/>
      </w:r>
      <w:r w:rsidR="00CF4F32">
        <w:rPr>
          <w:noProof/>
        </w:rPr>
        <w:t>iii</w:t>
      </w:r>
      <w:r w:rsidR="00A248DA">
        <w:rPr>
          <w:noProof/>
        </w:rPr>
        <w:fldChar w:fldCharType="end"/>
      </w:r>
    </w:p>
    <w:p w:rsidR="00A248DA" w:rsidRDefault="00A248DA">
      <w:pPr>
        <w:pStyle w:val="TOC1"/>
        <w:rPr>
          <w:rFonts w:asciiTheme="minorHAnsi" w:eastAsiaTheme="minorEastAsia" w:hAnsiTheme="minorHAnsi" w:cstheme="minorBidi"/>
          <w:b w:val="0"/>
          <w:noProof/>
          <w:szCs w:val="22"/>
          <w:lang w:eastAsia="en-NZ"/>
        </w:rPr>
      </w:pPr>
      <w:r>
        <w:rPr>
          <w:noProof/>
        </w:rPr>
        <w:t>Introduction</w:t>
      </w:r>
      <w:r>
        <w:rPr>
          <w:noProof/>
        </w:rPr>
        <w:tab/>
      </w:r>
      <w:r>
        <w:rPr>
          <w:noProof/>
        </w:rPr>
        <w:fldChar w:fldCharType="begin"/>
      </w:r>
      <w:r>
        <w:rPr>
          <w:noProof/>
        </w:rPr>
        <w:instrText xml:space="preserve"> PAGEREF _Toc501094641 \h </w:instrText>
      </w:r>
      <w:r>
        <w:rPr>
          <w:noProof/>
        </w:rPr>
      </w:r>
      <w:r>
        <w:rPr>
          <w:noProof/>
        </w:rPr>
        <w:fldChar w:fldCharType="separate"/>
      </w:r>
      <w:r w:rsidR="00CF4F32">
        <w:rPr>
          <w:noProof/>
        </w:rPr>
        <w:t>1</w:t>
      </w:r>
      <w:r>
        <w:rPr>
          <w:noProof/>
        </w:rPr>
        <w:fldChar w:fldCharType="end"/>
      </w:r>
    </w:p>
    <w:p w:rsidR="00A248DA" w:rsidRDefault="00A248DA">
      <w:pPr>
        <w:pStyle w:val="TOC2"/>
        <w:rPr>
          <w:rFonts w:asciiTheme="minorHAnsi" w:eastAsiaTheme="minorEastAsia" w:hAnsiTheme="minorHAnsi" w:cstheme="minorBidi"/>
          <w:noProof/>
          <w:szCs w:val="22"/>
          <w:lang w:eastAsia="en-NZ"/>
        </w:rPr>
      </w:pPr>
      <w:r>
        <w:rPr>
          <w:noProof/>
        </w:rPr>
        <w:t>Purpose of this document</w:t>
      </w:r>
      <w:r>
        <w:rPr>
          <w:noProof/>
        </w:rPr>
        <w:tab/>
      </w:r>
      <w:r>
        <w:rPr>
          <w:noProof/>
        </w:rPr>
        <w:fldChar w:fldCharType="begin"/>
      </w:r>
      <w:r>
        <w:rPr>
          <w:noProof/>
        </w:rPr>
        <w:instrText xml:space="preserve"> PAGEREF _Toc501094642 \h </w:instrText>
      </w:r>
      <w:r>
        <w:rPr>
          <w:noProof/>
        </w:rPr>
      </w:r>
      <w:r>
        <w:rPr>
          <w:noProof/>
        </w:rPr>
        <w:fldChar w:fldCharType="separate"/>
      </w:r>
      <w:r w:rsidR="00CF4F32">
        <w:rPr>
          <w:noProof/>
        </w:rPr>
        <w:t>1</w:t>
      </w:r>
      <w:r>
        <w:rPr>
          <w:noProof/>
        </w:rPr>
        <w:fldChar w:fldCharType="end"/>
      </w:r>
    </w:p>
    <w:p w:rsidR="00A248DA" w:rsidRDefault="00A248DA">
      <w:pPr>
        <w:pStyle w:val="TOC2"/>
        <w:rPr>
          <w:rFonts w:asciiTheme="minorHAnsi" w:eastAsiaTheme="minorEastAsia" w:hAnsiTheme="minorHAnsi" w:cstheme="minorBidi"/>
          <w:noProof/>
          <w:szCs w:val="22"/>
          <w:lang w:eastAsia="en-NZ"/>
        </w:rPr>
      </w:pPr>
      <w:r>
        <w:rPr>
          <w:noProof/>
        </w:rPr>
        <w:t>Context</w:t>
      </w:r>
      <w:r>
        <w:rPr>
          <w:noProof/>
        </w:rPr>
        <w:tab/>
      </w:r>
      <w:r>
        <w:rPr>
          <w:noProof/>
        </w:rPr>
        <w:fldChar w:fldCharType="begin"/>
      </w:r>
      <w:r>
        <w:rPr>
          <w:noProof/>
        </w:rPr>
        <w:instrText xml:space="preserve"> PAGEREF _Toc501094643 \h </w:instrText>
      </w:r>
      <w:r>
        <w:rPr>
          <w:noProof/>
        </w:rPr>
      </w:r>
      <w:r>
        <w:rPr>
          <w:noProof/>
        </w:rPr>
        <w:fldChar w:fldCharType="separate"/>
      </w:r>
      <w:r w:rsidR="00CF4F32">
        <w:rPr>
          <w:noProof/>
        </w:rPr>
        <w:t>2</w:t>
      </w:r>
      <w:r>
        <w:rPr>
          <w:noProof/>
        </w:rPr>
        <w:fldChar w:fldCharType="end"/>
      </w:r>
    </w:p>
    <w:p w:rsidR="00A248DA" w:rsidRDefault="00A248DA">
      <w:pPr>
        <w:pStyle w:val="TOC1"/>
        <w:rPr>
          <w:rFonts w:asciiTheme="minorHAnsi" w:eastAsiaTheme="minorEastAsia" w:hAnsiTheme="minorHAnsi" w:cstheme="minorBidi"/>
          <w:b w:val="0"/>
          <w:noProof/>
          <w:szCs w:val="22"/>
          <w:lang w:eastAsia="en-NZ"/>
        </w:rPr>
      </w:pPr>
      <w:r>
        <w:rPr>
          <w:noProof/>
        </w:rPr>
        <w:t>Statement of principle</w:t>
      </w:r>
      <w:r>
        <w:rPr>
          <w:noProof/>
        </w:rPr>
        <w:tab/>
      </w:r>
      <w:r>
        <w:rPr>
          <w:noProof/>
        </w:rPr>
        <w:fldChar w:fldCharType="begin"/>
      </w:r>
      <w:r>
        <w:rPr>
          <w:noProof/>
        </w:rPr>
        <w:instrText xml:space="preserve"> PAGEREF _Toc501094644 \h </w:instrText>
      </w:r>
      <w:r>
        <w:rPr>
          <w:noProof/>
        </w:rPr>
      </w:r>
      <w:r>
        <w:rPr>
          <w:noProof/>
        </w:rPr>
        <w:fldChar w:fldCharType="separate"/>
      </w:r>
      <w:r w:rsidR="00CF4F32">
        <w:rPr>
          <w:noProof/>
        </w:rPr>
        <w:t>3</w:t>
      </w:r>
      <w:r>
        <w:rPr>
          <w:noProof/>
        </w:rPr>
        <w:fldChar w:fldCharType="end"/>
      </w:r>
    </w:p>
    <w:p w:rsidR="00A248DA" w:rsidRDefault="00A248DA">
      <w:pPr>
        <w:pStyle w:val="TOC1"/>
        <w:rPr>
          <w:rFonts w:asciiTheme="minorHAnsi" w:eastAsiaTheme="minorEastAsia" w:hAnsiTheme="minorHAnsi" w:cstheme="minorBidi"/>
          <w:b w:val="0"/>
          <w:noProof/>
          <w:szCs w:val="22"/>
          <w:lang w:eastAsia="en-NZ"/>
        </w:rPr>
      </w:pPr>
      <w:r>
        <w:rPr>
          <w:noProof/>
        </w:rPr>
        <w:t>Outcomes and criteria</w:t>
      </w:r>
      <w:r>
        <w:rPr>
          <w:noProof/>
        </w:rPr>
        <w:tab/>
      </w:r>
      <w:r>
        <w:rPr>
          <w:noProof/>
        </w:rPr>
        <w:fldChar w:fldCharType="begin"/>
      </w:r>
      <w:r>
        <w:rPr>
          <w:noProof/>
        </w:rPr>
        <w:instrText xml:space="preserve"> PAGEREF _Toc501094645 \h </w:instrText>
      </w:r>
      <w:r>
        <w:rPr>
          <w:noProof/>
        </w:rPr>
      </w:r>
      <w:r>
        <w:rPr>
          <w:noProof/>
        </w:rPr>
        <w:fldChar w:fldCharType="separate"/>
      </w:r>
      <w:r w:rsidR="00CF4F32">
        <w:rPr>
          <w:noProof/>
        </w:rPr>
        <w:t>4</w:t>
      </w:r>
      <w:r>
        <w:rPr>
          <w:noProof/>
        </w:rPr>
        <w:fldChar w:fldCharType="end"/>
      </w:r>
    </w:p>
    <w:p w:rsidR="00A248DA" w:rsidRDefault="00A248DA">
      <w:pPr>
        <w:pStyle w:val="TOC2"/>
        <w:rPr>
          <w:rFonts w:asciiTheme="minorHAnsi" w:eastAsiaTheme="minorEastAsia" w:hAnsiTheme="minorHAnsi" w:cstheme="minorBidi"/>
          <w:noProof/>
          <w:szCs w:val="22"/>
          <w:lang w:eastAsia="en-NZ"/>
        </w:rPr>
      </w:pPr>
      <w:r w:rsidRPr="00CE5106">
        <w:rPr>
          <w:rFonts w:eastAsia="Calibri"/>
          <w:noProof/>
        </w:rPr>
        <w:t>Outcomes</w:t>
      </w:r>
      <w:r>
        <w:rPr>
          <w:noProof/>
        </w:rPr>
        <w:tab/>
      </w:r>
      <w:r>
        <w:rPr>
          <w:noProof/>
        </w:rPr>
        <w:fldChar w:fldCharType="begin"/>
      </w:r>
      <w:r>
        <w:rPr>
          <w:noProof/>
        </w:rPr>
        <w:instrText xml:space="preserve"> PAGEREF _Toc501094646 \h </w:instrText>
      </w:r>
      <w:r>
        <w:rPr>
          <w:noProof/>
        </w:rPr>
      </w:r>
      <w:r>
        <w:rPr>
          <w:noProof/>
        </w:rPr>
        <w:fldChar w:fldCharType="separate"/>
      </w:r>
      <w:r w:rsidR="00CF4F32">
        <w:rPr>
          <w:noProof/>
        </w:rPr>
        <w:t>4</w:t>
      </w:r>
      <w:r>
        <w:rPr>
          <w:noProof/>
        </w:rPr>
        <w:fldChar w:fldCharType="end"/>
      </w:r>
    </w:p>
    <w:p w:rsidR="00A248DA" w:rsidRDefault="00A248DA">
      <w:pPr>
        <w:pStyle w:val="TOC2"/>
        <w:rPr>
          <w:rFonts w:asciiTheme="minorHAnsi" w:eastAsiaTheme="minorEastAsia" w:hAnsiTheme="minorHAnsi" w:cstheme="minorBidi"/>
          <w:noProof/>
          <w:szCs w:val="22"/>
          <w:lang w:eastAsia="en-NZ"/>
        </w:rPr>
      </w:pPr>
      <w:r w:rsidRPr="00CE5106">
        <w:rPr>
          <w:rFonts w:eastAsia="Calibri"/>
          <w:noProof/>
        </w:rPr>
        <w:t>Background</w:t>
      </w:r>
      <w:r>
        <w:rPr>
          <w:noProof/>
        </w:rPr>
        <w:tab/>
      </w:r>
      <w:r>
        <w:rPr>
          <w:noProof/>
        </w:rPr>
        <w:fldChar w:fldCharType="begin"/>
      </w:r>
      <w:r>
        <w:rPr>
          <w:noProof/>
        </w:rPr>
        <w:instrText xml:space="preserve"> PAGEREF _Toc501094647 \h </w:instrText>
      </w:r>
      <w:r>
        <w:rPr>
          <w:noProof/>
        </w:rPr>
      </w:r>
      <w:r>
        <w:rPr>
          <w:noProof/>
        </w:rPr>
        <w:fldChar w:fldCharType="separate"/>
      </w:r>
      <w:r w:rsidR="00CF4F32">
        <w:rPr>
          <w:noProof/>
        </w:rPr>
        <w:t>4</w:t>
      </w:r>
      <w:r>
        <w:rPr>
          <w:noProof/>
        </w:rPr>
        <w:fldChar w:fldCharType="end"/>
      </w:r>
    </w:p>
    <w:p w:rsidR="00A248DA" w:rsidRDefault="00A248DA">
      <w:pPr>
        <w:pStyle w:val="TOC2"/>
        <w:rPr>
          <w:rFonts w:asciiTheme="minorHAnsi" w:eastAsiaTheme="minorEastAsia" w:hAnsiTheme="minorHAnsi" w:cstheme="minorBidi"/>
          <w:noProof/>
          <w:szCs w:val="22"/>
          <w:lang w:eastAsia="en-NZ"/>
        </w:rPr>
      </w:pPr>
      <w:r w:rsidRPr="00CE5106">
        <w:rPr>
          <w:rFonts w:eastAsia="Calibri"/>
          <w:noProof/>
        </w:rPr>
        <w:t>Rights</w:t>
      </w:r>
      <w:r>
        <w:rPr>
          <w:noProof/>
        </w:rPr>
        <w:tab/>
      </w:r>
      <w:r>
        <w:rPr>
          <w:noProof/>
        </w:rPr>
        <w:fldChar w:fldCharType="begin"/>
      </w:r>
      <w:r>
        <w:rPr>
          <w:noProof/>
        </w:rPr>
        <w:instrText xml:space="preserve"> PAGEREF _Toc501094648 \h </w:instrText>
      </w:r>
      <w:r>
        <w:rPr>
          <w:noProof/>
        </w:rPr>
      </w:r>
      <w:r>
        <w:rPr>
          <w:noProof/>
        </w:rPr>
        <w:fldChar w:fldCharType="separate"/>
      </w:r>
      <w:r w:rsidR="00CF4F32">
        <w:rPr>
          <w:noProof/>
        </w:rPr>
        <w:t>5</w:t>
      </w:r>
      <w:r>
        <w:rPr>
          <w:noProof/>
        </w:rPr>
        <w:fldChar w:fldCharType="end"/>
      </w:r>
    </w:p>
    <w:p w:rsidR="00A248DA" w:rsidRDefault="00A248DA">
      <w:pPr>
        <w:pStyle w:val="TOC2"/>
        <w:rPr>
          <w:rFonts w:asciiTheme="minorHAnsi" w:eastAsiaTheme="minorEastAsia" w:hAnsiTheme="minorHAnsi" w:cstheme="minorBidi"/>
          <w:noProof/>
          <w:szCs w:val="22"/>
          <w:lang w:eastAsia="en-NZ"/>
        </w:rPr>
      </w:pPr>
      <w:r w:rsidRPr="00CE5106">
        <w:rPr>
          <w:rFonts w:eastAsia="Calibri"/>
          <w:noProof/>
        </w:rPr>
        <w:t>Regulations: The Health and Disability Standards</w:t>
      </w:r>
      <w:r>
        <w:rPr>
          <w:noProof/>
        </w:rPr>
        <w:tab/>
      </w:r>
      <w:r>
        <w:rPr>
          <w:noProof/>
        </w:rPr>
        <w:fldChar w:fldCharType="begin"/>
      </w:r>
      <w:r>
        <w:rPr>
          <w:noProof/>
        </w:rPr>
        <w:instrText xml:space="preserve"> PAGEREF _Toc501094649 \h </w:instrText>
      </w:r>
      <w:r>
        <w:rPr>
          <w:noProof/>
        </w:rPr>
      </w:r>
      <w:r>
        <w:rPr>
          <w:noProof/>
        </w:rPr>
        <w:fldChar w:fldCharType="separate"/>
      </w:r>
      <w:r w:rsidR="00CF4F32">
        <w:rPr>
          <w:noProof/>
        </w:rPr>
        <w:t>5</w:t>
      </w:r>
      <w:r>
        <w:rPr>
          <w:noProof/>
        </w:rPr>
        <w:fldChar w:fldCharType="end"/>
      </w:r>
    </w:p>
    <w:p w:rsidR="00A248DA" w:rsidRDefault="00A248DA">
      <w:pPr>
        <w:pStyle w:val="TOC2"/>
        <w:rPr>
          <w:rFonts w:asciiTheme="minorHAnsi" w:eastAsiaTheme="minorEastAsia" w:hAnsiTheme="minorHAnsi" w:cstheme="minorBidi"/>
          <w:noProof/>
          <w:szCs w:val="22"/>
          <w:lang w:eastAsia="en-NZ"/>
        </w:rPr>
      </w:pPr>
      <w:r w:rsidRPr="00CE5106">
        <w:rPr>
          <w:rFonts w:eastAsia="Calibri"/>
          <w:noProof/>
        </w:rPr>
        <w:t>Employment standards: Health and Safety at Work Act 2015</w:t>
      </w:r>
      <w:r>
        <w:rPr>
          <w:noProof/>
        </w:rPr>
        <w:tab/>
      </w:r>
      <w:r>
        <w:rPr>
          <w:noProof/>
        </w:rPr>
        <w:fldChar w:fldCharType="begin"/>
      </w:r>
      <w:r>
        <w:rPr>
          <w:noProof/>
        </w:rPr>
        <w:instrText xml:space="preserve"> PAGEREF _Toc501094650 \h </w:instrText>
      </w:r>
      <w:r>
        <w:rPr>
          <w:noProof/>
        </w:rPr>
      </w:r>
      <w:r>
        <w:rPr>
          <w:noProof/>
        </w:rPr>
        <w:fldChar w:fldCharType="separate"/>
      </w:r>
      <w:r w:rsidR="00CF4F32">
        <w:rPr>
          <w:noProof/>
        </w:rPr>
        <w:t>5</w:t>
      </w:r>
      <w:r>
        <w:rPr>
          <w:noProof/>
        </w:rPr>
        <w:fldChar w:fldCharType="end"/>
      </w:r>
    </w:p>
    <w:p w:rsidR="00A248DA" w:rsidRDefault="00A248DA">
      <w:pPr>
        <w:pStyle w:val="TOC2"/>
        <w:rPr>
          <w:rFonts w:asciiTheme="minorHAnsi" w:eastAsiaTheme="minorEastAsia" w:hAnsiTheme="minorHAnsi" w:cstheme="minorBidi"/>
          <w:noProof/>
          <w:szCs w:val="22"/>
          <w:lang w:eastAsia="en-NZ"/>
        </w:rPr>
      </w:pPr>
      <w:r>
        <w:rPr>
          <w:noProof/>
        </w:rPr>
        <w:t>Outcome 1</w:t>
      </w:r>
      <w:r>
        <w:rPr>
          <w:noProof/>
        </w:rPr>
        <w:tab/>
      </w:r>
      <w:r>
        <w:rPr>
          <w:noProof/>
        </w:rPr>
        <w:fldChar w:fldCharType="begin"/>
      </w:r>
      <w:r>
        <w:rPr>
          <w:noProof/>
        </w:rPr>
        <w:instrText xml:space="preserve"> PAGEREF _Toc501094651 \h </w:instrText>
      </w:r>
      <w:r>
        <w:rPr>
          <w:noProof/>
        </w:rPr>
      </w:r>
      <w:r>
        <w:rPr>
          <w:noProof/>
        </w:rPr>
        <w:fldChar w:fldCharType="separate"/>
      </w:r>
      <w:r w:rsidR="00CF4F32">
        <w:rPr>
          <w:noProof/>
        </w:rPr>
        <w:t>6</w:t>
      </w:r>
      <w:r>
        <w:rPr>
          <w:noProof/>
        </w:rPr>
        <w:fldChar w:fldCharType="end"/>
      </w:r>
    </w:p>
    <w:p w:rsidR="00A248DA" w:rsidRDefault="00A248DA">
      <w:pPr>
        <w:pStyle w:val="TOC2"/>
        <w:rPr>
          <w:rFonts w:asciiTheme="minorHAnsi" w:eastAsiaTheme="minorEastAsia" w:hAnsiTheme="minorHAnsi" w:cstheme="minorBidi"/>
          <w:noProof/>
          <w:szCs w:val="22"/>
          <w:lang w:eastAsia="en-NZ"/>
        </w:rPr>
      </w:pPr>
      <w:r w:rsidRPr="00CE5106">
        <w:rPr>
          <w:rFonts w:eastAsia="Calibri"/>
          <w:noProof/>
        </w:rPr>
        <w:t>Outcome 2</w:t>
      </w:r>
      <w:r>
        <w:rPr>
          <w:noProof/>
        </w:rPr>
        <w:tab/>
      </w:r>
      <w:r>
        <w:rPr>
          <w:noProof/>
        </w:rPr>
        <w:fldChar w:fldCharType="begin"/>
      </w:r>
      <w:r>
        <w:rPr>
          <w:noProof/>
        </w:rPr>
        <w:instrText xml:space="preserve"> PAGEREF _Toc501094652 \h </w:instrText>
      </w:r>
      <w:r>
        <w:rPr>
          <w:noProof/>
        </w:rPr>
      </w:r>
      <w:r>
        <w:rPr>
          <w:noProof/>
        </w:rPr>
        <w:fldChar w:fldCharType="separate"/>
      </w:r>
      <w:r w:rsidR="00CF4F32">
        <w:rPr>
          <w:noProof/>
        </w:rPr>
        <w:t>6</w:t>
      </w:r>
      <w:r>
        <w:rPr>
          <w:noProof/>
        </w:rPr>
        <w:fldChar w:fldCharType="end"/>
      </w:r>
    </w:p>
    <w:p w:rsidR="00A248DA" w:rsidRDefault="00A248DA">
      <w:pPr>
        <w:pStyle w:val="TOC2"/>
        <w:rPr>
          <w:rFonts w:asciiTheme="minorHAnsi" w:eastAsiaTheme="minorEastAsia" w:hAnsiTheme="minorHAnsi" w:cstheme="minorBidi"/>
          <w:noProof/>
          <w:szCs w:val="22"/>
          <w:lang w:eastAsia="en-NZ"/>
        </w:rPr>
      </w:pPr>
      <w:r>
        <w:rPr>
          <w:noProof/>
        </w:rPr>
        <w:t>Outcome 3</w:t>
      </w:r>
      <w:r>
        <w:rPr>
          <w:noProof/>
        </w:rPr>
        <w:tab/>
      </w:r>
      <w:r>
        <w:rPr>
          <w:noProof/>
        </w:rPr>
        <w:fldChar w:fldCharType="begin"/>
      </w:r>
      <w:r>
        <w:rPr>
          <w:noProof/>
        </w:rPr>
        <w:instrText xml:space="preserve"> PAGEREF _Toc501094653 \h </w:instrText>
      </w:r>
      <w:r>
        <w:rPr>
          <w:noProof/>
        </w:rPr>
      </w:r>
      <w:r>
        <w:rPr>
          <w:noProof/>
        </w:rPr>
        <w:fldChar w:fldCharType="separate"/>
      </w:r>
      <w:r w:rsidR="00CF4F32">
        <w:rPr>
          <w:noProof/>
        </w:rPr>
        <w:t>7</w:t>
      </w:r>
      <w:r>
        <w:rPr>
          <w:noProof/>
        </w:rPr>
        <w:fldChar w:fldCharType="end"/>
      </w:r>
    </w:p>
    <w:p w:rsidR="00A248DA" w:rsidRDefault="00A248DA">
      <w:pPr>
        <w:pStyle w:val="TOC1"/>
        <w:rPr>
          <w:rFonts w:asciiTheme="minorHAnsi" w:eastAsiaTheme="minorEastAsia" w:hAnsiTheme="minorHAnsi" w:cstheme="minorBidi"/>
          <w:b w:val="0"/>
          <w:noProof/>
          <w:szCs w:val="22"/>
          <w:lang w:eastAsia="en-NZ"/>
        </w:rPr>
      </w:pPr>
      <w:r>
        <w:rPr>
          <w:noProof/>
        </w:rPr>
        <w:t>Appendix 1: Relevant international and domestic legal/regulatory frameworks (overview)</w:t>
      </w:r>
      <w:r>
        <w:rPr>
          <w:noProof/>
        </w:rPr>
        <w:tab/>
      </w:r>
      <w:r>
        <w:rPr>
          <w:noProof/>
        </w:rPr>
        <w:fldChar w:fldCharType="begin"/>
      </w:r>
      <w:r>
        <w:rPr>
          <w:noProof/>
        </w:rPr>
        <w:instrText xml:space="preserve"> PAGEREF _Toc501094654 \h </w:instrText>
      </w:r>
      <w:r>
        <w:rPr>
          <w:noProof/>
        </w:rPr>
      </w:r>
      <w:r>
        <w:rPr>
          <w:noProof/>
        </w:rPr>
        <w:fldChar w:fldCharType="separate"/>
      </w:r>
      <w:r w:rsidR="00CF4F32">
        <w:rPr>
          <w:noProof/>
        </w:rPr>
        <w:t>8</w:t>
      </w:r>
      <w:r>
        <w:rPr>
          <w:noProof/>
        </w:rPr>
        <w:fldChar w:fldCharType="end"/>
      </w:r>
    </w:p>
    <w:p w:rsidR="00A248DA" w:rsidRDefault="00A248DA">
      <w:pPr>
        <w:pStyle w:val="TOC2"/>
        <w:rPr>
          <w:rFonts w:asciiTheme="minorHAnsi" w:eastAsiaTheme="minorEastAsia" w:hAnsiTheme="minorHAnsi" w:cstheme="minorBidi"/>
          <w:noProof/>
          <w:szCs w:val="22"/>
          <w:lang w:eastAsia="en-NZ"/>
        </w:rPr>
      </w:pPr>
      <w:r>
        <w:rPr>
          <w:noProof/>
          <w:lang w:eastAsia="en-NZ"/>
        </w:rPr>
        <w:t>Human rights treaties</w:t>
      </w:r>
      <w:r>
        <w:rPr>
          <w:noProof/>
        </w:rPr>
        <w:tab/>
      </w:r>
      <w:r>
        <w:rPr>
          <w:noProof/>
        </w:rPr>
        <w:fldChar w:fldCharType="begin"/>
      </w:r>
      <w:r>
        <w:rPr>
          <w:noProof/>
        </w:rPr>
        <w:instrText xml:space="preserve"> PAGEREF _Toc501094655 \h </w:instrText>
      </w:r>
      <w:r>
        <w:rPr>
          <w:noProof/>
        </w:rPr>
      </w:r>
      <w:r>
        <w:rPr>
          <w:noProof/>
        </w:rPr>
        <w:fldChar w:fldCharType="separate"/>
      </w:r>
      <w:r w:rsidR="00CF4F32">
        <w:rPr>
          <w:noProof/>
        </w:rPr>
        <w:t>8</w:t>
      </w:r>
      <w:r>
        <w:rPr>
          <w:noProof/>
        </w:rPr>
        <w:fldChar w:fldCharType="end"/>
      </w:r>
    </w:p>
    <w:p w:rsidR="00A248DA" w:rsidRDefault="00A248DA">
      <w:pPr>
        <w:pStyle w:val="TOC2"/>
        <w:rPr>
          <w:rFonts w:asciiTheme="minorHAnsi" w:eastAsiaTheme="minorEastAsia" w:hAnsiTheme="minorHAnsi" w:cstheme="minorBidi"/>
          <w:noProof/>
          <w:szCs w:val="22"/>
          <w:lang w:eastAsia="en-NZ"/>
        </w:rPr>
      </w:pPr>
      <w:r>
        <w:rPr>
          <w:noProof/>
          <w:lang w:eastAsia="en-NZ"/>
        </w:rPr>
        <w:t>New Zealand legislation</w:t>
      </w:r>
      <w:r>
        <w:rPr>
          <w:noProof/>
        </w:rPr>
        <w:tab/>
      </w:r>
      <w:r>
        <w:rPr>
          <w:noProof/>
        </w:rPr>
        <w:fldChar w:fldCharType="begin"/>
      </w:r>
      <w:r>
        <w:rPr>
          <w:noProof/>
        </w:rPr>
        <w:instrText xml:space="preserve"> PAGEREF _Toc501094656 \h </w:instrText>
      </w:r>
      <w:r>
        <w:rPr>
          <w:noProof/>
        </w:rPr>
      </w:r>
      <w:r>
        <w:rPr>
          <w:noProof/>
        </w:rPr>
        <w:fldChar w:fldCharType="separate"/>
      </w:r>
      <w:r w:rsidR="00CF4F32">
        <w:rPr>
          <w:noProof/>
        </w:rPr>
        <w:t>9</w:t>
      </w:r>
      <w:r>
        <w:rPr>
          <w:noProof/>
        </w:rPr>
        <w:fldChar w:fldCharType="end"/>
      </w:r>
    </w:p>
    <w:p w:rsidR="00C86248" w:rsidRDefault="00C86248">
      <w:r>
        <w:rPr>
          <w:b/>
        </w:rPr>
        <w:fldChar w:fldCharType="end"/>
      </w:r>
    </w:p>
    <w:p w:rsidR="00455CC9" w:rsidRDefault="00455CC9" w:rsidP="0086388B"/>
    <w:p w:rsidR="00C86248" w:rsidRDefault="00C86248">
      <w:pPr>
        <w:sectPr w:rsidR="00C86248" w:rsidSect="009D5125">
          <w:pgSz w:w="11907" w:h="16840" w:code="9"/>
          <w:pgMar w:top="851" w:right="1134" w:bottom="1134" w:left="1134" w:header="284" w:footer="567" w:gutter="284"/>
          <w:pgNumType w:fmt="lowerRoman"/>
          <w:cols w:space="720"/>
        </w:sectPr>
      </w:pPr>
    </w:p>
    <w:p w:rsidR="008C2973" w:rsidRDefault="00E42F1B" w:rsidP="008E3A07">
      <w:pPr>
        <w:pStyle w:val="Heading1"/>
      </w:pPr>
      <w:bookmarkStart w:id="3" w:name="_Toc501094641"/>
      <w:r>
        <w:t>Introduction</w:t>
      </w:r>
      <w:bookmarkEnd w:id="3"/>
    </w:p>
    <w:p w:rsidR="00A61ED8" w:rsidRDefault="00E42F1B" w:rsidP="00A61ED8">
      <w:pPr>
        <w:rPr>
          <w:rFonts w:eastAsia="Calibri"/>
        </w:rPr>
      </w:pPr>
      <w:r>
        <w:rPr>
          <w:rFonts w:eastAsia="Calibri"/>
        </w:rPr>
        <w:t xml:space="preserve">Patients under the Mental Health (Compulsory Assessment and Treatment) Act 1992 (the Mental Health Act) are subject to a range of restrictions. It is imperative that </w:t>
      </w:r>
      <w:r w:rsidRPr="00912AEE">
        <w:rPr>
          <w:rFonts w:eastAsia="Calibri"/>
        </w:rPr>
        <w:t>patients receive adequate standards of care and monitoring and that</w:t>
      </w:r>
      <w:r>
        <w:rPr>
          <w:rFonts w:eastAsia="Calibri"/>
        </w:rPr>
        <w:t xml:space="preserve"> services provided do not breach their rights.</w:t>
      </w:r>
      <w:r w:rsidRPr="00912AEE">
        <w:rPr>
          <w:rFonts w:eastAsia="Calibri"/>
        </w:rPr>
        <w:t xml:space="preserve"> </w:t>
      </w:r>
      <w:r>
        <w:rPr>
          <w:rFonts w:eastAsia="Calibri"/>
        </w:rPr>
        <w:t>C</w:t>
      </w:r>
      <w:r w:rsidRPr="00D97479">
        <w:rPr>
          <w:rFonts w:eastAsia="Calibri"/>
        </w:rPr>
        <w:t xml:space="preserve">are </w:t>
      </w:r>
      <w:r>
        <w:rPr>
          <w:rFonts w:eastAsia="Calibri"/>
        </w:rPr>
        <w:t xml:space="preserve">must be provided </w:t>
      </w:r>
      <w:r w:rsidRPr="00D97479">
        <w:rPr>
          <w:rFonts w:eastAsia="Calibri"/>
        </w:rPr>
        <w:t>in the least restrictive environment</w:t>
      </w:r>
      <w:r>
        <w:rPr>
          <w:rFonts w:eastAsia="Calibri"/>
        </w:rPr>
        <w:t xml:space="preserve"> whilst being</w:t>
      </w:r>
      <w:r w:rsidRPr="00D97479">
        <w:rPr>
          <w:rFonts w:eastAsia="Calibri"/>
        </w:rPr>
        <w:t xml:space="preserve"> proportionate to the assessed risks.</w:t>
      </w:r>
    </w:p>
    <w:p w:rsidR="00E42F1B" w:rsidRDefault="00E42F1B" w:rsidP="00A61ED8">
      <w:pPr>
        <w:rPr>
          <w:rFonts w:eastAsia="Calibri"/>
        </w:rPr>
      </w:pPr>
    </w:p>
    <w:p w:rsidR="00E42F1B" w:rsidRDefault="00E42F1B" w:rsidP="00A61ED8">
      <w:pPr>
        <w:rPr>
          <w:rFonts w:eastAsia="Calibri"/>
        </w:rPr>
      </w:pPr>
      <w:r>
        <w:rPr>
          <w:rFonts w:eastAsia="Calibri"/>
        </w:rPr>
        <w:t xml:space="preserve">A night safety procedure is the practice of </w:t>
      </w:r>
      <w:r w:rsidRPr="00150743">
        <w:rPr>
          <w:rFonts w:eastAsia="Calibri"/>
        </w:rPr>
        <w:t>locking a patient in their bedroom overnight</w:t>
      </w:r>
      <w:r>
        <w:rPr>
          <w:rFonts w:eastAsia="Calibri"/>
        </w:rPr>
        <w:t xml:space="preserve"> for the purposes of safety. The practice has no therapeutic function and constitutes (at the very least).a form of environmental restraint.</w:t>
      </w:r>
    </w:p>
    <w:p w:rsidR="00A61ED8" w:rsidRDefault="00A61ED8" w:rsidP="00A61ED8">
      <w:pPr>
        <w:rPr>
          <w:rFonts w:eastAsia="Calibri"/>
        </w:rPr>
      </w:pPr>
    </w:p>
    <w:p w:rsidR="00E42F1B" w:rsidRDefault="00E42F1B" w:rsidP="00A61ED8">
      <w:pPr>
        <w:rPr>
          <w:rFonts w:eastAsia="Calibri"/>
        </w:rPr>
      </w:pPr>
      <w:r>
        <w:rPr>
          <w:rFonts w:eastAsia="Calibri"/>
        </w:rPr>
        <w:t xml:space="preserve">Night safety procedures have been </w:t>
      </w:r>
      <w:r w:rsidRPr="00150743">
        <w:rPr>
          <w:rFonts w:eastAsia="Calibri"/>
        </w:rPr>
        <w:t xml:space="preserve">based on a 1995 Ministry of Health document </w:t>
      </w:r>
      <w:r w:rsidRPr="00912AEE">
        <w:rPr>
          <w:rFonts w:eastAsia="Calibri"/>
          <w:i/>
        </w:rPr>
        <w:t>Night Safety Procedures</w:t>
      </w:r>
      <w:r>
        <w:rPr>
          <w:rFonts w:eastAsia="Calibri"/>
          <w:i/>
        </w:rPr>
        <w:t xml:space="preserve">. </w:t>
      </w:r>
      <w:r>
        <w:rPr>
          <w:rFonts w:eastAsia="Calibri"/>
        </w:rPr>
        <w:t xml:space="preserve">Reducing and eventually eliminating the use of seclusion and restraint is a priority action in </w:t>
      </w:r>
      <w:r w:rsidRPr="007875FA">
        <w:rPr>
          <w:rFonts w:eastAsia="Calibri"/>
          <w:i/>
        </w:rPr>
        <w:t>Rising to the Challenge, the Mental Health Addiction Services Action Plan 2012</w:t>
      </w:r>
      <w:r w:rsidR="00A61ED8">
        <w:rPr>
          <w:rFonts w:eastAsia="Calibri"/>
          <w:i/>
        </w:rPr>
        <w:t>–</w:t>
      </w:r>
      <w:r w:rsidRPr="007875FA">
        <w:rPr>
          <w:rFonts w:eastAsia="Calibri"/>
          <w:i/>
        </w:rPr>
        <w:t>2017</w:t>
      </w:r>
      <w:r>
        <w:rPr>
          <w:rFonts w:eastAsia="Calibri"/>
        </w:rPr>
        <w:t>. In line with that direction, the Ministry of Health is working towards phasing out the use of night safety procedures and, as such, the Ministry</w:t>
      </w:r>
      <w:r w:rsidR="00A61ED8">
        <w:rPr>
          <w:rFonts w:eastAsia="Calibri"/>
        </w:rPr>
        <w:t>’</w:t>
      </w:r>
      <w:r>
        <w:rPr>
          <w:rFonts w:eastAsia="Calibri"/>
        </w:rPr>
        <w:t>s 1995 Night Safety Procedures document is no longer fit for purpose.</w:t>
      </w:r>
    </w:p>
    <w:p w:rsidR="00A61ED8" w:rsidRDefault="00A61ED8" w:rsidP="00A61ED8">
      <w:pPr>
        <w:rPr>
          <w:rFonts w:eastAsia="Calibri"/>
        </w:rPr>
      </w:pPr>
    </w:p>
    <w:p w:rsidR="00A61ED8" w:rsidRDefault="00E42F1B" w:rsidP="00A61ED8">
      <w:pPr>
        <w:rPr>
          <w:rFonts w:eastAsia="Calibri"/>
        </w:rPr>
      </w:pPr>
      <w:r>
        <w:rPr>
          <w:rFonts w:eastAsia="Calibri"/>
        </w:rPr>
        <w:t>In regions where night safety procedures are still in use, i</w:t>
      </w:r>
      <w:r w:rsidRPr="00912AEE">
        <w:rPr>
          <w:rFonts w:eastAsia="Calibri"/>
        </w:rPr>
        <w:t xml:space="preserve">t has been reported that </w:t>
      </w:r>
      <w:r>
        <w:rPr>
          <w:rFonts w:eastAsia="Calibri"/>
        </w:rPr>
        <w:t>they</w:t>
      </w:r>
      <w:r w:rsidRPr="00912AEE">
        <w:rPr>
          <w:rFonts w:eastAsia="Calibri"/>
        </w:rPr>
        <w:t xml:space="preserve"> are </w:t>
      </w:r>
      <w:r>
        <w:rPr>
          <w:rFonts w:eastAsia="Calibri"/>
        </w:rPr>
        <w:t xml:space="preserve">considered </w:t>
      </w:r>
      <w:r w:rsidRPr="00912AEE">
        <w:rPr>
          <w:rFonts w:eastAsia="Calibri"/>
        </w:rPr>
        <w:t>an essential component</w:t>
      </w:r>
      <w:r>
        <w:rPr>
          <w:rFonts w:eastAsia="Calibri"/>
        </w:rPr>
        <w:t xml:space="preserve"> to</w:t>
      </w:r>
      <w:r w:rsidRPr="00912AEE">
        <w:rPr>
          <w:rFonts w:eastAsia="Calibri"/>
        </w:rPr>
        <w:t xml:space="preserve"> providing a safe environment</w:t>
      </w:r>
      <w:r>
        <w:rPr>
          <w:rFonts w:eastAsia="Calibri"/>
        </w:rPr>
        <w:t>. Reasons cited include</w:t>
      </w:r>
      <w:r w:rsidRPr="00912AEE">
        <w:rPr>
          <w:rFonts w:eastAsia="Calibri"/>
        </w:rPr>
        <w:t xml:space="preserve"> issues with building design and lines of vision, staffing levels</w:t>
      </w:r>
      <w:r>
        <w:rPr>
          <w:rFonts w:eastAsia="Calibri"/>
        </w:rPr>
        <w:t>, and the level of risk that patients present with.</w:t>
      </w:r>
    </w:p>
    <w:p w:rsidR="00E42F1B" w:rsidRDefault="00E42F1B" w:rsidP="00A61ED8">
      <w:pPr>
        <w:rPr>
          <w:rFonts w:eastAsia="Calibri"/>
        </w:rPr>
      </w:pPr>
    </w:p>
    <w:p w:rsidR="00A61ED8" w:rsidRDefault="00E42F1B" w:rsidP="00A61ED8">
      <w:pPr>
        <w:pStyle w:val="Heading2"/>
      </w:pPr>
      <w:bookmarkStart w:id="4" w:name="_Toc501094642"/>
      <w:r>
        <w:t>Purpose of this document</w:t>
      </w:r>
      <w:bookmarkEnd w:id="4"/>
    </w:p>
    <w:p w:rsidR="00A61ED8" w:rsidRDefault="00E42F1B" w:rsidP="00A61ED8">
      <w:pPr>
        <w:rPr>
          <w:rFonts w:eastAsia="Calibri"/>
        </w:rPr>
      </w:pPr>
      <w:r w:rsidRPr="008246EC">
        <w:rPr>
          <w:rFonts w:eastAsia="Calibri"/>
        </w:rPr>
        <w:t>The Ministry is issuing these transitional guidelines to assist Directors of Area Mental Health Services (DAMHS), and others in mental health and secure disability services, who continue to use night safety procedures to work towards eventual elimination.</w:t>
      </w:r>
      <w:r>
        <w:rPr>
          <w:rFonts w:eastAsia="Calibri"/>
        </w:rPr>
        <w:t xml:space="preserve"> </w:t>
      </w:r>
      <w:r w:rsidRPr="008246EC">
        <w:rPr>
          <w:rFonts w:eastAsia="Calibri"/>
        </w:rPr>
        <w:t xml:space="preserve">This transitional guideline replaces the </w:t>
      </w:r>
      <w:r w:rsidRPr="008246EC">
        <w:rPr>
          <w:rFonts w:eastAsia="Calibri"/>
          <w:i/>
        </w:rPr>
        <w:t>Night Safety Procedures</w:t>
      </w:r>
      <w:r w:rsidRPr="008246EC">
        <w:rPr>
          <w:rFonts w:eastAsia="Calibri"/>
        </w:rPr>
        <w:t xml:space="preserve"> </w:t>
      </w:r>
      <w:r>
        <w:rPr>
          <w:rFonts w:eastAsia="Calibri"/>
        </w:rPr>
        <w:t>d</w:t>
      </w:r>
      <w:r w:rsidRPr="008246EC">
        <w:rPr>
          <w:rFonts w:eastAsia="Calibri"/>
        </w:rPr>
        <w:t>ocument issued in June 1995 by the Ministry of Health.</w:t>
      </w:r>
    </w:p>
    <w:p w:rsidR="00A61ED8" w:rsidRDefault="00A61ED8" w:rsidP="00A61ED8">
      <w:pPr>
        <w:rPr>
          <w:rFonts w:eastAsia="Calibri"/>
        </w:rPr>
      </w:pPr>
    </w:p>
    <w:p w:rsidR="00E42F1B" w:rsidRPr="008246EC" w:rsidRDefault="00E42F1B" w:rsidP="00A61ED8">
      <w:pPr>
        <w:rPr>
          <w:rFonts w:eastAsia="Calibri"/>
        </w:rPr>
      </w:pPr>
      <w:r w:rsidRPr="008246EC">
        <w:t xml:space="preserve">While this guideline is developed primarily in relation to the use of night safety </w:t>
      </w:r>
      <w:r>
        <w:t>procedures</w:t>
      </w:r>
      <w:r w:rsidRPr="008246EC">
        <w:t xml:space="preserve"> for patients under the M</w:t>
      </w:r>
      <w:r>
        <w:t>ental Health Act,</w:t>
      </w:r>
      <w:r w:rsidRPr="008246EC">
        <w:t xml:space="preserve"> in some instances these practices are in use in intellectual disability hospital level secure services. For this reason the </w:t>
      </w:r>
      <w:r>
        <w:t xml:space="preserve">transitional </w:t>
      </w:r>
      <w:r w:rsidRPr="008246EC">
        <w:t>guideline will also apply to hospital level secure services under the I</w:t>
      </w:r>
      <w:r>
        <w:t>ntellectual Disability (Compulsory Care and Rehabilitation) Act 2003 (I</w:t>
      </w:r>
      <w:r w:rsidRPr="008246EC">
        <w:t>D</w:t>
      </w:r>
      <w:r>
        <w:t>(</w:t>
      </w:r>
      <w:r w:rsidRPr="008246EC">
        <w:t>CC</w:t>
      </w:r>
      <w:r>
        <w:t>&amp;</w:t>
      </w:r>
      <w:r w:rsidRPr="008246EC">
        <w:t>R</w:t>
      </w:r>
      <w:r>
        <w:t>)</w:t>
      </w:r>
      <w:r w:rsidRPr="008246EC">
        <w:t xml:space="preserve"> Act</w:t>
      </w:r>
      <w:r>
        <w:t>)</w:t>
      </w:r>
      <w:r w:rsidRPr="008246EC">
        <w:t>.</w:t>
      </w:r>
    </w:p>
    <w:p w:rsidR="00E42F1B" w:rsidRDefault="00E42F1B" w:rsidP="00A61ED8"/>
    <w:p w:rsidR="00A61ED8" w:rsidRDefault="00E42F1B" w:rsidP="00A61ED8">
      <w:pPr>
        <w:pStyle w:val="Heading2"/>
      </w:pPr>
      <w:bookmarkStart w:id="5" w:name="_Toc501094643"/>
      <w:r w:rsidRPr="00912AEE">
        <w:t>Context</w:t>
      </w:r>
      <w:bookmarkEnd w:id="5"/>
    </w:p>
    <w:p w:rsidR="00E42F1B" w:rsidRPr="00912AEE" w:rsidRDefault="00E42F1B" w:rsidP="00A61ED8">
      <w:pPr>
        <w:keepNext/>
        <w:rPr>
          <w:rFonts w:eastAsia="Calibri"/>
        </w:rPr>
      </w:pPr>
      <w:r>
        <w:rPr>
          <w:rFonts w:eastAsia="Calibri"/>
        </w:rPr>
        <w:t>This practice guideline</w:t>
      </w:r>
      <w:r w:rsidRPr="00912AEE">
        <w:rPr>
          <w:rFonts w:eastAsia="Calibri"/>
        </w:rPr>
        <w:t xml:space="preserve"> should be read within the context of the following legislation:</w:t>
      </w:r>
    </w:p>
    <w:p w:rsidR="00E42F1B" w:rsidRPr="00912AEE" w:rsidRDefault="00E42F1B" w:rsidP="00A61ED8">
      <w:pPr>
        <w:pStyle w:val="Bullet"/>
        <w:keepNext/>
        <w:rPr>
          <w:rFonts w:eastAsia="Calibri"/>
        </w:rPr>
      </w:pPr>
      <w:r w:rsidRPr="00912AEE">
        <w:rPr>
          <w:rFonts w:eastAsia="Calibri"/>
        </w:rPr>
        <w:t xml:space="preserve">Mental Health </w:t>
      </w:r>
      <w:r>
        <w:rPr>
          <w:rFonts w:eastAsia="Calibri"/>
        </w:rPr>
        <w:t xml:space="preserve">(Compulsory Assessment and Treatment) </w:t>
      </w:r>
      <w:r w:rsidRPr="00912AEE">
        <w:rPr>
          <w:rFonts w:eastAsia="Calibri"/>
        </w:rPr>
        <w:t>Act 1992</w:t>
      </w:r>
    </w:p>
    <w:p w:rsidR="00A61ED8" w:rsidRDefault="00E42F1B" w:rsidP="00A61ED8">
      <w:pPr>
        <w:pStyle w:val="Bullet"/>
        <w:keepNext/>
        <w:rPr>
          <w:rFonts w:eastAsia="Calibri"/>
        </w:rPr>
      </w:pPr>
      <w:r w:rsidRPr="00912AEE">
        <w:rPr>
          <w:rFonts w:eastAsia="Calibri"/>
        </w:rPr>
        <w:t>Criminal Procedure (Ment</w:t>
      </w:r>
      <w:r>
        <w:rPr>
          <w:rFonts w:eastAsia="Calibri"/>
        </w:rPr>
        <w:t>ally Impaired Persons) Act 2003</w:t>
      </w:r>
    </w:p>
    <w:p w:rsidR="00E42F1B" w:rsidRDefault="00E42F1B" w:rsidP="00A61ED8">
      <w:pPr>
        <w:pStyle w:val="Bullet"/>
        <w:keepNext/>
        <w:rPr>
          <w:rFonts w:eastAsia="Calibri"/>
        </w:rPr>
      </w:pPr>
      <w:r w:rsidRPr="00912AEE">
        <w:rPr>
          <w:rFonts w:eastAsia="Calibri"/>
        </w:rPr>
        <w:t>Health and Safety at Work Act 2015</w:t>
      </w:r>
    </w:p>
    <w:p w:rsidR="00E42F1B" w:rsidRDefault="00E42F1B" w:rsidP="00A61ED8">
      <w:pPr>
        <w:pStyle w:val="Bullet"/>
        <w:keepNext/>
        <w:rPr>
          <w:rFonts w:eastAsia="Calibri"/>
        </w:rPr>
      </w:pPr>
      <w:r w:rsidRPr="00C87D8C">
        <w:rPr>
          <w:rFonts w:eastAsia="Calibri"/>
        </w:rPr>
        <w:t>Intellectual Disability Compulsory Care and Rehabilitation Act 2003</w:t>
      </w:r>
      <w:r>
        <w:rPr>
          <w:rFonts w:eastAsia="Calibri"/>
        </w:rPr>
        <w:t>.</w:t>
      </w:r>
    </w:p>
    <w:p w:rsidR="00A61ED8" w:rsidRDefault="00A61ED8" w:rsidP="00A61ED8">
      <w:pPr>
        <w:keepNext/>
        <w:rPr>
          <w:rFonts w:eastAsia="Calibri"/>
        </w:rPr>
      </w:pPr>
    </w:p>
    <w:p w:rsidR="00A61ED8" w:rsidRDefault="00E42F1B" w:rsidP="00A61ED8">
      <w:pPr>
        <w:keepNext/>
        <w:rPr>
          <w:rFonts w:eastAsia="Calibri"/>
        </w:rPr>
      </w:pPr>
      <w:r w:rsidRPr="00912AEE">
        <w:rPr>
          <w:rFonts w:eastAsia="Calibri"/>
        </w:rPr>
        <w:t>Th</w:t>
      </w:r>
      <w:r>
        <w:rPr>
          <w:rFonts w:eastAsia="Calibri"/>
        </w:rPr>
        <w:t>is practice guideline reflects the requirements of the:</w:t>
      </w:r>
    </w:p>
    <w:p w:rsidR="00A61ED8" w:rsidRDefault="00E42F1B" w:rsidP="00A61ED8">
      <w:pPr>
        <w:pStyle w:val="Bullet"/>
        <w:rPr>
          <w:rFonts w:eastAsia="Calibri"/>
        </w:rPr>
      </w:pPr>
      <w:r w:rsidRPr="00912AEE">
        <w:rPr>
          <w:rFonts w:eastAsia="Calibri"/>
        </w:rPr>
        <w:t>Health and Disability Services (Restraint Minimisation and Safe Practice) Standards (NZS</w:t>
      </w:r>
      <w:r w:rsidR="00A61ED8">
        <w:rPr>
          <w:rFonts w:eastAsia="Calibri"/>
        </w:rPr>
        <w:t> </w:t>
      </w:r>
      <w:r w:rsidRPr="00912AEE">
        <w:rPr>
          <w:rFonts w:eastAsia="Calibri"/>
        </w:rPr>
        <w:t>8134.2:2008)</w:t>
      </w:r>
      <w:r>
        <w:rPr>
          <w:rFonts w:eastAsia="Calibri"/>
        </w:rPr>
        <w:t>.</w:t>
      </w:r>
    </w:p>
    <w:p w:rsidR="00E42F1B" w:rsidRPr="00912AEE" w:rsidRDefault="00E42F1B" w:rsidP="00A61ED8">
      <w:pPr>
        <w:pStyle w:val="Bullet"/>
        <w:rPr>
          <w:rFonts w:eastAsia="Calibri"/>
        </w:rPr>
      </w:pPr>
      <w:r w:rsidRPr="00912AEE">
        <w:rPr>
          <w:rFonts w:eastAsia="Calibri"/>
        </w:rPr>
        <w:t>Health and Safety at Work (General Risk and Workplace Management) Regulations 2016</w:t>
      </w:r>
      <w:r>
        <w:rPr>
          <w:rFonts w:eastAsia="Calibri"/>
        </w:rPr>
        <w:t>.</w:t>
      </w:r>
    </w:p>
    <w:p w:rsidR="00A61ED8" w:rsidRDefault="00A61ED8" w:rsidP="00A61ED8">
      <w:pPr>
        <w:rPr>
          <w:rFonts w:eastAsia="Calibri"/>
        </w:rPr>
      </w:pPr>
    </w:p>
    <w:p w:rsidR="00E42F1B" w:rsidRPr="00912AEE" w:rsidRDefault="00E42F1B" w:rsidP="00A61ED8">
      <w:pPr>
        <w:rPr>
          <w:rFonts w:eastAsia="Calibri"/>
        </w:rPr>
      </w:pPr>
      <w:r w:rsidRPr="00912AEE">
        <w:rPr>
          <w:rFonts w:eastAsia="Calibri"/>
        </w:rPr>
        <w:t>Th</w:t>
      </w:r>
      <w:r>
        <w:rPr>
          <w:rFonts w:eastAsia="Calibri"/>
        </w:rPr>
        <w:t>is document is</w:t>
      </w:r>
      <w:r w:rsidRPr="00912AEE">
        <w:rPr>
          <w:rFonts w:eastAsia="Calibri"/>
        </w:rPr>
        <w:t xml:space="preserve"> intended to complement the following guidelines, accessible from the Ministry of Health</w:t>
      </w:r>
      <w:r w:rsidR="00A61ED8">
        <w:rPr>
          <w:rFonts w:eastAsia="Calibri"/>
        </w:rPr>
        <w:t>’</w:t>
      </w:r>
      <w:r w:rsidRPr="00912AEE">
        <w:rPr>
          <w:rFonts w:eastAsia="Calibri"/>
        </w:rPr>
        <w:t>s website, www.health.govt.nz:</w:t>
      </w:r>
    </w:p>
    <w:p w:rsidR="00E42F1B" w:rsidRPr="00912AEE" w:rsidRDefault="00E42F1B" w:rsidP="00A61ED8">
      <w:pPr>
        <w:pStyle w:val="Bullet"/>
        <w:rPr>
          <w:rFonts w:eastAsia="Calibri"/>
        </w:rPr>
      </w:pPr>
      <w:r w:rsidRPr="00912AEE">
        <w:rPr>
          <w:rFonts w:eastAsia="Calibri"/>
        </w:rPr>
        <w:t>Guidelines to the Mental Health (Compulsory Assessment and Treatment) Act 1992</w:t>
      </w:r>
    </w:p>
    <w:p w:rsidR="00E42F1B" w:rsidRDefault="00E42F1B" w:rsidP="00A61ED8">
      <w:pPr>
        <w:pStyle w:val="Bullet"/>
        <w:rPr>
          <w:rFonts w:eastAsia="Calibri"/>
        </w:rPr>
      </w:pPr>
      <w:r w:rsidRPr="00912AEE">
        <w:rPr>
          <w:rFonts w:eastAsia="Calibri"/>
        </w:rPr>
        <w:t>Guidelines for</w:t>
      </w:r>
      <w:r>
        <w:rPr>
          <w:rFonts w:eastAsia="Calibri"/>
        </w:rPr>
        <w:t xml:space="preserve"> Forensic Mental Health Services</w:t>
      </w:r>
    </w:p>
    <w:p w:rsidR="00E42F1B" w:rsidRDefault="00E42F1B" w:rsidP="00A61ED8">
      <w:pPr>
        <w:pStyle w:val="Bullet"/>
        <w:rPr>
          <w:rFonts w:eastAsia="Calibri"/>
        </w:rPr>
      </w:pPr>
      <w:r>
        <w:rPr>
          <w:rFonts w:eastAsia="Calibri"/>
        </w:rPr>
        <w:t>A Guide to the Intellectual Disability (Compulsory Care and Rehabilitation) Act 2003.</w:t>
      </w:r>
    </w:p>
    <w:p w:rsidR="00A61ED8" w:rsidRDefault="00A61ED8" w:rsidP="00A61ED8">
      <w:pPr>
        <w:rPr>
          <w:rFonts w:eastAsia="Calibri"/>
        </w:rPr>
      </w:pPr>
    </w:p>
    <w:p w:rsidR="00E42F1B" w:rsidRPr="00F82296" w:rsidRDefault="00A61ED8" w:rsidP="00A61ED8">
      <w:pPr>
        <w:pStyle w:val="Heading1"/>
      </w:pPr>
      <w:bookmarkStart w:id="6" w:name="_Toc501094644"/>
      <w:r>
        <w:t>Statement of p</w:t>
      </w:r>
      <w:r w:rsidR="00E42F1B">
        <w:t>rinciple</w:t>
      </w:r>
      <w:bookmarkEnd w:id="6"/>
    </w:p>
    <w:p w:rsidR="00E42F1B" w:rsidRPr="00D42BC1" w:rsidRDefault="00A61ED8" w:rsidP="00A61ED8">
      <w:pPr>
        <w:ind w:left="567" w:hanging="567"/>
        <w:rPr>
          <w:rFonts w:eastAsia="Calibri"/>
        </w:rPr>
      </w:pPr>
      <w:r>
        <w:rPr>
          <w:rFonts w:eastAsia="Calibri"/>
        </w:rPr>
        <w:t>1.</w:t>
      </w:r>
      <w:r>
        <w:rPr>
          <w:rFonts w:eastAsia="Calibri"/>
        </w:rPr>
        <w:tab/>
      </w:r>
      <w:r w:rsidR="00E42F1B" w:rsidRPr="00F82296" w:rsidDel="008570CA">
        <w:rPr>
          <w:rFonts w:eastAsia="Calibri"/>
        </w:rPr>
        <w:t xml:space="preserve">Locking a patient in their room is a restrictive </w:t>
      </w:r>
      <w:r w:rsidR="00E42F1B" w:rsidRPr="00F82296">
        <w:rPr>
          <w:rFonts w:eastAsia="Calibri"/>
        </w:rPr>
        <w:t>practice</w:t>
      </w:r>
      <w:r w:rsidR="00E42F1B" w:rsidRPr="00F82296" w:rsidDel="008570CA">
        <w:rPr>
          <w:rFonts w:eastAsia="Calibri"/>
        </w:rPr>
        <w:t>, and constitutes a use of force.</w:t>
      </w:r>
      <w:r w:rsidR="00E42F1B" w:rsidRPr="00F82296">
        <w:rPr>
          <w:rFonts w:eastAsia="Calibri"/>
        </w:rPr>
        <w:t xml:space="preserve"> The use of </w:t>
      </w:r>
      <w:r w:rsidR="00E42F1B">
        <w:rPr>
          <w:rFonts w:eastAsia="Calibri"/>
        </w:rPr>
        <w:t xml:space="preserve">all </w:t>
      </w:r>
      <w:r w:rsidR="00E42F1B" w:rsidRPr="00F82296">
        <w:rPr>
          <w:rFonts w:eastAsia="Calibri"/>
        </w:rPr>
        <w:t xml:space="preserve">restrictive practices, </w:t>
      </w:r>
      <w:r w:rsidR="00E42F1B">
        <w:rPr>
          <w:rFonts w:eastAsia="Calibri"/>
        </w:rPr>
        <w:t>including</w:t>
      </w:r>
      <w:r w:rsidR="00E42F1B" w:rsidRPr="00F82296">
        <w:rPr>
          <w:rFonts w:eastAsia="Calibri"/>
        </w:rPr>
        <w:t xml:space="preserve"> night safety</w:t>
      </w:r>
      <w:r w:rsidR="00E42F1B">
        <w:rPr>
          <w:rFonts w:eastAsia="Calibri"/>
        </w:rPr>
        <w:t xml:space="preserve"> procedures</w:t>
      </w:r>
      <w:r w:rsidR="00E42F1B" w:rsidRPr="00F82296">
        <w:rPr>
          <w:rFonts w:eastAsia="Calibri"/>
        </w:rPr>
        <w:t>, must be justified on an individual basis</w:t>
      </w:r>
      <w:r w:rsidR="00E42F1B">
        <w:rPr>
          <w:rFonts w:eastAsia="Calibri"/>
        </w:rPr>
        <w:t xml:space="preserve"> and must be for the shortest time possible</w:t>
      </w:r>
      <w:r w:rsidR="00E42F1B" w:rsidRPr="00F82296">
        <w:rPr>
          <w:rFonts w:eastAsia="Calibri"/>
        </w:rPr>
        <w:t>. Restrictive practices must be guided by ethical principles that include acting for the patient</w:t>
      </w:r>
      <w:r>
        <w:rPr>
          <w:rFonts w:eastAsia="Calibri"/>
        </w:rPr>
        <w:t>’</w:t>
      </w:r>
      <w:r w:rsidR="00E42F1B" w:rsidRPr="00F82296">
        <w:rPr>
          <w:rFonts w:eastAsia="Calibri"/>
        </w:rPr>
        <w:t xml:space="preserve">s beneficence, avoiding harm to the patient, avoiding harm to self and others, and respecting the dignity of the patient. </w:t>
      </w:r>
      <w:r w:rsidR="00E42F1B" w:rsidRPr="00D42BC1">
        <w:rPr>
          <w:rFonts w:eastAsia="Calibri"/>
        </w:rPr>
        <w:t>Blanket use of night safety procedures in forensic units is unacceptable.</w:t>
      </w:r>
    </w:p>
    <w:p w:rsidR="00E42F1B" w:rsidRPr="00520552" w:rsidRDefault="00E42F1B" w:rsidP="00A61ED8">
      <w:pPr>
        <w:ind w:left="567" w:hanging="567"/>
        <w:rPr>
          <w:rFonts w:eastAsia="Calibri"/>
        </w:rPr>
      </w:pPr>
    </w:p>
    <w:p w:rsidR="00E42F1B" w:rsidRDefault="00A61ED8" w:rsidP="00A61ED8">
      <w:pPr>
        <w:ind w:left="567" w:hanging="567"/>
        <w:rPr>
          <w:rFonts w:eastAsia="Calibri"/>
        </w:rPr>
      </w:pPr>
      <w:r>
        <w:rPr>
          <w:rFonts w:eastAsia="Calibri"/>
        </w:rPr>
        <w:t>2.</w:t>
      </w:r>
      <w:r>
        <w:rPr>
          <w:rFonts w:eastAsia="Calibri"/>
        </w:rPr>
        <w:tab/>
      </w:r>
      <w:r w:rsidR="00E42F1B">
        <w:rPr>
          <w:rFonts w:eastAsia="Calibri"/>
        </w:rPr>
        <w:t>Like</w:t>
      </w:r>
      <w:r w:rsidR="00E42F1B" w:rsidRPr="00520552">
        <w:rPr>
          <w:rFonts w:eastAsia="Calibri"/>
        </w:rPr>
        <w:t xml:space="preserve"> seclusion, t</w:t>
      </w:r>
      <w:r w:rsidR="00E42F1B" w:rsidRPr="00520552">
        <w:rPr>
          <w:rFonts w:cs="Meta Normal LF"/>
          <w:color w:val="000000"/>
        </w:rPr>
        <w:t>he decision to use night safety</w:t>
      </w:r>
      <w:r w:rsidR="00E42F1B">
        <w:rPr>
          <w:rFonts w:cs="Meta Normal LF"/>
          <w:color w:val="000000"/>
        </w:rPr>
        <w:t xml:space="preserve"> procedures</w:t>
      </w:r>
      <w:r w:rsidR="00E42F1B" w:rsidRPr="00520552">
        <w:rPr>
          <w:rFonts w:cs="Meta Normal LF"/>
          <w:color w:val="000000"/>
        </w:rPr>
        <w:t xml:space="preserve"> is based on </w:t>
      </w:r>
      <w:r w:rsidR="00E42F1B">
        <w:rPr>
          <w:rFonts w:cs="Meta Normal LF"/>
          <w:color w:val="000000"/>
        </w:rPr>
        <w:t xml:space="preserve">a </w:t>
      </w:r>
      <w:r w:rsidR="00E42F1B" w:rsidRPr="00520552">
        <w:rPr>
          <w:rFonts w:cs="Meta Normal LF"/>
          <w:color w:val="000000"/>
        </w:rPr>
        <w:t>duty of care</w:t>
      </w:r>
      <w:r w:rsidR="00E42F1B">
        <w:rPr>
          <w:rFonts w:cs="Meta Normal LF"/>
          <w:color w:val="000000"/>
        </w:rPr>
        <w:t>. Night safety procedures should only be</w:t>
      </w:r>
      <w:r w:rsidR="00E42F1B" w:rsidRPr="00520552">
        <w:rPr>
          <w:rFonts w:cs="Meta Normal LF"/>
          <w:color w:val="000000"/>
        </w:rPr>
        <w:t xml:space="preserve"> required for the</w:t>
      </w:r>
      <w:r w:rsidR="00E42F1B">
        <w:rPr>
          <w:rFonts w:cs="Meta Normal LF"/>
          <w:color w:val="000000"/>
        </w:rPr>
        <w:t xml:space="preserve"> management of risk to </w:t>
      </w:r>
      <w:r w:rsidR="00E42F1B" w:rsidRPr="00520552">
        <w:rPr>
          <w:rFonts w:cs="Meta Normal LF"/>
          <w:color w:val="000000"/>
        </w:rPr>
        <w:t xml:space="preserve">patients. </w:t>
      </w:r>
      <w:r w:rsidR="00E42F1B">
        <w:rPr>
          <w:rFonts w:cs="Meta Normal LF"/>
          <w:color w:val="000000"/>
        </w:rPr>
        <w:t xml:space="preserve">They </w:t>
      </w:r>
      <w:r w:rsidR="00E42F1B" w:rsidRPr="00520552">
        <w:rPr>
          <w:rFonts w:cs="Meta Normal LF"/>
          <w:color w:val="000000"/>
        </w:rPr>
        <w:t>should only be used when no other safe and effective intervention is possible.</w:t>
      </w:r>
      <w:r w:rsidR="00E42F1B">
        <w:rPr>
          <w:rFonts w:cs="Meta Normal LF"/>
          <w:color w:val="000000"/>
        </w:rPr>
        <w:t xml:space="preserve"> </w:t>
      </w:r>
      <w:r w:rsidR="00E42F1B" w:rsidRPr="00520552">
        <w:rPr>
          <w:rFonts w:cs="Meta Normal LF"/>
          <w:color w:val="000000"/>
        </w:rPr>
        <w:t xml:space="preserve">Night safety </w:t>
      </w:r>
      <w:r w:rsidR="00E42F1B">
        <w:rPr>
          <w:rFonts w:cs="Meta Normal LF"/>
          <w:color w:val="000000"/>
        </w:rPr>
        <w:t xml:space="preserve">procedures </w:t>
      </w:r>
      <w:r w:rsidR="00E42F1B" w:rsidRPr="00520552">
        <w:rPr>
          <w:rFonts w:cs="Meta Normal LF"/>
          <w:color w:val="000000"/>
        </w:rPr>
        <w:t>should not occur as part of a routine admission or therapeutic procedure, or be administered as discipline, or as a replacement for adequate levels of staff or resources.</w:t>
      </w:r>
    </w:p>
    <w:p w:rsidR="00E42F1B" w:rsidRDefault="00E42F1B" w:rsidP="00A61ED8">
      <w:pPr>
        <w:ind w:left="567" w:hanging="567"/>
        <w:rPr>
          <w:rFonts w:eastAsia="Calibri"/>
        </w:rPr>
      </w:pPr>
    </w:p>
    <w:p w:rsidR="00A61ED8" w:rsidRDefault="00A61ED8" w:rsidP="00A61ED8">
      <w:pPr>
        <w:ind w:left="567" w:hanging="567"/>
        <w:rPr>
          <w:rFonts w:eastAsia="Calibri"/>
        </w:rPr>
      </w:pPr>
      <w:r>
        <w:rPr>
          <w:rFonts w:eastAsia="Calibri"/>
        </w:rPr>
        <w:t>3.</w:t>
      </w:r>
      <w:r>
        <w:rPr>
          <w:rFonts w:eastAsia="Calibri"/>
        </w:rPr>
        <w:tab/>
      </w:r>
      <w:r w:rsidR="00E42F1B" w:rsidRPr="00703883">
        <w:rPr>
          <w:rFonts w:eastAsia="Calibri"/>
        </w:rPr>
        <w:t>Forensic services may legitimately need to restrict a person</w:t>
      </w:r>
      <w:r>
        <w:rPr>
          <w:rFonts w:eastAsia="Calibri"/>
        </w:rPr>
        <w:t>’</w:t>
      </w:r>
      <w:r w:rsidR="00E42F1B" w:rsidRPr="00703883">
        <w:rPr>
          <w:rFonts w:eastAsia="Calibri"/>
        </w:rPr>
        <w:t>s movement at night for the purposes of safety by locking the door to their room. Services may also require the restriction of movement at night. Examples of this may include patients only being able to access certain parts of the units but not others (eg</w:t>
      </w:r>
      <w:r>
        <w:rPr>
          <w:rFonts w:eastAsia="Calibri"/>
        </w:rPr>
        <w:t>,</w:t>
      </w:r>
      <w:r w:rsidR="00E42F1B" w:rsidRPr="00703883">
        <w:rPr>
          <w:rFonts w:eastAsia="Calibri"/>
        </w:rPr>
        <w:t xml:space="preserve"> the communal lounges).</w:t>
      </w:r>
      <w:r w:rsidR="00E42F1B">
        <w:rPr>
          <w:rFonts w:eastAsia="Calibri"/>
        </w:rPr>
        <w:t xml:space="preserve"> </w:t>
      </w:r>
      <w:r w:rsidR="00E42F1B" w:rsidRPr="00703883">
        <w:rPr>
          <w:rFonts w:eastAsia="Calibri"/>
        </w:rPr>
        <w:t>This a form of environmental restraint</w:t>
      </w:r>
      <w:r w:rsidR="00E42F1B">
        <w:rPr>
          <w:rFonts w:eastAsia="Calibri"/>
        </w:rPr>
        <w:t xml:space="preserve"> and should</w:t>
      </w:r>
      <w:r w:rsidR="00E42F1B" w:rsidRPr="00703883">
        <w:rPr>
          <w:rFonts w:eastAsia="Calibri"/>
        </w:rPr>
        <w:t xml:space="preserve"> be recorded and monitored as such.</w:t>
      </w:r>
    </w:p>
    <w:p w:rsidR="00A61ED8" w:rsidRDefault="00A61ED8" w:rsidP="00A61ED8">
      <w:pPr>
        <w:rPr>
          <w:rFonts w:eastAsia="Calibri"/>
        </w:rPr>
      </w:pPr>
    </w:p>
    <w:p w:rsidR="00A61ED8" w:rsidRDefault="00A61ED8" w:rsidP="00A61ED8">
      <w:pPr>
        <w:ind w:left="567" w:hanging="567"/>
        <w:rPr>
          <w:rFonts w:eastAsia="Calibri"/>
        </w:rPr>
      </w:pPr>
      <w:r>
        <w:rPr>
          <w:rFonts w:eastAsia="Calibri"/>
        </w:rPr>
        <w:t>4.</w:t>
      </w:r>
      <w:r>
        <w:rPr>
          <w:rFonts w:eastAsia="Calibri"/>
        </w:rPr>
        <w:tab/>
      </w:r>
      <w:r w:rsidR="00E42F1B">
        <w:rPr>
          <w:rFonts w:eastAsia="Calibri"/>
        </w:rPr>
        <w:t xml:space="preserve">Services should work to address the environmental issues that drive the use of night safety procedures, such as </w:t>
      </w:r>
      <w:r w:rsidR="00E42F1B" w:rsidRPr="00110AC7">
        <w:rPr>
          <w:rFonts w:eastAsia="Calibri"/>
        </w:rPr>
        <w:t>buil</w:t>
      </w:r>
      <w:r w:rsidR="00E42F1B">
        <w:rPr>
          <w:rFonts w:eastAsia="Calibri"/>
        </w:rPr>
        <w:t>ding design and lines of vision.</w:t>
      </w:r>
    </w:p>
    <w:p w:rsidR="00E42F1B" w:rsidRDefault="00E42F1B" w:rsidP="00A61ED8">
      <w:pPr>
        <w:rPr>
          <w:rFonts w:eastAsia="Calibri"/>
        </w:rPr>
      </w:pPr>
    </w:p>
    <w:p w:rsidR="00A61ED8" w:rsidRDefault="00E42F1B" w:rsidP="00A61ED8">
      <w:pPr>
        <w:pStyle w:val="Heading1"/>
      </w:pPr>
      <w:bookmarkStart w:id="7" w:name="_Toc501094645"/>
      <w:r>
        <w:t>Outcomes and criteria</w:t>
      </w:r>
      <w:bookmarkEnd w:id="7"/>
    </w:p>
    <w:p w:rsidR="00E42F1B" w:rsidRDefault="00E42F1B" w:rsidP="00A61ED8">
      <w:pPr>
        <w:rPr>
          <w:rFonts w:eastAsia="Calibri" w:cs="Arial"/>
          <w:szCs w:val="24"/>
        </w:rPr>
      </w:pPr>
      <w:r>
        <w:rPr>
          <w:noProof/>
          <w:lang w:eastAsia="en-NZ"/>
        </w:rPr>
        <w:drawing>
          <wp:inline distT="0" distB="0" distL="0" distR="0" wp14:anchorId="7A00653A" wp14:editId="7C3865B7">
            <wp:extent cx="6019800" cy="340042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E42F1B" w:rsidRPr="002A762B" w:rsidRDefault="00E42F1B" w:rsidP="00A61ED8">
      <w:pPr>
        <w:rPr>
          <w:rFonts w:eastAsia="Calibri"/>
        </w:rPr>
      </w:pPr>
    </w:p>
    <w:p w:rsidR="00A61ED8" w:rsidRDefault="00E42F1B" w:rsidP="00A61ED8">
      <w:pPr>
        <w:pStyle w:val="Heading2"/>
        <w:rPr>
          <w:rFonts w:eastAsia="Calibri"/>
        </w:rPr>
      </w:pPr>
      <w:bookmarkStart w:id="8" w:name="_Toc501094646"/>
      <w:r w:rsidRPr="003F547A">
        <w:rPr>
          <w:rFonts w:eastAsia="Calibri"/>
        </w:rPr>
        <w:t>Outcomes</w:t>
      </w:r>
      <w:bookmarkEnd w:id="8"/>
    </w:p>
    <w:p w:rsidR="00E42F1B" w:rsidRPr="00D97479" w:rsidRDefault="00E42F1B" w:rsidP="00A61ED8">
      <w:pPr>
        <w:rPr>
          <w:rFonts w:eastAsia="Calibri"/>
        </w:rPr>
      </w:pPr>
      <w:r>
        <w:rPr>
          <w:rFonts w:eastAsia="Calibri"/>
        </w:rPr>
        <w:t>There are three</w:t>
      </w:r>
      <w:r w:rsidRPr="00D97479">
        <w:rPr>
          <w:rFonts w:eastAsia="Calibri"/>
        </w:rPr>
        <w:t xml:space="preserve"> outcomes intended by this document. The accompanying criteria outline the requirements </w:t>
      </w:r>
      <w:r>
        <w:rPr>
          <w:rFonts w:eastAsia="Calibri"/>
        </w:rPr>
        <w:t xml:space="preserve">that </w:t>
      </w:r>
      <w:r w:rsidRPr="00D97479">
        <w:rPr>
          <w:rFonts w:eastAsia="Calibri"/>
        </w:rPr>
        <w:t>servic</w:t>
      </w:r>
      <w:r>
        <w:rPr>
          <w:rFonts w:eastAsia="Calibri"/>
        </w:rPr>
        <w:t xml:space="preserve">es must meet to comply with this practice </w:t>
      </w:r>
      <w:r w:rsidRPr="00D97479">
        <w:rPr>
          <w:rFonts w:eastAsia="Calibri"/>
        </w:rPr>
        <w:t>guidance.</w:t>
      </w:r>
    </w:p>
    <w:p w:rsidR="00A61ED8" w:rsidRDefault="00A61ED8" w:rsidP="00A61ED8">
      <w:pPr>
        <w:spacing w:before="120"/>
        <w:ind w:left="567" w:hanging="567"/>
        <w:rPr>
          <w:rFonts w:eastAsia="Calibri"/>
        </w:rPr>
      </w:pPr>
      <w:r>
        <w:rPr>
          <w:rFonts w:eastAsia="Calibri"/>
        </w:rPr>
        <w:t>1.</w:t>
      </w:r>
      <w:r>
        <w:rPr>
          <w:rFonts w:eastAsia="Calibri"/>
        </w:rPr>
        <w:tab/>
      </w:r>
      <w:r w:rsidR="00E42F1B">
        <w:rPr>
          <w:rFonts w:eastAsia="Calibri"/>
        </w:rPr>
        <w:t>The use of night safety procedures will be eliminated from practice by 30 December 2022. Future services will not use night safety procedures.</w:t>
      </w:r>
    </w:p>
    <w:p w:rsidR="00E42F1B" w:rsidRDefault="00A61ED8" w:rsidP="00A61ED8">
      <w:pPr>
        <w:spacing w:before="120"/>
        <w:ind w:left="567" w:hanging="567"/>
        <w:rPr>
          <w:rFonts w:eastAsia="Calibri"/>
        </w:rPr>
      </w:pPr>
      <w:r>
        <w:rPr>
          <w:rFonts w:eastAsia="Calibri"/>
        </w:rPr>
        <w:t>2.</w:t>
      </w:r>
      <w:r>
        <w:rPr>
          <w:rFonts w:eastAsia="Calibri"/>
        </w:rPr>
        <w:tab/>
      </w:r>
      <w:r w:rsidR="00E42F1B" w:rsidRPr="00520552">
        <w:rPr>
          <w:rFonts w:eastAsia="Calibri"/>
        </w:rPr>
        <w:t>Rights of patients and staf</w:t>
      </w:r>
      <w:r w:rsidR="00E42F1B">
        <w:rPr>
          <w:rFonts w:eastAsia="Calibri"/>
        </w:rPr>
        <w:t>f are recognised and protected.</w:t>
      </w:r>
    </w:p>
    <w:p w:rsidR="00E42F1B" w:rsidRDefault="00A61ED8" w:rsidP="00A61ED8">
      <w:pPr>
        <w:spacing w:before="120"/>
        <w:ind w:left="567" w:hanging="567"/>
        <w:rPr>
          <w:rFonts w:eastAsia="Calibri"/>
        </w:rPr>
      </w:pPr>
      <w:r>
        <w:rPr>
          <w:rFonts w:eastAsia="Calibri"/>
        </w:rPr>
        <w:t>3.</w:t>
      </w:r>
      <w:r>
        <w:rPr>
          <w:rFonts w:eastAsia="Calibri"/>
        </w:rPr>
        <w:tab/>
      </w:r>
      <w:r w:rsidR="00E42F1B" w:rsidRPr="00520552">
        <w:rPr>
          <w:rFonts w:eastAsia="Calibri"/>
        </w:rPr>
        <w:t>The Ministry of Health maintains oversight of the current use of night safety procedures.</w:t>
      </w:r>
    </w:p>
    <w:p w:rsidR="00E42F1B" w:rsidRDefault="00E42F1B" w:rsidP="00A61ED8">
      <w:pPr>
        <w:rPr>
          <w:rFonts w:eastAsia="Calibri"/>
        </w:rPr>
      </w:pPr>
    </w:p>
    <w:p w:rsidR="00A61ED8" w:rsidRDefault="00E42F1B" w:rsidP="00A61ED8">
      <w:pPr>
        <w:pStyle w:val="Heading2"/>
        <w:rPr>
          <w:rFonts w:eastAsia="Calibri"/>
        </w:rPr>
      </w:pPr>
      <w:bookmarkStart w:id="9" w:name="_Toc501094647"/>
      <w:r w:rsidRPr="003F547A">
        <w:rPr>
          <w:rFonts w:eastAsia="Calibri"/>
        </w:rPr>
        <w:t>Background</w:t>
      </w:r>
      <w:bookmarkEnd w:id="9"/>
    </w:p>
    <w:p w:rsidR="00A61ED8" w:rsidRDefault="00E42F1B" w:rsidP="00A61ED8">
      <w:pPr>
        <w:rPr>
          <w:rFonts w:eastAsia="Calibri"/>
        </w:rPr>
      </w:pPr>
      <w:r>
        <w:rPr>
          <w:rFonts w:eastAsia="Calibri"/>
        </w:rPr>
        <w:t>Providing</w:t>
      </w:r>
      <w:r w:rsidRPr="00D42BC1">
        <w:rPr>
          <w:rFonts w:eastAsia="Calibri"/>
        </w:rPr>
        <w:t xml:space="preserve"> for safety and order may reasonably require the use of restrictive practices and this may take different forms. The Mental Health</w:t>
      </w:r>
      <w:r>
        <w:rPr>
          <w:rFonts w:eastAsia="Calibri"/>
        </w:rPr>
        <w:t xml:space="preserve"> Act</w:t>
      </w:r>
      <w:r w:rsidRPr="00D42BC1">
        <w:rPr>
          <w:rFonts w:eastAsia="Calibri"/>
        </w:rPr>
        <w:t xml:space="preserve"> </w:t>
      </w:r>
      <w:r>
        <w:rPr>
          <w:rFonts w:eastAsia="Calibri"/>
        </w:rPr>
        <w:t xml:space="preserve">and the ID(CC&amp;R) Act </w:t>
      </w:r>
      <w:r w:rsidRPr="00D42BC1">
        <w:rPr>
          <w:rFonts w:eastAsia="Calibri"/>
        </w:rPr>
        <w:t>provide wide discretionary powers for the use of re</w:t>
      </w:r>
      <w:r>
        <w:rPr>
          <w:rFonts w:eastAsia="Calibri"/>
        </w:rPr>
        <w:t>strictive practices.</w:t>
      </w:r>
    </w:p>
    <w:p w:rsidR="00E42F1B" w:rsidRDefault="00E42F1B" w:rsidP="00A61ED8">
      <w:pPr>
        <w:rPr>
          <w:rFonts w:eastAsia="Calibri"/>
        </w:rPr>
      </w:pPr>
    </w:p>
    <w:p w:rsidR="00E42F1B" w:rsidRDefault="00E42F1B" w:rsidP="00A61ED8">
      <w:pPr>
        <w:rPr>
          <w:rFonts w:eastAsia="Calibri"/>
        </w:rPr>
      </w:pPr>
      <w:r w:rsidRPr="00D42BC1">
        <w:rPr>
          <w:rFonts w:eastAsia="Calibri"/>
        </w:rPr>
        <w:t xml:space="preserve">The powers for providing compulsory assessment and treatment under the </w:t>
      </w:r>
      <w:r>
        <w:rPr>
          <w:rFonts w:eastAsia="Calibri"/>
        </w:rPr>
        <w:t xml:space="preserve">Mental Health </w:t>
      </w:r>
      <w:r w:rsidRPr="00D42BC1">
        <w:rPr>
          <w:rFonts w:eastAsia="Calibri"/>
        </w:rPr>
        <w:t>Act</w:t>
      </w:r>
      <w:r>
        <w:rPr>
          <w:rFonts w:eastAsia="Calibri"/>
        </w:rPr>
        <w:t xml:space="preserve"> and compulsory care under the ID(CC&amp;R) Act</w:t>
      </w:r>
      <w:r w:rsidRPr="00D42BC1">
        <w:rPr>
          <w:rFonts w:eastAsia="Calibri"/>
        </w:rPr>
        <w:t xml:space="preserve"> should be read consistently with the rights in the N</w:t>
      </w:r>
      <w:r>
        <w:rPr>
          <w:rFonts w:eastAsia="Calibri"/>
        </w:rPr>
        <w:t xml:space="preserve">ew Zealand Bill of Rights Act 1990 (NZBORA) </w:t>
      </w:r>
      <w:r w:rsidRPr="00D42BC1">
        <w:rPr>
          <w:rFonts w:eastAsia="Calibri"/>
        </w:rPr>
        <w:t>and the Code of Health and Disability Services Consumers</w:t>
      </w:r>
      <w:r w:rsidR="00A61ED8">
        <w:rPr>
          <w:rFonts w:eastAsia="Calibri"/>
        </w:rPr>
        <w:t>’</w:t>
      </w:r>
      <w:r w:rsidRPr="00D42BC1">
        <w:rPr>
          <w:rFonts w:eastAsia="Calibri"/>
        </w:rPr>
        <w:t xml:space="preserve"> Rights </w:t>
      </w:r>
      <w:r>
        <w:rPr>
          <w:rFonts w:eastAsia="Calibri"/>
        </w:rPr>
        <w:t xml:space="preserve">1996 </w:t>
      </w:r>
      <w:r w:rsidRPr="00D42BC1">
        <w:rPr>
          <w:rFonts w:eastAsia="Calibri"/>
        </w:rPr>
        <w:t>as far as possible.</w:t>
      </w:r>
    </w:p>
    <w:p w:rsidR="00E42F1B" w:rsidRDefault="00E42F1B" w:rsidP="00A61ED8">
      <w:pPr>
        <w:rPr>
          <w:rFonts w:eastAsia="Calibri"/>
        </w:rPr>
      </w:pPr>
    </w:p>
    <w:p w:rsidR="00A61ED8" w:rsidRDefault="00E42F1B" w:rsidP="00A61ED8">
      <w:pPr>
        <w:pStyle w:val="Heading2"/>
        <w:rPr>
          <w:rFonts w:eastAsia="Calibri"/>
        </w:rPr>
      </w:pPr>
      <w:bookmarkStart w:id="10" w:name="_Toc501094648"/>
      <w:r w:rsidRPr="001A701B">
        <w:rPr>
          <w:rFonts w:eastAsia="Calibri"/>
        </w:rPr>
        <w:t>Rights</w:t>
      </w:r>
      <w:bookmarkEnd w:id="10"/>
    </w:p>
    <w:p w:rsidR="00A61ED8" w:rsidRDefault="00E42F1B" w:rsidP="00A61ED8">
      <w:pPr>
        <w:keepLines/>
        <w:rPr>
          <w:rFonts w:eastAsia="Calibri"/>
        </w:rPr>
      </w:pPr>
      <w:r w:rsidRPr="00D42BC1">
        <w:rPr>
          <w:rFonts w:eastAsia="Calibri"/>
        </w:rPr>
        <w:t xml:space="preserve">The rights of people detained in mental health </w:t>
      </w:r>
      <w:r>
        <w:rPr>
          <w:rFonts w:eastAsia="Calibri"/>
        </w:rPr>
        <w:t xml:space="preserve">and hospital level secure disability </w:t>
      </w:r>
      <w:r w:rsidRPr="00D42BC1">
        <w:rPr>
          <w:rFonts w:eastAsia="Calibri"/>
        </w:rPr>
        <w:t>facilities in New Zealand are set out in a range of international standards and guidelines in New Zealand law and policy</w:t>
      </w:r>
      <w:r>
        <w:rPr>
          <w:rFonts w:eastAsia="Calibri"/>
        </w:rPr>
        <w:t xml:space="preserve"> (refer Appendix)</w:t>
      </w:r>
      <w:r w:rsidRPr="00D42BC1">
        <w:rPr>
          <w:rFonts w:eastAsia="Calibri"/>
        </w:rPr>
        <w:t>.</w:t>
      </w:r>
      <w:r w:rsidR="00A61ED8">
        <w:rPr>
          <w:rFonts w:eastAsia="Calibri"/>
        </w:rPr>
        <w:t xml:space="preserve"> </w:t>
      </w:r>
      <w:r>
        <w:rPr>
          <w:rFonts w:eastAsia="Calibri"/>
        </w:rPr>
        <w:t>U</w:t>
      </w:r>
      <w:r w:rsidRPr="00D42BC1">
        <w:rPr>
          <w:rFonts w:eastAsia="Calibri"/>
        </w:rPr>
        <w:t>nauthorised restriction on a patients</w:t>
      </w:r>
      <w:r w:rsidR="00A61ED8">
        <w:rPr>
          <w:rFonts w:eastAsia="Calibri"/>
        </w:rPr>
        <w:t>’</w:t>
      </w:r>
      <w:r w:rsidRPr="00D42BC1">
        <w:rPr>
          <w:rFonts w:eastAsia="Calibri"/>
        </w:rPr>
        <w:t xml:space="preserve"> rights c</w:t>
      </w:r>
      <w:r>
        <w:rPr>
          <w:rFonts w:eastAsia="Calibri"/>
        </w:rPr>
        <w:t>ould</w:t>
      </w:r>
      <w:r w:rsidRPr="00D42BC1">
        <w:rPr>
          <w:rFonts w:eastAsia="Calibri"/>
        </w:rPr>
        <w:t xml:space="preserve"> be considered unlawful. Additionally, minimum rights and entitlements are set out in law which apply to all employees.</w:t>
      </w:r>
    </w:p>
    <w:p w:rsidR="00E42F1B" w:rsidRDefault="00E42F1B" w:rsidP="00A61ED8">
      <w:pPr>
        <w:rPr>
          <w:rFonts w:eastAsia="Calibri"/>
        </w:rPr>
      </w:pPr>
    </w:p>
    <w:p w:rsidR="00E42F1B" w:rsidRDefault="00E42F1B" w:rsidP="00A61ED8">
      <w:pPr>
        <w:rPr>
          <w:rFonts w:eastAsia="Calibri"/>
        </w:rPr>
      </w:pPr>
      <w:r>
        <w:rPr>
          <w:rFonts w:eastAsia="Calibri"/>
        </w:rPr>
        <w:t>T</w:t>
      </w:r>
      <w:r w:rsidRPr="00D42BC1">
        <w:rPr>
          <w:rFonts w:eastAsia="Calibri"/>
        </w:rPr>
        <w:t xml:space="preserve">he Mental Health Act </w:t>
      </w:r>
      <w:r>
        <w:rPr>
          <w:rFonts w:eastAsia="Calibri"/>
        </w:rPr>
        <w:t>incorporates a number of patients</w:t>
      </w:r>
      <w:r w:rsidR="00A61ED8">
        <w:rPr>
          <w:rFonts w:eastAsia="Calibri"/>
        </w:rPr>
        <w:t>’</w:t>
      </w:r>
      <w:r>
        <w:rPr>
          <w:rFonts w:eastAsia="Calibri"/>
        </w:rPr>
        <w:t xml:space="preserve"> rights; </w:t>
      </w:r>
      <w:r w:rsidRPr="00D42BC1">
        <w:rPr>
          <w:rFonts w:eastAsia="Calibri"/>
        </w:rPr>
        <w:t>it has inbuilt protection of the rights of patients and proposed patients</w:t>
      </w:r>
      <w:r>
        <w:rPr>
          <w:rFonts w:eastAsia="Calibri"/>
        </w:rPr>
        <w:t xml:space="preserve"> as does the ID(CC&amp;R) Act.</w:t>
      </w:r>
      <w:r w:rsidRPr="00D42BC1">
        <w:rPr>
          <w:rFonts w:eastAsia="Calibri"/>
        </w:rPr>
        <w:t xml:space="preserve"> These rights supplement the rights affirmed in the NZB</w:t>
      </w:r>
      <w:r>
        <w:rPr>
          <w:rFonts w:eastAsia="Calibri"/>
        </w:rPr>
        <w:t>O</w:t>
      </w:r>
      <w:r w:rsidRPr="00D42BC1">
        <w:rPr>
          <w:rFonts w:eastAsia="Calibri"/>
        </w:rPr>
        <w:t>RA and the rights enjoyed by all health service patients under the Health and Disability Services Consumers</w:t>
      </w:r>
      <w:r w:rsidR="00A61ED8">
        <w:rPr>
          <w:rFonts w:eastAsia="Calibri"/>
        </w:rPr>
        <w:t>’</w:t>
      </w:r>
      <w:r w:rsidRPr="00D42BC1">
        <w:rPr>
          <w:rFonts w:eastAsia="Calibri"/>
        </w:rPr>
        <w:t xml:space="preserve"> Code of Rights (Code of Rights).</w:t>
      </w:r>
    </w:p>
    <w:p w:rsidR="00E42F1B" w:rsidRDefault="00E42F1B" w:rsidP="00A61ED8">
      <w:pPr>
        <w:rPr>
          <w:rFonts w:eastAsia="Calibri"/>
        </w:rPr>
      </w:pPr>
    </w:p>
    <w:p w:rsidR="00E42F1B" w:rsidRDefault="00E42F1B" w:rsidP="00A61ED8">
      <w:pPr>
        <w:rPr>
          <w:rFonts w:eastAsia="Calibri"/>
        </w:rPr>
      </w:pPr>
      <w:r w:rsidRPr="00D42BC1">
        <w:rPr>
          <w:rFonts w:eastAsia="Calibri"/>
        </w:rPr>
        <w:t>New Zealand has a number of mechanisms in place to ensure the protection of every person</w:t>
      </w:r>
      <w:r w:rsidR="00A61ED8">
        <w:rPr>
          <w:rFonts w:eastAsia="Calibri"/>
        </w:rPr>
        <w:t>’</w:t>
      </w:r>
      <w:r w:rsidRPr="00D42BC1">
        <w:rPr>
          <w:rFonts w:eastAsia="Calibri"/>
        </w:rPr>
        <w:t>s rights</w:t>
      </w:r>
      <w:r>
        <w:rPr>
          <w:rFonts w:eastAsia="Calibri"/>
        </w:rPr>
        <w:t>. Men</w:t>
      </w:r>
      <w:r w:rsidRPr="00D42BC1">
        <w:rPr>
          <w:rFonts w:eastAsia="Calibri"/>
        </w:rPr>
        <w:t xml:space="preserve">tal health services are required to demonstrate their </w:t>
      </w:r>
      <w:r>
        <w:rPr>
          <w:rFonts w:eastAsia="Calibri"/>
        </w:rPr>
        <w:t>respect for these rights</w:t>
      </w:r>
      <w:r w:rsidRPr="00D42BC1">
        <w:rPr>
          <w:rFonts w:eastAsia="Calibri"/>
        </w:rPr>
        <w:t xml:space="preserve"> through a number of monitoring mechanisms</w:t>
      </w:r>
      <w:r>
        <w:rPr>
          <w:rFonts w:eastAsia="Calibri"/>
        </w:rPr>
        <w:t>, including District Inspectors and the National Preventive Mechanisms under the Optional Protocol on the Convention Against Torture (OPCAT)</w:t>
      </w:r>
      <w:r w:rsidRPr="00D42BC1">
        <w:rPr>
          <w:rFonts w:eastAsia="Calibri"/>
        </w:rPr>
        <w:t>. Torture and other cruel, inhuman or degrading treatment or punishment is absolutely prohibited under New Zealand</w:t>
      </w:r>
      <w:r>
        <w:rPr>
          <w:rFonts w:eastAsia="Calibri"/>
        </w:rPr>
        <w:t xml:space="preserve"> and</w:t>
      </w:r>
      <w:r w:rsidRPr="00D42BC1">
        <w:rPr>
          <w:rFonts w:eastAsia="Calibri"/>
        </w:rPr>
        <w:t xml:space="preserve"> international</w:t>
      </w:r>
      <w:r>
        <w:rPr>
          <w:rFonts w:eastAsia="Calibri"/>
        </w:rPr>
        <w:t xml:space="preserve"> </w:t>
      </w:r>
      <w:r w:rsidRPr="00D42BC1">
        <w:rPr>
          <w:rFonts w:eastAsia="Calibri"/>
        </w:rPr>
        <w:t>law.</w:t>
      </w:r>
    </w:p>
    <w:p w:rsidR="00E42F1B" w:rsidRDefault="00E42F1B" w:rsidP="00A61ED8">
      <w:pPr>
        <w:rPr>
          <w:rFonts w:eastAsia="Calibri"/>
        </w:rPr>
      </w:pPr>
    </w:p>
    <w:p w:rsidR="00E42F1B" w:rsidRPr="001A701B" w:rsidRDefault="00E42F1B" w:rsidP="00A61ED8">
      <w:pPr>
        <w:pStyle w:val="Heading2"/>
        <w:rPr>
          <w:rFonts w:eastAsia="Calibri"/>
        </w:rPr>
      </w:pPr>
      <w:bookmarkStart w:id="11" w:name="_Toc501094649"/>
      <w:r w:rsidRPr="001A701B">
        <w:rPr>
          <w:rFonts w:eastAsia="Calibri"/>
        </w:rPr>
        <w:t>Regulations: The Health and Disability Standards</w:t>
      </w:r>
      <w:bookmarkEnd w:id="11"/>
    </w:p>
    <w:p w:rsidR="00A61ED8" w:rsidRDefault="00E42F1B" w:rsidP="00A61ED8">
      <w:pPr>
        <w:rPr>
          <w:rFonts w:eastAsia="Calibri"/>
        </w:rPr>
      </w:pPr>
      <w:r w:rsidRPr="00D42BC1">
        <w:rPr>
          <w:rFonts w:eastAsia="Calibri"/>
        </w:rPr>
        <w:t>The use of restraint and seclusion in mental health services is governed by the Health and Disability Services (Restraint Minimisation and Safe Practice) Standards (NZS 8134.2:2008) (Standard</w:t>
      </w:r>
      <w:r>
        <w:rPr>
          <w:rFonts w:eastAsia="Calibri"/>
        </w:rPr>
        <w:t>s</w:t>
      </w:r>
      <w:r w:rsidRPr="00D42BC1">
        <w:rPr>
          <w:rFonts w:eastAsia="Calibri"/>
        </w:rPr>
        <w:t>).</w:t>
      </w:r>
    </w:p>
    <w:p w:rsidR="00E42F1B" w:rsidRPr="00D42BC1" w:rsidRDefault="00E42F1B" w:rsidP="00A61ED8">
      <w:pPr>
        <w:rPr>
          <w:rFonts w:eastAsia="Calibri"/>
        </w:rPr>
      </w:pPr>
    </w:p>
    <w:p w:rsidR="00E42F1B" w:rsidRDefault="00E42F1B" w:rsidP="00A61ED8">
      <w:pPr>
        <w:rPr>
          <w:rFonts w:eastAsia="Calibri"/>
        </w:rPr>
      </w:pPr>
      <w:r w:rsidRPr="00D42BC1">
        <w:rPr>
          <w:rFonts w:eastAsia="Calibri"/>
        </w:rPr>
        <w:t>The Standard</w:t>
      </w:r>
      <w:r>
        <w:rPr>
          <w:rFonts w:eastAsia="Calibri"/>
        </w:rPr>
        <w:t>s</w:t>
      </w:r>
      <w:r w:rsidRPr="00D42BC1">
        <w:rPr>
          <w:rFonts w:eastAsia="Calibri"/>
        </w:rPr>
        <w:t xml:space="preserve"> reflect best practice and require that services demonstrate that the use of restraint </w:t>
      </w:r>
      <w:r>
        <w:rPr>
          <w:rFonts w:eastAsia="Calibri"/>
        </w:rPr>
        <w:t>is</w:t>
      </w:r>
      <w:r w:rsidRPr="00D42BC1">
        <w:rPr>
          <w:rFonts w:eastAsia="Calibri"/>
        </w:rPr>
        <w:t xml:space="preserve"> actively minimised. </w:t>
      </w:r>
      <w:r>
        <w:rPr>
          <w:rFonts w:eastAsia="Calibri"/>
        </w:rPr>
        <w:t xml:space="preserve">They </w:t>
      </w:r>
      <w:r w:rsidRPr="00D42BC1">
        <w:rPr>
          <w:rFonts w:eastAsia="Calibri"/>
        </w:rPr>
        <w:t>also state that practice must be guided by ethical principles that include acting for the patient</w:t>
      </w:r>
      <w:r w:rsidR="00A61ED8">
        <w:rPr>
          <w:rFonts w:eastAsia="Calibri"/>
        </w:rPr>
        <w:t>’</w:t>
      </w:r>
      <w:r w:rsidRPr="00D42BC1">
        <w:rPr>
          <w:rFonts w:eastAsia="Calibri"/>
        </w:rPr>
        <w:t>s beneficence, avoiding harm to the patient, avoiding harm to self and others, and respecting the dignity of the patient and the patient</w:t>
      </w:r>
      <w:r w:rsidR="00A61ED8">
        <w:rPr>
          <w:rFonts w:eastAsia="Calibri"/>
        </w:rPr>
        <w:t>’</w:t>
      </w:r>
      <w:r w:rsidRPr="00D42BC1">
        <w:rPr>
          <w:rFonts w:eastAsia="Calibri"/>
        </w:rPr>
        <w:t xml:space="preserve">s human </w:t>
      </w:r>
      <w:r>
        <w:rPr>
          <w:rFonts w:eastAsia="Calibri"/>
        </w:rPr>
        <w:t>rights</w:t>
      </w:r>
      <w:r w:rsidRPr="00D42BC1">
        <w:rPr>
          <w:rFonts w:eastAsia="Calibri"/>
        </w:rPr>
        <w:t>.</w:t>
      </w:r>
      <w:r>
        <w:rPr>
          <w:rFonts w:eastAsia="Calibri"/>
        </w:rPr>
        <w:t xml:space="preserve"> The 2008 Standard excludes night safety procedures from its scope. However, current best practice reflects that night safety procedures should not be used unless they can be justified on an individual basis. The 2008 Standard is currently being reviewed to ensure it does reflect best practice.</w:t>
      </w:r>
    </w:p>
    <w:p w:rsidR="00E42F1B" w:rsidRDefault="00E42F1B" w:rsidP="00A61ED8">
      <w:pPr>
        <w:rPr>
          <w:rFonts w:eastAsia="Calibri"/>
        </w:rPr>
      </w:pPr>
    </w:p>
    <w:p w:rsidR="00E42F1B" w:rsidRPr="001A701B" w:rsidRDefault="00E42F1B" w:rsidP="00A61ED8">
      <w:pPr>
        <w:pStyle w:val="Heading2"/>
        <w:rPr>
          <w:rFonts w:eastAsia="Calibri"/>
        </w:rPr>
      </w:pPr>
      <w:bookmarkStart w:id="12" w:name="_Toc501094650"/>
      <w:r w:rsidRPr="001A701B">
        <w:rPr>
          <w:rFonts w:eastAsia="Calibri"/>
        </w:rPr>
        <w:t>Employment standards: Health and Safety at Work Act 2015</w:t>
      </w:r>
      <w:bookmarkEnd w:id="12"/>
    </w:p>
    <w:p w:rsidR="00E42F1B" w:rsidRPr="00912AEE" w:rsidRDefault="00E42F1B" w:rsidP="00A61ED8">
      <w:pPr>
        <w:rPr>
          <w:rFonts w:eastAsia="Calibri"/>
        </w:rPr>
      </w:pPr>
      <w:r w:rsidRPr="00912AEE">
        <w:rPr>
          <w:rFonts w:eastAsia="Calibri"/>
        </w:rPr>
        <w:t xml:space="preserve">The </w:t>
      </w:r>
      <w:r>
        <w:rPr>
          <w:rFonts w:eastAsia="Calibri"/>
        </w:rPr>
        <w:t>Health and Safety at Work Act 2015 provides a legislative framework to secure the health and safety of workers and workplaces.</w:t>
      </w:r>
    </w:p>
    <w:p w:rsidR="00A61ED8" w:rsidRDefault="00A61ED8" w:rsidP="00A61ED8">
      <w:pPr>
        <w:rPr>
          <w:rFonts w:eastAsia="Calibri"/>
        </w:rPr>
      </w:pPr>
    </w:p>
    <w:p w:rsidR="00A61ED8" w:rsidRDefault="00E42F1B" w:rsidP="00A61ED8">
      <w:pPr>
        <w:rPr>
          <w:rFonts w:eastAsia="Calibri"/>
        </w:rPr>
      </w:pPr>
      <w:r>
        <w:rPr>
          <w:rFonts w:eastAsia="Calibri"/>
        </w:rPr>
        <w:t>A key aspect of the Act is the creation of a new duty holder, known as a Person Conducting a Business or Undertaking (PCBU). The Act covers Crown organisations, including district health boards. PCBUs have primary responsibility (</w:t>
      </w:r>
      <w:r w:rsidR="00A61ED8">
        <w:rPr>
          <w:rFonts w:eastAsia="Calibri"/>
        </w:rPr>
        <w:t>‘</w:t>
      </w:r>
      <w:r>
        <w:rPr>
          <w:rFonts w:eastAsia="Calibri"/>
        </w:rPr>
        <w:t>primary duty of care</w:t>
      </w:r>
      <w:r w:rsidR="00A61ED8">
        <w:rPr>
          <w:rFonts w:eastAsia="Calibri"/>
        </w:rPr>
        <w:t>’</w:t>
      </w:r>
      <w:r>
        <w:rPr>
          <w:rFonts w:eastAsia="Calibri"/>
        </w:rPr>
        <w:t>) for the health and safety of their workers and any other workers they influence or direct. The PCBU is also responsible for the health and safety of other people at risk from its work, including patients. The Health and Safety at Work Act creates offences relating to breaches of health and safety duties.</w:t>
      </w:r>
    </w:p>
    <w:p w:rsidR="00E42F1B" w:rsidRDefault="00E42F1B" w:rsidP="00A61ED8">
      <w:pPr>
        <w:rPr>
          <w:rFonts w:eastAsia="Calibri"/>
        </w:rPr>
      </w:pPr>
    </w:p>
    <w:p w:rsidR="00E42F1B" w:rsidRPr="00CC263D" w:rsidRDefault="00E42F1B" w:rsidP="00A61ED8">
      <w:pPr>
        <w:pStyle w:val="Heading2"/>
      </w:pPr>
      <w:bookmarkStart w:id="13" w:name="_Toc501094651"/>
      <w:r w:rsidRPr="00CC263D">
        <w:t>Outcome 1</w:t>
      </w:r>
      <w:bookmarkEnd w:id="13"/>
    </w:p>
    <w:p w:rsidR="00E42F1B" w:rsidRDefault="00E42F1B" w:rsidP="00A61ED8">
      <w:pPr>
        <w:rPr>
          <w:rFonts w:eastAsia="Calibri"/>
        </w:rPr>
      </w:pPr>
      <w:r>
        <w:rPr>
          <w:rFonts w:eastAsia="Calibri"/>
        </w:rPr>
        <w:t xml:space="preserve">The use of night safety procedures will be eliminated from practice </w:t>
      </w:r>
      <w:r w:rsidRPr="004A555F">
        <w:rPr>
          <w:rFonts w:eastAsia="Calibri"/>
        </w:rPr>
        <w:t>by</w:t>
      </w:r>
      <w:r>
        <w:rPr>
          <w:rFonts w:eastAsia="Calibri"/>
        </w:rPr>
        <w:t xml:space="preserve"> 30 December 2022. Future services will not use night safety procedures.</w:t>
      </w:r>
    </w:p>
    <w:p w:rsidR="00A61ED8" w:rsidRDefault="00A61ED8" w:rsidP="00A61ED8">
      <w:pPr>
        <w:rPr>
          <w:rFonts w:eastAsia="Calibri"/>
        </w:rPr>
      </w:pPr>
    </w:p>
    <w:p w:rsidR="00A61ED8" w:rsidRDefault="00E42F1B" w:rsidP="00A61ED8">
      <w:pPr>
        <w:pStyle w:val="Heading3"/>
        <w:rPr>
          <w:rFonts w:eastAsia="Calibri"/>
        </w:rPr>
      </w:pPr>
      <w:r w:rsidRPr="00CC263D">
        <w:rPr>
          <w:rFonts w:eastAsia="Calibri"/>
        </w:rPr>
        <w:t>Criteria</w:t>
      </w:r>
    </w:p>
    <w:p w:rsidR="00A61ED8" w:rsidRDefault="00E42F1B" w:rsidP="00A61ED8">
      <w:pPr>
        <w:rPr>
          <w:rFonts w:eastAsia="Calibri"/>
        </w:rPr>
      </w:pPr>
      <w:r w:rsidRPr="00150743">
        <w:rPr>
          <w:rFonts w:eastAsia="Calibri"/>
        </w:rPr>
        <w:t>To achieve these outcomes services will meet the following criteria</w:t>
      </w:r>
      <w:r>
        <w:rPr>
          <w:rFonts w:eastAsia="Calibri"/>
        </w:rPr>
        <w:t>:</w:t>
      </w:r>
    </w:p>
    <w:p w:rsidR="00E42F1B" w:rsidRPr="00D82CCC" w:rsidRDefault="00A61ED8" w:rsidP="00A61ED8">
      <w:pPr>
        <w:spacing w:before="120"/>
        <w:ind w:left="567" w:hanging="567"/>
      </w:pPr>
      <w:r>
        <w:t>1.1</w:t>
      </w:r>
      <w:r>
        <w:tab/>
      </w:r>
      <w:r w:rsidR="00E42F1B" w:rsidRPr="00D82CCC">
        <w:t>Services will consider future options to avoid the use of night safety procedures.</w:t>
      </w:r>
    </w:p>
    <w:p w:rsidR="00A61ED8" w:rsidRDefault="00A61ED8" w:rsidP="00A61ED8">
      <w:pPr>
        <w:spacing w:before="120"/>
        <w:ind w:left="567" w:hanging="567"/>
      </w:pPr>
      <w:r>
        <w:t>1.2</w:t>
      </w:r>
      <w:r>
        <w:tab/>
      </w:r>
      <w:r w:rsidR="00E42F1B" w:rsidRPr="00D82CCC">
        <w:t>Services will consider whether additional education or training need is required to assist staff in providing care in the least restrictive environment, proportionate to the assessed risks.</w:t>
      </w:r>
    </w:p>
    <w:p w:rsidR="00E42F1B" w:rsidRPr="00D82CCC" w:rsidRDefault="00E42F1B" w:rsidP="00A61ED8">
      <w:pPr>
        <w:rPr>
          <w:rFonts w:eastAsia="Calibri"/>
        </w:rPr>
      </w:pPr>
    </w:p>
    <w:p w:rsidR="00E42F1B" w:rsidRPr="00CC263D" w:rsidRDefault="00E42F1B" w:rsidP="00A61ED8">
      <w:pPr>
        <w:pStyle w:val="Heading2"/>
        <w:rPr>
          <w:rFonts w:eastAsia="Calibri"/>
        </w:rPr>
      </w:pPr>
      <w:bookmarkStart w:id="14" w:name="_Toc501094652"/>
      <w:r w:rsidRPr="00CC263D">
        <w:rPr>
          <w:rFonts w:eastAsia="Calibri"/>
        </w:rPr>
        <w:t>Outcome 2</w:t>
      </w:r>
      <w:bookmarkEnd w:id="14"/>
    </w:p>
    <w:p w:rsidR="00E42F1B" w:rsidRDefault="00E42F1B" w:rsidP="00A61ED8">
      <w:pPr>
        <w:rPr>
          <w:rFonts w:eastAsia="Calibri"/>
        </w:rPr>
      </w:pPr>
      <w:r w:rsidRPr="00520552">
        <w:rPr>
          <w:rFonts w:eastAsia="Calibri"/>
        </w:rPr>
        <w:t>Rights of patients and staff are recognised and protected</w:t>
      </w:r>
      <w:r>
        <w:rPr>
          <w:rFonts w:eastAsia="Calibri"/>
        </w:rPr>
        <w:t>.</w:t>
      </w:r>
    </w:p>
    <w:p w:rsidR="00E42F1B" w:rsidRDefault="00E42F1B" w:rsidP="00A61ED8">
      <w:pPr>
        <w:rPr>
          <w:rFonts w:eastAsia="Calibri"/>
        </w:rPr>
      </w:pPr>
    </w:p>
    <w:p w:rsidR="00A61ED8" w:rsidRDefault="00E42F1B" w:rsidP="00A61ED8">
      <w:pPr>
        <w:pStyle w:val="Heading3"/>
        <w:rPr>
          <w:rFonts w:eastAsia="Calibri"/>
        </w:rPr>
      </w:pPr>
      <w:r w:rsidRPr="00CC263D">
        <w:rPr>
          <w:rFonts w:eastAsia="Calibri"/>
        </w:rPr>
        <w:t>Criteria</w:t>
      </w:r>
    </w:p>
    <w:p w:rsidR="00A61ED8" w:rsidRDefault="00E42F1B" w:rsidP="00A61ED8">
      <w:pPr>
        <w:rPr>
          <w:rFonts w:eastAsia="Calibri"/>
        </w:rPr>
      </w:pPr>
      <w:r>
        <w:rPr>
          <w:rFonts w:eastAsia="Calibri"/>
        </w:rPr>
        <w:t>To achieve these outcomes services will meet the following criteria:</w:t>
      </w:r>
    </w:p>
    <w:p w:rsidR="00A61ED8" w:rsidRDefault="00A61ED8" w:rsidP="00A61ED8">
      <w:pPr>
        <w:spacing w:before="120"/>
        <w:ind w:left="567" w:hanging="567"/>
      </w:pPr>
      <w:r>
        <w:t>2.1</w:t>
      </w:r>
      <w:r>
        <w:tab/>
      </w:r>
      <w:r w:rsidR="00E42F1B" w:rsidRPr="00D82CCC">
        <w:t xml:space="preserve">Services only utilise night safety </w:t>
      </w:r>
      <w:r w:rsidR="00E42F1B">
        <w:t xml:space="preserve">procedures </w:t>
      </w:r>
      <w:r w:rsidR="00E42F1B" w:rsidRPr="00D82CCC">
        <w:t>when indicated following assessment on an individual basis.</w:t>
      </w:r>
    </w:p>
    <w:p w:rsidR="00A61ED8" w:rsidRDefault="00A61ED8" w:rsidP="00A61ED8">
      <w:pPr>
        <w:spacing w:before="120"/>
        <w:ind w:left="567" w:hanging="567"/>
      </w:pPr>
      <w:r>
        <w:t>2.2</w:t>
      </w:r>
      <w:r>
        <w:tab/>
      </w:r>
      <w:r w:rsidR="00E42F1B" w:rsidRPr="008A703A">
        <w:t xml:space="preserve">Night safety procedures are only used after alternative </w:t>
      </w:r>
      <w:r w:rsidR="00E42F1B">
        <w:t xml:space="preserve">less restrictive </w:t>
      </w:r>
      <w:r w:rsidR="00E42F1B" w:rsidRPr="008A703A">
        <w:t>interventions have been considered or attempted or deemed inappropriate.</w:t>
      </w:r>
    </w:p>
    <w:p w:rsidR="00E42F1B" w:rsidRPr="008A703A" w:rsidRDefault="00A61ED8" w:rsidP="00A61ED8">
      <w:pPr>
        <w:spacing w:before="120"/>
        <w:ind w:left="567" w:hanging="567"/>
      </w:pPr>
      <w:r>
        <w:t>2.3</w:t>
      </w:r>
      <w:r>
        <w:tab/>
      </w:r>
      <w:r w:rsidR="00E42F1B">
        <w:t>Demonstrate an appropriate balance between the rights of patients and of staff and other patients.</w:t>
      </w:r>
    </w:p>
    <w:p w:rsidR="00E42F1B" w:rsidRDefault="00A61ED8" w:rsidP="00A61ED8">
      <w:pPr>
        <w:spacing w:before="120"/>
        <w:ind w:left="567" w:hanging="567"/>
      </w:pPr>
      <w:r>
        <w:t>2.4</w:t>
      </w:r>
      <w:r>
        <w:tab/>
      </w:r>
      <w:r w:rsidR="00E42F1B">
        <w:t>The use of night safety procedures are evaluated in collaboration with the patient.</w:t>
      </w:r>
    </w:p>
    <w:p w:rsidR="00A61ED8" w:rsidRDefault="00A61ED8" w:rsidP="00A61ED8">
      <w:pPr>
        <w:spacing w:before="120"/>
        <w:ind w:left="567" w:hanging="567"/>
      </w:pPr>
      <w:r>
        <w:t>2.5</w:t>
      </w:r>
      <w:r>
        <w:tab/>
      </w:r>
      <w:r w:rsidR="00E42F1B" w:rsidRPr="008A703A">
        <w:t>Night safety procedures are discussed by the multidisciplinary team</w:t>
      </w:r>
      <w:r w:rsidR="00E42F1B">
        <w:t xml:space="preserve"> and </w:t>
      </w:r>
      <w:r w:rsidR="00E42F1B" w:rsidRPr="008A703A">
        <w:t>approved by the responsible clinician</w:t>
      </w:r>
      <w:r w:rsidR="00E42F1B">
        <w:t>.</w:t>
      </w:r>
    </w:p>
    <w:p w:rsidR="00A61ED8" w:rsidRDefault="00A61ED8" w:rsidP="00A61ED8"/>
    <w:p w:rsidR="00E42F1B" w:rsidRPr="00774325" w:rsidRDefault="00E42F1B" w:rsidP="00A61ED8">
      <w:pPr>
        <w:pStyle w:val="Heading3"/>
      </w:pPr>
      <w:r w:rsidRPr="00774325">
        <w:t>Quality</w:t>
      </w:r>
    </w:p>
    <w:p w:rsidR="00A61ED8" w:rsidRDefault="00E42F1B" w:rsidP="00A61ED8">
      <w:r w:rsidRPr="004D1308">
        <w:t xml:space="preserve">Services conduct </w:t>
      </w:r>
      <w:r>
        <w:t xml:space="preserve">regular </w:t>
      </w:r>
      <w:r w:rsidRPr="004D1308">
        <w:t>reviews of all night safety procedures to determine:</w:t>
      </w:r>
    </w:p>
    <w:p w:rsidR="00E42F1B" w:rsidRPr="008A703A" w:rsidRDefault="00A61ED8" w:rsidP="00A61ED8">
      <w:pPr>
        <w:spacing w:before="120"/>
        <w:ind w:left="567" w:hanging="567"/>
      </w:pPr>
      <w:r>
        <w:t>2.6</w:t>
      </w:r>
      <w:r>
        <w:tab/>
      </w:r>
      <w:r w:rsidR="00E42F1B" w:rsidRPr="008A703A">
        <w:t>the extent of night safety and any trends</w:t>
      </w:r>
    </w:p>
    <w:p w:rsidR="00A61ED8" w:rsidRDefault="00A61ED8" w:rsidP="00A61ED8">
      <w:pPr>
        <w:spacing w:before="120"/>
        <w:ind w:left="567" w:hanging="567"/>
      </w:pPr>
      <w:r>
        <w:t>2.7</w:t>
      </w:r>
      <w:r>
        <w:tab/>
      </w:r>
      <w:r w:rsidR="00E42F1B" w:rsidRPr="008A703A">
        <w:t>the organisation</w:t>
      </w:r>
      <w:r>
        <w:t>’</w:t>
      </w:r>
      <w:r w:rsidR="00E42F1B" w:rsidRPr="008A703A">
        <w:t>s progress in reducing night safety</w:t>
      </w:r>
    </w:p>
    <w:p w:rsidR="00E42F1B" w:rsidRPr="008A703A" w:rsidRDefault="00A61ED8" w:rsidP="00A61ED8">
      <w:pPr>
        <w:spacing w:before="120"/>
        <w:ind w:left="567" w:hanging="567"/>
      </w:pPr>
      <w:r>
        <w:t>2.8</w:t>
      </w:r>
      <w:r>
        <w:tab/>
      </w:r>
      <w:r w:rsidR="00E42F1B" w:rsidRPr="008A703A">
        <w:t>adverse outcomes</w:t>
      </w:r>
    </w:p>
    <w:p w:rsidR="00E42F1B" w:rsidRPr="008A703A" w:rsidRDefault="00A61ED8" w:rsidP="00A61ED8">
      <w:pPr>
        <w:spacing w:before="120"/>
        <w:ind w:left="567" w:hanging="567"/>
      </w:pPr>
      <w:r>
        <w:t>2.9</w:t>
      </w:r>
      <w:r>
        <w:tab/>
      </w:r>
      <w:r w:rsidR="00E42F1B" w:rsidRPr="008A703A">
        <w:t>service provider compliance with policies and procedures</w:t>
      </w:r>
    </w:p>
    <w:p w:rsidR="00E42F1B" w:rsidRPr="008A703A" w:rsidRDefault="00A61ED8" w:rsidP="00A61ED8">
      <w:pPr>
        <w:spacing w:before="120"/>
        <w:ind w:left="567" w:hanging="567"/>
      </w:pPr>
      <w:r>
        <w:t>2.10</w:t>
      </w:r>
      <w:r>
        <w:tab/>
      </w:r>
      <w:r w:rsidR="00E42F1B" w:rsidRPr="008A703A">
        <w:t>whether night safety is necessary, safe, of an appropriate duration,</w:t>
      </w:r>
      <w:r>
        <w:t xml:space="preserve"> </w:t>
      </w:r>
      <w:r w:rsidR="00E42F1B" w:rsidRPr="008A703A">
        <w:t>and appropriate in light of patient and service provider feedback and current accepted practice</w:t>
      </w:r>
    </w:p>
    <w:p w:rsidR="00E42F1B" w:rsidRPr="008A703A" w:rsidRDefault="00A61ED8" w:rsidP="00A61ED8">
      <w:pPr>
        <w:spacing w:before="120"/>
        <w:ind w:left="567" w:hanging="567"/>
      </w:pPr>
      <w:r>
        <w:t>2.11</w:t>
      </w:r>
      <w:r>
        <w:tab/>
      </w:r>
      <w:r w:rsidR="00E42F1B" w:rsidRPr="008A703A">
        <w:t>whether</w:t>
      </w:r>
      <w:r w:rsidR="00E42F1B">
        <w:t xml:space="preserve"> </w:t>
      </w:r>
      <w:r w:rsidR="00E42F1B" w:rsidRPr="008A703A">
        <w:t>changes to policy procedures or guidelines are required.</w:t>
      </w:r>
    </w:p>
    <w:p w:rsidR="00E42F1B" w:rsidRPr="008A703A" w:rsidRDefault="00E42F1B" w:rsidP="00A61ED8"/>
    <w:p w:rsidR="00E42F1B" w:rsidRPr="007875FA" w:rsidRDefault="00E42F1B" w:rsidP="00A61ED8">
      <w:pPr>
        <w:pStyle w:val="Heading2"/>
      </w:pPr>
      <w:bookmarkStart w:id="15" w:name="_Toc501094653"/>
      <w:r w:rsidRPr="007875FA">
        <w:t>Outcome 3</w:t>
      </w:r>
      <w:bookmarkEnd w:id="15"/>
    </w:p>
    <w:p w:rsidR="00E42F1B" w:rsidRDefault="00E42F1B" w:rsidP="00A61ED8">
      <w:pPr>
        <w:keepNext/>
        <w:rPr>
          <w:rFonts w:eastAsia="Calibri"/>
        </w:rPr>
      </w:pPr>
      <w:r w:rsidRPr="00520552">
        <w:rPr>
          <w:rFonts w:eastAsia="Calibri"/>
        </w:rPr>
        <w:t>The Ministry of Health maintains oversight of the current use of night safety procedures.</w:t>
      </w:r>
    </w:p>
    <w:p w:rsidR="00E42F1B" w:rsidRDefault="00E42F1B" w:rsidP="00A61ED8">
      <w:pPr>
        <w:rPr>
          <w:rFonts w:eastAsia="Calibri"/>
        </w:rPr>
      </w:pPr>
    </w:p>
    <w:p w:rsidR="00A61ED8" w:rsidRDefault="00E42F1B" w:rsidP="00A61ED8">
      <w:pPr>
        <w:pStyle w:val="Heading3"/>
        <w:rPr>
          <w:rFonts w:eastAsia="Calibri"/>
        </w:rPr>
      </w:pPr>
      <w:r w:rsidRPr="007875FA">
        <w:rPr>
          <w:rFonts w:eastAsia="Calibri"/>
        </w:rPr>
        <w:t>Criteria</w:t>
      </w:r>
    </w:p>
    <w:p w:rsidR="00A61ED8" w:rsidRDefault="00A61ED8" w:rsidP="00A61ED8">
      <w:pPr>
        <w:ind w:left="567" w:hanging="567"/>
        <w:rPr>
          <w:rFonts w:eastAsia="Calibri"/>
        </w:rPr>
      </w:pPr>
      <w:r>
        <w:rPr>
          <w:rFonts w:eastAsia="Calibri"/>
        </w:rPr>
        <w:t>3.1</w:t>
      </w:r>
      <w:r>
        <w:rPr>
          <w:rFonts w:eastAsia="Calibri"/>
        </w:rPr>
        <w:tab/>
      </w:r>
      <w:r w:rsidR="00E42F1B" w:rsidRPr="00E45F85">
        <w:rPr>
          <w:rFonts w:eastAsia="Calibri"/>
        </w:rPr>
        <w:t>To achieve these outcomes services will meet the following criteria.</w:t>
      </w:r>
    </w:p>
    <w:p w:rsidR="00A61ED8" w:rsidRDefault="00A61ED8" w:rsidP="00A61ED8">
      <w:pPr>
        <w:rPr>
          <w:rFonts w:eastAsia="Calibri"/>
        </w:rPr>
      </w:pPr>
    </w:p>
    <w:p w:rsidR="00A61ED8" w:rsidRDefault="00E42F1B" w:rsidP="00A61ED8">
      <w:pPr>
        <w:pStyle w:val="Heading3"/>
        <w:rPr>
          <w:rFonts w:eastAsia="Calibri"/>
        </w:rPr>
      </w:pPr>
      <w:r w:rsidRPr="00774325">
        <w:rPr>
          <w:rFonts w:eastAsia="Calibri"/>
        </w:rPr>
        <w:t>Reporting</w:t>
      </w:r>
    </w:p>
    <w:p w:rsidR="00A61ED8" w:rsidRDefault="00E42F1B" w:rsidP="00A61ED8">
      <w:pPr>
        <w:ind w:left="567" w:hanging="567"/>
      </w:pPr>
      <w:r>
        <w:t>3.2</w:t>
      </w:r>
      <w:r>
        <w:tab/>
      </w:r>
      <w:r w:rsidRPr="00E45F85">
        <w:t>Policies for the use of night safety procedures</w:t>
      </w:r>
      <w:r>
        <w:t xml:space="preserve"> and a plan for phasing out their use</w:t>
      </w:r>
      <w:r w:rsidRPr="00E45F85">
        <w:t xml:space="preserve"> are provided to the Director of Mental Health for review. Policies should address:</w:t>
      </w:r>
    </w:p>
    <w:p w:rsidR="00E42F1B" w:rsidRDefault="00C45474" w:rsidP="00C45474">
      <w:pPr>
        <w:spacing w:before="60"/>
        <w:ind w:left="1134" w:hanging="567"/>
      </w:pPr>
      <w:r>
        <w:t>a)</w:t>
      </w:r>
      <w:r>
        <w:tab/>
      </w:r>
      <w:r w:rsidR="00E42F1B">
        <w:t>the indications for use of a night safety procedure</w:t>
      </w:r>
    </w:p>
    <w:p w:rsidR="00A61ED8" w:rsidRDefault="00C45474" w:rsidP="00C45474">
      <w:pPr>
        <w:spacing w:before="60"/>
        <w:ind w:left="1134" w:hanging="567"/>
      </w:pPr>
      <w:r>
        <w:t>b)</w:t>
      </w:r>
      <w:r>
        <w:tab/>
      </w:r>
      <w:r w:rsidR="00E42F1B">
        <w:t>a</w:t>
      </w:r>
      <w:r w:rsidR="00E42F1B" w:rsidRPr="00A0442D">
        <w:t>pproval</w:t>
      </w:r>
      <w:r w:rsidR="00E42F1B">
        <w:t xml:space="preserve"> of night safety procedures</w:t>
      </w:r>
    </w:p>
    <w:p w:rsidR="00A61ED8" w:rsidRDefault="00C45474" w:rsidP="00C45474">
      <w:pPr>
        <w:spacing w:before="60"/>
        <w:ind w:left="1134" w:hanging="567"/>
      </w:pPr>
      <w:r>
        <w:t>c)</w:t>
      </w:r>
      <w:r>
        <w:tab/>
      </w:r>
      <w:r w:rsidR="00E42F1B">
        <w:t>consent processes</w:t>
      </w:r>
    </w:p>
    <w:p w:rsidR="00A61ED8" w:rsidRDefault="00C45474" w:rsidP="00C45474">
      <w:pPr>
        <w:spacing w:before="60"/>
        <w:ind w:left="1134" w:hanging="567"/>
      </w:pPr>
      <w:r>
        <w:t>d)</w:t>
      </w:r>
      <w:r>
        <w:tab/>
      </w:r>
      <w:r w:rsidR="00E42F1B">
        <w:t>f</w:t>
      </w:r>
      <w:r w:rsidR="00E42F1B" w:rsidRPr="00A0442D">
        <w:t>requency of review</w:t>
      </w:r>
    </w:p>
    <w:p w:rsidR="00A61ED8" w:rsidRDefault="00C45474" w:rsidP="00C45474">
      <w:pPr>
        <w:spacing w:before="60"/>
        <w:ind w:left="1134" w:hanging="567"/>
      </w:pPr>
      <w:r>
        <w:t>e)</w:t>
      </w:r>
      <w:r>
        <w:tab/>
      </w:r>
      <w:r w:rsidR="00E42F1B">
        <w:t>o</w:t>
      </w:r>
      <w:r w:rsidR="00E42F1B" w:rsidRPr="00A0442D">
        <w:t>bservation and care standards</w:t>
      </w:r>
    </w:p>
    <w:p w:rsidR="00E42F1B" w:rsidRPr="00A0442D" w:rsidRDefault="00C45474" w:rsidP="00C45474">
      <w:pPr>
        <w:spacing w:before="60"/>
        <w:ind w:left="1134" w:hanging="567"/>
      </w:pPr>
      <w:r>
        <w:t>f)</w:t>
      </w:r>
      <w:r>
        <w:tab/>
      </w:r>
      <w:r w:rsidR="00E42F1B">
        <w:t>c</w:t>
      </w:r>
      <w:r w:rsidR="00E42F1B" w:rsidRPr="00A0442D">
        <w:t xml:space="preserve">riteria for ending </w:t>
      </w:r>
      <w:r w:rsidR="00E42F1B">
        <w:t>the use of night safety procedures</w:t>
      </w:r>
    </w:p>
    <w:p w:rsidR="00A61ED8" w:rsidRDefault="00C45474" w:rsidP="00C45474">
      <w:pPr>
        <w:spacing w:before="60"/>
        <w:ind w:left="1134" w:hanging="567"/>
      </w:pPr>
      <w:r>
        <w:t>g)</w:t>
      </w:r>
      <w:r>
        <w:tab/>
      </w:r>
      <w:r w:rsidR="00E42F1B">
        <w:t>policy for recording night safety procedures (including whether consent was obtained or not)</w:t>
      </w:r>
    </w:p>
    <w:p w:rsidR="00A61ED8" w:rsidRDefault="00C45474" w:rsidP="00C45474">
      <w:pPr>
        <w:spacing w:before="60"/>
        <w:ind w:left="1134" w:hanging="567"/>
      </w:pPr>
      <w:r>
        <w:t>h)</w:t>
      </w:r>
      <w:r>
        <w:tab/>
      </w:r>
      <w:r w:rsidR="00E42F1B">
        <w:t>s</w:t>
      </w:r>
      <w:r w:rsidR="00E42F1B" w:rsidRPr="00A0442D">
        <w:t xml:space="preserve">ervices will report their use of night safety procedures to the Director of Mental Health quarterly via DAMHS reporting, beginning </w:t>
      </w:r>
      <w:r w:rsidR="00E42F1B">
        <w:t xml:space="preserve">with the quarter </w:t>
      </w:r>
      <w:r w:rsidR="00D5709D">
        <w:t>beginning 1 April 2018</w:t>
      </w:r>
      <w:r w:rsidR="00E42F1B">
        <w:t xml:space="preserve"> (</w:t>
      </w:r>
      <w:r>
        <w:t>t</w:t>
      </w:r>
      <w:r w:rsidR="00E42F1B">
        <w:t xml:space="preserve">his will be added to the </w:t>
      </w:r>
      <w:bookmarkStart w:id="16" w:name="_GoBack"/>
      <w:bookmarkEnd w:id="16"/>
      <w:r w:rsidR="00E42F1B">
        <w:t>Ministry</w:t>
      </w:r>
      <w:r w:rsidR="00A61ED8">
        <w:t>’</w:t>
      </w:r>
      <w:r w:rsidR="00E42F1B">
        <w:t>s quarterly reporting template as an interim reporting mechanism. Developments are underway to improve seclusion reporting for ID secure units and DHBs will be kept informed)</w:t>
      </w:r>
      <w:r>
        <w:t>.</w:t>
      </w:r>
    </w:p>
    <w:p w:rsidR="00A61ED8" w:rsidRDefault="00C45474" w:rsidP="00C45474">
      <w:pPr>
        <w:spacing w:before="120"/>
        <w:ind w:left="567" w:hanging="567"/>
      </w:pPr>
      <w:r>
        <w:t>3.3</w:t>
      </w:r>
      <w:r>
        <w:tab/>
      </w:r>
      <w:r w:rsidR="00E42F1B">
        <w:t>Quarterly r</w:t>
      </w:r>
      <w:r w:rsidR="00E42F1B" w:rsidRPr="000E5390">
        <w:t>eporting will include:</w:t>
      </w:r>
    </w:p>
    <w:p w:rsidR="00A61ED8" w:rsidRDefault="00C45474" w:rsidP="00C45474">
      <w:pPr>
        <w:spacing w:before="60"/>
        <w:ind w:left="1134" w:hanging="567"/>
        <w:rPr>
          <w:rFonts w:eastAsia="Calibri"/>
        </w:rPr>
      </w:pPr>
      <w:r>
        <w:rPr>
          <w:rFonts w:eastAsia="Calibri"/>
        </w:rPr>
        <w:t>a)</w:t>
      </w:r>
      <w:r>
        <w:rPr>
          <w:rFonts w:eastAsia="Calibri"/>
        </w:rPr>
        <w:tab/>
      </w:r>
      <w:r w:rsidR="00E42F1B" w:rsidRPr="00E45F85">
        <w:rPr>
          <w:rFonts w:eastAsia="Calibri"/>
        </w:rPr>
        <w:t>number of individuals</w:t>
      </w:r>
      <w:r w:rsidR="00E42F1B">
        <w:rPr>
          <w:rFonts w:eastAsia="Calibri"/>
        </w:rPr>
        <w:t xml:space="preserve"> subject to a night safety procedure,</w:t>
      </w:r>
      <w:r w:rsidR="00E42F1B" w:rsidRPr="00E45F85">
        <w:rPr>
          <w:rFonts w:eastAsia="Calibri"/>
        </w:rPr>
        <w:t xml:space="preserve"> n</w:t>
      </w:r>
      <w:r w:rsidR="00E42F1B">
        <w:rPr>
          <w:rFonts w:eastAsia="Calibri"/>
        </w:rPr>
        <w:t>umber</w:t>
      </w:r>
      <w:r w:rsidR="00E42F1B" w:rsidRPr="00E45F85">
        <w:rPr>
          <w:rFonts w:eastAsia="Calibri"/>
        </w:rPr>
        <w:t xml:space="preserve"> of times per individual (in nights)</w:t>
      </w:r>
      <w:r w:rsidR="00E42F1B">
        <w:rPr>
          <w:rFonts w:eastAsia="Calibri"/>
        </w:rPr>
        <w:t xml:space="preserve"> and total number of patients on the ward</w:t>
      </w:r>
    </w:p>
    <w:p w:rsidR="00A61ED8" w:rsidRDefault="00C45474" w:rsidP="00C45474">
      <w:pPr>
        <w:spacing w:before="60"/>
        <w:ind w:left="1134" w:hanging="567"/>
        <w:rPr>
          <w:rFonts w:eastAsia="Calibri"/>
        </w:rPr>
      </w:pPr>
      <w:r>
        <w:rPr>
          <w:rFonts w:eastAsia="Calibri"/>
        </w:rPr>
        <w:t>b)</w:t>
      </w:r>
      <w:r>
        <w:rPr>
          <w:rFonts w:eastAsia="Calibri"/>
        </w:rPr>
        <w:tab/>
      </w:r>
      <w:r w:rsidR="00E42F1B" w:rsidRPr="00A0442D">
        <w:rPr>
          <w:rFonts w:eastAsia="Calibri"/>
        </w:rPr>
        <w:t>the indications for the use of night safety procedures</w:t>
      </w:r>
    </w:p>
    <w:p w:rsidR="00A61ED8" w:rsidRDefault="00C45474" w:rsidP="00C45474">
      <w:pPr>
        <w:spacing w:before="60"/>
        <w:ind w:left="1134" w:hanging="567"/>
        <w:rPr>
          <w:rFonts w:eastAsia="Calibri"/>
        </w:rPr>
      </w:pPr>
      <w:r>
        <w:rPr>
          <w:rFonts w:eastAsia="Calibri"/>
        </w:rPr>
        <w:t>c)</w:t>
      </w:r>
      <w:r>
        <w:rPr>
          <w:rFonts w:eastAsia="Calibri"/>
        </w:rPr>
        <w:tab/>
      </w:r>
      <w:r w:rsidR="00E42F1B">
        <w:rPr>
          <w:rFonts w:eastAsia="Calibri"/>
        </w:rPr>
        <w:t>approval procedures</w:t>
      </w:r>
    </w:p>
    <w:p w:rsidR="00E42F1B" w:rsidRPr="00A0442D" w:rsidRDefault="00C45474" w:rsidP="00C45474">
      <w:pPr>
        <w:spacing w:before="60"/>
        <w:ind w:left="1134" w:hanging="567"/>
        <w:rPr>
          <w:rFonts w:eastAsia="Calibri"/>
        </w:rPr>
      </w:pPr>
      <w:r>
        <w:rPr>
          <w:rFonts w:eastAsia="Calibri"/>
        </w:rPr>
        <w:t>d)</w:t>
      </w:r>
      <w:r>
        <w:rPr>
          <w:rFonts w:eastAsia="Calibri"/>
        </w:rPr>
        <w:tab/>
      </w:r>
      <w:r w:rsidR="00E42F1B" w:rsidRPr="00A0442D">
        <w:rPr>
          <w:rFonts w:eastAsia="Calibri"/>
        </w:rPr>
        <w:t>monitoring mechanisms</w:t>
      </w:r>
    </w:p>
    <w:p w:rsidR="00E42F1B" w:rsidRPr="00A0442D" w:rsidRDefault="00C45474" w:rsidP="00C45474">
      <w:pPr>
        <w:spacing w:before="60"/>
        <w:ind w:left="1134" w:hanging="567"/>
        <w:rPr>
          <w:rFonts w:eastAsia="Calibri"/>
        </w:rPr>
      </w:pPr>
      <w:r>
        <w:rPr>
          <w:rFonts w:eastAsia="Calibri"/>
        </w:rPr>
        <w:t>e)</w:t>
      </w:r>
      <w:r>
        <w:rPr>
          <w:rFonts w:eastAsia="Calibri"/>
        </w:rPr>
        <w:tab/>
      </w:r>
      <w:r w:rsidR="00E42F1B" w:rsidRPr="00A0442D">
        <w:rPr>
          <w:rFonts w:eastAsia="Calibri"/>
        </w:rPr>
        <w:t>details of consent, including whe</w:t>
      </w:r>
      <w:r w:rsidR="00E42F1B">
        <w:rPr>
          <w:rFonts w:eastAsia="Calibri"/>
        </w:rPr>
        <w:t>ther i</w:t>
      </w:r>
      <w:r w:rsidR="00E42F1B" w:rsidRPr="00A0442D">
        <w:rPr>
          <w:rFonts w:eastAsia="Calibri"/>
        </w:rPr>
        <w:t>t was given</w:t>
      </w:r>
      <w:r w:rsidR="00E42F1B">
        <w:rPr>
          <w:rFonts w:eastAsia="Calibri"/>
        </w:rPr>
        <w:t>, the date</w:t>
      </w:r>
      <w:r w:rsidR="00E42F1B" w:rsidRPr="00A0442D">
        <w:rPr>
          <w:rFonts w:eastAsia="Calibri"/>
        </w:rPr>
        <w:t xml:space="preserve"> and how long it applies for</w:t>
      </w:r>
    </w:p>
    <w:p w:rsidR="00A61ED8" w:rsidRDefault="00C45474" w:rsidP="00C45474">
      <w:pPr>
        <w:spacing w:before="60"/>
        <w:ind w:left="1134" w:hanging="567"/>
        <w:rPr>
          <w:rFonts w:eastAsia="Calibri"/>
        </w:rPr>
      </w:pPr>
      <w:r>
        <w:rPr>
          <w:rFonts w:eastAsia="Calibri"/>
        </w:rPr>
        <w:t>f)</w:t>
      </w:r>
      <w:r>
        <w:rPr>
          <w:rFonts w:eastAsia="Calibri"/>
        </w:rPr>
        <w:tab/>
      </w:r>
      <w:r w:rsidR="00E42F1B" w:rsidRPr="00702696">
        <w:rPr>
          <w:rFonts w:eastAsia="Calibri"/>
        </w:rPr>
        <w:t>sufficient detail to provide an accurate account of:</w:t>
      </w:r>
    </w:p>
    <w:p w:rsidR="00E42F1B" w:rsidRDefault="00C45474" w:rsidP="00C45474">
      <w:pPr>
        <w:spacing w:before="30"/>
        <w:ind w:left="1701" w:hanging="567"/>
      </w:pPr>
      <w:r>
        <w:t>i.</w:t>
      </w:r>
      <w:r>
        <w:tab/>
      </w:r>
      <w:r w:rsidR="00E42F1B" w:rsidRPr="003F547A">
        <w:t>the indication for use</w:t>
      </w:r>
    </w:p>
    <w:p w:rsidR="00E42F1B" w:rsidRDefault="00C45474" w:rsidP="00C45474">
      <w:pPr>
        <w:spacing w:before="30"/>
        <w:ind w:left="1701" w:hanging="567"/>
      </w:pPr>
      <w:r>
        <w:t>ii.</w:t>
      </w:r>
      <w:r>
        <w:tab/>
      </w:r>
      <w:r w:rsidR="00E42F1B">
        <w:t>the intervention</w:t>
      </w:r>
    </w:p>
    <w:p w:rsidR="00E42F1B" w:rsidRDefault="00C45474" w:rsidP="00C45474">
      <w:pPr>
        <w:spacing w:before="30"/>
        <w:ind w:left="1701" w:hanging="567"/>
      </w:pPr>
      <w:r>
        <w:t>iii.</w:t>
      </w:r>
      <w:r>
        <w:tab/>
      </w:r>
      <w:r w:rsidR="00E42F1B">
        <w:t>the duration</w:t>
      </w:r>
    </w:p>
    <w:p w:rsidR="00E42F1B" w:rsidRDefault="00C45474" w:rsidP="00C45474">
      <w:pPr>
        <w:spacing w:before="30"/>
        <w:ind w:left="1701" w:hanging="567"/>
      </w:pPr>
      <w:r>
        <w:t>iv.</w:t>
      </w:r>
      <w:r>
        <w:tab/>
      </w:r>
      <w:r w:rsidR="00E42F1B">
        <w:t>the outcome</w:t>
      </w:r>
    </w:p>
    <w:p w:rsidR="00E42F1B" w:rsidRDefault="00C45474" w:rsidP="00C45474">
      <w:pPr>
        <w:spacing w:before="30"/>
        <w:ind w:left="1701" w:hanging="567"/>
      </w:pPr>
      <w:r>
        <w:t>v.</w:t>
      </w:r>
      <w:r>
        <w:tab/>
      </w:r>
      <w:r w:rsidR="00E42F1B">
        <w:t>the alternatives attempted.</w:t>
      </w:r>
    </w:p>
    <w:p w:rsidR="00E42F1B" w:rsidRDefault="00E42F1B" w:rsidP="00C45474"/>
    <w:p w:rsidR="00E42F1B" w:rsidRPr="007875FA" w:rsidRDefault="00E42F1B" w:rsidP="00C45474">
      <w:pPr>
        <w:pStyle w:val="Heading1"/>
      </w:pPr>
      <w:bookmarkStart w:id="17" w:name="_Toc501094654"/>
      <w:r w:rsidRPr="007875FA">
        <w:t xml:space="preserve">Appendix </w:t>
      </w:r>
      <w:r w:rsidR="00C45474">
        <w:t>1:</w:t>
      </w:r>
      <w:r w:rsidRPr="007875FA">
        <w:t xml:space="preserve"> Relevant international and domestic legal/regulatory frameworks </w:t>
      </w:r>
      <w:r w:rsidR="00C45474">
        <w:t>(o</w:t>
      </w:r>
      <w:r w:rsidRPr="007875FA">
        <w:t>verview)</w:t>
      </w:r>
      <w:bookmarkEnd w:id="17"/>
    </w:p>
    <w:p w:rsidR="00A61ED8" w:rsidRDefault="00E42F1B" w:rsidP="00C45474">
      <w:pPr>
        <w:pStyle w:val="Heading2"/>
        <w:rPr>
          <w:lang w:eastAsia="en-NZ"/>
        </w:rPr>
      </w:pPr>
      <w:bookmarkStart w:id="18" w:name="_Toc501094655"/>
      <w:r w:rsidRPr="007875FA">
        <w:rPr>
          <w:lang w:eastAsia="en-NZ"/>
        </w:rPr>
        <w:t xml:space="preserve">Human </w:t>
      </w:r>
      <w:r w:rsidR="00C45474">
        <w:rPr>
          <w:lang w:eastAsia="en-NZ"/>
        </w:rPr>
        <w:t>r</w:t>
      </w:r>
      <w:r w:rsidRPr="007875FA">
        <w:rPr>
          <w:lang w:eastAsia="en-NZ"/>
        </w:rPr>
        <w:t xml:space="preserve">ights </w:t>
      </w:r>
      <w:r w:rsidR="00C45474">
        <w:rPr>
          <w:lang w:eastAsia="en-NZ"/>
        </w:rPr>
        <w:t>t</w:t>
      </w:r>
      <w:r w:rsidRPr="007875FA">
        <w:rPr>
          <w:lang w:eastAsia="en-NZ"/>
        </w:rPr>
        <w:t>reaties</w:t>
      </w:r>
      <w:bookmarkEnd w:id="18"/>
    </w:p>
    <w:p w:rsidR="00E42F1B" w:rsidRDefault="007D34A0" w:rsidP="007D34A0">
      <w:pPr>
        <w:rPr>
          <w:lang w:eastAsia="en-NZ"/>
        </w:rPr>
      </w:pPr>
      <w:r w:rsidRPr="007D34A0">
        <w:rPr>
          <w:noProof/>
          <w:lang w:eastAsia="en-NZ"/>
        </w:rPr>
        <w:drawing>
          <wp:inline distT="0" distB="0" distL="0" distR="0" wp14:anchorId="51A3F84A" wp14:editId="1A7912D7">
            <wp:extent cx="5940425" cy="6357397"/>
            <wp:effectExtent l="0" t="0" r="317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940425" cy="6357397"/>
                    </a:xfrm>
                    <a:prstGeom prst="rect">
                      <a:avLst/>
                    </a:prstGeom>
                  </pic:spPr>
                </pic:pic>
              </a:graphicData>
            </a:graphic>
          </wp:inline>
        </w:drawing>
      </w:r>
    </w:p>
    <w:p w:rsidR="007D34A0" w:rsidRDefault="007D34A0" w:rsidP="007D34A0">
      <w:pPr>
        <w:rPr>
          <w:lang w:eastAsia="en-NZ"/>
        </w:rPr>
      </w:pPr>
    </w:p>
    <w:p w:rsidR="007D34A0" w:rsidRDefault="007D34A0" w:rsidP="007D34A0">
      <w:pPr>
        <w:pStyle w:val="Heading2"/>
        <w:rPr>
          <w:lang w:eastAsia="en-NZ"/>
        </w:rPr>
        <w:sectPr w:rsidR="007D34A0" w:rsidSect="009D5125">
          <w:headerReference w:type="default" r:id="rId25"/>
          <w:footerReference w:type="even" r:id="rId26"/>
          <w:footerReference w:type="default" r:id="rId27"/>
          <w:pgSz w:w="11907" w:h="16834" w:code="9"/>
          <w:pgMar w:top="851" w:right="1134" w:bottom="1134" w:left="1134" w:header="284" w:footer="567" w:gutter="284"/>
          <w:pgNumType w:start="1"/>
          <w:cols w:space="720"/>
        </w:sectPr>
      </w:pPr>
    </w:p>
    <w:p w:rsidR="00A61ED8" w:rsidRDefault="00E42F1B" w:rsidP="007D34A0">
      <w:pPr>
        <w:pStyle w:val="Heading2"/>
        <w:rPr>
          <w:lang w:eastAsia="en-NZ"/>
        </w:rPr>
      </w:pPr>
      <w:bookmarkStart w:id="19" w:name="_Toc501094656"/>
      <w:r w:rsidRPr="007875FA">
        <w:rPr>
          <w:lang w:eastAsia="en-NZ"/>
        </w:rPr>
        <w:t xml:space="preserve">New Zealand </w:t>
      </w:r>
      <w:r w:rsidR="007D34A0">
        <w:rPr>
          <w:lang w:eastAsia="en-NZ"/>
        </w:rPr>
        <w:t>l</w:t>
      </w:r>
      <w:r w:rsidRPr="007875FA">
        <w:rPr>
          <w:lang w:eastAsia="en-NZ"/>
        </w:rPr>
        <w:t>egislation</w:t>
      </w:r>
      <w:bookmarkEnd w:id="19"/>
    </w:p>
    <w:p w:rsidR="00E42F1B" w:rsidRPr="007875FA" w:rsidRDefault="00DA0124" w:rsidP="007D34A0">
      <w:pPr>
        <w:rPr>
          <w:lang w:eastAsia="en-NZ"/>
        </w:rPr>
      </w:pPr>
      <w:r w:rsidRPr="00DA0124">
        <w:rPr>
          <w:noProof/>
          <w:lang w:eastAsia="en-NZ"/>
        </w:rPr>
        <w:drawing>
          <wp:inline distT="0" distB="0" distL="0" distR="0" wp14:anchorId="5827542C" wp14:editId="77D4FAFE">
            <wp:extent cx="9268691" cy="4776941"/>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9268691" cy="4776941"/>
                    </a:xfrm>
                    <a:prstGeom prst="rect">
                      <a:avLst/>
                    </a:prstGeom>
                  </pic:spPr>
                </pic:pic>
              </a:graphicData>
            </a:graphic>
          </wp:inline>
        </w:drawing>
      </w:r>
    </w:p>
    <w:p w:rsidR="007D34A0" w:rsidRDefault="007D34A0" w:rsidP="00E42F1B">
      <w:pPr>
        <w:spacing w:line="240" w:lineRule="auto"/>
      </w:pPr>
    </w:p>
    <w:p w:rsidR="007D34A0" w:rsidRDefault="007D34A0" w:rsidP="00E42F1B">
      <w:pPr>
        <w:spacing w:line="240" w:lineRule="auto"/>
        <w:sectPr w:rsidR="007D34A0" w:rsidSect="007D34A0">
          <w:footerReference w:type="default" r:id="rId29"/>
          <w:pgSz w:w="16834" w:h="11907" w:orient="landscape" w:code="9"/>
          <w:pgMar w:top="1134" w:right="1134" w:bottom="1134" w:left="1134" w:header="284" w:footer="567" w:gutter="0"/>
          <w:cols w:space="720"/>
          <w:docGrid w:linePitch="299"/>
        </w:sectPr>
      </w:pPr>
    </w:p>
    <w:p w:rsidR="003779D2" w:rsidRDefault="00340CAA" w:rsidP="00E42F1B">
      <w:pPr>
        <w:spacing w:line="240" w:lineRule="auto"/>
      </w:pPr>
      <w:r w:rsidRPr="00340CAA">
        <w:rPr>
          <w:noProof/>
          <w:lang w:eastAsia="en-NZ"/>
        </w:rPr>
        <w:drawing>
          <wp:inline distT="0" distB="0" distL="0" distR="0" wp14:anchorId="5366CE6C" wp14:editId="2A09EEA9">
            <wp:extent cx="5940425" cy="4612715"/>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940425" cy="4612715"/>
                    </a:xfrm>
                    <a:prstGeom prst="rect">
                      <a:avLst/>
                    </a:prstGeom>
                  </pic:spPr>
                </pic:pic>
              </a:graphicData>
            </a:graphic>
          </wp:inline>
        </w:drawing>
      </w:r>
    </w:p>
    <w:p w:rsidR="00340CAA" w:rsidRDefault="00340CAA" w:rsidP="00E42F1B">
      <w:pPr>
        <w:spacing w:line="240" w:lineRule="auto"/>
      </w:pPr>
    </w:p>
    <w:sectPr w:rsidR="00340CAA" w:rsidSect="007D34A0">
      <w:pgSz w:w="11907" w:h="16834" w:code="9"/>
      <w:pgMar w:top="851" w:right="1134" w:bottom="1134" w:left="1134" w:header="284" w:footer="567"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6F0" w:rsidRDefault="00FA46F0">
      <w:pPr>
        <w:spacing w:line="240" w:lineRule="auto"/>
      </w:pPr>
      <w:r>
        <w:separator/>
      </w:r>
    </w:p>
    <w:p w:rsidR="00FA46F0" w:rsidRDefault="00FA46F0"/>
  </w:endnote>
  <w:endnote w:type="continuationSeparator" w:id="0">
    <w:p w:rsidR="00FA46F0" w:rsidRDefault="00FA46F0">
      <w:pPr>
        <w:spacing w:line="240" w:lineRule="auto"/>
      </w:pPr>
      <w:r>
        <w:continuationSeparator/>
      </w:r>
    </w:p>
    <w:p w:rsidR="00FA46F0" w:rsidRDefault="00FA4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eta Normal LF">
    <w:altName w:val="Meta Normal L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F0" w:rsidRPr="00581136" w:rsidRDefault="00FA46F0" w:rsidP="00F9366A">
    <w:pPr>
      <w:pStyle w:val="Footer"/>
      <w:pBdr>
        <w:bottom w:val="single" w:sz="4" w:space="1" w:color="auto"/>
      </w:pBdr>
      <w:tabs>
        <w:tab w:val="right" w:pos="8504"/>
      </w:tabs>
      <w:ind w:left="-1559"/>
      <w:rPr>
        <w:b/>
      </w:rPr>
    </w:pPr>
    <w:r w:rsidRPr="00581136">
      <w:rPr>
        <w:b/>
      </w:rPr>
      <w:t>Released 201</w:t>
    </w:r>
    <w:r>
      <w:rPr>
        <w:b/>
      </w:rPr>
      <w:t>8</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F0" w:rsidRDefault="00FA46F0"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F0" w:rsidRDefault="00FA46F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F0" w:rsidRPr="00275D08" w:rsidRDefault="00FA46F0"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Pr>
        <w:rStyle w:val="PageNumber"/>
        <w:noProof/>
      </w:rPr>
      <w:t>iv</w:t>
    </w:r>
    <w:r w:rsidRPr="00FC46E7">
      <w:rPr>
        <w:rStyle w:val="PageNumber"/>
      </w:rPr>
      <w:fldChar w:fldCharType="end"/>
    </w:r>
    <w:r>
      <w:tab/>
      <w:t>Night Safety Procedures: Transitional Guideline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F0" w:rsidRDefault="00FA46F0" w:rsidP="00533B90">
    <w:pPr>
      <w:pStyle w:val="RectoFooter"/>
    </w:pPr>
    <w:r>
      <w:tab/>
      <w:t>Night Safety Procedures: Transitional Guideline</w:t>
    </w:r>
    <w:r>
      <w:tab/>
    </w:r>
    <w:r>
      <w:rPr>
        <w:rStyle w:val="PageNumber"/>
      </w:rPr>
      <w:fldChar w:fldCharType="begin"/>
    </w:r>
    <w:r>
      <w:rPr>
        <w:rStyle w:val="PageNumber"/>
      </w:rPr>
      <w:instrText xml:space="preserve"> PAGE </w:instrText>
    </w:r>
    <w:r>
      <w:rPr>
        <w:rStyle w:val="PageNumber"/>
      </w:rPr>
      <w:fldChar w:fldCharType="separate"/>
    </w:r>
    <w:r w:rsidR="00D5709D">
      <w:rPr>
        <w:rStyle w:val="PageNumber"/>
        <w:noProof/>
      </w:rPr>
      <w:t>v</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F0" w:rsidRPr="003C624B" w:rsidRDefault="00FA46F0" w:rsidP="003C624B">
    <w:pPr>
      <w:pStyle w:val="Footer"/>
      <w:pBdr>
        <w:bottom w:val="none" w:sz="0" w:space="0" w:color="auto"/>
      </w:pBd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F0" w:rsidRPr="00275D08" w:rsidRDefault="00FA46F0"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D5709D">
      <w:rPr>
        <w:rStyle w:val="PageNumber"/>
        <w:noProof/>
      </w:rPr>
      <w:t>8</w:t>
    </w:r>
    <w:r w:rsidRPr="00FC46E7">
      <w:rPr>
        <w:rStyle w:val="PageNumber"/>
      </w:rPr>
      <w:fldChar w:fldCharType="end"/>
    </w:r>
    <w:r>
      <w:tab/>
      <w:t>Night Safety Procedures: Transitional Guideline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F0" w:rsidRDefault="00FA46F0" w:rsidP="009E3C8C">
    <w:pPr>
      <w:pStyle w:val="RectoFooter"/>
    </w:pPr>
    <w:r>
      <w:tab/>
      <w:t>Night Safety Procedures: Transitional Guideline</w:t>
    </w:r>
    <w:r>
      <w:tab/>
    </w:r>
    <w:r>
      <w:rPr>
        <w:rStyle w:val="PageNumber"/>
      </w:rPr>
      <w:fldChar w:fldCharType="begin"/>
    </w:r>
    <w:r>
      <w:rPr>
        <w:rStyle w:val="PageNumber"/>
      </w:rPr>
      <w:instrText xml:space="preserve"> PAGE </w:instrText>
    </w:r>
    <w:r>
      <w:rPr>
        <w:rStyle w:val="PageNumber"/>
      </w:rPr>
      <w:fldChar w:fldCharType="separate"/>
    </w:r>
    <w:r w:rsidR="00D5709D">
      <w:rPr>
        <w:rStyle w:val="PageNumber"/>
        <w:noProof/>
      </w:rPr>
      <w:t>7</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F0" w:rsidRDefault="00FA46F0" w:rsidP="00CA6292">
    <w:pPr>
      <w:pStyle w:val="RectoFooter"/>
      <w:tabs>
        <w:tab w:val="clear" w:pos="8647"/>
        <w:tab w:val="clear" w:pos="9356"/>
        <w:tab w:val="right" w:pos="13750"/>
        <w:tab w:val="right" w:pos="14601"/>
      </w:tabs>
    </w:pPr>
    <w:r>
      <w:tab/>
      <w:t>Night Safety Procedures: Transitional Guideline</w:t>
    </w:r>
    <w:r>
      <w:tab/>
    </w:r>
    <w:r>
      <w:rPr>
        <w:rStyle w:val="PageNumber"/>
      </w:rPr>
      <w:fldChar w:fldCharType="begin"/>
    </w:r>
    <w:r>
      <w:rPr>
        <w:rStyle w:val="PageNumber"/>
      </w:rPr>
      <w:instrText xml:space="preserve"> PAGE </w:instrText>
    </w:r>
    <w:r>
      <w:rPr>
        <w:rStyle w:val="PageNumber"/>
      </w:rPr>
      <w:fldChar w:fldCharType="separate"/>
    </w:r>
    <w:r w:rsidR="00D5709D">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6F0" w:rsidRPr="00A26E6B" w:rsidRDefault="00FA46F0" w:rsidP="00A26E6B"/>
  </w:footnote>
  <w:footnote w:type="continuationSeparator" w:id="0">
    <w:p w:rsidR="00FA46F0" w:rsidRDefault="00FA46F0">
      <w:pPr>
        <w:spacing w:line="240" w:lineRule="auto"/>
      </w:pPr>
      <w:r>
        <w:continuationSeparator/>
      </w:r>
    </w:p>
    <w:p w:rsidR="00FA46F0" w:rsidRDefault="00FA46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F0" w:rsidRDefault="00FA46F0" w:rsidP="009216CC">
    <w:pPr>
      <w:pStyle w:val="Header"/>
      <w:ind w:left="-1559"/>
    </w:pPr>
    <w:r>
      <w:rPr>
        <w:noProof/>
        <w:lang w:eastAsia="en-NZ"/>
      </w:rPr>
      <w:drawing>
        <wp:inline distT="0" distB="0" distL="0" distR="0" wp14:anchorId="741A08EB" wp14:editId="25D503B4">
          <wp:extent cx="6467302" cy="5346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F0" w:rsidRDefault="00FA46F0"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F0" w:rsidRDefault="00FA46F0"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6F0" w:rsidRDefault="00FA46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052041F9"/>
    <w:multiLevelType w:val="hybridMultilevel"/>
    <w:tmpl w:val="ABAC7CB8"/>
    <w:lvl w:ilvl="0" w:tplc="614058B0">
      <w:start w:val="1"/>
      <w:numFmt w:val="decimal"/>
      <w:lvlText w:val="%1."/>
      <w:lvlJc w:val="left"/>
      <w:pPr>
        <w:ind w:left="840" w:hanging="360"/>
      </w:pPr>
      <w:rPr>
        <w:rFonts w:hint="default"/>
      </w:rPr>
    </w:lvl>
    <w:lvl w:ilvl="1" w:tplc="14090019">
      <w:start w:val="1"/>
      <w:numFmt w:val="lowerLetter"/>
      <w:lvlText w:val="%2."/>
      <w:lvlJc w:val="left"/>
      <w:pPr>
        <w:ind w:left="1560" w:hanging="360"/>
      </w:pPr>
    </w:lvl>
    <w:lvl w:ilvl="2" w:tplc="1409001B">
      <w:start w:val="1"/>
      <w:numFmt w:val="lowerRoman"/>
      <w:lvlText w:val="%3."/>
      <w:lvlJc w:val="right"/>
      <w:pPr>
        <w:ind w:left="2280" w:hanging="180"/>
      </w:pPr>
    </w:lvl>
    <w:lvl w:ilvl="3" w:tplc="1409000F" w:tentative="1">
      <w:start w:val="1"/>
      <w:numFmt w:val="decimal"/>
      <w:lvlText w:val="%4."/>
      <w:lvlJc w:val="left"/>
      <w:pPr>
        <w:ind w:left="3000" w:hanging="360"/>
      </w:pPr>
    </w:lvl>
    <w:lvl w:ilvl="4" w:tplc="14090019" w:tentative="1">
      <w:start w:val="1"/>
      <w:numFmt w:val="lowerLetter"/>
      <w:lvlText w:val="%5."/>
      <w:lvlJc w:val="left"/>
      <w:pPr>
        <w:ind w:left="3720" w:hanging="360"/>
      </w:pPr>
    </w:lvl>
    <w:lvl w:ilvl="5" w:tplc="1409001B" w:tentative="1">
      <w:start w:val="1"/>
      <w:numFmt w:val="lowerRoman"/>
      <w:lvlText w:val="%6."/>
      <w:lvlJc w:val="right"/>
      <w:pPr>
        <w:ind w:left="4440" w:hanging="180"/>
      </w:pPr>
    </w:lvl>
    <w:lvl w:ilvl="6" w:tplc="1409000F" w:tentative="1">
      <w:start w:val="1"/>
      <w:numFmt w:val="decimal"/>
      <w:lvlText w:val="%7."/>
      <w:lvlJc w:val="left"/>
      <w:pPr>
        <w:ind w:left="5160" w:hanging="360"/>
      </w:pPr>
    </w:lvl>
    <w:lvl w:ilvl="7" w:tplc="14090019" w:tentative="1">
      <w:start w:val="1"/>
      <w:numFmt w:val="lowerLetter"/>
      <w:lvlText w:val="%8."/>
      <w:lvlJc w:val="left"/>
      <w:pPr>
        <w:ind w:left="5880" w:hanging="360"/>
      </w:pPr>
    </w:lvl>
    <w:lvl w:ilvl="8" w:tplc="1409001B" w:tentative="1">
      <w:start w:val="1"/>
      <w:numFmt w:val="lowerRoman"/>
      <w:lvlText w:val="%9."/>
      <w:lvlJc w:val="right"/>
      <w:pPr>
        <w:ind w:left="6600" w:hanging="180"/>
      </w:pPr>
    </w:lvl>
  </w:abstractNum>
  <w:abstractNum w:abstractNumId="2">
    <w:nsid w:val="07BA0EC1"/>
    <w:multiLevelType w:val="hybridMultilevel"/>
    <w:tmpl w:val="0FDE2E92"/>
    <w:lvl w:ilvl="0" w:tplc="9B36D550">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F487000"/>
    <w:multiLevelType w:val="hybridMultilevel"/>
    <w:tmpl w:val="D1508736"/>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4">
    <w:nsid w:val="15E51929"/>
    <w:multiLevelType w:val="hybridMultilevel"/>
    <w:tmpl w:val="CAF6CA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915754A"/>
    <w:multiLevelType w:val="hybridMultilevel"/>
    <w:tmpl w:val="BE16CB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AD22446"/>
    <w:multiLevelType w:val="hybridMultilevel"/>
    <w:tmpl w:val="82B0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BF65D06"/>
    <w:multiLevelType w:val="hybridMultilevel"/>
    <w:tmpl w:val="0C0C934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nsid w:val="28F57520"/>
    <w:multiLevelType w:val="singleLevel"/>
    <w:tmpl w:val="F3FE0FEA"/>
    <w:lvl w:ilvl="0">
      <w:start w:val="1"/>
      <w:numFmt w:val="bullet"/>
      <w:lvlText w:val="–"/>
      <w:lvlJc w:val="left"/>
      <w:pPr>
        <w:tabs>
          <w:tab w:val="num" w:pos="644"/>
        </w:tabs>
        <w:ind w:left="567" w:hanging="283"/>
      </w:pPr>
      <w:rPr>
        <w:rFonts w:ascii="Times New Roman" w:hAnsi="Times New Roman" w:hint="default"/>
        <w:sz w:val="20"/>
      </w:rPr>
    </w:lvl>
  </w:abstractNum>
  <w:abstractNum w:abstractNumId="9">
    <w:nsid w:val="2BFE7769"/>
    <w:multiLevelType w:val="hybridMultilevel"/>
    <w:tmpl w:val="471C576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2F922448"/>
    <w:multiLevelType w:val="multilevel"/>
    <w:tmpl w:val="362EE410"/>
    <w:lvl w:ilvl="0">
      <w:start w:val="3"/>
      <w:numFmt w:val="decimal"/>
      <w:lvlText w:val="%1"/>
      <w:lvlJc w:val="left"/>
      <w:pPr>
        <w:ind w:left="525" w:hanging="525"/>
      </w:pPr>
      <w:rPr>
        <w:rFonts w:hint="default"/>
      </w:rPr>
    </w:lvl>
    <w:lvl w:ilvl="1">
      <w:start w:val="2"/>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lowerRoman"/>
      <w:lvlText w:val="%4."/>
      <w:lvlJc w:val="righ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1">
    <w:nsid w:val="30CD5B3F"/>
    <w:multiLevelType w:val="multilevel"/>
    <w:tmpl w:val="18E0B2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3"/>
      <w:lvlJc w:val="left"/>
      <w:pPr>
        <w:ind w:left="720" w:hanging="720"/>
      </w:pPr>
      <w:rPr>
        <w:rFonts w:ascii="Arial" w:hAnsi="Arial" w:cs="Arial" w:hint="default"/>
        <w:b w:val="0"/>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3F96599"/>
    <w:multiLevelType w:val="multilevel"/>
    <w:tmpl w:val="C53AFF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B09314A"/>
    <w:multiLevelType w:val="multilevel"/>
    <w:tmpl w:val="7A160DD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B5509BF"/>
    <w:multiLevelType w:val="hybridMultilevel"/>
    <w:tmpl w:val="291C66B2"/>
    <w:lvl w:ilvl="0" w:tplc="1228F616">
      <w:start w:val="1"/>
      <w:numFmt w:val="bullet"/>
      <w:lvlText w:val="•"/>
      <w:lvlJc w:val="left"/>
      <w:pPr>
        <w:tabs>
          <w:tab w:val="num" w:pos="720"/>
        </w:tabs>
        <w:ind w:left="720" w:hanging="360"/>
      </w:pPr>
      <w:rPr>
        <w:rFonts w:ascii="Times New Roman" w:hAnsi="Times New Roman" w:hint="default"/>
      </w:rPr>
    </w:lvl>
    <w:lvl w:ilvl="1" w:tplc="469C6036" w:tentative="1">
      <w:start w:val="1"/>
      <w:numFmt w:val="bullet"/>
      <w:lvlText w:val="•"/>
      <w:lvlJc w:val="left"/>
      <w:pPr>
        <w:tabs>
          <w:tab w:val="num" w:pos="1440"/>
        </w:tabs>
        <w:ind w:left="1440" w:hanging="360"/>
      </w:pPr>
      <w:rPr>
        <w:rFonts w:ascii="Times New Roman" w:hAnsi="Times New Roman" w:hint="default"/>
      </w:rPr>
    </w:lvl>
    <w:lvl w:ilvl="2" w:tplc="6130EA06" w:tentative="1">
      <w:start w:val="1"/>
      <w:numFmt w:val="bullet"/>
      <w:lvlText w:val="•"/>
      <w:lvlJc w:val="left"/>
      <w:pPr>
        <w:tabs>
          <w:tab w:val="num" w:pos="2160"/>
        </w:tabs>
        <w:ind w:left="2160" w:hanging="360"/>
      </w:pPr>
      <w:rPr>
        <w:rFonts w:ascii="Times New Roman" w:hAnsi="Times New Roman" w:hint="default"/>
      </w:rPr>
    </w:lvl>
    <w:lvl w:ilvl="3" w:tplc="835CC386" w:tentative="1">
      <w:start w:val="1"/>
      <w:numFmt w:val="bullet"/>
      <w:lvlText w:val="•"/>
      <w:lvlJc w:val="left"/>
      <w:pPr>
        <w:tabs>
          <w:tab w:val="num" w:pos="2880"/>
        </w:tabs>
        <w:ind w:left="2880" w:hanging="360"/>
      </w:pPr>
      <w:rPr>
        <w:rFonts w:ascii="Times New Roman" w:hAnsi="Times New Roman" w:hint="default"/>
      </w:rPr>
    </w:lvl>
    <w:lvl w:ilvl="4" w:tplc="988A78EC" w:tentative="1">
      <w:start w:val="1"/>
      <w:numFmt w:val="bullet"/>
      <w:lvlText w:val="•"/>
      <w:lvlJc w:val="left"/>
      <w:pPr>
        <w:tabs>
          <w:tab w:val="num" w:pos="3600"/>
        </w:tabs>
        <w:ind w:left="3600" w:hanging="360"/>
      </w:pPr>
      <w:rPr>
        <w:rFonts w:ascii="Times New Roman" w:hAnsi="Times New Roman" w:hint="default"/>
      </w:rPr>
    </w:lvl>
    <w:lvl w:ilvl="5" w:tplc="8F68050A" w:tentative="1">
      <w:start w:val="1"/>
      <w:numFmt w:val="bullet"/>
      <w:lvlText w:val="•"/>
      <w:lvlJc w:val="left"/>
      <w:pPr>
        <w:tabs>
          <w:tab w:val="num" w:pos="4320"/>
        </w:tabs>
        <w:ind w:left="4320" w:hanging="360"/>
      </w:pPr>
      <w:rPr>
        <w:rFonts w:ascii="Times New Roman" w:hAnsi="Times New Roman" w:hint="default"/>
      </w:rPr>
    </w:lvl>
    <w:lvl w:ilvl="6" w:tplc="B4B4115E" w:tentative="1">
      <w:start w:val="1"/>
      <w:numFmt w:val="bullet"/>
      <w:lvlText w:val="•"/>
      <w:lvlJc w:val="left"/>
      <w:pPr>
        <w:tabs>
          <w:tab w:val="num" w:pos="5040"/>
        </w:tabs>
        <w:ind w:left="5040" w:hanging="360"/>
      </w:pPr>
      <w:rPr>
        <w:rFonts w:ascii="Times New Roman" w:hAnsi="Times New Roman" w:hint="default"/>
      </w:rPr>
    </w:lvl>
    <w:lvl w:ilvl="7" w:tplc="84BCC63A" w:tentative="1">
      <w:start w:val="1"/>
      <w:numFmt w:val="bullet"/>
      <w:lvlText w:val="•"/>
      <w:lvlJc w:val="left"/>
      <w:pPr>
        <w:tabs>
          <w:tab w:val="num" w:pos="5760"/>
        </w:tabs>
        <w:ind w:left="5760" w:hanging="360"/>
      </w:pPr>
      <w:rPr>
        <w:rFonts w:ascii="Times New Roman" w:hAnsi="Times New Roman" w:hint="default"/>
      </w:rPr>
    </w:lvl>
    <w:lvl w:ilvl="8" w:tplc="3F5AB87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0711A94"/>
    <w:multiLevelType w:val="multilevel"/>
    <w:tmpl w:val="89D2A482"/>
    <w:lvl w:ilvl="0">
      <w:start w:val="1"/>
      <w:numFmt w:val="decimal"/>
      <w:lvlText w:val="%1."/>
      <w:lvlJc w:val="left"/>
      <w:pPr>
        <w:ind w:left="360" w:hanging="360"/>
      </w:pPr>
      <w:rPr>
        <w:b w:val="0"/>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nsid w:val="653B5A92"/>
    <w:multiLevelType w:val="multilevel"/>
    <w:tmpl w:val="99F610F6"/>
    <w:lvl w:ilvl="0">
      <w:start w:val="3"/>
      <w:numFmt w:val="decimal"/>
      <w:lvlText w:val="%1"/>
      <w:lvlJc w:val="left"/>
      <w:pPr>
        <w:ind w:left="525" w:hanging="525"/>
      </w:pPr>
      <w:rPr>
        <w:rFonts w:hint="default"/>
      </w:rPr>
    </w:lvl>
    <w:lvl w:ilvl="1">
      <w:start w:val="2"/>
      <w:numFmt w:val="decimal"/>
      <w:lvlText w:val="%1.%2"/>
      <w:lvlJc w:val="left"/>
      <w:pPr>
        <w:ind w:left="667" w:hanging="525"/>
      </w:pPr>
      <w:rPr>
        <w:rFonts w:hint="default"/>
      </w:rPr>
    </w:lvl>
    <w:lvl w:ilvl="2">
      <w:start w:val="1"/>
      <w:numFmt w:val="lowerLetter"/>
      <w:lvlText w:val="%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9">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0">
    <w:nsid w:val="761C54D3"/>
    <w:multiLevelType w:val="hybridMultilevel"/>
    <w:tmpl w:val="6F1E4EBE"/>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78150B09"/>
    <w:multiLevelType w:val="multilevel"/>
    <w:tmpl w:val="04DA98A4"/>
    <w:lvl w:ilvl="0">
      <w:start w:val="3"/>
      <w:numFmt w:val="decimal"/>
      <w:lvlText w:val="%1"/>
      <w:lvlJc w:val="left"/>
      <w:pPr>
        <w:ind w:left="525" w:hanging="525"/>
      </w:pPr>
      <w:rPr>
        <w:rFonts w:hint="default"/>
      </w:rPr>
    </w:lvl>
    <w:lvl w:ilvl="1">
      <w:start w:val="2"/>
      <w:numFmt w:val="decimal"/>
      <w:lvlText w:val="%1.%2"/>
      <w:lvlJc w:val="left"/>
      <w:pPr>
        <w:ind w:left="667" w:hanging="525"/>
      </w:pPr>
      <w:rPr>
        <w:rFonts w:hint="default"/>
      </w:rPr>
    </w:lvl>
    <w:lvl w:ilvl="2">
      <w:start w:val="1"/>
      <w:numFmt w:val="lowerLetter"/>
      <w:lvlText w:val="%3)"/>
      <w:lvlJc w:val="left"/>
      <w:pPr>
        <w:ind w:left="1430"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2">
    <w:nsid w:val="7A46122C"/>
    <w:multiLevelType w:val="hybridMultilevel"/>
    <w:tmpl w:val="5888C120"/>
    <w:lvl w:ilvl="0" w:tplc="14090017">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abstractNum w:abstractNumId="24">
    <w:nsid w:val="7CC72B21"/>
    <w:multiLevelType w:val="multilevel"/>
    <w:tmpl w:val="273EF2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3"/>
  </w:num>
  <w:num w:numId="2">
    <w:abstractNumId w:val="19"/>
  </w:num>
  <w:num w:numId="3">
    <w:abstractNumId w:val="12"/>
  </w:num>
  <w:num w:numId="4">
    <w:abstractNumId w:val="13"/>
  </w:num>
  <w:num w:numId="5">
    <w:abstractNumId w:val="0"/>
  </w:num>
  <w:num w:numId="6">
    <w:abstractNumId w:val="24"/>
  </w:num>
  <w:num w:numId="7">
    <w:abstractNumId w:val="8"/>
  </w:num>
  <w:num w:numId="8">
    <w:abstractNumId w:val="2"/>
  </w:num>
  <w:num w:numId="9">
    <w:abstractNumId w:val="22"/>
  </w:num>
  <w:num w:numId="10">
    <w:abstractNumId w:val="1"/>
  </w:num>
  <w:num w:numId="11">
    <w:abstractNumId w:val="20"/>
  </w:num>
  <w:num w:numId="12">
    <w:abstractNumId w:val="3"/>
  </w:num>
  <w:num w:numId="13">
    <w:abstractNumId w:val="6"/>
  </w:num>
  <w:num w:numId="14">
    <w:abstractNumId w:val="5"/>
  </w:num>
  <w:num w:numId="15">
    <w:abstractNumId w:val="7"/>
  </w:num>
  <w:num w:numId="16">
    <w:abstractNumId w:val="15"/>
  </w:num>
  <w:num w:numId="17">
    <w:abstractNumId w:val="17"/>
  </w:num>
  <w:num w:numId="18">
    <w:abstractNumId w:val="9"/>
  </w:num>
  <w:num w:numId="19">
    <w:abstractNumId w:val="4"/>
  </w:num>
  <w:num w:numId="20">
    <w:abstractNumId w:val="11"/>
  </w:num>
  <w:num w:numId="21">
    <w:abstractNumId w:val="18"/>
  </w:num>
  <w:num w:numId="22">
    <w:abstractNumId w:val="21"/>
  </w:num>
  <w:num w:numId="23">
    <w:abstractNumId w:val="14"/>
  </w:num>
  <w:num w:numId="24">
    <w:abstractNumId w:val="14"/>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 w:numId="25">
    <w:abstractNumId w:val="10"/>
  </w:num>
  <w:num w:numId="2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25A6F"/>
    <w:rsid w:val="00030B26"/>
    <w:rsid w:val="00032C0A"/>
    <w:rsid w:val="00035257"/>
    <w:rsid w:val="000454FE"/>
    <w:rsid w:val="0006228D"/>
    <w:rsid w:val="00072BD6"/>
    <w:rsid w:val="00075B78"/>
    <w:rsid w:val="00082CD6"/>
    <w:rsid w:val="00085AFE"/>
    <w:rsid w:val="000B0730"/>
    <w:rsid w:val="000F2AE2"/>
    <w:rsid w:val="00102063"/>
    <w:rsid w:val="0010541C"/>
    <w:rsid w:val="00106F93"/>
    <w:rsid w:val="00111D50"/>
    <w:rsid w:val="00113B8E"/>
    <w:rsid w:val="00122363"/>
    <w:rsid w:val="001342C7"/>
    <w:rsid w:val="0013585C"/>
    <w:rsid w:val="00142954"/>
    <w:rsid w:val="001460E0"/>
    <w:rsid w:val="00147F71"/>
    <w:rsid w:val="00150A6E"/>
    <w:rsid w:val="0016468A"/>
    <w:rsid w:val="001A21B4"/>
    <w:rsid w:val="001A5CF5"/>
    <w:rsid w:val="001A5DC9"/>
    <w:rsid w:val="001B39D2"/>
    <w:rsid w:val="001B4BF8"/>
    <w:rsid w:val="001C4326"/>
    <w:rsid w:val="001D3541"/>
    <w:rsid w:val="001F45A7"/>
    <w:rsid w:val="00201A01"/>
    <w:rsid w:val="002104D3"/>
    <w:rsid w:val="00213A33"/>
    <w:rsid w:val="0021763B"/>
    <w:rsid w:val="00246DB1"/>
    <w:rsid w:val="002476B5"/>
    <w:rsid w:val="00253ECF"/>
    <w:rsid w:val="002546A1"/>
    <w:rsid w:val="00275D08"/>
    <w:rsid w:val="002858E3"/>
    <w:rsid w:val="0029190A"/>
    <w:rsid w:val="00292C5A"/>
    <w:rsid w:val="00295241"/>
    <w:rsid w:val="002A4DFC"/>
    <w:rsid w:val="002B047D"/>
    <w:rsid w:val="002B732B"/>
    <w:rsid w:val="002C2219"/>
    <w:rsid w:val="002D0DF2"/>
    <w:rsid w:val="002D23BD"/>
    <w:rsid w:val="002E0B47"/>
    <w:rsid w:val="002F7213"/>
    <w:rsid w:val="0030382F"/>
    <w:rsid w:val="0030408D"/>
    <w:rsid w:val="003060E4"/>
    <w:rsid w:val="003160E7"/>
    <w:rsid w:val="0031739E"/>
    <w:rsid w:val="003325AB"/>
    <w:rsid w:val="003332D1"/>
    <w:rsid w:val="0033412B"/>
    <w:rsid w:val="00340CAA"/>
    <w:rsid w:val="00343365"/>
    <w:rsid w:val="00353501"/>
    <w:rsid w:val="003606F8"/>
    <w:rsid w:val="003648EF"/>
    <w:rsid w:val="003673E6"/>
    <w:rsid w:val="00377264"/>
    <w:rsid w:val="003779D2"/>
    <w:rsid w:val="003A26A5"/>
    <w:rsid w:val="003A3761"/>
    <w:rsid w:val="003A5FEA"/>
    <w:rsid w:val="003B1D10"/>
    <w:rsid w:val="003C624B"/>
    <w:rsid w:val="003C76D4"/>
    <w:rsid w:val="003D137D"/>
    <w:rsid w:val="003D2CC5"/>
    <w:rsid w:val="003E7C46"/>
    <w:rsid w:val="003F2106"/>
    <w:rsid w:val="003F52A7"/>
    <w:rsid w:val="0040240C"/>
    <w:rsid w:val="00413021"/>
    <w:rsid w:val="00440BE0"/>
    <w:rsid w:val="00442C1C"/>
    <w:rsid w:val="0044584B"/>
    <w:rsid w:val="00447CB7"/>
    <w:rsid w:val="00455CC9"/>
    <w:rsid w:val="00460826"/>
    <w:rsid w:val="00460EA7"/>
    <w:rsid w:val="0046195B"/>
    <w:rsid w:val="0046596D"/>
    <w:rsid w:val="00487C04"/>
    <w:rsid w:val="004907E1"/>
    <w:rsid w:val="004A035B"/>
    <w:rsid w:val="004A38D7"/>
    <w:rsid w:val="004A778C"/>
    <w:rsid w:val="004C2E6A"/>
    <w:rsid w:val="004C64B8"/>
    <w:rsid w:val="004D2A2D"/>
    <w:rsid w:val="004D6689"/>
    <w:rsid w:val="004E1D1D"/>
    <w:rsid w:val="004E588D"/>
    <w:rsid w:val="004E7AC8"/>
    <w:rsid w:val="004F0C94"/>
    <w:rsid w:val="005019AE"/>
    <w:rsid w:val="00503749"/>
    <w:rsid w:val="00504CF4"/>
    <w:rsid w:val="0050635B"/>
    <w:rsid w:val="005151C2"/>
    <w:rsid w:val="0053199F"/>
    <w:rsid w:val="00533B90"/>
    <w:rsid w:val="005410F8"/>
    <w:rsid w:val="005448EC"/>
    <w:rsid w:val="00545963"/>
    <w:rsid w:val="00550256"/>
    <w:rsid w:val="00553958"/>
    <w:rsid w:val="0055763D"/>
    <w:rsid w:val="005621F2"/>
    <w:rsid w:val="00564EEB"/>
    <w:rsid w:val="00567B58"/>
    <w:rsid w:val="005763E0"/>
    <w:rsid w:val="00581136"/>
    <w:rsid w:val="005A27CA"/>
    <w:rsid w:val="005A43BD"/>
    <w:rsid w:val="005E226E"/>
    <w:rsid w:val="005E2636"/>
    <w:rsid w:val="006015D7"/>
    <w:rsid w:val="00601B21"/>
    <w:rsid w:val="006041F0"/>
    <w:rsid w:val="00624174"/>
    <w:rsid w:val="00626CF8"/>
    <w:rsid w:val="00634ED8"/>
    <w:rsid w:val="00636D7D"/>
    <w:rsid w:val="00637408"/>
    <w:rsid w:val="00642868"/>
    <w:rsid w:val="00647AFE"/>
    <w:rsid w:val="006512BC"/>
    <w:rsid w:val="00653A5A"/>
    <w:rsid w:val="006575F4"/>
    <w:rsid w:val="006579E6"/>
    <w:rsid w:val="00663EDC"/>
    <w:rsid w:val="00671078"/>
    <w:rsid w:val="006758CA"/>
    <w:rsid w:val="00680A04"/>
    <w:rsid w:val="00686D80"/>
    <w:rsid w:val="00694895"/>
    <w:rsid w:val="00697E2E"/>
    <w:rsid w:val="006A25A2"/>
    <w:rsid w:val="006B0E73"/>
    <w:rsid w:val="006B4A4D"/>
    <w:rsid w:val="006B5695"/>
    <w:rsid w:val="006C78EB"/>
    <w:rsid w:val="006D1660"/>
    <w:rsid w:val="006F1B67"/>
    <w:rsid w:val="0070091D"/>
    <w:rsid w:val="00702854"/>
    <w:rsid w:val="0070301C"/>
    <w:rsid w:val="0071741C"/>
    <w:rsid w:val="00742B90"/>
    <w:rsid w:val="0074434D"/>
    <w:rsid w:val="00771B1E"/>
    <w:rsid w:val="00773C95"/>
    <w:rsid w:val="0078171E"/>
    <w:rsid w:val="00795B34"/>
    <w:rsid w:val="007B1770"/>
    <w:rsid w:val="007B4D3E"/>
    <w:rsid w:val="007B7C70"/>
    <w:rsid w:val="007D05EE"/>
    <w:rsid w:val="007D2151"/>
    <w:rsid w:val="007D34A0"/>
    <w:rsid w:val="007D3B90"/>
    <w:rsid w:val="007D42CC"/>
    <w:rsid w:val="007D5DE4"/>
    <w:rsid w:val="007E0777"/>
    <w:rsid w:val="007E1341"/>
    <w:rsid w:val="007E1B41"/>
    <w:rsid w:val="007E30B9"/>
    <w:rsid w:val="007E74F1"/>
    <w:rsid w:val="007F0F0C"/>
    <w:rsid w:val="007F1288"/>
    <w:rsid w:val="00800A8A"/>
    <w:rsid w:val="0080155C"/>
    <w:rsid w:val="008052E1"/>
    <w:rsid w:val="00822F2C"/>
    <w:rsid w:val="008305E8"/>
    <w:rsid w:val="00835CD7"/>
    <w:rsid w:val="00860826"/>
    <w:rsid w:val="00860E21"/>
    <w:rsid w:val="00863117"/>
    <w:rsid w:val="0086388B"/>
    <w:rsid w:val="008642E5"/>
    <w:rsid w:val="00872D93"/>
    <w:rsid w:val="00880470"/>
    <w:rsid w:val="00880D94"/>
    <w:rsid w:val="008924DE"/>
    <w:rsid w:val="008A3755"/>
    <w:rsid w:val="008B19DC"/>
    <w:rsid w:val="008B264F"/>
    <w:rsid w:val="008B6F83"/>
    <w:rsid w:val="008B7FD8"/>
    <w:rsid w:val="008C2973"/>
    <w:rsid w:val="008C6324"/>
    <w:rsid w:val="008C64C4"/>
    <w:rsid w:val="008D74D5"/>
    <w:rsid w:val="008E3A07"/>
    <w:rsid w:val="008F29BE"/>
    <w:rsid w:val="008F4AE5"/>
    <w:rsid w:val="008F51EB"/>
    <w:rsid w:val="00900197"/>
    <w:rsid w:val="00902F55"/>
    <w:rsid w:val="0090582B"/>
    <w:rsid w:val="009060C0"/>
    <w:rsid w:val="009133F5"/>
    <w:rsid w:val="00920A27"/>
    <w:rsid w:val="00921216"/>
    <w:rsid w:val="009216CC"/>
    <w:rsid w:val="00930D08"/>
    <w:rsid w:val="00932D69"/>
    <w:rsid w:val="00932F79"/>
    <w:rsid w:val="00944647"/>
    <w:rsid w:val="00966F9A"/>
    <w:rsid w:val="00977B8A"/>
    <w:rsid w:val="00982971"/>
    <w:rsid w:val="009845AD"/>
    <w:rsid w:val="00995BA0"/>
    <w:rsid w:val="009A418B"/>
    <w:rsid w:val="009A426F"/>
    <w:rsid w:val="009A4473"/>
    <w:rsid w:val="009C151C"/>
    <w:rsid w:val="009D5125"/>
    <w:rsid w:val="009D60B8"/>
    <w:rsid w:val="009D7D4B"/>
    <w:rsid w:val="009E36ED"/>
    <w:rsid w:val="009E3C8C"/>
    <w:rsid w:val="009E6B77"/>
    <w:rsid w:val="009F460A"/>
    <w:rsid w:val="00A043FB"/>
    <w:rsid w:val="00A0729C"/>
    <w:rsid w:val="00A07779"/>
    <w:rsid w:val="00A20B2E"/>
    <w:rsid w:val="00A248DA"/>
    <w:rsid w:val="00A25069"/>
    <w:rsid w:val="00A26E6B"/>
    <w:rsid w:val="00A3068F"/>
    <w:rsid w:val="00A3145B"/>
    <w:rsid w:val="00A339D0"/>
    <w:rsid w:val="00A41002"/>
    <w:rsid w:val="00A4201A"/>
    <w:rsid w:val="00A553CE"/>
    <w:rsid w:val="00A5677A"/>
    <w:rsid w:val="00A61ED8"/>
    <w:rsid w:val="00A625E8"/>
    <w:rsid w:val="00A6490D"/>
    <w:rsid w:val="00A80363"/>
    <w:rsid w:val="00A83E9D"/>
    <w:rsid w:val="00A9169D"/>
    <w:rsid w:val="00AA240C"/>
    <w:rsid w:val="00AC101C"/>
    <w:rsid w:val="00AD4CF1"/>
    <w:rsid w:val="00AD5988"/>
    <w:rsid w:val="00AF7800"/>
    <w:rsid w:val="00B072E0"/>
    <w:rsid w:val="00B253F6"/>
    <w:rsid w:val="00B305DB"/>
    <w:rsid w:val="00B332F8"/>
    <w:rsid w:val="00B3492B"/>
    <w:rsid w:val="00B4646F"/>
    <w:rsid w:val="00B55C7D"/>
    <w:rsid w:val="00B63038"/>
    <w:rsid w:val="00B64BD8"/>
    <w:rsid w:val="00B701D1"/>
    <w:rsid w:val="00B73AF2"/>
    <w:rsid w:val="00B7551A"/>
    <w:rsid w:val="00B773F1"/>
    <w:rsid w:val="00B86AB1"/>
    <w:rsid w:val="00BB2CBB"/>
    <w:rsid w:val="00BC59F1"/>
    <w:rsid w:val="00BF3DE1"/>
    <w:rsid w:val="00BF4843"/>
    <w:rsid w:val="00BF5205"/>
    <w:rsid w:val="00C12508"/>
    <w:rsid w:val="00C23728"/>
    <w:rsid w:val="00C45474"/>
    <w:rsid w:val="00C45AA2"/>
    <w:rsid w:val="00C55BEF"/>
    <w:rsid w:val="00C66296"/>
    <w:rsid w:val="00C77282"/>
    <w:rsid w:val="00C84DE5"/>
    <w:rsid w:val="00C86248"/>
    <w:rsid w:val="00CA4C33"/>
    <w:rsid w:val="00CA6292"/>
    <w:rsid w:val="00CA6F4A"/>
    <w:rsid w:val="00CD2119"/>
    <w:rsid w:val="00CD237A"/>
    <w:rsid w:val="00CD36AC"/>
    <w:rsid w:val="00CE13A3"/>
    <w:rsid w:val="00CF1747"/>
    <w:rsid w:val="00CF4F32"/>
    <w:rsid w:val="00D23323"/>
    <w:rsid w:val="00D2392A"/>
    <w:rsid w:val="00D25FFE"/>
    <w:rsid w:val="00D4476F"/>
    <w:rsid w:val="00D54D50"/>
    <w:rsid w:val="00D5709D"/>
    <w:rsid w:val="00D66797"/>
    <w:rsid w:val="00D7087C"/>
    <w:rsid w:val="00D70C3C"/>
    <w:rsid w:val="00D71DF7"/>
    <w:rsid w:val="00D72BE5"/>
    <w:rsid w:val="00D82F26"/>
    <w:rsid w:val="00D863D0"/>
    <w:rsid w:val="00D87C87"/>
    <w:rsid w:val="00D90E07"/>
    <w:rsid w:val="00DA0124"/>
    <w:rsid w:val="00DB39CF"/>
    <w:rsid w:val="00DD0BCD"/>
    <w:rsid w:val="00DD447A"/>
    <w:rsid w:val="00DE3B20"/>
    <w:rsid w:val="00DE6C94"/>
    <w:rsid w:val="00DE6FD7"/>
    <w:rsid w:val="00E23271"/>
    <w:rsid w:val="00E24F80"/>
    <w:rsid w:val="00E259F3"/>
    <w:rsid w:val="00E33238"/>
    <w:rsid w:val="00E42F1B"/>
    <w:rsid w:val="00E4486C"/>
    <w:rsid w:val="00E460B6"/>
    <w:rsid w:val="00E511D5"/>
    <w:rsid w:val="00E60249"/>
    <w:rsid w:val="00E65269"/>
    <w:rsid w:val="00E76D66"/>
    <w:rsid w:val="00EA796A"/>
    <w:rsid w:val="00EB1856"/>
    <w:rsid w:val="00EC50CE"/>
    <w:rsid w:val="00EC5B34"/>
    <w:rsid w:val="00ED323C"/>
    <w:rsid w:val="00EE2D5C"/>
    <w:rsid w:val="00EE4ADE"/>
    <w:rsid w:val="00EE5CB7"/>
    <w:rsid w:val="00F024FE"/>
    <w:rsid w:val="00F05AD4"/>
    <w:rsid w:val="00F140B2"/>
    <w:rsid w:val="00F25970"/>
    <w:rsid w:val="00F5180D"/>
    <w:rsid w:val="00F63781"/>
    <w:rsid w:val="00F67496"/>
    <w:rsid w:val="00F801BA"/>
    <w:rsid w:val="00F9366A"/>
    <w:rsid w:val="00F946C9"/>
    <w:rsid w:val="00FA46F0"/>
    <w:rsid w:val="00FA74EE"/>
    <w:rsid w:val="00FC3711"/>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CBDA1AB-FDFD-4901-8B50-774E1A35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363"/>
    <w:pPr>
      <w:spacing w:line="264" w:lineRule="auto"/>
    </w:pPr>
    <w:rPr>
      <w:rFonts w:ascii="Georgia" w:hAnsi="Georgia"/>
      <w:sz w:val="22"/>
      <w:lang w:eastAsia="en-GB"/>
    </w:rPr>
  </w:style>
  <w:style w:type="paragraph" w:styleId="Heading1">
    <w:name w:val="heading 1"/>
    <w:basedOn w:val="Normal"/>
    <w:next w:val="Normal"/>
    <w:link w:val="Heading1Char"/>
    <w:qFormat/>
    <w:rsid w:val="008E3A07"/>
    <w:pPr>
      <w:pageBreakBefore/>
      <w:pBdr>
        <w:top w:val="single" w:sz="48" w:space="16" w:color="auto"/>
      </w:pBdr>
      <w:spacing w:after="360"/>
      <w:outlineLvl w:val="0"/>
    </w:pPr>
    <w:rPr>
      <w:b/>
      <w:sz w:val="60"/>
    </w:rPr>
  </w:style>
  <w:style w:type="paragraph" w:styleId="Heading2">
    <w:name w:val="heading 2"/>
    <w:basedOn w:val="Normal"/>
    <w:next w:val="Normal"/>
    <w:link w:val="Heading2Char"/>
    <w:qFormat/>
    <w:rsid w:val="008E3A07"/>
    <w:pPr>
      <w:keepNext/>
      <w:spacing w:before="120" w:after="120"/>
      <w:outlineLvl w:val="1"/>
    </w:pPr>
    <w:rPr>
      <w:b/>
      <w:sz w:val="40"/>
    </w:rPr>
  </w:style>
  <w:style w:type="paragraph" w:styleId="Heading3">
    <w:name w:val="heading 3"/>
    <w:basedOn w:val="Normal"/>
    <w:next w:val="Normal"/>
    <w:link w:val="Heading3Char"/>
    <w:qFormat/>
    <w:rsid w:val="008E3A07"/>
    <w:pPr>
      <w:keepNext/>
      <w:spacing w:before="240" w:after="180"/>
      <w:outlineLvl w:val="2"/>
    </w:pPr>
    <w:rPr>
      <w:b/>
      <w:sz w:val="28"/>
    </w:rPr>
  </w:style>
  <w:style w:type="paragraph" w:styleId="Heading4">
    <w:name w:val="heading 4"/>
    <w:basedOn w:val="Normal"/>
    <w:next w:val="Normal"/>
    <w:link w:val="Heading4Char"/>
    <w:qFormat/>
    <w:rsid w:val="007D5DE4"/>
    <w:pPr>
      <w:keepNext/>
      <w:spacing w:before="120" w:after="120"/>
      <w:outlineLvl w:val="3"/>
    </w:pPr>
    <w:rPr>
      <w:b/>
    </w:rPr>
  </w:style>
  <w:style w:type="paragraph" w:styleId="Heading5">
    <w:name w:val="heading 5"/>
    <w:basedOn w:val="Normal"/>
    <w:next w:val="Normal"/>
    <w:link w:val="Heading5Char"/>
    <w:qFormat/>
    <w:rsid w:val="0013585C"/>
    <w:pPr>
      <w:keepNext/>
      <w:spacing w:before="120" w:after="120"/>
      <w:outlineLvl w:val="4"/>
    </w:pPr>
    <w:rPr>
      <w:u w:val="single"/>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122363"/>
    <w:pPr>
      <w:keepNext/>
      <w:keepLines/>
      <w:spacing w:before="200" w:after="120" w:line="276" w:lineRule="auto"/>
      <w:ind w:left="1440" w:hanging="1440"/>
      <w:outlineLvl w:val="7"/>
    </w:pPr>
    <w:rPr>
      <w:rFonts w:ascii="Calibri" w:eastAsia="MS Gothic" w:hAnsi="Calibri"/>
      <w:color w:val="404040"/>
      <w:szCs w:val="24"/>
      <w:lang w:val="en-GB"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06228D"/>
    <w:pPr>
      <w:tabs>
        <w:tab w:val="right" w:pos="9356"/>
      </w:tabs>
      <w:spacing w:before="300"/>
      <w:ind w:right="567"/>
    </w:pPr>
    <w:rPr>
      <w:b/>
    </w:rPr>
  </w:style>
  <w:style w:type="paragraph" w:styleId="TOC2">
    <w:name w:val="toc 2"/>
    <w:basedOn w:val="Normal"/>
    <w:next w:val="Normal"/>
    <w:uiPriority w:val="39"/>
    <w:qFormat/>
    <w:rsid w:val="0006228D"/>
    <w:pPr>
      <w:tabs>
        <w:tab w:val="left" w:pos="284"/>
        <w:tab w:val="right" w:pos="9356"/>
      </w:tabs>
      <w:spacing w:before="60"/>
      <w:ind w:left="284" w:right="567"/>
    </w:pPr>
  </w:style>
  <w:style w:type="paragraph" w:styleId="TOC3">
    <w:name w:val="toc 3"/>
    <w:basedOn w:val="Normal"/>
    <w:next w:val="Normal"/>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3060E4"/>
    <w:pPr>
      <w:spacing w:before="60"/>
      <w:ind w:left="284" w:hanging="284"/>
    </w:pPr>
    <w:rPr>
      <w:sz w:val="18"/>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8E3A07"/>
    <w:pPr>
      <w:pBdr>
        <w:bottom w:val="single" w:sz="48" w:space="6" w:color="auto"/>
      </w:pBd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uiPriority w:val="99"/>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paragraph" w:customStyle="1" w:styleId="Subhead">
    <w:name w:val="Subhead"/>
    <w:basedOn w:val="Normal"/>
    <w:next w:val="Normal"/>
    <w:qFormat/>
    <w:rsid w:val="008E3A07"/>
    <w:pPr>
      <w:spacing w:before="180"/>
      <w:ind w:right="1701"/>
    </w:pPr>
    <w:rPr>
      <w:sz w:val="48"/>
    </w:rPr>
  </w:style>
  <w:style w:type="character" w:styleId="Hyperlink">
    <w:name w:val="Hyperlink"/>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C55BEF"/>
    <w:rPr>
      <w:rFonts w:ascii="Arial" w:hAnsi="Arial"/>
      <w:sz w:val="18"/>
      <w:lang w:eastAsia="en-GB"/>
    </w:rPr>
  </w:style>
  <w:style w:type="character" w:customStyle="1" w:styleId="FootnoteTextChar">
    <w:name w:val="Footnote Text Char"/>
    <w:link w:val="FootnoteText"/>
    <w:rsid w:val="003060E4"/>
    <w:rPr>
      <w:rFonts w:ascii="Georgia" w:hAnsi="Georgia"/>
      <w:sz w:val="18"/>
      <w:lang w:eastAsia="en-GB"/>
    </w:rPr>
  </w:style>
  <w:style w:type="table" w:styleId="TableGrid">
    <w:name w:val="Table Grid"/>
    <w:basedOn w:val="TableNormal"/>
    <w:uiPriority w:val="3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rsid w:val="0086388B"/>
    <w:rPr>
      <w:rFonts w:ascii="Georgia" w:hAnsi="Georgia"/>
      <w:sz w:val="22"/>
      <w:lang w:eastAsia="en-GB"/>
    </w:rPr>
  </w:style>
  <w:style w:type="character" w:customStyle="1" w:styleId="Heading1Char">
    <w:name w:val="Heading 1 Char"/>
    <w:link w:val="Heading1"/>
    <w:rsid w:val="008E3A07"/>
    <w:rPr>
      <w:rFonts w:ascii="Georgia" w:hAnsi="Georgia"/>
      <w:b/>
      <w:sz w:val="60"/>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rsid w:val="008E3A07"/>
    <w:rPr>
      <w:rFonts w:ascii="Georgia" w:hAnsi="Georgia"/>
      <w:b/>
      <w:sz w:val="40"/>
      <w:lang w:eastAsia="en-GB"/>
    </w:rPr>
  </w:style>
  <w:style w:type="character" w:customStyle="1" w:styleId="Heading3Char">
    <w:name w:val="Heading 3 Char"/>
    <w:link w:val="Heading3"/>
    <w:rsid w:val="008E3A07"/>
    <w:rPr>
      <w:rFonts w:ascii="Georgia" w:hAnsi="Georgia"/>
      <w:b/>
      <w:sz w:val="28"/>
      <w:lang w:eastAsia="en-GB"/>
    </w:rPr>
  </w:style>
  <w:style w:type="paragraph" w:customStyle="1" w:styleId="Year">
    <w:name w:val="Year"/>
    <w:basedOn w:val="Subhead"/>
    <w:next w:val="Subhead"/>
    <w:qFormat/>
    <w:rsid w:val="008E3A07"/>
    <w:pPr>
      <w:pBdr>
        <w:bottom w:val="single" w:sz="48" w:space="6" w:color="auto"/>
      </w:pBdr>
    </w:pPr>
    <w:rPr>
      <w:sz w:val="56"/>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122363"/>
    <w:rPr>
      <w:rFonts w:ascii="Calibri" w:eastAsia="MS Gothic" w:hAnsi="Calibri"/>
      <w:color w:val="404040"/>
      <w:sz w:val="22"/>
      <w:szCs w:val="24"/>
      <w:lang w:val="en-GB"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rsid w:val="00122363"/>
    <w:rPr>
      <w:rFonts w:ascii="Georgia" w:hAnsi="Georgia"/>
      <w:b/>
      <w:sz w:val="22"/>
      <w:lang w:eastAsia="en-GB"/>
    </w:rPr>
  </w:style>
  <w:style w:type="character" w:customStyle="1" w:styleId="Heading5Char">
    <w:name w:val="Heading 5 Char"/>
    <w:link w:val="Heading5"/>
    <w:rsid w:val="00122363"/>
    <w:rPr>
      <w:rFonts w:ascii="Georgia" w:hAnsi="Georgia"/>
      <w:sz w:val="22"/>
      <w:u w:val="single"/>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8E3A07"/>
    <w:rPr>
      <w:rFonts w:ascii="Georgia" w:hAnsi="Georgia"/>
      <w:b/>
      <w:sz w:val="80"/>
      <w:lang w:eastAsia="en-GB"/>
    </w:rPr>
  </w:style>
  <w:style w:type="paragraph" w:customStyle="1" w:styleId="Number">
    <w:name w:val="Number"/>
    <w:basedOn w:val="Normal"/>
    <w:rsid w:val="00F140B2"/>
    <w:pPr>
      <w:numPr>
        <w:ilvl w:val="3"/>
        <w:numId w:val="16"/>
      </w:numPr>
      <w:spacing w:before="180"/>
    </w:pPr>
    <w:rPr>
      <w:szCs w:val="24"/>
    </w:rPr>
  </w:style>
  <w:style w:type="paragraph" w:customStyle="1" w:styleId="Letter">
    <w:name w:val="Letter"/>
    <w:basedOn w:val="Normal"/>
    <w:qFormat/>
    <w:rsid w:val="00F140B2"/>
    <w:pPr>
      <w:numPr>
        <w:ilvl w:val="4"/>
        <w:numId w:val="16"/>
      </w:num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diagramLayout" Target="diagrams/layout1.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diagramDrawing" Target="diagrams/drawing1.xml"/><Relationship Id="rId28"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diagramData" Target="diagrams/data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diagramColors" Target="diagrams/colors1.xml"/><Relationship Id="rId27" Type="http://schemas.openxmlformats.org/officeDocument/2006/relationships/footer" Target="footer8.xml"/><Relationship Id="rId30"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70DCE3-97EE-44B9-B6C0-4E4BC715AE9C}" type="doc">
      <dgm:prSet loTypeId="urn:microsoft.com/office/officeart/2005/8/layout/venn1" loCatId="relationship" qsTypeId="urn:microsoft.com/office/officeart/2005/8/quickstyle/simple1" qsCatId="simple" csTypeId="urn:microsoft.com/office/officeart/2005/8/colors/colorful4" csCatId="colorful" phldr="1"/>
      <dgm:spPr/>
      <dgm:t>
        <a:bodyPr/>
        <a:lstStyle/>
        <a:p>
          <a:endParaRPr lang="en-NZ"/>
        </a:p>
      </dgm:t>
    </dgm:pt>
    <dgm:pt modelId="{992B1467-8AA5-4D79-86C1-7743F9232D81}">
      <dgm:prSet custT="1"/>
      <dgm:spPr>
        <a:xfrm>
          <a:off x="3249787" y="1859137"/>
          <a:ext cx="1407890" cy="1407890"/>
        </a:xfrm>
        <a:solidFill>
          <a:srgbClr val="8064A2">
            <a:hueOff val="-4464770"/>
            <a:satOff val="26899"/>
            <a:lumOff val="2156"/>
            <a:alphaOff val="0"/>
          </a:srgbClr>
        </a:solidFill>
        <a:ln w="25400" cap="flat" cmpd="sng" algn="ctr">
          <a:solidFill>
            <a:sysClr val="window" lastClr="FFFFFF">
              <a:hueOff val="0"/>
              <a:satOff val="0"/>
              <a:lumOff val="0"/>
              <a:alphaOff val="0"/>
            </a:sysClr>
          </a:solidFill>
          <a:prstDash val="solid"/>
        </a:ln>
        <a:effectLst/>
      </dgm:spPr>
      <dgm:t>
        <a:bodyPr/>
        <a:lstStyle/>
        <a:p>
          <a:pPr algn="ctr">
            <a:lnSpc>
              <a:spcPct val="100000"/>
            </a:lnSpc>
            <a:spcAft>
              <a:spcPts val="0"/>
            </a:spcAft>
          </a:pPr>
          <a:r>
            <a:rPr lang="en-NZ" sz="1100">
              <a:solidFill>
                <a:sysClr val="window" lastClr="FFFFFF"/>
              </a:solidFill>
              <a:latin typeface="Calibri"/>
              <a:ea typeface="+mn-ea"/>
              <a:cs typeface="+mn-cs"/>
            </a:rPr>
            <a:t>Rights of patients and staff are recognised and protected.</a:t>
          </a:r>
          <a:endParaRPr lang="en-NZ" sz="900">
            <a:solidFill>
              <a:sysClr val="window" lastClr="FFFFFF"/>
            </a:solidFill>
            <a:latin typeface="Calibri"/>
            <a:ea typeface="+mn-ea"/>
            <a:cs typeface="+mn-cs"/>
          </a:endParaRPr>
        </a:p>
      </dgm:t>
    </dgm:pt>
    <dgm:pt modelId="{464BE521-3FAD-4B72-A8E0-B32924FD3E4E}" type="parTrans" cxnId="{51A32DC0-3A82-4321-8F21-1D2CF97333EC}">
      <dgm:prSet/>
      <dgm:spPr/>
      <dgm:t>
        <a:bodyPr/>
        <a:lstStyle/>
        <a:p>
          <a:endParaRPr lang="en-NZ"/>
        </a:p>
      </dgm:t>
    </dgm:pt>
    <dgm:pt modelId="{4C6F8F46-DA8E-4B4D-8E3A-100DBEB1AE19}" type="sibTrans" cxnId="{51A32DC0-3A82-4321-8F21-1D2CF97333EC}">
      <dgm:prSet/>
      <dgm:spPr/>
      <dgm:t>
        <a:bodyPr/>
        <a:lstStyle/>
        <a:p>
          <a:endParaRPr lang="en-NZ"/>
        </a:p>
      </dgm:t>
    </dgm:pt>
    <dgm:pt modelId="{22719BE0-DDAF-41AD-BE38-19AEF7D5DD80}">
      <dgm:prSet custT="1"/>
      <dgm:spPr>
        <a:xfrm>
          <a:off x="3249787" y="342947"/>
          <a:ext cx="1407890" cy="1407890"/>
        </a:xfrm>
        <a:solidFill>
          <a:srgbClr val="8064A2">
            <a:hueOff val="-1488257"/>
            <a:satOff val="8966"/>
            <a:lumOff val="719"/>
            <a:alphaOff val="0"/>
          </a:srgbClr>
        </a:solidFill>
        <a:ln w="25400" cap="flat" cmpd="sng" algn="ctr">
          <a:solidFill>
            <a:sysClr val="window" lastClr="FFFFFF">
              <a:hueOff val="0"/>
              <a:satOff val="0"/>
              <a:lumOff val="0"/>
              <a:alphaOff val="0"/>
            </a:sysClr>
          </a:solidFill>
          <a:prstDash val="solid"/>
        </a:ln>
        <a:effectLst/>
      </dgm:spPr>
      <dgm:t>
        <a:bodyPr/>
        <a:lstStyle/>
        <a:p>
          <a:pPr>
            <a:lnSpc>
              <a:spcPct val="100000"/>
            </a:lnSpc>
            <a:spcAft>
              <a:spcPts val="0"/>
            </a:spcAft>
          </a:pPr>
          <a:r>
            <a:rPr lang="en-NZ" sz="1100">
              <a:solidFill>
                <a:sysClr val="window" lastClr="FFFFFF"/>
              </a:solidFill>
              <a:latin typeface="Calibri"/>
              <a:ea typeface="+mn-ea"/>
              <a:cs typeface="+mn-cs"/>
            </a:rPr>
            <a:t>The Ministry of Health maintains oversight of the current use of Night Safety Procedures.</a:t>
          </a:r>
        </a:p>
      </dgm:t>
    </dgm:pt>
    <dgm:pt modelId="{6847A3FF-B49F-41CB-81A7-9BB2F4C8637F}" type="parTrans" cxnId="{D5744C95-E92B-4DBC-B7A5-47E123AF934B}">
      <dgm:prSet/>
      <dgm:spPr/>
      <dgm:t>
        <a:bodyPr/>
        <a:lstStyle/>
        <a:p>
          <a:endParaRPr lang="en-NZ"/>
        </a:p>
      </dgm:t>
    </dgm:pt>
    <dgm:pt modelId="{828F2C3B-AB75-4C74-9B80-2BA72E42E450}" type="sibTrans" cxnId="{D5744C95-E92B-4DBC-B7A5-47E123AF934B}">
      <dgm:prSet/>
      <dgm:spPr/>
      <dgm:t>
        <a:bodyPr/>
        <a:lstStyle/>
        <a:p>
          <a:endParaRPr lang="en-NZ"/>
        </a:p>
      </dgm:t>
    </dgm:pt>
    <dgm:pt modelId="{DD8FC796-2ED6-4BC4-B6A7-F41D0E7F918E}">
      <dgm:prSet custT="1"/>
      <dgm:spPr>
        <a:xfrm>
          <a:off x="1733597" y="1859137"/>
          <a:ext cx="1407890" cy="1407890"/>
        </a:xfrm>
        <a:solidFill>
          <a:srgbClr val="8064A2">
            <a:hueOff val="-2976513"/>
            <a:satOff val="17933"/>
            <a:lumOff val="1437"/>
            <a:alphaOff val="0"/>
          </a:srgbClr>
        </a:solidFill>
        <a:ln w="25400" cap="flat" cmpd="sng" algn="ctr">
          <a:solidFill>
            <a:sysClr val="window" lastClr="FFFFFF">
              <a:hueOff val="0"/>
              <a:satOff val="0"/>
              <a:lumOff val="0"/>
              <a:alphaOff val="0"/>
            </a:sysClr>
          </a:solidFill>
          <a:prstDash val="solid"/>
        </a:ln>
        <a:effectLst/>
      </dgm:spPr>
      <dgm:t>
        <a:bodyPr/>
        <a:lstStyle/>
        <a:p>
          <a:pPr algn="ctr">
            <a:lnSpc>
              <a:spcPct val="100000"/>
            </a:lnSpc>
            <a:spcAft>
              <a:spcPts val="0"/>
            </a:spcAft>
          </a:pPr>
          <a:r>
            <a:rPr lang="en-NZ" sz="1100">
              <a:solidFill>
                <a:schemeClr val="bg1"/>
              </a:solidFill>
            </a:rPr>
            <a:t>The use of night safety procedures will be eliminated from practice. Future services will not use night safety procedures.</a:t>
          </a:r>
          <a:endParaRPr lang="en-NZ" sz="1100">
            <a:solidFill>
              <a:schemeClr val="bg1"/>
            </a:solidFill>
            <a:latin typeface="Calibri"/>
            <a:ea typeface="+mn-ea"/>
            <a:cs typeface="+mn-cs"/>
          </a:endParaRPr>
        </a:p>
      </dgm:t>
    </dgm:pt>
    <dgm:pt modelId="{A0330BCE-B76A-44B6-885E-D65A342377EC}" type="parTrans" cxnId="{B2F06BC9-279B-404C-9C92-1327D90ED791}">
      <dgm:prSet/>
      <dgm:spPr/>
      <dgm:t>
        <a:bodyPr/>
        <a:lstStyle/>
        <a:p>
          <a:endParaRPr lang="en-NZ"/>
        </a:p>
      </dgm:t>
    </dgm:pt>
    <dgm:pt modelId="{CA3FADC7-19B2-45F8-B73D-65716D298016}" type="sibTrans" cxnId="{B2F06BC9-279B-404C-9C92-1327D90ED791}">
      <dgm:prSet/>
      <dgm:spPr/>
      <dgm:t>
        <a:bodyPr/>
        <a:lstStyle/>
        <a:p>
          <a:endParaRPr lang="en-NZ"/>
        </a:p>
      </dgm:t>
    </dgm:pt>
    <dgm:pt modelId="{30A13468-B45C-4E0A-A8F8-23AE719D60AA}" type="pres">
      <dgm:prSet presAssocID="{7870DCE3-97EE-44B9-B6C0-4E4BC715AE9C}" presName="compositeShape" presStyleCnt="0">
        <dgm:presLayoutVars>
          <dgm:chMax val="7"/>
          <dgm:dir/>
          <dgm:resizeHandles val="exact"/>
        </dgm:presLayoutVars>
      </dgm:prSet>
      <dgm:spPr/>
      <dgm:t>
        <a:bodyPr/>
        <a:lstStyle/>
        <a:p>
          <a:endParaRPr lang="en-NZ"/>
        </a:p>
      </dgm:t>
    </dgm:pt>
    <dgm:pt modelId="{A5924707-C694-48C6-A892-0B3AA5ED6717}" type="pres">
      <dgm:prSet presAssocID="{992B1467-8AA5-4D79-86C1-7743F9232D81}" presName="circ1" presStyleLbl="vennNode1" presStyleIdx="0" presStyleCnt="3"/>
      <dgm:spPr/>
      <dgm:t>
        <a:bodyPr/>
        <a:lstStyle/>
        <a:p>
          <a:endParaRPr lang="en-NZ"/>
        </a:p>
      </dgm:t>
    </dgm:pt>
    <dgm:pt modelId="{56C7310C-D986-47F9-867F-3C01E7091767}" type="pres">
      <dgm:prSet presAssocID="{992B1467-8AA5-4D79-86C1-7743F9232D81}" presName="circ1Tx" presStyleLbl="revTx" presStyleIdx="0" presStyleCnt="0">
        <dgm:presLayoutVars>
          <dgm:chMax val="0"/>
          <dgm:chPref val="0"/>
          <dgm:bulletEnabled val="1"/>
        </dgm:presLayoutVars>
      </dgm:prSet>
      <dgm:spPr/>
      <dgm:t>
        <a:bodyPr/>
        <a:lstStyle/>
        <a:p>
          <a:endParaRPr lang="en-NZ"/>
        </a:p>
      </dgm:t>
    </dgm:pt>
    <dgm:pt modelId="{C6A37DD3-C9BD-4D74-B917-B0F1D93330AA}" type="pres">
      <dgm:prSet presAssocID="{22719BE0-DDAF-41AD-BE38-19AEF7D5DD80}" presName="circ2" presStyleLbl="vennNode1" presStyleIdx="1" presStyleCnt="3"/>
      <dgm:spPr/>
      <dgm:t>
        <a:bodyPr/>
        <a:lstStyle/>
        <a:p>
          <a:endParaRPr lang="en-NZ"/>
        </a:p>
      </dgm:t>
    </dgm:pt>
    <dgm:pt modelId="{B4D902DE-3C9C-4566-B601-151631DA1DC5}" type="pres">
      <dgm:prSet presAssocID="{22719BE0-DDAF-41AD-BE38-19AEF7D5DD80}" presName="circ2Tx" presStyleLbl="revTx" presStyleIdx="0" presStyleCnt="0">
        <dgm:presLayoutVars>
          <dgm:chMax val="0"/>
          <dgm:chPref val="0"/>
          <dgm:bulletEnabled val="1"/>
        </dgm:presLayoutVars>
      </dgm:prSet>
      <dgm:spPr/>
      <dgm:t>
        <a:bodyPr/>
        <a:lstStyle/>
        <a:p>
          <a:endParaRPr lang="en-NZ"/>
        </a:p>
      </dgm:t>
    </dgm:pt>
    <dgm:pt modelId="{E82E8B21-A761-45E4-B5EA-B8634F9D1FE5}" type="pres">
      <dgm:prSet presAssocID="{DD8FC796-2ED6-4BC4-B6A7-F41D0E7F918E}" presName="circ3" presStyleLbl="vennNode1" presStyleIdx="2" presStyleCnt="3"/>
      <dgm:spPr/>
      <dgm:t>
        <a:bodyPr/>
        <a:lstStyle/>
        <a:p>
          <a:endParaRPr lang="en-NZ"/>
        </a:p>
      </dgm:t>
    </dgm:pt>
    <dgm:pt modelId="{AA4E9A09-92CC-4664-8D3B-14C7142849AD}" type="pres">
      <dgm:prSet presAssocID="{DD8FC796-2ED6-4BC4-B6A7-F41D0E7F918E}" presName="circ3Tx" presStyleLbl="revTx" presStyleIdx="0" presStyleCnt="0">
        <dgm:presLayoutVars>
          <dgm:chMax val="0"/>
          <dgm:chPref val="0"/>
          <dgm:bulletEnabled val="1"/>
        </dgm:presLayoutVars>
      </dgm:prSet>
      <dgm:spPr/>
      <dgm:t>
        <a:bodyPr/>
        <a:lstStyle/>
        <a:p>
          <a:endParaRPr lang="en-NZ"/>
        </a:p>
      </dgm:t>
    </dgm:pt>
  </dgm:ptLst>
  <dgm:cxnLst>
    <dgm:cxn modelId="{D5744C95-E92B-4DBC-B7A5-47E123AF934B}" srcId="{7870DCE3-97EE-44B9-B6C0-4E4BC715AE9C}" destId="{22719BE0-DDAF-41AD-BE38-19AEF7D5DD80}" srcOrd="1" destOrd="0" parTransId="{6847A3FF-B49F-41CB-81A7-9BB2F4C8637F}" sibTransId="{828F2C3B-AB75-4C74-9B80-2BA72E42E450}"/>
    <dgm:cxn modelId="{AC0B8CFC-9EC4-4648-B923-FA3218B4EE8E}" type="presOf" srcId="{DD8FC796-2ED6-4BC4-B6A7-F41D0E7F918E}" destId="{E82E8B21-A761-45E4-B5EA-B8634F9D1FE5}" srcOrd="0" destOrd="0" presId="urn:microsoft.com/office/officeart/2005/8/layout/venn1"/>
    <dgm:cxn modelId="{51A32DC0-3A82-4321-8F21-1D2CF97333EC}" srcId="{7870DCE3-97EE-44B9-B6C0-4E4BC715AE9C}" destId="{992B1467-8AA5-4D79-86C1-7743F9232D81}" srcOrd="0" destOrd="0" parTransId="{464BE521-3FAD-4B72-A8E0-B32924FD3E4E}" sibTransId="{4C6F8F46-DA8E-4B4D-8E3A-100DBEB1AE19}"/>
    <dgm:cxn modelId="{0928EBEB-4851-4EF4-BDCE-72347D373F55}" type="presOf" srcId="{992B1467-8AA5-4D79-86C1-7743F9232D81}" destId="{56C7310C-D986-47F9-867F-3C01E7091767}" srcOrd="1" destOrd="0" presId="urn:microsoft.com/office/officeart/2005/8/layout/venn1"/>
    <dgm:cxn modelId="{329E4C21-1369-42A8-8D2C-B8C0BE50337D}" type="presOf" srcId="{7870DCE3-97EE-44B9-B6C0-4E4BC715AE9C}" destId="{30A13468-B45C-4E0A-A8F8-23AE719D60AA}" srcOrd="0" destOrd="0" presId="urn:microsoft.com/office/officeart/2005/8/layout/venn1"/>
    <dgm:cxn modelId="{276C5B07-F501-4928-92FB-A8DD8325A407}" type="presOf" srcId="{22719BE0-DDAF-41AD-BE38-19AEF7D5DD80}" destId="{B4D902DE-3C9C-4566-B601-151631DA1DC5}" srcOrd="1" destOrd="0" presId="urn:microsoft.com/office/officeart/2005/8/layout/venn1"/>
    <dgm:cxn modelId="{030771A8-6A11-42CA-9F71-2A866B4AE1E1}" type="presOf" srcId="{22719BE0-DDAF-41AD-BE38-19AEF7D5DD80}" destId="{C6A37DD3-C9BD-4D74-B917-B0F1D93330AA}" srcOrd="0" destOrd="0" presId="urn:microsoft.com/office/officeart/2005/8/layout/venn1"/>
    <dgm:cxn modelId="{B2F06BC9-279B-404C-9C92-1327D90ED791}" srcId="{7870DCE3-97EE-44B9-B6C0-4E4BC715AE9C}" destId="{DD8FC796-2ED6-4BC4-B6A7-F41D0E7F918E}" srcOrd="2" destOrd="0" parTransId="{A0330BCE-B76A-44B6-885E-D65A342377EC}" sibTransId="{CA3FADC7-19B2-45F8-B73D-65716D298016}"/>
    <dgm:cxn modelId="{4C2BBF53-F17D-4CFE-8035-85B8CE7C925D}" type="presOf" srcId="{DD8FC796-2ED6-4BC4-B6A7-F41D0E7F918E}" destId="{AA4E9A09-92CC-4664-8D3B-14C7142849AD}" srcOrd="1" destOrd="0" presId="urn:microsoft.com/office/officeart/2005/8/layout/venn1"/>
    <dgm:cxn modelId="{EBF568F5-F643-4AA3-8352-525C98C9AEA9}" type="presOf" srcId="{992B1467-8AA5-4D79-86C1-7743F9232D81}" destId="{A5924707-C694-48C6-A892-0B3AA5ED6717}" srcOrd="0" destOrd="0" presId="urn:microsoft.com/office/officeart/2005/8/layout/venn1"/>
    <dgm:cxn modelId="{515F5A53-E9F0-4308-8F73-904B9B7917C5}" type="presParOf" srcId="{30A13468-B45C-4E0A-A8F8-23AE719D60AA}" destId="{A5924707-C694-48C6-A892-0B3AA5ED6717}" srcOrd="0" destOrd="0" presId="urn:microsoft.com/office/officeart/2005/8/layout/venn1"/>
    <dgm:cxn modelId="{78477B88-348E-4F52-968E-874BD575BA0E}" type="presParOf" srcId="{30A13468-B45C-4E0A-A8F8-23AE719D60AA}" destId="{56C7310C-D986-47F9-867F-3C01E7091767}" srcOrd="1" destOrd="0" presId="urn:microsoft.com/office/officeart/2005/8/layout/venn1"/>
    <dgm:cxn modelId="{210403CA-6061-458D-A642-E05DEBCEF1FF}" type="presParOf" srcId="{30A13468-B45C-4E0A-A8F8-23AE719D60AA}" destId="{C6A37DD3-C9BD-4D74-B917-B0F1D93330AA}" srcOrd="2" destOrd="0" presId="urn:microsoft.com/office/officeart/2005/8/layout/venn1"/>
    <dgm:cxn modelId="{4EDBC888-3747-4D52-850A-B9DF4A726383}" type="presParOf" srcId="{30A13468-B45C-4E0A-A8F8-23AE719D60AA}" destId="{B4D902DE-3C9C-4566-B601-151631DA1DC5}" srcOrd="3" destOrd="0" presId="urn:microsoft.com/office/officeart/2005/8/layout/venn1"/>
    <dgm:cxn modelId="{3EDDE969-16F6-444D-8B37-50E3CD1E229A}" type="presParOf" srcId="{30A13468-B45C-4E0A-A8F8-23AE719D60AA}" destId="{E82E8B21-A761-45E4-B5EA-B8634F9D1FE5}" srcOrd="4" destOrd="0" presId="urn:microsoft.com/office/officeart/2005/8/layout/venn1"/>
    <dgm:cxn modelId="{1332CB4A-972B-4C5F-BA74-48E7F8FC777B}" type="presParOf" srcId="{30A13468-B45C-4E0A-A8F8-23AE719D60AA}" destId="{AA4E9A09-92CC-4664-8D3B-14C7142849AD}" srcOrd="5" destOrd="0" presId="urn:microsoft.com/office/officeart/2005/8/layout/venn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924707-C694-48C6-A892-0B3AA5ED6717}">
      <dsp:nvSpPr>
        <dsp:cNvPr id="0" name=""/>
        <dsp:cNvSpPr/>
      </dsp:nvSpPr>
      <dsp:spPr>
        <a:xfrm>
          <a:off x="2022361" y="95462"/>
          <a:ext cx="1975077" cy="1975077"/>
        </a:xfrm>
        <a:prstGeom prst="ellipse">
          <a:avLst/>
        </a:prstGeom>
        <a:solidFill>
          <a:srgbClr val="8064A2">
            <a:hueOff val="-4464770"/>
            <a:satOff val="26899"/>
            <a:lumOff val="215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88950">
            <a:lnSpc>
              <a:spcPct val="100000"/>
            </a:lnSpc>
            <a:spcBef>
              <a:spcPct val="0"/>
            </a:spcBef>
            <a:spcAft>
              <a:spcPts val="0"/>
            </a:spcAft>
          </a:pPr>
          <a:r>
            <a:rPr lang="en-NZ" sz="1100" kern="1200">
              <a:solidFill>
                <a:sysClr val="window" lastClr="FFFFFF"/>
              </a:solidFill>
              <a:latin typeface="Calibri"/>
              <a:ea typeface="+mn-ea"/>
              <a:cs typeface="+mn-cs"/>
            </a:rPr>
            <a:t>Rights of patients and staff are recognised and protected.</a:t>
          </a:r>
          <a:endParaRPr lang="en-NZ" sz="900" kern="1200">
            <a:solidFill>
              <a:sysClr val="window" lastClr="FFFFFF"/>
            </a:solidFill>
            <a:latin typeface="Calibri"/>
            <a:ea typeface="+mn-ea"/>
            <a:cs typeface="+mn-cs"/>
          </a:endParaRPr>
        </a:p>
      </dsp:txBody>
      <dsp:txXfrm>
        <a:off x="2285704" y="441100"/>
        <a:ext cx="1448390" cy="888784"/>
      </dsp:txXfrm>
    </dsp:sp>
    <dsp:sp modelId="{C6A37DD3-C9BD-4D74-B917-B0F1D93330AA}">
      <dsp:nvSpPr>
        <dsp:cNvPr id="0" name=""/>
        <dsp:cNvSpPr/>
      </dsp:nvSpPr>
      <dsp:spPr>
        <a:xfrm>
          <a:off x="2735035" y="1329885"/>
          <a:ext cx="1975077" cy="1975077"/>
        </a:xfrm>
        <a:prstGeom prst="ellipse">
          <a:avLst/>
        </a:prstGeom>
        <a:solidFill>
          <a:srgbClr val="8064A2">
            <a:hueOff val="-1488257"/>
            <a:satOff val="8966"/>
            <a:lumOff val="719"/>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88950">
            <a:lnSpc>
              <a:spcPct val="100000"/>
            </a:lnSpc>
            <a:spcBef>
              <a:spcPct val="0"/>
            </a:spcBef>
            <a:spcAft>
              <a:spcPts val="0"/>
            </a:spcAft>
          </a:pPr>
          <a:r>
            <a:rPr lang="en-NZ" sz="1100" kern="1200">
              <a:solidFill>
                <a:sysClr val="window" lastClr="FFFFFF"/>
              </a:solidFill>
              <a:latin typeface="Calibri"/>
              <a:ea typeface="+mn-ea"/>
              <a:cs typeface="+mn-cs"/>
            </a:rPr>
            <a:t>The Ministry of Health maintains oversight of the current use of Night Safety Procedures.</a:t>
          </a:r>
        </a:p>
      </dsp:txBody>
      <dsp:txXfrm>
        <a:off x="3339079" y="1840113"/>
        <a:ext cx="1185046" cy="1086292"/>
      </dsp:txXfrm>
    </dsp:sp>
    <dsp:sp modelId="{E82E8B21-A761-45E4-B5EA-B8634F9D1FE5}">
      <dsp:nvSpPr>
        <dsp:cNvPr id="0" name=""/>
        <dsp:cNvSpPr/>
      </dsp:nvSpPr>
      <dsp:spPr>
        <a:xfrm>
          <a:off x="1309687" y="1329885"/>
          <a:ext cx="1975077" cy="1975077"/>
        </a:xfrm>
        <a:prstGeom prst="ellipse">
          <a:avLst/>
        </a:prstGeom>
        <a:solidFill>
          <a:srgbClr val="8064A2">
            <a:hueOff val="-2976513"/>
            <a:satOff val="17933"/>
            <a:lumOff val="1437"/>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88950">
            <a:lnSpc>
              <a:spcPct val="100000"/>
            </a:lnSpc>
            <a:spcBef>
              <a:spcPct val="0"/>
            </a:spcBef>
            <a:spcAft>
              <a:spcPts val="0"/>
            </a:spcAft>
          </a:pPr>
          <a:r>
            <a:rPr lang="en-NZ" sz="1100" kern="1200">
              <a:solidFill>
                <a:schemeClr val="bg1"/>
              </a:solidFill>
            </a:rPr>
            <a:t>The use of night safety procedures will be eliminated from practice. Future services will not use night safety procedures.</a:t>
          </a:r>
          <a:endParaRPr lang="en-NZ" sz="1100" kern="1200">
            <a:solidFill>
              <a:schemeClr val="bg1"/>
            </a:solidFill>
            <a:latin typeface="Calibri"/>
            <a:ea typeface="+mn-ea"/>
            <a:cs typeface="+mn-cs"/>
          </a:endParaRPr>
        </a:p>
      </dsp:txBody>
      <dsp:txXfrm>
        <a:off x="1495673" y="1840113"/>
        <a:ext cx="1185046" cy="1086292"/>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43381-1FF7-4964-9DD2-FCCC59ADB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33</TotalTime>
  <Pages>16</Pages>
  <Words>2233</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Night Safety Procedures Transitional Guideline</dc:title>
  <dc:creator>Ministry of Health</dc:creator>
  <cp:lastModifiedBy>Jane Adam</cp:lastModifiedBy>
  <cp:revision>8</cp:revision>
  <cp:lastPrinted>2018-02-14T20:52:00Z</cp:lastPrinted>
  <dcterms:created xsi:type="dcterms:W3CDTF">2018-02-13T02:52:00Z</dcterms:created>
  <dcterms:modified xsi:type="dcterms:W3CDTF">2018-02-14T21:06:00Z</dcterms:modified>
</cp:coreProperties>
</file>